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C207B" w14:textId="0AC41AB8" w:rsidR="000435C2" w:rsidRPr="0096534C" w:rsidRDefault="008B332B">
      <w:pPr>
        <w:jc w:val="center"/>
        <w:rPr>
          <w:sz w:val="2"/>
          <w:szCs w:val="2"/>
        </w:rPr>
      </w:pPr>
      <w:r w:rsidRPr="0096534C">
        <w:rPr>
          <w:noProof/>
        </w:rPr>
        <w:drawing>
          <wp:inline distT="0" distB="0" distL="0" distR="0" wp14:anchorId="1E87FF7D" wp14:editId="13D318C4">
            <wp:extent cx="3218815" cy="383413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3218815" cy="3834130"/>
                    </a:xfrm>
                    <a:prstGeom prst="rect">
                      <a:avLst/>
                    </a:prstGeom>
                  </pic:spPr>
                </pic:pic>
              </a:graphicData>
            </a:graphic>
          </wp:inline>
        </w:drawing>
      </w:r>
    </w:p>
    <w:p w14:paraId="45C6C442" w14:textId="2078453A" w:rsidR="000435C2" w:rsidRPr="0096534C" w:rsidRDefault="000435C2">
      <w:pPr>
        <w:spacing w:after="1059" w:line="1" w:lineRule="exact"/>
      </w:pPr>
    </w:p>
    <w:p w14:paraId="7563ECF1" w14:textId="6E0B8527" w:rsidR="000435C2" w:rsidRPr="0096534C" w:rsidRDefault="008B332B">
      <w:pPr>
        <w:pStyle w:val="Bodytext20"/>
      </w:pPr>
      <w:r w:rsidRPr="0096534C">
        <w:rPr>
          <w:rStyle w:val="Bodytext2"/>
          <w:b/>
        </w:rPr>
        <w:t>Instrument de voisinage, de coopération au développement et de coopération internationale - Europe dans le monde (IVCDCI-Europe dans le monde)</w:t>
      </w:r>
    </w:p>
    <w:p w14:paraId="7032B4D6" w14:textId="77777777" w:rsidR="00AD50F2" w:rsidRDefault="008B332B" w:rsidP="00AD50F2">
      <w:pPr>
        <w:pStyle w:val="Other0"/>
        <w:spacing w:after="0" w:line="269" w:lineRule="auto"/>
        <w:jc w:val="center"/>
        <w:rPr>
          <w:rStyle w:val="Other"/>
          <w:rFonts w:ascii="Franklin Gothic Book" w:hAnsi="Franklin Gothic Book"/>
          <w:sz w:val="46"/>
        </w:rPr>
      </w:pPr>
      <w:r w:rsidRPr="0096534C">
        <w:rPr>
          <w:rStyle w:val="Other"/>
          <w:rFonts w:ascii="Franklin Gothic Book" w:hAnsi="Franklin Gothic Book"/>
          <w:sz w:val="46"/>
        </w:rPr>
        <w:t>Appel à propositions</w:t>
      </w:r>
    </w:p>
    <w:p w14:paraId="1CD29802" w14:textId="77777777" w:rsidR="00AD50F2" w:rsidRPr="001A028A" w:rsidRDefault="00AD50F2" w:rsidP="00AD50F2">
      <w:pPr>
        <w:pStyle w:val="Other0"/>
        <w:spacing w:after="0" w:line="269" w:lineRule="auto"/>
        <w:jc w:val="center"/>
        <w:rPr>
          <w:rStyle w:val="Other"/>
          <w:rFonts w:ascii="Franklin Gothic Book" w:hAnsi="Franklin Gothic Book"/>
          <w:sz w:val="16"/>
          <w:szCs w:val="16"/>
        </w:rPr>
      </w:pPr>
    </w:p>
    <w:p w14:paraId="0230B93D" w14:textId="6702C454" w:rsidR="00AD50F2" w:rsidRPr="00AD50F2" w:rsidRDefault="00AD50F2" w:rsidP="00AD50F2">
      <w:pPr>
        <w:pStyle w:val="Other0"/>
        <w:spacing w:after="0" w:line="269" w:lineRule="auto"/>
        <w:jc w:val="center"/>
        <w:rPr>
          <w:rStyle w:val="Other"/>
          <w:rFonts w:ascii="Franklin Gothic Book" w:hAnsi="Franklin Gothic Book"/>
          <w:b/>
          <w:bCs/>
          <w:i/>
          <w:iCs/>
          <w:color w:val="FF0000"/>
          <w:sz w:val="46"/>
        </w:rPr>
      </w:pPr>
      <w:r w:rsidRPr="00AD50F2">
        <w:rPr>
          <w:rStyle w:val="Other"/>
          <w:rFonts w:ascii="Franklin Gothic Book" w:hAnsi="Franklin Gothic Book"/>
          <w:b/>
          <w:bCs/>
          <w:i/>
          <w:iCs/>
          <w:color w:val="FF0000"/>
          <w:sz w:val="46"/>
        </w:rPr>
        <w:t xml:space="preserve">Version en FR </w:t>
      </w:r>
    </w:p>
    <w:p w14:paraId="608452E1" w14:textId="77777777" w:rsidR="00AD50F2" w:rsidRPr="00AD50F2" w:rsidRDefault="00AD50F2" w:rsidP="00AD50F2">
      <w:pPr>
        <w:pStyle w:val="Other0"/>
        <w:spacing w:after="0" w:line="269" w:lineRule="auto"/>
        <w:jc w:val="center"/>
        <w:rPr>
          <w:rFonts w:ascii="Franklin Gothic Book" w:hAnsi="Franklin Gothic Book"/>
          <w:i/>
          <w:iCs/>
          <w:color w:val="FF0000"/>
          <w:sz w:val="28"/>
          <w:szCs w:val="28"/>
        </w:rPr>
      </w:pPr>
    </w:p>
    <w:p w14:paraId="71C192D5" w14:textId="35D9DE44" w:rsidR="00AD50F2" w:rsidRPr="00AD50F2" w:rsidRDefault="00AD50F2" w:rsidP="00AD50F2">
      <w:pPr>
        <w:pStyle w:val="Other0"/>
        <w:spacing w:after="0" w:line="269" w:lineRule="auto"/>
        <w:jc w:val="center"/>
        <w:rPr>
          <w:i/>
          <w:iCs/>
          <w:color w:val="FF0000"/>
        </w:rPr>
      </w:pPr>
      <w:r w:rsidRPr="00AD50F2">
        <w:rPr>
          <w:i/>
          <w:iCs/>
          <w:color w:val="FF0000"/>
        </w:rPr>
        <w:t>En cas de divergences entre les différentes versions linguistiques, c’est la version en langue anglaise qui fait foi.</w:t>
      </w:r>
    </w:p>
    <w:p w14:paraId="0E690741" w14:textId="77777777" w:rsidR="00AD50F2" w:rsidRPr="0096534C" w:rsidRDefault="00AD50F2" w:rsidP="00AD50F2">
      <w:pPr>
        <w:pStyle w:val="Other0"/>
        <w:spacing w:after="0" w:line="269" w:lineRule="auto"/>
        <w:jc w:val="center"/>
        <w:rPr>
          <w:sz w:val="46"/>
          <w:szCs w:val="46"/>
        </w:rPr>
      </w:pPr>
    </w:p>
    <w:p w14:paraId="7265CDEB" w14:textId="77777777" w:rsidR="000E41C6" w:rsidRPr="0096534C" w:rsidRDefault="008B332B" w:rsidP="00AD50F2">
      <w:pPr>
        <w:pStyle w:val="Bodytext40"/>
        <w:spacing w:after="0"/>
        <w:contextualSpacing/>
        <w:rPr>
          <w:rStyle w:val="Bodytext4"/>
        </w:rPr>
      </w:pPr>
      <w:r w:rsidRPr="0096534C">
        <w:rPr>
          <w:rStyle w:val="Bodytext4"/>
        </w:rPr>
        <w:t>Programme de mobilité universitaire Intra-Afrique</w:t>
      </w:r>
    </w:p>
    <w:p w14:paraId="4AE2D427" w14:textId="5E9A2EEE" w:rsidR="000435C2" w:rsidRPr="0096534C" w:rsidRDefault="008B332B" w:rsidP="001A028A">
      <w:pPr>
        <w:pStyle w:val="Bodytext40"/>
        <w:spacing w:after="960" w:line="240" w:lineRule="auto"/>
      </w:pPr>
      <w:r w:rsidRPr="0096534C">
        <w:rPr>
          <w:rStyle w:val="Bodytext4"/>
        </w:rPr>
        <w:t>(</w:t>
      </w:r>
      <w:r w:rsidR="001A028A">
        <w:rPr>
          <w:rStyle w:val="Bodytext4"/>
        </w:rPr>
        <w:t>N</w:t>
      </w:r>
      <w:r w:rsidRPr="0096534C">
        <w:rPr>
          <w:rStyle w:val="Bodytext4"/>
        </w:rPr>
        <w:t>D</w:t>
      </w:r>
      <w:r w:rsidR="00B47EDB">
        <w:rPr>
          <w:rStyle w:val="Bodytext4"/>
        </w:rPr>
        <w:t>I</w:t>
      </w:r>
      <w:r w:rsidRPr="0096534C">
        <w:rPr>
          <w:rStyle w:val="Bodytext4"/>
        </w:rPr>
        <w:t>CI-2024-MOBAF)</w:t>
      </w:r>
    </w:p>
    <w:p w14:paraId="119B507E" w14:textId="77777777" w:rsidR="000E41C6" w:rsidRPr="0096534C" w:rsidRDefault="008B332B">
      <w:pPr>
        <w:pStyle w:val="Bodytext50"/>
        <w:spacing w:after="1460"/>
        <w:contextualSpacing/>
        <w:rPr>
          <w:rStyle w:val="Bodytext5"/>
        </w:rPr>
      </w:pPr>
      <w:r w:rsidRPr="0096534C">
        <w:rPr>
          <w:rStyle w:val="Bodytext5"/>
        </w:rPr>
        <w:t>Version 1.0</w:t>
      </w:r>
    </w:p>
    <w:p w14:paraId="7AF1BF5F" w14:textId="1D895194" w:rsidR="000435C2" w:rsidRPr="0096534C" w:rsidRDefault="008B332B" w:rsidP="000E41C6">
      <w:pPr>
        <w:pStyle w:val="Bodytext50"/>
        <w:spacing w:after="0"/>
        <w:rPr>
          <w:rStyle w:val="Bodytext5"/>
        </w:rPr>
      </w:pPr>
      <w:r w:rsidRPr="0096534C">
        <w:rPr>
          <w:rStyle w:val="Bodytext5"/>
        </w:rPr>
        <w:t>31 octobre 2024</w:t>
      </w:r>
    </w:p>
    <w:p w14:paraId="380B58CF" w14:textId="015C5EFA" w:rsidR="000E41C6" w:rsidRPr="0096534C" w:rsidRDefault="000E41C6">
      <w:pPr>
        <w:pStyle w:val="Bodytext50"/>
        <w:spacing w:after="1460"/>
      </w:pPr>
      <w:r w:rsidRPr="0096534C">
        <w:rPr>
          <w:noProof/>
        </w:rPr>
        <w:drawing>
          <wp:anchor distT="0" distB="0" distL="114300" distR="114300" simplePos="0" relativeHeight="251658240" behindDoc="0" locked="0" layoutInCell="1" allowOverlap="1" wp14:anchorId="6AF14176" wp14:editId="187385AB">
            <wp:simplePos x="0" y="0"/>
            <wp:positionH relativeFrom="column">
              <wp:posOffset>2410416</wp:posOffset>
            </wp:positionH>
            <wp:positionV relativeFrom="page">
              <wp:posOffset>10281684</wp:posOffset>
            </wp:positionV>
            <wp:extent cx="908050" cy="359410"/>
            <wp:effectExtent l="0" t="0" r="6350" b="2540"/>
            <wp:wrapNone/>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pic:blipFill>
                  <pic:spPr>
                    <a:xfrm>
                      <a:off x="0" y="0"/>
                      <a:ext cx="908050" cy="359410"/>
                    </a:xfrm>
                    <a:prstGeom prst="rect">
                      <a:avLst/>
                    </a:prstGeom>
                  </pic:spPr>
                </pic:pic>
              </a:graphicData>
            </a:graphic>
          </wp:anchor>
        </w:drawing>
      </w:r>
    </w:p>
    <w:p w14:paraId="27478C3C" w14:textId="49603BDC" w:rsidR="000435C2" w:rsidRPr="0096534C" w:rsidRDefault="000435C2">
      <w:pPr>
        <w:jc w:val="center"/>
        <w:rPr>
          <w:sz w:val="2"/>
          <w:szCs w:val="2"/>
        </w:rPr>
        <w:sectPr w:rsidR="000435C2" w:rsidRPr="0096534C" w:rsidSect="000E41C6">
          <w:headerReference w:type="even" r:id="rId10"/>
          <w:headerReference w:type="default" r:id="rId11"/>
          <w:footerReference w:type="even" r:id="rId12"/>
          <w:footerReference w:type="default" r:id="rId13"/>
          <w:headerReference w:type="first" r:id="rId14"/>
          <w:footerReference w:type="first" r:id="rId15"/>
          <w:pgSz w:w="11900" w:h="16840"/>
          <w:pgMar w:top="306" w:right="1431" w:bottom="0" w:left="1445" w:header="454" w:footer="3" w:gutter="0"/>
          <w:pgNumType w:start="1"/>
          <w:cols w:space="720"/>
          <w:noEndnote/>
          <w:titlePg/>
          <w:docGrid w:linePitch="360"/>
        </w:sectPr>
      </w:pPr>
    </w:p>
    <w:p w14:paraId="4B0362DB" w14:textId="5FBCE7E3" w:rsidR="000435C2" w:rsidRPr="0096534C" w:rsidRDefault="000435C2">
      <w:pPr>
        <w:pStyle w:val="Other0"/>
        <w:spacing w:after="2400"/>
        <w:ind w:left="3820"/>
        <w:rPr>
          <w:sz w:val="16"/>
          <w:szCs w:val="16"/>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79"/>
        <w:gridCol w:w="1354"/>
        <w:gridCol w:w="6005"/>
        <w:gridCol w:w="686"/>
      </w:tblGrid>
      <w:tr w:rsidR="000435C2" w:rsidRPr="0096534C" w14:paraId="4567A81B" w14:textId="77777777" w:rsidTr="00C314BE">
        <w:trPr>
          <w:trHeight w:hRule="exact" w:val="576"/>
          <w:jc w:val="center"/>
        </w:trPr>
        <w:tc>
          <w:tcPr>
            <w:tcW w:w="9024" w:type="dxa"/>
            <w:gridSpan w:val="4"/>
            <w:tcBorders>
              <w:top w:val="single" w:sz="8" w:space="0" w:color="auto"/>
              <w:left w:val="single" w:sz="8" w:space="0" w:color="auto"/>
              <w:right w:val="single" w:sz="8" w:space="0" w:color="auto"/>
            </w:tcBorders>
            <w:shd w:val="clear" w:color="auto" w:fill="auto"/>
            <w:vAlign w:val="center"/>
          </w:tcPr>
          <w:p w14:paraId="5BF4477F" w14:textId="77777777" w:rsidR="000435C2" w:rsidRPr="0096534C" w:rsidRDefault="008B332B">
            <w:pPr>
              <w:pStyle w:val="Other0"/>
              <w:spacing w:after="0"/>
              <w:jc w:val="center"/>
            </w:pPr>
            <w:r w:rsidRPr="0096534C">
              <w:rPr>
                <w:rStyle w:val="Other"/>
                <w:b/>
                <w:color w:val="595959"/>
              </w:rPr>
              <w:t>HISTORIQUE DES MODIFICATIONS</w:t>
            </w:r>
          </w:p>
        </w:tc>
      </w:tr>
      <w:tr w:rsidR="000435C2" w:rsidRPr="0096534C" w14:paraId="6B53B387" w14:textId="77777777" w:rsidTr="00C314BE">
        <w:trPr>
          <w:trHeight w:hRule="exact" w:val="619"/>
          <w:jc w:val="center"/>
        </w:trPr>
        <w:tc>
          <w:tcPr>
            <w:tcW w:w="979" w:type="dxa"/>
            <w:tcBorders>
              <w:top w:val="single" w:sz="4" w:space="0" w:color="auto"/>
              <w:left w:val="single" w:sz="8" w:space="0" w:color="auto"/>
            </w:tcBorders>
            <w:shd w:val="clear" w:color="auto" w:fill="auto"/>
            <w:vAlign w:val="center"/>
          </w:tcPr>
          <w:p w14:paraId="34A8ECE6" w14:textId="77777777" w:rsidR="000435C2" w:rsidRPr="0096534C" w:rsidRDefault="008B332B">
            <w:pPr>
              <w:pStyle w:val="Other0"/>
              <w:spacing w:after="0"/>
              <w:jc w:val="center"/>
            </w:pPr>
            <w:r w:rsidRPr="0096534C">
              <w:rPr>
                <w:rStyle w:val="Other"/>
                <w:b/>
                <w:color w:val="595959"/>
              </w:rPr>
              <w:t>Version</w:t>
            </w:r>
          </w:p>
        </w:tc>
        <w:tc>
          <w:tcPr>
            <w:tcW w:w="1354" w:type="dxa"/>
            <w:tcBorders>
              <w:top w:val="single" w:sz="4" w:space="0" w:color="auto"/>
              <w:left w:val="single" w:sz="4" w:space="0" w:color="auto"/>
            </w:tcBorders>
            <w:shd w:val="clear" w:color="auto" w:fill="auto"/>
            <w:vAlign w:val="center"/>
          </w:tcPr>
          <w:p w14:paraId="4F950C45" w14:textId="77777777" w:rsidR="000435C2" w:rsidRPr="0096534C" w:rsidRDefault="008B332B">
            <w:pPr>
              <w:pStyle w:val="Other0"/>
              <w:spacing w:after="0"/>
              <w:jc w:val="center"/>
            </w:pPr>
            <w:r w:rsidRPr="0096534C">
              <w:rPr>
                <w:rStyle w:val="Other"/>
                <w:b/>
                <w:color w:val="595959"/>
              </w:rPr>
              <w:t>Date de publication</w:t>
            </w:r>
          </w:p>
        </w:tc>
        <w:tc>
          <w:tcPr>
            <w:tcW w:w="6005" w:type="dxa"/>
            <w:tcBorders>
              <w:top w:val="single" w:sz="4" w:space="0" w:color="auto"/>
              <w:left w:val="single" w:sz="4" w:space="0" w:color="auto"/>
            </w:tcBorders>
            <w:shd w:val="clear" w:color="auto" w:fill="auto"/>
            <w:vAlign w:val="center"/>
          </w:tcPr>
          <w:p w14:paraId="24048F4E" w14:textId="77777777" w:rsidR="000435C2" w:rsidRPr="0096534C" w:rsidRDefault="008B332B">
            <w:pPr>
              <w:pStyle w:val="Other0"/>
              <w:spacing w:after="0"/>
              <w:jc w:val="center"/>
            </w:pPr>
            <w:r w:rsidRPr="0096534C">
              <w:rPr>
                <w:rStyle w:val="Other"/>
                <w:b/>
                <w:color w:val="595959"/>
              </w:rPr>
              <w:t>Modification</w:t>
            </w:r>
          </w:p>
        </w:tc>
        <w:tc>
          <w:tcPr>
            <w:tcW w:w="686" w:type="dxa"/>
            <w:tcBorders>
              <w:top w:val="single" w:sz="4" w:space="0" w:color="auto"/>
              <w:left w:val="single" w:sz="4" w:space="0" w:color="auto"/>
              <w:right w:val="single" w:sz="8" w:space="0" w:color="auto"/>
            </w:tcBorders>
            <w:shd w:val="clear" w:color="auto" w:fill="auto"/>
            <w:vAlign w:val="center"/>
          </w:tcPr>
          <w:p w14:paraId="5DFA6DD0" w14:textId="77777777" w:rsidR="000435C2" w:rsidRPr="0096534C" w:rsidRDefault="008B332B">
            <w:pPr>
              <w:pStyle w:val="Other0"/>
              <w:spacing w:after="0"/>
              <w:jc w:val="right"/>
            </w:pPr>
            <w:r w:rsidRPr="0096534C">
              <w:rPr>
                <w:rStyle w:val="Other"/>
                <w:b/>
                <w:color w:val="595959"/>
              </w:rPr>
              <w:t>Page</w:t>
            </w:r>
          </w:p>
        </w:tc>
      </w:tr>
      <w:tr w:rsidR="000435C2" w:rsidRPr="0096534C" w14:paraId="33C108FB" w14:textId="77777777" w:rsidTr="00C314BE">
        <w:trPr>
          <w:trHeight w:hRule="exact" w:val="346"/>
          <w:jc w:val="center"/>
        </w:trPr>
        <w:tc>
          <w:tcPr>
            <w:tcW w:w="979" w:type="dxa"/>
            <w:tcBorders>
              <w:top w:val="single" w:sz="4" w:space="0" w:color="auto"/>
              <w:left w:val="single" w:sz="8" w:space="0" w:color="auto"/>
              <w:bottom w:val="single" w:sz="8" w:space="0" w:color="auto"/>
            </w:tcBorders>
            <w:shd w:val="clear" w:color="auto" w:fill="auto"/>
            <w:vAlign w:val="center"/>
          </w:tcPr>
          <w:p w14:paraId="051B42A0" w14:textId="77777777" w:rsidR="000435C2" w:rsidRPr="0096534C" w:rsidRDefault="008B332B">
            <w:pPr>
              <w:pStyle w:val="Other0"/>
              <w:spacing w:after="0"/>
              <w:jc w:val="center"/>
              <w:rPr>
                <w:sz w:val="18"/>
                <w:szCs w:val="18"/>
              </w:rPr>
            </w:pPr>
            <w:r w:rsidRPr="0096534C">
              <w:rPr>
                <w:rStyle w:val="Other"/>
                <w:color w:val="595959"/>
                <w:sz w:val="18"/>
              </w:rPr>
              <w:t>1.0</w:t>
            </w:r>
          </w:p>
        </w:tc>
        <w:tc>
          <w:tcPr>
            <w:tcW w:w="1354" w:type="dxa"/>
            <w:tcBorders>
              <w:top w:val="single" w:sz="4" w:space="0" w:color="auto"/>
              <w:left w:val="single" w:sz="4" w:space="0" w:color="auto"/>
              <w:bottom w:val="single" w:sz="8" w:space="0" w:color="auto"/>
            </w:tcBorders>
            <w:shd w:val="clear" w:color="auto" w:fill="auto"/>
            <w:vAlign w:val="center"/>
          </w:tcPr>
          <w:p w14:paraId="01D79BEB" w14:textId="77777777" w:rsidR="000435C2" w:rsidRPr="0096534C" w:rsidRDefault="008B332B">
            <w:pPr>
              <w:pStyle w:val="Other0"/>
              <w:spacing w:after="0"/>
              <w:jc w:val="center"/>
              <w:rPr>
                <w:sz w:val="18"/>
                <w:szCs w:val="18"/>
              </w:rPr>
            </w:pPr>
            <w:r w:rsidRPr="0096534C">
              <w:rPr>
                <w:rStyle w:val="Other"/>
                <w:color w:val="595959"/>
                <w:sz w:val="18"/>
              </w:rPr>
              <w:t>31.10.2024</w:t>
            </w:r>
          </w:p>
        </w:tc>
        <w:tc>
          <w:tcPr>
            <w:tcW w:w="6005" w:type="dxa"/>
            <w:tcBorders>
              <w:top w:val="single" w:sz="4" w:space="0" w:color="auto"/>
              <w:left w:val="single" w:sz="4" w:space="0" w:color="auto"/>
              <w:bottom w:val="single" w:sz="8" w:space="0" w:color="auto"/>
            </w:tcBorders>
            <w:shd w:val="clear" w:color="auto" w:fill="auto"/>
            <w:vAlign w:val="center"/>
          </w:tcPr>
          <w:p w14:paraId="478524CB" w14:textId="574FE6F7" w:rsidR="000435C2" w:rsidRPr="0096534C" w:rsidRDefault="008B332B" w:rsidP="00C314BE">
            <w:pPr>
              <w:pStyle w:val="Other0"/>
              <w:numPr>
                <w:ilvl w:val="0"/>
                <w:numId w:val="47"/>
              </w:numPr>
              <w:spacing w:after="0"/>
              <w:rPr>
                <w:rStyle w:val="Other"/>
                <w:color w:val="595959"/>
                <w:sz w:val="18"/>
                <w:szCs w:val="18"/>
              </w:rPr>
            </w:pPr>
            <w:r w:rsidRPr="0096534C">
              <w:rPr>
                <w:rStyle w:val="Other"/>
                <w:color w:val="595959"/>
                <w:sz w:val="18"/>
              </w:rPr>
              <w:t>Version initiale.</w:t>
            </w:r>
          </w:p>
        </w:tc>
        <w:tc>
          <w:tcPr>
            <w:tcW w:w="686" w:type="dxa"/>
            <w:tcBorders>
              <w:top w:val="single" w:sz="4" w:space="0" w:color="auto"/>
              <w:left w:val="single" w:sz="4" w:space="0" w:color="auto"/>
              <w:bottom w:val="single" w:sz="8" w:space="0" w:color="auto"/>
              <w:right w:val="single" w:sz="8" w:space="0" w:color="auto"/>
            </w:tcBorders>
            <w:shd w:val="clear" w:color="auto" w:fill="auto"/>
          </w:tcPr>
          <w:p w14:paraId="59E14FD8" w14:textId="77777777" w:rsidR="000435C2" w:rsidRPr="0096534C" w:rsidRDefault="000435C2">
            <w:pPr>
              <w:rPr>
                <w:sz w:val="10"/>
                <w:szCs w:val="10"/>
              </w:rPr>
            </w:pPr>
          </w:p>
        </w:tc>
      </w:tr>
      <w:tr w:rsidR="000435C2" w:rsidRPr="0096534C" w14:paraId="70A55017" w14:textId="77777777" w:rsidTr="00C314BE">
        <w:trPr>
          <w:trHeight w:hRule="exact" w:val="350"/>
          <w:jc w:val="center"/>
        </w:trPr>
        <w:tc>
          <w:tcPr>
            <w:tcW w:w="979" w:type="dxa"/>
            <w:tcBorders>
              <w:top w:val="single" w:sz="8" w:space="0" w:color="auto"/>
              <w:left w:val="single" w:sz="8" w:space="0" w:color="auto"/>
              <w:bottom w:val="single" w:sz="8" w:space="0" w:color="auto"/>
            </w:tcBorders>
            <w:shd w:val="clear" w:color="auto" w:fill="auto"/>
          </w:tcPr>
          <w:p w14:paraId="0F825429" w14:textId="77777777" w:rsidR="000435C2" w:rsidRPr="0096534C" w:rsidRDefault="000435C2">
            <w:pPr>
              <w:rPr>
                <w:sz w:val="10"/>
                <w:szCs w:val="10"/>
              </w:rPr>
            </w:pPr>
          </w:p>
        </w:tc>
        <w:tc>
          <w:tcPr>
            <w:tcW w:w="1354" w:type="dxa"/>
            <w:tcBorders>
              <w:top w:val="single" w:sz="8" w:space="0" w:color="auto"/>
              <w:left w:val="single" w:sz="4" w:space="0" w:color="auto"/>
              <w:bottom w:val="single" w:sz="8" w:space="0" w:color="auto"/>
            </w:tcBorders>
            <w:shd w:val="clear" w:color="auto" w:fill="auto"/>
          </w:tcPr>
          <w:p w14:paraId="15E36D9B" w14:textId="77777777" w:rsidR="000435C2" w:rsidRPr="0096534C" w:rsidRDefault="000435C2">
            <w:pPr>
              <w:rPr>
                <w:sz w:val="10"/>
                <w:szCs w:val="10"/>
              </w:rPr>
            </w:pPr>
          </w:p>
        </w:tc>
        <w:tc>
          <w:tcPr>
            <w:tcW w:w="6005" w:type="dxa"/>
            <w:tcBorders>
              <w:top w:val="single" w:sz="8" w:space="0" w:color="auto"/>
              <w:left w:val="single" w:sz="4" w:space="0" w:color="auto"/>
              <w:bottom w:val="single" w:sz="8" w:space="0" w:color="auto"/>
            </w:tcBorders>
            <w:shd w:val="clear" w:color="auto" w:fill="auto"/>
            <w:vAlign w:val="center"/>
          </w:tcPr>
          <w:p w14:paraId="50F09C70" w14:textId="42B57270" w:rsidR="000435C2" w:rsidRPr="0096534C" w:rsidRDefault="000435C2" w:rsidP="00C314BE">
            <w:pPr>
              <w:pStyle w:val="Other0"/>
              <w:numPr>
                <w:ilvl w:val="0"/>
                <w:numId w:val="47"/>
              </w:numPr>
              <w:spacing w:after="0"/>
              <w:rPr>
                <w:rStyle w:val="Other"/>
                <w:color w:val="595959"/>
                <w:sz w:val="18"/>
                <w:szCs w:val="18"/>
              </w:rPr>
            </w:pPr>
          </w:p>
        </w:tc>
        <w:tc>
          <w:tcPr>
            <w:tcW w:w="686" w:type="dxa"/>
            <w:tcBorders>
              <w:top w:val="single" w:sz="8" w:space="0" w:color="auto"/>
              <w:left w:val="single" w:sz="4" w:space="0" w:color="auto"/>
              <w:bottom w:val="single" w:sz="8" w:space="0" w:color="auto"/>
              <w:right w:val="single" w:sz="8" w:space="0" w:color="auto"/>
            </w:tcBorders>
            <w:shd w:val="clear" w:color="auto" w:fill="auto"/>
          </w:tcPr>
          <w:p w14:paraId="39AE5951" w14:textId="77777777" w:rsidR="000435C2" w:rsidRPr="0096534C" w:rsidRDefault="000435C2">
            <w:pPr>
              <w:rPr>
                <w:sz w:val="10"/>
                <w:szCs w:val="10"/>
              </w:rPr>
            </w:pPr>
          </w:p>
        </w:tc>
      </w:tr>
      <w:tr w:rsidR="000435C2" w:rsidRPr="0096534C" w14:paraId="0CC1C9E1" w14:textId="77777777" w:rsidTr="00C314BE">
        <w:trPr>
          <w:trHeight w:hRule="exact" w:val="350"/>
          <w:jc w:val="center"/>
        </w:trPr>
        <w:tc>
          <w:tcPr>
            <w:tcW w:w="979" w:type="dxa"/>
            <w:tcBorders>
              <w:top w:val="single" w:sz="8" w:space="0" w:color="auto"/>
              <w:left w:val="single" w:sz="8" w:space="0" w:color="auto"/>
            </w:tcBorders>
            <w:shd w:val="clear" w:color="auto" w:fill="auto"/>
          </w:tcPr>
          <w:p w14:paraId="10FE7021" w14:textId="77777777" w:rsidR="000435C2" w:rsidRPr="0096534C" w:rsidRDefault="000435C2">
            <w:pPr>
              <w:rPr>
                <w:sz w:val="10"/>
                <w:szCs w:val="10"/>
              </w:rPr>
            </w:pPr>
          </w:p>
        </w:tc>
        <w:tc>
          <w:tcPr>
            <w:tcW w:w="1354" w:type="dxa"/>
            <w:tcBorders>
              <w:top w:val="single" w:sz="8" w:space="0" w:color="auto"/>
              <w:left w:val="single" w:sz="4" w:space="0" w:color="auto"/>
            </w:tcBorders>
            <w:shd w:val="clear" w:color="auto" w:fill="auto"/>
          </w:tcPr>
          <w:p w14:paraId="0C205983" w14:textId="77777777" w:rsidR="000435C2" w:rsidRPr="0096534C" w:rsidRDefault="000435C2">
            <w:pPr>
              <w:rPr>
                <w:sz w:val="10"/>
                <w:szCs w:val="10"/>
              </w:rPr>
            </w:pPr>
          </w:p>
        </w:tc>
        <w:tc>
          <w:tcPr>
            <w:tcW w:w="6005" w:type="dxa"/>
            <w:tcBorders>
              <w:top w:val="single" w:sz="8" w:space="0" w:color="auto"/>
              <w:left w:val="single" w:sz="4" w:space="0" w:color="auto"/>
            </w:tcBorders>
            <w:shd w:val="clear" w:color="auto" w:fill="auto"/>
            <w:vAlign w:val="center"/>
          </w:tcPr>
          <w:p w14:paraId="5016C0EB" w14:textId="45F40170" w:rsidR="000435C2" w:rsidRPr="0096534C" w:rsidRDefault="000435C2" w:rsidP="00C314BE">
            <w:pPr>
              <w:pStyle w:val="Other0"/>
              <w:numPr>
                <w:ilvl w:val="0"/>
                <w:numId w:val="47"/>
              </w:numPr>
              <w:spacing w:after="0"/>
              <w:rPr>
                <w:rStyle w:val="Other"/>
                <w:color w:val="595959"/>
                <w:sz w:val="18"/>
                <w:szCs w:val="18"/>
              </w:rPr>
            </w:pPr>
          </w:p>
        </w:tc>
        <w:tc>
          <w:tcPr>
            <w:tcW w:w="686" w:type="dxa"/>
            <w:tcBorders>
              <w:top w:val="single" w:sz="8" w:space="0" w:color="auto"/>
              <w:left w:val="single" w:sz="4" w:space="0" w:color="auto"/>
              <w:right w:val="single" w:sz="8" w:space="0" w:color="auto"/>
            </w:tcBorders>
            <w:shd w:val="clear" w:color="auto" w:fill="auto"/>
          </w:tcPr>
          <w:p w14:paraId="13F3D868" w14:textId="77777777" w:rsidR="000435C2" w:rsidRPr="0096534C" w:rsidRDefault="000435C2">
            <w:pPr>
              <w:rPr>
                <w:sz w:val="10"/>
                <w:szCs w:val="10"/>
              </w:rPr>
            </w:pPr>
          </w:p>
        </w:tc>
      </w:tr>
      <w:tr w:rsidR="000435C2" w:rsidRPr="0096534C" w14:paraId="1B2C3190" w14:textId="77777777" w:rsidTr="00C314BE">
        <w:trPr>
          <w:trHeight w:hRule="exact" w:val="350"/>
          <w:jc w:val="center"/>
        </w:trPr>
        <w:tc>
          <w:tcPr>
            <w:tcW w:w="979" w:type="dxa"/>
            <w:tcBorders>
              <w:top w:val="single" w:sz="4" w:space="0" w:color="auto"/>
              <w:left w:val="single" w:sz="8" w:space="0" w:color="auto"/>
              <w:bottom w:val="single" w:sz="8" w:space="0" w:color="auto"/>
            </w:tcBorders>
            <w:shd w:val="clear" w:color="auto" w:fill="auto"/>
          </w:tcPr>
          <w:p w14:paraId="016A63C8" w14:textId="77777777" w:rsidR="000435C2" w:rsidRPr="0096534C" w:rsidRDefault="000435C2">
            <w:pPr>
              <w:rPr>
                <w:sz w:val="10"/>
                <w:szCs w:val="10"/>
              </w:rPr>
            </w:pPr>
          </w:p>
        </w:tc>
        <w:tc>
          <w:tcPr>
            <w:tcW w:w="1354" w:type="dxa"/>
            <w:tcBorders>
              <w:top w:val="single" w:sz="4" w:space="0" w:color="auto"/>
              <w:left w:val="single" w:sz="4" w:space="0" w:color="auto"/>
              <w:bottom w:val="single" w:sz="8" w:space="0" w:color="auto"/>
            </w:tcBorders>
            <w:shd w:val="clear" w:color="auto" w:fill="auto"/>
          </w:tcPr>
          <w:p w14:paraId="6982951E" w14:textId="77777777" w:rsidR="000435C2" w:rsidRPr="0096534C" w:rsidRDefault="000435C2">
            <w:pPr>
              <w:rPr>
                <w:sz w:val="10"/>
                <w:szCs w:val="10"/>
              </w:rPr>
            </w:pPr>
          </w:p>
        </w:tc>
        <w:tc>
          <w:tcPr>
            <w:tcW w:w="6005" w:type="dxa"/>
            <w:tcBorders>
              <w:top w:val="single" w:sz="4" w:space="0" w:color="auto"/>
              <w:left w:val="single" w:sz="4" w:space="0" w:color="auto"/>
              <w:bottom w:val="single" w:sz="8" w:space="0" w:color="auto"/>
            </w:tcBorders>
            <w:shd w:val="clear" w:color="auto" w:fill="auto"/>
            <w:vAlign w:val="center"/>
          </w:tcPr>
          <w:p w14:paraId="519F9935" w14:textId="3CE7FBDB" w:rsidR="000435C2" w:rsidRPr="0096534C" w:rsidRDefault="000435C2" w:rsidP="00C314BE">
            <w:pPr>
              <w:pStyle w:val="Other0"/>
              <w:numPr>
                <w:ilvl w:val="0"/>
                <w:numId w:val="47"/>
              </w:numPr>
              <w:spacing w:after="0"/>
              <w:rPr>
                <w:rStyle w:val="Other"/>
                <w:color w:val="595959"/>
                <w:sz w:val="18"/>
                <w:szCs w:val="18"/>
              </w:rPr>
            </w:pPr>
          </w:p>
        </w:tc>
        <w:tc>
          <w:tcPr>
            <w:tcW w:w="686" w:type="dxa"/>
            <w:tcBorders>
              <w:top w:val="single" w:sz="4" w:space="0" w:color="auto"/>
              <w:left w:val="single" w:sz="4" w:space="0" w:color="auto"/>
              <w:bottom w:val="single" w:sz="8" w:space="0" w:color="auto"/>
              <w:right w:val="single" w:sz="8" w:space="0" w:color="auto"/>
            </w:tcBorders>
            <w:shd w:val="clear" w:color="auto" w:fill="auto"/>
          </w:tcPr>
          <w:p w14:paraId="72C56E7A" w14:textId="77777777" w:rsidR="000435C2" w:rsidRPr="0096534C" w:rsidRDefault="000435C2">
            <w:pPr>
              <w:rPr>
                <w:sz w:val="10"/>
                <w:szCs w:val="10"/>
              </w:rPr>
            </w:pPr>
          </w:p>
        </w:tc>
      </w:tr>
    </w:tbl>
    <w:p w14:paraId="1424C2BF" w14:textId="144C3A10" w:rsidR="000435C2" w:rsidRPr="0096534C" w:rsidRDefault="00883A1D" w:rsidP="000E41C6">
      <w:pPr>
        <w:keepNext/>
        <w:keepLines/>
        <w:pageBreakBefore/>
      </w:pPr>
      <w:bookmarkStart w:id="0" w:name="bookmark0"/>
      <w:r w:rsidRPr="0096534C">
        <w:rPr>
          <w:noProof/>
        </w:rPr>
        <w:lastRenderedPageBreak/>
        <w:drawing>
          <wp:anchor distT="0" distB="0" distL="38100" distR="38100" simplePos="0" relativeHeight="125829378" behindDoc="0" locked="0" layoutInCell="1" allowOverlap="1" wp14:anchorId="44BFB1E2" wp14:editId="4AB63654">
            <wp:simplePos x="0" y="0"/>
            <wp:positionH relativeFrom="page">
              <wp:posOffset>1003300</wp:posOffset>
            </wp:positionH>
            <wp:positionV relativeFrom="paragraph">
              <wp:posOffset>12700</wp:posOffset>
            </wp:positionV>
            <wp:extent cx="1377950" cy="670560"/>
            <wp:effectExtent l="0" t="0" r="0" b="0"/>
            <wp:wrapSquare wrapText="right"/>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16"/>
                    <a:stretch/>
                  </pic:blipFill>
                  <pic:spPr>
                    <a:xfrm>
                      <a:off x="0" y="0"/>
                      <a:ext cx="1377950" cy="670560"/>
                    </a:xfrm>
                    <a:prstGeom prst="rect">
                      <a:avLst/>
                    </a:prstGeom>
                  </pic:spPr>
                </pic:pic>
              </a:graphicData>
            </a:graphic>
          </wp:anchor>
        </w:drawing>
      </w:r>
      <w:r w:rsidR="008B332B" w:rsidRPr="0096534C">
        <w:t>AGENCE EXÉCUTIVE EUROPÉENNE POUR L’ÉDUCATION ET LA CULTURE</w:t>
      </w:r>
      <w:bookmarkEnd w:id="0"/>
    </w:p>
    <w:p w14:paraId="614FC4EB" w14:textId="77777777" w:rsidR="000435C2" w:rsidRPr="0096534C" w:rsidRDefault="008B332B">
      <w:pPr>
        <w:keepNext/>
        <w:keepLines/>
        <w:spacing w:after="100"/>
      </w:pPr>
      <w:r w:rsidRPr="0096534C">
        <w:t>(EACEA)</w:t>
      </w:r>
    </w:p>
    <w:p w14:paraId="4C4259AA" w14:textId="77777777" w:rsidR="000435C2" w:rsidRPr="0096534C" w:rsidRDefault="008B332B">
      <w:pPr>
        <w:pStyle w:val="Bodytext30"/>
        <w:spacing w:after="0"/>
      </w:pPr>
      <w:r w:rsidRPr="0096534C">
        <w:rPr>
          <w:rStyle w:val="Bodytext3"/>
        </w:rPr>
        <w:t>EACEA.A – Erasmus+ et le Corps volontaire européen d’aide humanitaire</w:t>
      </w:r>
    </w:p>
    <w:p w14:paraId="2876B6FC" w14:textId="77777777" w:rsidR="000435C2" w:rsidRPr="0096534C" w:rsidRDefault="008B332B">
      <w:pPr>
        <w:pStyle w:val="Bodytext30"/>
        <w:spacing w:after="1980"/>
      </w:pPr>
      <w:r w:rsidRPr="0096534C">
        <w:rPr>
          <w:rStyle w:val="Bodytext3"/>
          <w:b/>
        </w:rPr>
        <w:t>A.3 – Erasmus Mundus, Sport</w:t>
      </w:r>
    </w:p>
    <w:p w14:paraId="6D56AE6C" w14:textId="77777777" w:rsidR="000435C2" w:rsidRPr="0096534C" w:rsidRDefault="008B332B" w:rsidP="000E41C6">
      <w:pPr>
        <w:keepNext/>
        <w:keepLines/>
        <w:spacing w:after="540"/>
        <w:jc w:val="center"/>
        <w:rPr>
          <w:b/>
          <w:bCs/>
          <w:sz w:val="22"/>
          <w:szCs w:val="22"/>
        </w:rPr>
      </w:pPr>
      <w:bookmarkStart w:id="1" w:name="bookmark3"/>
      <w:r w:rsidRPr="0096534C">
        <w:rPr>
          <w:b/>
          <w:sz w:val="22"/>
        </w:rPr>
        <w:t>APPEL À PROPOSITIONS</w:t>
      </w:r>
      <w:bookmarkEnd w:id="1"/>
    </w:p>
    <w:p w14:paraId="316E4D03" w14:textId="77777777" w:rsidR="000435C2" w:rsidRPr="0096534C" w:rsidRDefault="008B332B">
      <w:pPr>
        <w:pStyle w:val="Bodytext50"/>
        <w:spacing w:after="240" w:line="240" w:lineRule="auto"/>
        <w:jc w:val="left"/>
      </w:pPr>
      <w:r w:rsidRPr="0096534C">
        <w:rPr>
          <w:rStyle w:val="Bodytext5"/>
          <w:b/>
          <w:color w:val="A50021"/>
        </w:rPr>
        <w:t>TABLE DES MATIÈRES</w:t>
      </w:r>
    </w:p>
    <w:p w14:paraId="1883BB03" w14:textId="7DB64319" w:rsidR="0096534C" w:rsidRDefault="00BA0CA3">
      <w:pPr>
        <w:pStyle w:val="TOC1"/>
        <w:tabs>
          <w:tab w:val="right" w:leader="dot" w:pos="8534"/>
        </w:tabs>
        <w:rPr>
          <w:rFonts w:asciiTheme="minorHAnsi" w:eastAsiaTheme="minorEastAsia" w:hAnsiTheme="minorHAnsi" w:cstheme="minorBidi"/>
          <w:noProof/>
          <w:color w:val="auto"/>
          <w:sz w:val="22"/>
          <w:szCs w:val="22"/>
          <w:lang w:val="es-ES" w:eastAsia="es-ES" w:bidi="ar-SA"/>
        </w:rPr>
      </w:pPr>
      <w:r w:rsidRPr="0096534C">
        <w:fldChar w:fldCharType="begin"/>
      </w:r>
      <w:r w:rsidRPr="0096534C">
        <w:instrText xml:space="preserve"> TOC \o "1-3" \h \z \u </w:instrText>
      </w:r>
      <w:r w:rsidRPr="0096534C">
        <w:fldChar w:fldCharType="separate"/>
      </w:r>
      <w:hyperlink w:anchor="_Toc185511093" w:history="1">
        <w:r w:rsidR="0096534C" w:rsidRPr="00CC4A24">
          <w:rPr>
            <w:rStyle w:val="Hyperlink"/>
            <w:noProof/>
          </w:rPr>
          <w:t>Introduction</w:t>
        </w:r>
        <w:r w:rsidR="0096534C">
          <w:rPr>
            <w:noProof/>
            <w:webHidden/>
          </w:rPr>
          <w:tab/>
        </w:r>
        <w:r w:rsidR="0096534C">
          <w:rPr>
            <w:noProof/>
            <w:webHidden/>
          </w:rPr>
          <w:fldChar w:fldCharType="begin"/>
        </w:r>
        <w:r w:rsidR="0096534C">
          <w:rPr>
            <w:noProof/>
            <w:webHidden/>
          </w:rPr>
          <w:instrText xml:space="preserve"> PAGEREF _Toc185511093 \h </w:instrText>
        </w:r>
        <w:r w:rsidR="0096534C">
          <w:rPr>
            <w:noProof/>
            <w:webHidden/>
          </w:rPr>
        </w:r>
        <w:r w:rsidR="0096534C">
          <w:rPr>
            <w:noProof/>
            <w:webHidden/>
          </w:rPr>
          <w:fldChar w:fldCharType="separate"/>
        </w:r>
        <w:r w:rsidR="0096534C">
          <w:rPr>
            <w:noProof/>
            <w:webHidden/>
          </w:rPr>
          <w:t>5</w:t>
        </w:r>
        <w:r w:rsidR="0096534C">
          <w:rPr>
            <w:noProof/>
            <w:webHidden/>
          </w:rPr>
          <w:fldChar w:fldCharType="end"/>
        </w:r>
      </w:hyperlink>
    </w:p>
    <w:p w14:paraId="10AA3171" w14:textId="10F1BBE0" w:rsidR="0096534C" w:rsidRDefault="00883A1D">
      <w:pPr>
        <w:pStyle w:val="TOC1"/>
        <w:tabs>
          <w:tab w:val="left" w:pos="480"/>
          <w:tab w:val="right" w:leader="dot" w:pos="8534"/>
        </w:tabs>
        <w:rPr>
          <w:rFonts w:asciiTheme="minorHAnsi" w:eastAsiaTheme="minorEastAsia" w:hAnsiTheme="minorHAnsi" w:cstheme="minorBidi"/>
          <w:noProof/>
          <w:color w:val="auto"/>
          <w:sz w:val="22"/>
          <w:szCs w:val="22"/>
          <w:lang w:val="es-ES" w:eastAsia="es-ES" w:bidi="ar-SA"/>
        </w:rPr>
      </w:pPr>
      <w:hyperlink w:anchor="_Toc185511094" w:history="1">
        <w:r w:rsidR="0096534C" w:rsidRPr="00CC4A24">
          <w:rPr>
            <w:rStyle w:val="Hyperlink"/>
            <w:noProof/>
          </w:rPr>
          <w:t>1.</w:t>
        </w:r>
        <w:r w:rsidR="0096534C">
          <w:rPr>
            <w:rFonts w:asciiTheme="minorHAnsi" w:eastAsiaTheme="minorEastAsia" w:hAnsiTheme="minorHAnsi" w:cstheme="minorBidi"/>
            <w:noProof/>
            <w:color w:val="auto"/>
            <w:sz w:val="22"/>
            <w:szCs w:val="22"/>
            <w:lang w:val="es-ES" w:eastAsia="es-ES" w:bidi="ar-SA"/>
          </w:rPr>
          <w:tab/>
        </w:r>
        <w:r w:rsidR="0096534C" w:rsidRPr="00CC4A24">
          <w:rPr>
            <w:rStyle w:val="Hyperlink"/>
            <w:noProof/>
          </w:rPr>
          <w:t>Contexte</w:t>
        </w:r>
        <w:r w:rsidR="0096534C">
          <w:rPr>
            <w:noProof/>
            <w:webHidden/>
          </w:rPr>
          <w:tab/>
        </w:r>
        <w:r w:rsidR="0096534C">
          <w:rPr>
            <w:noProof/>
            <w:webHidden/>
          </w:rPr>
          <w:fldChar w:fldCharType="begin"/>
        </w:r>
        <w:r w:rsidR="0096534C">
          <w:rPr>
            <w:noProof/>
            <w:webHidden/>
          </w:rPr>
          <w:instrText xml:space="preserve"> PAGEREF _Toc185511094 \h </w:instrText>
        </w:r>
        <w:r w:rsidR="0096534C">
          <w:rPr>
            <w:noProof/>
            <w:webHidden/>
          </w:rPr>
        </w:r>
        <w:r w:rsidR="0096534C">
          <w:rPr>
            <w:noProof/>
            <w:webHidden/>
          </w:rPr>
          <w:fldChar w:fldCharType="separate"/>
        </w:r>
        <w:r w:rsidR="0096534C">
          <w:rPr>
            <w:noProof/>
            <w:webHidden/>
          </w:rPr>
          <w:t>6</w:t>
        </w:r>
        <w:r w:rsidR="0096534C">
          <w:rPr>
            <w:noProof/>
            <w:webHidden/>
          </w:rPr>
          <w:fldChar w:fldCharType="end"/>
        </w:r>
      </w:hyperlink>
    </w:p>
    <w:p w14:paraId="6C377D3C" w14:textId="62F304AB" w:rsidR="0096534C" w:rsidRDefault="00883A1D">
      <w:pPr>
        <w:pStyle w:val="TOC1"/>
        <w:tabs>
          <w:tab w:val="left" w:pos="480"/>
          <w:tab w:val="right" w:leader="dot" w:pos="8534"/>
        </w:tabs>
        <w:rPr>
          <w:rFonts w:asciiTheme="minorHAnsi" w:eastAsiaTheme="minorEastAsia" w:hAnsiTheme="minorHAnsi" w:cstheme="minorBidi"/>
          <w:noProof/>
          <w:color w:val="auto"/>
          <w:sz w:val="22"/>
          <w:szCs w:val="22"/>
          <w:lang w:val="es-ES" w:eastAsia="es-ES" w:bidi="ar-SA"/>
        </w:rPr>
      </w:pPr>
      <w:hyperlink w:anchor="_Toc185511095" w:history="1">
        <w:r w:rsidR="0096534C" w:rsidRPr="00CC4A24">
          <w:rPr>
            <w:rStyle w:val="Hyperlink"/>
            <w:noProof/>
          </w:rPr>
          <w:t>2.</w:t>
        </w:r>
        <w:r w:rsidR="0096534C">
          <w:rPr>
            <w:rFonts w:asciiTheme="minorHAnsi" w:eastAsiaTheme="minorEastAsia" w:hAnsiTheme="minorHAnsi" w:cstheme="minorBidi"/>
            <w:noProof/>
            <w:color w:val="auto"/>
            <w:sz w:val="22"/>
            <w:szCs w:val="22"/>
            <w:lang w:val="es-ES" w:eastAsia="es-ES" w:bidi="ar-SA"/>
          </w:rPr>
          <w:tab/>
        </w:r>
        <w:r w:rsidR="0096534C" w:rsidRPr="00CC4A24">
          <w:rPr>
            <w:rStyle w:val="Hyperlink"/>
            <w:noProof/>
          </w:rPr>
          <w:t>Objectifs — Thèmes et priorités — Activités pouvant être financées — Résultat attendu</w:t>
        </w:r>
        <w:r w:rsidR="0096534C">
          <w:rPr>
            <w:noProof/>
            <w:webHidden/>
          </w:rPr>
          <w:tab/>
        </w:r>
        <w:r w:rsidR="0096534C">
          <w:rPr>
            <w:noProof/>
            <w:webHidden/>
          </w:rPr>
          <w:fldChar w:fldCharType="begin"/>
        </w:r>
        <w:r w:rsidR="0096534C">
          <w:rPr>
            <w:noProof/>
            <w:webHidden/>
          </w:rPr>
          <w:instrText xml:space="preserve"> PAGEREF _Toc185511095 \h </w:instrText>
        </w:r>
        <w:r w:rsidR="0096534C">
          <w:rPr>
            <w:noProof/>
            <w:webHidden/>
          </w:rPr>
        </w:r>
        <w:r w:rsidR="0096534C">
          <w:rPr>
            <w:noProof/>
            <w:webHidden/>
          </w:rPr>
          <w:fldChar w:fldCharType="separate"/>
        </w:r>
        <w:r w:rsidR="0096534C">
          <w:rPr>
            <w:noProof/>
            <w:webHidden/>
          </w:rPr>
          <w:t>7</w:t>
        </w:r>
        <w:r w:rsidR="0096534C">
          <w:rPr>
            <w:noProof/>
            <w:webHidden/>
          </w:rPr>
          <w:fldChar w:fldCharType="end"/>
        </w:r>
      </w:hyperlink>
    </w:p>
    <w:p w14:paraId="27CC680D" w14:textId="433B2E21" w:rsidR="0096534C" w:rsidRDefault="00883A1D">
      <w:pPr>
        <w:pStyle w:val="TOC2"/>
        <w:tabs>
          <w:tab w:val="right" w:leader="dot" w:pos="8534"/>
        </w:tabs>
        <w:rPr>
          <w:rFonts w:asciiTheme="minorHAnsi" w:eastAsiaTheme="minorEastAsia" w:hAnsiTheme="minorHAnsi" w:cstheme="minorBidi"/>
          <w:noProof/>
          <w:color w:val="auto"/>
          <w:sz w:val="22"/>
          <w:szCs w:val="22"/>
          <w:lang w:val="es-ES" w:eastAsia="es-ES" w:bidi="ar-SA"/>
        </w:rPr>
      </w:pPr>
      <w:hyperlink w:anchor="_Toc185511096" w:history="1">
        <w:r w:rsidR="0096534C" w:rsidRPr="00CC4A24">
          <w:rPr>
            <w:rStyle w:val="Hyperlink"/>
            <w:noProof/>
          </w:rPr>
          <w:t>Objectifs</w:t>
        </w:r>
        <w:r w:rsidR="0096534C">
          <w:rPr>
            <w:noProof/>
            <w:webHidden/>
          </w:rPr>
          <w:tab/>
        </w:r>
        <w:r w:rsidR="0096534C">
          <w:rPr>
            <w:noProof/>
            <w:webHidden/>
          </w:rPr>
          <w:fldChar w:fldCharType="begin"/>
        </w:r>
        <w:r w:rsidR="0096534C">
          <w:rPr>
            <w:noProof/>
            <w:webHidden/>
          </w:rPr>
          <w:instrText xml:space="preserve"> PAGEREF _Toc185511096 \h </w:instrText>
        </w:r>
        <w:r w:rsidR="0096534C">
          <w:rPr>
            <w:noProof/>
            <w:webHidden/>
          </w:rPr>
        </w:r>
        <w:r w:rsidR="0096534C">
          <w:rPr>
            <w:noProof/>
            <w:webHidden/>
          </w:rPr>
          <w:fldChar w:fldCharType="separate"/>
        </w:r>
        <w:r w:rsidR="0096534C">
          <w:rPr>
            <w:noProof/>
            <w:webHidden/>
          </w:rPr>
          <w:t>7</w:t>
        </w:r>
        <w:r w:rsidR="0096534C">
          <w:rPr>
            <w:noProof/>
            <w:webHidden/>
          </w:rPr>
          <w:fldChar w:fldCharType="end"/>
        </w:r>
      </w:hyperlink>
    </w:p>
    <w:p w14:paraId="67C07AEF" w14:textId="1C21F301" w:rsidR="0096534C" w:rsidRDefault="00883A1D">
      <w:pPr>
        <w:pStyle w:val="TOC2"/>
        <w:tabs>
          <w:tab w:val="right" w:leader="dot" w:pos="8534"/>
        </w:tabs>
        <w:rPr>
          <w:rFonts w:asciiTheme="minorHAnsi" w:eastAsiaTheme="minorEastAsia" w:hAnsiTheme="minorHAnsi" w:cstheme="minorBidi"/>
          <w:noProof/>
          <w:color w:val="auto"/>
          <w:sz w:val="22"/>
          <w:szCs w:val="22"/>
          <w:lang w:val="es-ES" w:eastAsia="es-ES" w:bidi="ar-SA"/>
        </w:rPr>
      </w:pPr>
      <w:hyperlink w:anchor="_Toc185511097" w:history="1">
        <w:r w:rsidR="0096534C" w:rsidRPr="00CC4A24">
          <w:rPr>
            <w:rStyle w:val="Hyperlink"/>
            <w:i/>
            <w:noProof/>
          </w:rPr>
          <w:t>Thèmes et priorités (champ d’application)</w:t>
        </w:r>
        <w:r w:rsidR="0096534C">
          <w:rPr>
            <w:noProof/>
            <w:webHidden/>
          </w:rPr>
          <w:tab/>
        </w:r>
        <w:r w:rsidR="0096534C">
          <w:rPr>
            <w:noProof/>
            <w:webHidden/>
          </w:rPr>
          <w:fldChar w:fldCharType="begin"/>
        </w:r>
        <w:r w:rsidR="0096534C">
          <w:rPr>
            <w:noProof/>
            <w:webHidden/>
          </w:rPr>
          <w:instrText xml:space="preserve"> PAGEREF _Toc185511097 \h </w:instrText>
        </w:r>
        <w:r w:rsidR="0096534C">
          <w:rPr>
            <w:noProof/>
            <w:webHidden/>
          </w:rPr>
        </w:r>
        <w:r w:rsidR="0096534C">
          <w:rPr>
            <w:noProof/>
            <w:webHidden/>
          </w:rPr>
          <w:fldChar w:fldCharType="separate"/>
        </w:r>
        <w:r w:rsidR="0096534C">
          <w:rPr>
            <w:noProof/>
            <w:webHidden/>
          </w:rPr>
          <w:t>8</w:t>
        </w:r>
        <w:r w:rsidR="0096534C">
          <w:rPr>
            <w:noProof/>
            <w:webHidden/>
          </w:rPr>
          <w:fldChar w:fldCharType="end"/>
        </w:r>
      </w:hyperlink>
    </w:p>
    <w:p w14:paraId="5E391636" w14:textId="0DE5EDFB" w:rsidR="0096534C" w:rsidRDefault="00883A1D">
      <w:pPr>
        <w:pStyle w:val="TOC2"/>
        <w:tabs>
          <w:tab w:val="right" w:leader="dot" w:pos="8534"/>
        </w:tabs>
        <w:rPr>
          <w:rFonts w:asciiTheme="minorHAnsi" w:eastAsiaTheme="minorEastAsia" w:hAnsiTheme="minorHAnsi" w:cstheme="minorBidi"/>
          <w:noProof/>
          <w:color w:val="auto"/>
          <w:sz w:val="22"/>
          <w:szCs w:val="22"/>
          <w:lang w:val="es-ES" w:eastAsia="es-ES" w:bidi="ar-SA"/>
        </w:rPr>
      </w:pPr>
      <w:hyperlink w:anchor="_Toc185511098" w:history="1">
        <w:r w:rsidR="0096534C" w:rsidRPr="00CC4A24">
          <w:rPr>
            <w:rStyle w:val="Hyperlink"/>
            <w:i/>
            <w:noProof/>
          </w:rPr>
          <w:t>Activités pouvant être financées (champ d’application)</w:t>
        </w:r>
        <w:r w:rsidR="0096534C">
          <w:rPr>
            <w:noProof/>
            <w:webHidden/>
          </w:rPr>
          <w:tab/>
        </w:r>
        <w:r w:rsidR="0096534C">
          <w:rPr>
            <w:noProof/>
            <w:webHidden/>
          </w:rPr>
          <w:fldChar w:fldCharType="begin"/>
        </w:r>
        <w:r w:rsidR="0096534C">
          <w:rPr>
            <w:noProof/>
            <w:webHidden/>
          </w:rPr>
          <w:instrText xml:space="preserve"> PAGEREF _Toc185511098 \h </w:instrText>
        </w:r>
        <w:r w:rsidR="0096534C">
          <w:rPr>
            <w:noProof/>
            <w:webHidden/>
          </w:rPr>
        </w:r>
        <w:r w:rsidR="0096534C">
          <w:rPr>
            <w:noProof/>
            <w:webHidden/>
          </w:rPr>
          <w:fldChar w:fldCharType="separate"/>
        </w:r>
        <w:r w:rsidR="0096534C">
          <w:rPr>
            <w:noProof/>
            <w:webHidden/>
          </w:rPr>
          <w:t>9</w:t>
        </w:r>
        <w:r w:rsidR="0096534C">
          <w:rPr>
            <w:noProof/>
            <w:webHidden/>
          </w:rPr>
          <w:fldChar w:fldCharType="end"/>
        </w:r>
      </w:hyperlink>
    </w:p>
    <w:p w14:paraId="4F160B54" w14:textId="00F66551" w:rsidR="0096534C" w:rsidRDefault="00883A1D">
      <w:pPr>
        <w:pStyle w:val="TOC2"/>
        <w:tabs>
          <w:tab w:val="right" w:leader="dot" w:pos="8534"/>
        </w:tabs>
        <w:rPr>
          <w:rFonts w:asciiTheme="minorHAnsi" w:eastAsiaTheme="minorEastAsia" w:hAnsiTheme="minorHAnsi" w:cstheme="minorBidi"/>
          <w:noProof/>
          <w:color w:val="auto"/>
          <w:sz w:val="22"/>
          <w:szCs w:val="22"/>
          <w:lang w:val="es-ES" w:eastAsia="es-ES" w:bidi="ar-SA"/>
        </w:rPr>
      </w:pPr>
      <w:hyperlink w:anchor="_Toc185511099" w:history="1">
        <w:r w:rsidR="0096534C" w:rsidRPr="00CC4A24">
          <w:rPr>
            <w:rStyle w:val="Hyperlink"/>
            <w:i/>
            <w:noProof/>
          </w:rPr>
          <w:t>Effets attendus</w:t>
        </w:r>
        <w:r w:rsidR="0096534C">
          <w:rPr>
            <w:noProof/>
            <w:webHidden/>
          </w:rPr>
          <w:tab/>
        </w:r>
        <w:r w:rsidR="0096534C">
          <w:rPr>
            <w:noProof/>
            <w:webHidden/>
          </w:rPr>
          <w:fldChar w:fldCharType="begin"/>
        </w:r>
        <w:r w:rsidR="0096534C">
          <w:rPr>
            <w:noProof/>
            <w:webHidden/>
          </w:rPr>
          <w:instrText xml:space="preserve"> PAGEREF _Toc185511099 \h </w:instrText>
        </w:r>
        <w:r w:rsidR="0096534C">
          <w:rPr>
            <w:noProof/>
            <w:webHidden/>
          </w:rPr>
        </w:r>
        <w:r w:rsidR="0096534C">
          <w:rPr>
            <w:noProof/>
            <w:webHidden/>
          </w:rPr>
          <w:fldChar w:fldCharType="separate"/>
        </w:r>
        <w:r w:rsidR="0096534C">
          <w:rPr>
            <w:noProof/>
            <w:webHidden/>
          </w:rPr>
          <w:t>15</w:t>
        </w:r>
        <w:r w:rsidR="0096534C">
          <w:rPr>
            <w:noProof/>
            <w:webHidden/>
          </w:rPr>
          <w:fldChar w:fldCharType="end"/>
        </w:r>
      </w:hyperlink>
    </w:p>
    <w:p w14:paraId="1BBD7D12" w14:textId="275FFF7B" w:rsidR="0096534C" w:rsidRDefault="00883A1D">
      <w:pPr>
        <w:pStyle w:val="TOC1"/>
        <w:tabs>
          <w:tab w:val="left" w:pos="480"/>
          <w:tab w:val="right" w:leader="dot" w:pos="8534"/>
        </w:tabs>
        <w:rPr>
          <w:rFonts w:asciiTheme="minorHAnsi" w:eastAsiaTheme="minorEastAsia" w:hAnsiTheme="minorHAnsi" w:cstheme="minorBidi"/>
          <w:noProof/>
          <w:color w:val="auto"/>
          <w:sz w:val="22"/>
          <w:szCs w:val="22"/>
          <w:lang w:val="es-ES" w:eastAsia="es-ES" w:bidi="ar-SA"/>
        </w:rPr>
      </w:pPr>
      <w:hyperlink w:anchor="_Toc185511100" w:history="1">
        <w:r w:rsidR="0096534C" w:rsidRPr="00CC4A24">
          <w:rPr>
            <w:rStyle w:val="Hyperlink"/>
            <w:noProof/>
          </w:rPr>
          <w:t>3.</w:t>
        </w:r>
        <w:r w:rsidR="0096534C">
          <w:rPr>
            <w:rFonts w:asciiTheme="minorHAnsi" w:eastAsiaTheme="minorEastAsia" w:hAnsiTheme="minorHAnsi" w:cstheme="minorBidi"/>
            <w:noProof/>
            <w:color w:val="auto"/>
            <w:sz w:val="22"/>
            <w:szCs w:val="22"/>
            <w:lang w:val="es-ES" w:eastAsia="es-ES" w:bidi="ar-SA"/>
          </w:rPr>
          <w:tab/>
        </w:r>
        <w:r w:rsidR="0096534C" w:rsidRPr="00CC4A24">
          <w:rPr>
            <w:rStyle w:val="Hyperlink"/>
            <w:noProof/>
          </w:rPr>
          <w:t>Budget disponible</w:t>
        </w:r>
        <w:r w:rsidR="0096534C">
          <w:rPr>
            <w:noProof/>
            <w:webHidden/>
          </w:rPr>
          <w:tab/>
        </w:r>
        <w:r w:rsidR="0096534C">
          <w:rPr>
            <w:noProof/>
            <w:webHidden/>
          </w:rPr>
          <w:fldChar w:fldCharType="begin"/>
        </w:r>
        <w:r w:rsidR="0096534C">
          <w:rPr>
            <w:noProof/>
            <w:webHidden/>
          </w:rPr>
          <w:instrText xml:space="preserve"> PAGEREF _Toc185511100 \h </w:instrText>
        </w:r>
        <w:r w:rsidR="0096534C">
          <w:rPr>
            <w:noProof/>
            <w:webHidden/>
          </w:rPr>
        </w:r>
        <w:r w:rsidR="0096534C">
          <w:rPr>
            <w:noProof/>
            <w:webHidden/>
          </w:rPr>
          <w:fldChar w:fldCharType="separate"/>
        </w:r>
        <w:r w:rsidR="0096534C">
          <w:rPr>
            <w:noProof/>
            <w:webHidden/>
          </w:rPr>
          <w:t>15</w:t>
        </w:r>
        <w:r w:rsidR="0096534C">
          <w:rPr>
            <w:noProof/>
            <w:webHidden/>
          </w:rPr>
          <w:fldChar w:fldCharType="end"/>
        </w:r>
      </w:hyperlink>
    </w:p>
    <w:p w14:paraId="4F73D010" w14:textId="45C71F62" w:rsidR="0096534C" w:rsidRDefault="00883A1D">
      <w:pPr>
        <w:pStyle w:val="TOC1"/>
        <w:tabs>
          <w:tab w:val="left" w:pos="480"/>
          <w:tab w:val="right" w:leader="dot" w:pos="8534"/>
        </w:tabs>
        <w:rPr>
          <w:rFonts w:asciiTheme="minorHAnsi" w:eastAsiaTheme="minorEastAsia" w:hAnsiTheme="minorHAnsi" w:cstheme="minorBidi"/>
          <w:noProof/>
          <w:color w:val="auto"/>
          <w:sz w:val="22"/>
          <w:szCs w:val="22"/>
          <w:lang w:val="es-ES" w:eastAsia="es-ES" w:bidi="ar-SA"/>
        </w:rPr>
      </w:pPr>
      <w:hyperlink w:anchor="_Toc185511101" w:history="1">
        <w:r w:rsidR="0096534C" w:rsidRPr="00CC4A24">
          <w:rPr>
            <w:rStyle w:val="Hyperlink"/>
            <w:noProof/>
          </w:rPr>
          <w:t>4.</w:t>
        </w:r>
        <w:r w:rsidR="0096534C">
          <w:rPr>
            <w:rFonts w:asciiTheme="minorHAnsi" w:eastAsiaTheme="minorEastAsia" w:hAnsiTheme="minorHAnsi" w:cstheme="minorBidi"/>
            <w:noProof/>
            <w:color w:val="auto"/>
            <w:sz w:val="22"/>
            <w:szCs w:val="22"/>
            <w:lang w:val="es-ES" w:eastAsia="es-ES" w:bidi="ar-SA"/>
          </w:rPr>
          <w:tab/>
        </w:r>
        <w:r w:rsidR="0096534C" w:rsidRPr="00CC4A24">
          <w:rPr>
            <w:rStyle w:val="Hyperlink"/>
            <w:noProof/>
          </w:rPr>
          <w:t>Calendrier et délais</w:t>
        </w:r>
        <w:r w:rsidR="0096534C">
          <w:rPr>
            <w:noProof/>
            <w:webHidden/>
          </w:rPr>
          <w:tab/>
        </w:r>
        <w:r w:rsidR="0096534C">
          <w:rPr>
            <w:noProof/>
            <w:webHidden/>
          </w:rPr>
          <w:fldChar w:fldCharType="begin"/>
        </w:r>
        <w:r w:rsidR="0096534C">
          <w:rPr>
            <w:noProof/>
            <w:webHidden/>
          </w:rPr>
          <w:instrText xml:space="preserve"> PAGEREF _Toc185511101 \h </w:instrText>
        </w:r>
        <w:r w:rsidR="0096534C">
          <w:rPr>
            <w:noProof/>
            <w:webHidden/>
          </w:rPr>
        </w:r>
        <w:r w:rsidR="0096534C">
          <w:rPr>
            <w:noProof/>
            <w:webHidden/>
          </w:rPr>
          <w:fldChar w:fldCharType="separate"/>
        </w:r>
        <w:r w:rsidR="0096534C">
          <w:rPr>
            <w:noProof/>
            <w:webHidden/>
          </w:rPr>
          <w:t>16</w:t>
        </w:r>
        <w:r w:rsidR="0096534C">
          <w:rPr>
            <w:noProof/>
            <w:webHidden/>
          </w:rPr>
          <w:fldChar w:fldCharType="end"/>
        </w:r>
      </w:hyperlink>
    </w:p>
    <w:p w14:paraId="2901DC51" w14:textId="4F61E674" w:rsidR="0096534C" w:rsidRDefault="00883A1D">
      <w:pPr>
        <w:pStyle w:val="TOC1"/>
        <w:tabs>
          <w:tab w:val="left" w:pos="480"/>
          <w:tab w:val="right" w:leader="dot" w:pos="8534"/>
        </w:tabs>
        <w:rPr>
          <w:rFonts w:asciiTheme="minorHAnsi" w:eastAsiaTheme="minorEastAsia" w:hAnsiTheme="minorHAnsi" w:cstheme="minorBidi"/>
          <w:noProof/>
          <w:color w:val="auto"/>
          <w:sz w:val="22"/>
          <w:szCs w:val="22"/>
          <w:lang w:val="es-ES" w:eastAsia="es-ES" w:bidi="ar-SA"/>
        </w:rPr>
      </w:pPr>
      <w:hyperlink w:anchor="_Toc185511102" w:history="1">
        <w:r w:rsidR="0096534C" w:rsidRPr="00CC4A24">
          <w:rPr>
            <w:rStyle w:val="Hyperlink"/>
            <w:noProof/>
          </w:rPr>
          <w:t>5.</w:t>
        </w:r>
        <w:r w:rsidR="0096534C">
          <w:rPr>
            <w:rFonts w:asciiTheme="minorHAnsi" w:eastAsiaTheme="minorEastAsia" w:hAnsiTheme="minorHAnsi" w:cstheme="minorBidi"/>
            <w:noProof/>
            <w:color w:val="auto"/>
            <w:sz w:val="22"/>
            <w:szCs w:val="22"/>
            <w:lang w:val="es-ES" w:eastAsia="es-ES" w:bidi="ar-SA"/>
          </w:rPr>
          <w:tab/>
        </w:r>
        <w:r w:rsidR="0096534C" w:rsidRPr="00CC4A24">
          <w:rPr>
            <w:rStyle w:val="Hyperlink"/>
            <w:noProof/>
          </w:rPr>
          <w:t>Admissibilité et documents</w:t>
        </w:r>
        <w:r w:rsidR="0096534C">
          <w:rPr>
            <w:noProof/>
            <w:webHidden/>
          </w:rPr>
          <w:tab/>
        </w:r>
        <w:r w:rsidR="0096534C">
          <w:rPr>
            <w:noProof/>
            <w:webHidden/>
          </w:rPr>
          <w:fldChar w:fldCharType="begin"/>
        </w:r>
        <w:r w:rsidR="0096534C">
          <w:rPr>
            <w:noProof/>
            <w:webHidden/>
          </w:rPr>
          <w:instrText xml:space="preserve"> PAGEREF _Toc185511102 \h </w:instrText>
        </w:r>
        <w:r w:rsidR="0096534C">
          <w:rPr>
            <w:noProof/>
            <w:webHidden/>
          </w:rPr>
        </w:r>
        <w:r w:rsidR="0096534C">
          <w:rPr>
            <w:noProof/>
            <w:webHidden/>
          </w:rPr>
          <w:fldChar w:fldCharType="separate"/>
        </w:r>
        <w:r w:rsidR="0096534C">
          <w:rPr>
            <w:noProof/>
            <w:webHidden/>
          </w:rPr>
          <w:t>16</w:t>
        </w:r>
        <w:r w:rsidR="0096534C">
          <w:rPr>
            <w:noProof/>
            <w:webHidden/>
          </w:rPr>
          <w:fldChar w:fldCharType="end"/>
        </w:r>
      </w:hyperlink>
    </w:p>
    <w:p w14:paraId="476DD57C" w14:textId="256F29A4" w:rsidR="0096534C" w:rsidRDefault="00883A1D">
      <w:pPr>
        <w:pStyle w:val="TOC1"/>
        <w:tabs>
          <w:tab w:val="left" w:pos="480"/>
          <w:tab w:val="right" w:leader="dot" w:pos="8534"/>
        </w:tabs>
        <w:rPr>
          <w:rFonts w:asciiTheme="minorHAnsi" w:eastAsiaTheme="minorEastAsia" w:hAnsiTheme="minorHAnsi" w:cstheme="minorBidi"/>
          <w:noProof/>
          <w:color w:val="auto"/>
          <w:sz w:val="22"/>
          <w:szCs w:val="22"/>
          <w:lang w:val="es-ES" w:eastAsia="es-ES" w:bidi="ar-SA"/>
        </w:rPr>
      </w:pPr>
      <w:hyperlink w:anchor="_Toc185511103" w:history="1">
        <w:r w:rsidR="0096534C" w:rsidRPr="00CC4A24">
          <w:rPr>
            <w:rStyle w:val="Hyperlink"/>
            <w:noProof/>
          </w:rPr>
          <w:t>6.</w:t>
        </w:r>
        <w:r w:rsidR="0096534C">
          <w:rPr>
            <w:rFonts w:asciiTheme="minorHAnsi" w:eastAsiaTheme="minorEastAsia" w:hAnsiTheme="minorHAnsi" w:cstheme="minorBidi"/>
            <w:noProof/>
            <w:color w:val="auto"/>
            <w:sz w:val="22"/>
            <w:szCs w:val="22"/>
            <w:lang w:val="es-ES" w:eastAsia="es-ES" w:bidi="ar-SA"/>
          </w:rPr>
          <w:tab/>
        </w:r>
        <w:r w:rsidR="0096534C" w:rsidRPr="00CC4A24">
          <w:rPr>
            <w:rStyle w:val="Hyperlink"/>
            <w:noProof/>
          </w:rPr>
          <w:t>Admissibilité</w:t>
        </w:r>
        <w:r w:rsidR="0096534C">
          <w:rPr>
            <w:noProof/>
            <w:webHidden/>
          </w:rPr>
          <w:tab/>
        </w:r>
        <w:r w:rsidR="0096534C">
          <w:rPr>
            <w:noProof/>
            <w:webHidden/>
          </w:rPr>
          <w:fldChar w:fldCharType="begin"/>
        </w:r>
        <w:r w:rsidR="0096534C">
          <w:rPr>
            <w:noProof/>
            <w:webHidden/>
          </w:rPr>
          <w:instrText xml:space="preserve"> PAGEREF _Toc185511103 \h </w:instrText>
        </w:r>
        <w:r w:rsidR="0096534C">
          <w:rPr>
            <w:noProof/>
            <w:webHidden/>
          </w:rPr>
        </w:r>
        <w:r w:rsidR="0096534C">
          <w:rPr>
            <w:noProof/>
            <w:webHidden/>
          </w:rPr>
          <w:fldChar w:fldCharType="separate"/>
        </w:r>
        <w:r w:rsidR="0096534C">
          <w:rPr>
            <w:noProof/>
            <w:webHidden/>
          </w:rPr>
          <w:t>17</w:t>
        </w:r>
        <w:r w:rsidR="0096534C">
          <w:rPr>
            <w:noProof/>
            <w:webHidden/>
          </w:rPr>
          <w:fldChar w:fldCharType="end"/>
        </w:r>
      </w:hyperlink>
    </w:p>
    <w:p w14:paraId="5BA3C984" w14:textId="31A1564D" w:rsidR="0096534C" w:rsidRDefault="00883A1D">
      <w:pPr>
        <w:pStyle w:val="TOC2"/>
        <w:tabs>
          <w:tab w:val="right" w:leader="dot" w:pos="8534"/>
        </w:tabs>
        <w:rPr>
          <w:rFonts w:asciiTheme="minorHAnsi" w:eastAsiaTheme="minorEastAsia" w:hAnsiTheme="minorHAnsi" w:cstheme="minorBidi"/>
          <w:noProof/>
          <w:color w:val="auto"/>
          <w:sz w:val="22"/>
          <w:szCs w:val="22"/>
          <w:lang w:val="es-ES" w:eastAsia="es-ES" w:bidi="ar-SA"/>
        </w:rPr>
      </w:pPr>
      <w:hyperlink w:anchor="_Toc185511104" w:history="1">
        <w:r w:rsidR="0096534C" w:rsidRPr="00CC4A24">
          <w:rPr>
            <w:rStyle w:val="Hyperlink"/>
            <w:i/>
            <w:noProof/>
          </w:rPr>
          <w:t>Participants éligibles (pays éligibles)</w:t>
        </w:r>
        <w:r w:rsidR="0096534C">
          <w:rPr>
            <w:noProof/>
            <w:webHidden/>
          </w:rPr>
          <w:tab/>
        </w:r>
        <w:r w:rsidR="0096534C">
          <w:rPr>
            <w:noProof/>
            <w:webHidden/>
          </w:rPr>
          <w:fldChar w:fldCharType="begin"/>
        </w:r>
        <w:r w:rsidR="0096534C">
          <w:rPr>
            <w:noProof/>
            <w:webHidden/>
          </w:rPr>
          <w:instrText xml:space="preserve"> PAGEREF _Toc185511104 \h </w:instrText>
        </w:r>
        <w:r w:rsidR="0096534C">
          <w:rPr>
            <w:noProof/>
            <w:webHidden/>
          </w:rPr>
        </w:r>
        <w:r w:rsidR="0096534C">
          <w:rPr>
            <w:noProof/>
            <w:webHidden/>
          </w:rPr>
          <w:fldChar w:fldCharType="separate"/>
        </w:r>
        <w:r w:rsidR="0096534C">
          <w:rPr>
            <w:noProof/>
            <w:webHidden/>
          </w:rPr>
          <w:t>17</w:t>
        </w:r>
        <w:r w:rsidR="0096534C">
          <w:rPr>
            <w:noProof/>
            <w:webHidden/>
          </w:rPr>
          <w:fldChar w:fldCharType="end"/>
        </w:r>
      </w:hyperlink>
    </w:p>
    <w:p w14:paraId="3576B421" w14:textId="21939B23" w:rsidR="0096534C" w:rsidRDefault="00883A1D">
      <w:pPr>
        <w:pStyle w:val="TOC2"/>
        <w:tabs>
          <w:tab w:val="right" w:leader="dot" w:pos="8534"/>
        </w:tabs>
        <w:rPr>
          <w:rFonts w:asciiTheme="minorHAnsi" w:eastAsiaTheme="minorEastAsia" w:hAnsiTheme="minorHAnsi" w:cstheme="minorBidi"/>
          <w:noProof/>
          <w:color w:val="auto"/>
          <w:sz w:val="22"/>
          <w:szCs w:val="22"/>
          <w:lang w:val="es-ES" w:eastAsia="es-ES" w:bidi="ar-SA"/>
        </w:rPr>
      </w:pPr>
      <w:hyperlink w:anchor="_Toc185511105" w:history="1">
        <w:r w:rsidR="0096534C" w:rsidRPr="00CC4A24">
          <w:rPr>
            <w:rStyle w:val="Hyperlink"/>
            <w:i/>
            <w:noProof/>
          </w:rPr>
          <w:t>Composition du consortium</w:t>
        </w:r>
        <w:r w:rsidR="0096534C">
          <w:rPr>
            <w:noProof/>
            <w:webHidden/>
          </w:rPr>
          <w:tab/>
        </w:r>
        <w:r w:rsidR="0096534C">
          <w:rPr>
            <w:noProof/>
            <w:webHidden/>
          </w:rPr>
          <w:fldChar w:fldCharType="begin"/>
        </w:r>
        <w:r w:rsidR="0096534C">
          <w:rPr>
            <w:noProof/>
            <w:webHidden/>
          </w:rPr>
          <w:instrText xml:space="preserve"> PAGEREF _Toc185511105 \h </w:instrText>
        </w:r>
        <w:r w:rsidR="0096534C">
          <w:rPr>
            <w:noProof/>
            <w:webHidden/>
          </w:rPr>
        </w:r>
        <w:r w:rsidR="0096534C">
          <w:rPr>
            <w:noProof/>
            <w:webHidden/>
          </w:rPr>
          <w:fldChar w:fldCharType="separate"/>
        </w:r>
        <w:r w:rsidR="0096534C">
          <w:rPr>
            <w:noProof/>
            <w:webHidden/>
          </w:rPr>
          <w:t>18</w:t>
        </w:r>
        <w:r w:rsidR="0096534C">
          <w:rPr>
            <w:noProof/>
            <w:webHidden/>
          </w:rPr>
          <w:fldChar w:fldCharType="end"/>
        </w:r>
      </w:hyperlink>
    </w:p>
    <w:p w14:paraId="25E93466" w14:textId="58BDC5CB" w:rsidR="0096534C" w:rsidRDefault="00883A1D">
      <w:pPr>
        <w:pStyle w:val="TOC2"/>
        <w:tabs>
          <w:tab w:val="right" w:leader="dot" w:pos="8534"/>
        </w:tabs>
        <w:rPr>
          <w:rFonts w:asciiTheme="minorHAnsi" w:eastAsiaTheme="minorEastAsia" w:hAnsiTheme="minorHAnsi" w:cstheme="minorBidi"/>
          <w:noProof/>
          <w:color w:val="auto"/>
          <w:sz w:val="22"/>
          <w:szCs w:val="22"/>
          <w:lang w:val="es-ES" w:eastAsia="es-ES" w:bidi="ar-SA"/>
        </w:rPr>
      </w:pPr>
      <w:hyperlink w:anchor="_Toc185511106" w:history="1">
        <w:r w:rsidR="0096534C" w:rsidRPr="00CC4A24">
          <w:rPr>
            <w:rStyle w:val="Hyperlink"/>
            <w:i/>
            <w:noProof/>
          </w:rPr>
          <w:t>Activités éligibles</w:t>
        </w:r>
        <w:r w:rsidR="0096534C">
          <w:rPr>
            <w:noProof/>
            <w:webHidden/>
          </w:rPr>
          <w:tab/>
        </w:r>
        <w:r w:rsidR="0096534C">
          <w:rPr>
            <w:noProof/>
            <w:webHidden/>
          </w:rPr>
          <w:fldChar w:fldCharType="begin"/>
        </w:r>
        <w:r w:rsidR="0096534C">
          <w:rPr>
            <w:noProof/>
            <w:webHidden/>
          </w:rPr>
          <w:instrText xml:space="preserve"> PAGEREF _Toc185511106 \h </w:instrText>
        </w:r>
        <w:r w:rsidR="0096534C">
          <w:rPr>
            <w:noProof/>
            <w:webHidden/>
          </w:rPr>
        </w:r>
        <w:r w:rsidR="0096534C">
          <w:rPr>
            <w:noProof/>
            <w:webHidden/>
          </w:rPr>
          <w:fldChar w:fldCharType="separate"/>
        </w:r>
        <w:r w:rsidR="0096534C">
          <w:rPr>
            <w:noProof/>
            <w:webHidden/>
          </w:rPr>
          <w:t>19</w:t>
        </w:r>
        <w:r w:rsidR="0096534C">
          <w:rPr>
            <w:noProof/>
            <w:webHidden/>
          </w:rPr>
          <w:fldChar w:fldCharType="end"/>
        </w:r>
      </w:hyperlink>
    </w:p>
    <w:p w14:paraId="7E8C01CC" w14:textId="2525EED5" w:rsidR="0096534C" w:rsidRDefault="00883A1D">
      <w:pPr>
        <w:pStyle w:val="TOC2"/>
        <w:tabs>
          <w:tab w:val="right" w:leader="dot" w:pos="8534"/>
        </w:tabs>
        <w:rPr>
          <w:rFonts w:asciiTheme="minorHAnsi" w:eastAsiaTheme="minorEastAsia" w:hAnsiTheme="minorHAnsi" w:cstheme="minorBidi"/>
          <w:noProof/>
          <w:color w:val="auto"/>
          <w:sz w:val="22"/>
          <w:szCs w:val="22"/>
          <w:lang w:val="es-ES" w:eastAsia="es-ES" w:bidi="ar-SA"/>
        </w:rPr>
      </w:pPr>
      <w:hyperlink w:anchor="_Toc185511107" w:history="1">
        <w:r w:rsidR="0096534C" w:rsidRPr="00CC4A24">
          <w:rPr>
            <w:rStyle w:val="Hyperlink"/>
            <w:i/>
            <w:noProof/>
          </w:rPr>
          <w:t>Situation géographique (pays cibles)</w:t>
        </w:r>
        <w:r w:rsidR="0096534C">
          <w:rPr>
            <w:noProof/>
            <w:webHidden/>
          </w:rPr>
          <w:tab/>
        </w:r>
        <w:r w:rsidR="0096534C">
          <w:rPr>
            <w:noProof/>
            <w:webHidden/>
          </w:rPr>
          <w:fldChar w:fldCharType="begin"/>
        </w:r>
        <w:r w:rsidR="0096534C">
          <w:rPr>
            <w:noProof/>
            <w:webHidden/>
          </w:rPr>
          <w:instrText xml:space="preserve"> PAGEREF _Toc185511107 \h </w:instrText>
        </w:r>
        <w:r w:rsidR="0096534C">
          <w:rPr>
            <w:noProof/>
            <w:webHidden/>
          </w:rPr>
        </w:r>
        <w:r w:rsidR="0096534C">
          <w:rPr>
            <w:noProof/>
            <w:webHidden/>
          </w:rPr>
          <w:fldChar w:fldCharType="separate"/>
        </w:r>
        <w:r w:rsidR="0096534C">
          <w:rPr>
            <w:noProof/>
            <w:webHidden/>
          </w:rPr>
          <w:t>19</w:t>
        </w:r>
        <w:r w:rsidR="0096534C">
          <w:rPr>
            <w:noProof/>
            <w:webHidden/>
          </w:rPr>
          <w:fldChar w:fldCharType="end"/>
        </w:r>
      </w:hyperlink>
    </w:p>
    <w:p w14:paraId="5C2DD9A8" w14:textId="350A5FC8" w:rsidR="0096534C" w:rsidRDefault="00883A1D">
      <w:pPr>
        <w:pStyle w:val="TOC2"/>
        <w:tabs>
          <w:tab w:val="right" w:leader="dot" w:pos="8534"/>
        </w:tabs>
        <w:rPr>
          <w:rFonts w:asciiTheme="minorHAnsi" w:eastAsiaTheme="minorEastAsia" w:hAnsiTheme="minorHAnsi" w:cstheme="minorBidi"/>
          <w:noProof/>
          <w:color w:val="auto"/>
          <w:sz w:val="22"/>
          <w:szCs w:val="22"/>
          <w:lang w:val="es-ES" w:eastAsia="es-ES" w:bidi="ar-SA"/>
        </w:rPr>
      </w:pPr>
      <w:hyperlink w:anchor="_Toc185511108" w:history="1">
        <w:r w:rsidR="0096534C" w:rsidRPr="00CC4A24">
          <w:rPr>
            <w:rStyle w:val="Hyperlink"/>
            <w:i/>
            <w:noProof/>
          </w:rPr>
          <w:t>Durée</w:t>
        </w:r>
        <w:r w:rsidR="0096534C">
          <w:rPr>
            <w:noProof/>
            <w:webHidden/>
          </w:rPr>
          <w:tab/>
        </w:r>
        <w:r w:rsidR="0096534C">
          <w:rPr>
            <w:noProof/>
            <w:webHidden/>
          </w:rPr>
          <w:fldChar w:fldCharType="begin"/>
        </w:r>
        <w:r w:rsidR="0096534C">
          <w:rPr>
            <w:noProof/>
            <w:webHidden/>
          </w:rPr>
          <w:instrText xml:space="preserve"> PAGEREF _Toc185511108 \h </w:instrText>
        </w:r>
        <w:r w:rsidR="0096534C">
          <w:rPr>
            <w:noProof/>
            <w:webHidden/>
          </w:rPr>
        </w:r>
        <w:r w:rsidR="0096534C">
          <w:rPr>
            <w:noProof/>
            <w:webHidden/>
          </w:rPr>
          <w:fldChar w:fldCharType="separate"/>
        </w:r>
        <w:r w:rsidR="0096534C">
          <w:rPr>
            <w:noProof/>
            <w:webHidden/>
          </w:rPr>
          <w:t>19</w:t>
        </w:r>
        <w:r w:rsidR="0096534C">
          <w:rPr>
            <w:noProof/>
            <w:webHidden/>
          </w:rPr>
          <w:fldChar w:fldCharType="end"/>
        </w:r>
      </w:hyperlink>
    </w:p>
    <w:p w14:paraId="6603E742" w14:textId="2766C645" w:rsidR="0096534C" w:rsidRDefault="00883A1D">
      <w:pPr>
        <w:pStyle w:val="TOC2"/>
        <w:tabs>
          <w:tab w:val="right" w:leader="dot" w:pos="8534"/>
        </w:tabs>
        <w:rPr>
          <w:rFonts w:asciiTheme="minorHAnsi" w:eastAsiaTheme="minorEastAsia" w:hAnsiTheme="minorHAnsi" w:cstheme="minorBidi"/>
          <w:noProof/>
          <w:color w:val="auto"/>
          <w:sz w:val="22"/>
          <w:szCs w:val="22"/>
          <w:lang w:val="es-ES" w:eastAsia="es-ES" w:bidi="ar-SA"/>
        </w:rPr>
      </w:pPr>
      <w:hyperlink w:anchor="_Toc185511109" w:history="1">
        <w:r w:rsidR="0096534C" w:rsidRPr="00CC4A24">
          <w:rPr>
            <w:rStyle w:val="Hyperlink"/>
            <w:i/>
            <w:noProof/>
          </w:rPr>
          <w:t>Éthique et valeurs</w:t>
        </w:r>
        <w:r w:rsidR="0096534C">
          <w:rPr>
            <w:noProof/>
            <w:webHidden/>
          </w:rPr>
          <w:tab/>
        </w:r>
        <w:r w:rsidR="0096534C">
          <w:rPr>
            <w:noProof/>
            <w:webHidden/>
          </w:rPr>
          <w:fldChar w:fldCharType="begin"/>
        </w:r>
        <w:r w:rsidR="0096534C">
          <w:rPr>
            <w:noProof/>
            <w:webHidden/>
          </w:rPr>
          <w:instrText xml:space="preserve"> PAGEREF _Toc185511109 \h </w:instrText>
        </w:r>
        <w:r w:rsidR="0096534C">
          <w:rPr>
            <w:noProof/>
            <w:webHidden/>
          </w:rPr>
        </w:r>
        <w:r w:rsidR="0096534C">
          <w:rPr>
            <w:noProof/>
            <w:webHidden/>
          </w:rPr>
          <w:fldChar w:fldCharType="separate"/>
        </w:r>
        <w:r w:rsidR="0096534C">
          <w:rPr>
            <w:noProof/>
            <w:webHidden/>
          </w:rPr>
          <w:t>19</w:t>
        </w:r>
        <w:r w:rsidR="0096534C">
          <w:rPr>
            <w:noProof/>
            <w:webHidden/>
          </w:rPr>
          <w:fldChar w:fldCharType="end"/>
        </w:r>
      </w:hyperlink>
    </w:p>
    <w:p w14:paraId="3ECBB807" w14:textId="36093B9F" w:rsidR="0096534C" w:rsidRDefault="00883A1D">
      <w:pPr>
        <w:pStyle w:val="TOC1"/>
        <w:tabs>
          <w:tab w:val="left" w:pos="480"/>
          <w:tab w:val="right" w:leader="dot" w:pos="8534"/>
        </w:tabs>
        <w:rPr>
          <w:rFonts w:asciiTheme="minorHAnsi" w:eastAsiaTheme="minorEastAsia" w:hAnsiTheme="minorHAnsi" w:cstheme="minorBidi"/>
          <w:noProof/>
          <w:color w:val="auto"/>
          <w:sz w:val="22"/>
          <w:szCs w:val="22"/>
          <w:lang w:val="es-ES" w:eastAsia="es-ES" w:bidi="ar-SA"/>
        </w:rPr>
      </w:pPr>
      <w:hyperlink w:anchor="_Toc185511110" w:history="1">
        <w:r w:rsidR="0096534C" w:rsidRPr="00CC4A24">
          <w:rPr>
            <w:rStyle w:val="Hyperlink"/>
            <w:noProof/>
          </w:rPr>
          <w:t>7.</w:t>
        </w:r>
        <w:r w:rsidR="0096534C">
          <w:rPr>
            <w:rFonts w:asciiTheme="minorHAnsi" w:eastAsiaTheme="minorEastAsia" w:hAnsiTheme="minorHAnsi" w:cstheme="minorBidi"/>
            <w:noProof/>
            <w:color w:val="auto"/>
            <w:sz w:val="22"/>
            <w:szCs w:val="22"/>
            <w:lang w:val="es-ES" w:eastAsia="es-ES" w:bidi="ar-SA"/>
          </w:rPr>
          <w:tab/>
        </w:r>
        <w:r w:rsidR="0096534C" w:rsidRPr="00CC4A24">
          <w:rPr>
            <w:rStyle w:val="Hyperlink"/>
            <w:noProof/>
          </w:rPr>
          <w:t>Capacité financière et opérationnelle et exclusion</w:t>
        </w:r>
        <w:r w:rsidR="0096534C">
          <w:rPr>
            <w:noProof/>
            <w:webHidden/>
          </w:rPr>
          <w:tab/>
        </w:r>
        <w:r w:rsidR="0096534C">
          <w:rPr>
            <w:noProof/>
            <w:webHidden/>
          </w:rPr>
          <w:fldChar w:fldCharType="begin"/>
        </w:r>
        <w:r w:rsidR="0096534C">
          <w:rPr>
            <w:noProof/>
            <w:webHidden/>
          </w:rPr>
          <w:instrText xml:space="preserve"> PAGEREF _Toc185511110 \h </w:instrText>
        </w:r>
        <w:r w:rsidR="0096534C">
          <w:rPr>
            <w:noProof/>
            <w:webHidden/>
          </w:rPr>
        </w:r>
        <w:r w:rsidR="0096534C">
          <w:rPr>
            <w:noProof/>
            <w:webHidden/>
          </w:rPr>
          <w:fldChar w:fldCharType="separate"/>
        </w:r>
        <w:r w:rsidR="0096534C">
          <w:rPr>
            <w:noProof/>
            <w:webHidden/>
          </w:rPr>
          <w:t>20</w:t>
        </w:r>
        <w:r w:rsidR="0096534C">
          <w:rPr>
            <w:noProof/>
            <w:webHidden/>
          </w:rPr>
          <w:fldChar w:fldCharType="end"/>
        </w:r>
      </w:hyperlink>
    </w:p>
    <w:p w14:paraId="285FB159" w14:textId="20F634BD" w:rsidR="0096534C" w:rsidRDefault="00883A1D">
      <w:pPr>
        <w:pStyle w:val="TOC2"/>
        <w:tabs>
          <w:tab w:val="right" w:leader="dot" w:pos="8534"/>
        </w:tabs>
        <w:rPr>
          <w:rFonts w:asciiTheme="minorHAnsi" w:eastAsiaTheme="minorEastAsia" w:hAnsiTheme="minorHAnsi" w:cstheme="minorBidi"/>
          <w:noProof/>
          <w:color w:val="auto"/>
          <w:sz w:val="22"/>
          <w:szCs w:val="22"/>
          <w:lang w:val="es-ES" w:eastAsia="es-ES" w:bidi="ar-SA"/>
        </w:rPr>
      </w:pPr>
      <w:hyperlink w:anchor="_Toc185511111" w:history="1">
        <w:r w:rsidR="0096534C" w:rsidRPr="00CC4A24">
          <w:rPr>
            <w:rStyle w:val="Hyperlink"/>
            <w:i/>
            <w:noProof/>
          </w:rPr>
          <w:t>Capacité financière</w:t>
        </w:r>
        <w:r w:rsidR="0096534C">
          <w:rPr>
            <w:noProof/>
            <w:webHidden/>
          </w:rPr>
          <w:tab/>
        </w:r>
        <w:r w:rsidR="0096534C">
          <w:rPr>
            <w:noProof/>
            <w:webHidden/>
          </w:rPr>
          <w:fldChar w:fldCharType="begin"/>
        </w:r>
        <w:r w:rsidR="0096534C">
          <w:rPr>
            <w:noProof/>
            <w:webHidden/>
          </w:rPr>
          <w:instrText xml:space="preserve"> PAGEREF _Toc185511111 \h </w:instrText>
        </w:r>
        <w:r w:rsidR="0096534C">
          <w:rPr>
            <w:noProof/>
            <w:webHidden/>
          </w:rPr>
        </w:r>
        <w:r w:rsidR="0096534C">
          <w:rPr>
            <w:noProof/>
            <w:webHidden/>
          </w:rPr>
          <w:fldChar w:fldCharType="separate"/>
        </w:r>
        <w:r w:rsidR="0096534C">
          <w:rPr>
            <w:noProof/>
            <w:webHidden/>
          </w:rPr>
          <w:t>20</w:t>
        </w:r>
        <w:r w:rsidR="0096534C">
          <w:rPr>
            <w:noProof/>
            <w:webHidden/>
          </w:rPr>
          <w:fldChar w:fldCharType="end"/>
        </w:r>
      </w:hyperlink>
    </w:p>
    <w:p w14:paraId="7A235DC6" w14:textId="376CCA95" w:rsidR="0096534C" w:rsidRDefault="00883A1D">
      <w:pPr>
        <w:pStyle w:val="TOC2"/>
        <w:tabs>
          <w:tab w:val="right" w:leader="dot" w:pos="8534"/>
        </w:tabs>
        <w:rPr>
          <w:rFonts w:asciiTheme="minorHAnsi" w:eastAsiaTheme="minorEastAsia" w:hAnsiTheme="minorHAnsi" w:cstheme="minorBidi"/>
          <w:noProof/>
          <w:color w:val="auto"/>
          <w:sz w:val="22"/>
          <w:szCs w:val="22"/>
          <w:lang w:val="es-ES" w:eastAsia="es-ES" w:bidi="ar-SA"/>
        </w:rPr>
      </w:pPr>
      <w:hyperlink w:anchor="_Toc185511112" w:history="1">
        <w:r w:rsidR="0096534C" w:rsidRPr="00CC4A24">
          <w:rPr>
            <w:rStyle w:val="Hyperlink"/>
            <w:i/>
            <w:noProof/>
          </w:rPr>
          <w:t>Capacité opérationnelle</w:t>
        </w:r>
        <w:r w:rsidR="0096534C">
          <w:rPr>
            <w:noProof/>
            <w:webHidden/>
          </w:rPr>
          <w:tab/>
        </w:r>
        <w:r w:rsidR="0096534C">
          <w:rPr>
            <w:noProof/>
            <w:webHidden/>
          </w:rPr>
          <w:fldChar w:fldCharType="begin"/>
        </w:r>
        <w:r w:rsidR="0096534C">
          <w:rPr>
            <w:noProof/>
            <w:webHidden/>
          </w:rPr>
          <w:instrText xml:space="preserve"> PAGEREF _Toc185511112 \h </w:instrText>
        </w:r>
        <w:r w:rsidR="0096534C">
          <w:rPr>
            <w:noProof/>
            <w:webHidden/>
          </w:rPr>
        </w:r>
        <w:r w:rsidR="0096534C">
          <w:rPr>
            <w:noProof/>
            <w:webHidden/>
          </w:rPr>
          <w:fldChar w:fldCharType="separate"/>
        </w:r>
        <w:r w:rsidR="0096534C">
          <w:rPr>
            <w:noProof/>
            <w:webHidden/>
          </w:rPr>
          <w:t>21</w:t>
        </w:r>
        <w:r w:rsidR="0096534C">
          <w:rPr>
            <w:noProof/>
            <w:webHidden/>
          </w:rPr>
          <w:fldChar w:fldCharType="end"/>
        </w:r>
      </w:hyperlink>
    </w:p>
    <w:p w14:paraId="39D168D8" w14:textId="064C6AD5" w:rsidR="0096534C" w:rsidRDefault="00883A1D">
      <w:pPr>
        <w:pStyle w:val="TOC2"/>
        <w:tabs>
          <w:tab w:val="right" w:leader="dot" w:pos="8534"/>
        </w:tabs>
        <w:rPr>
          <w:rFonts w:asciiTheme="minorHAnsi" w:eastAsiaTheme="minorEastAsia" w:hAnsiTheme="minorHAnsi" w:cstheme="minorBidi"/>
          <w:noProof/>
          <w:color w:val="auto"/>
          <w:sz w:val="22"/>
          <w:szCs w:val="22"/>
          <w:lang w:val="es-ES" w:eastAsia="es-ES" w:bidi="ar-SA"/>
        </w:rPr>
      </w:pPr>
      <w:hyperlink w:anchor="_Toc185511113" w:history="1">
        <w:r w:rsidR="0096534C" w:rsidRPr="00CC4A24">
          <w:rPr>
            <w:rStyle w:val="Hyperlink"/>
            <w:i/>
            <w:noProof/>
          </w:rPr>
          <w:t>Exclusion</w:t>
        </w:r>
        <w:r w:rsidR="0096534C">
          <w:rPr>
            <w:noProof/>
            <w:webHidden/>
          </w:rPr>
          <w:tab/>
        </w:r>
        <w:r w:rsidR="0096534C">
          <w:rPr>
            <w:noProof/>
            <w:webHidden/>
          </w:rPr>
          <w:fldChar w:fldCharType="begin"/>
        </w:r>
        <w:r w:rsidR="0096534C">
          <w:rPr>
            <w:noProof/>
            <w:webHidden/>
          </w:rPr>
          <w:instrText xml:space="preserve"> PAGEREF _Toc185511113 \h </w:instrText>
        </w:r>
        <w:r w:rsidR="0096534C">
          <w:rPr>
            <w:noProof/>
            <w:webHidden/>
          </w:rPr>
        </w:r>
        <w:r w:rsidR="0096534C">
          <w:rPr>
            <w:noProof/>
            <w:webHidden/>
          </w:rPr>
          <w:fldChar w:fldCharType="separate"/>
        </w:r>
        <w:r w:rsidR="0096534C">
          <w:rPr>
            <w:noProof/>
            <w:webHidden/>
          </w:rPr>
          <w:t>21</w:t>
        </w:r>
        <w:r w:rsidR="0096534C">
          <w:rPr>
            <w:noProof/>
            <w:webHidden/>
          </w:rPr>
          <w:fldChar w:fldCharType="end"/>
        </w:r>
      </w:hyperlink>
    </w:p>
    <w:p w14:paraId="31B0004F" w14:textId="13223E7E" w:rsidR="0096534C" w:rsidRDefault="00883A1D">
      <w:pPr>
        <w:pStyle w:val="TOC1"/>
        <w:tabs>
          <w:tab w:val="left" w:pos="480"/>
          <w:tab w:val="right" w:leader="dot" w:pos="8534"/>
        </w:tabs>
        <w:rPr>
          <w:rFonts w:asciiTheme="minorHAnsi" w:eastAsiaTheme="minorEastAsia" w:hAnsiTheme="minorHAnsi" w:cstheme="minorBidi"/>
          <w:noProof/>
          <w:color w:val="auto"/>
          <w:sz w:val="22"/>
          <w:szCs w:val="22"/>
          <w:lang w:val="es-ES" w:eastAsia="es-ES" w:bidi="ar-SA"/>
        </w:rPr>
      </w:pPr>
      <w:hyperlink w:anchor="_Toc185511114" w:history="1">
        <w:r w:rsidR="0096534C" w:rsidRPr="00CC4A24">
          <w:rPr>
            <w:rStyle w:val="Hyperlink"/>
            <w:noProof/>
          </w:rPr>
          <w:t>8.</w:t>
        </w:r>
        <w:r w:rsidR="0096534C">
          <w:rPr>
            <w:rFonts w:asciiTheme="minorHAnsi" w:eastAsiaTheme="minorEastAsia" w:hAnsiTheme="minorHAnsi" w:cstheme="minorBidi"/>
            <w:noProof/>
            <w:color w:val="auto"/>
            <w:sz w:val="22"/>
            <w:szCs w:val="22"/>
            <w:lang w:val="es-ES" w:eastAsia="es-ES" w:bidi="ar-SA"/>
          </w:rPr>
          <w:tab/>
        </w:r>
        <w:r w:rsidR="0096534C" w:rsidRPr="00CC4A24">
          <w:rPr>
            <w:rStyle w:val="Hyperlink"/>
            <w:noProof/>
          </w:rPr>
          <w:t>Procédure d’évaluation et d’attribution</w:t>
        </w:r>
        <w:r w:rsidR="0096534C">
          <w:rPr>
            <w:noProof/>
            <w:webHidden/>
          </w:rPr>
          <w:tab/>
        </w:r>
        <w:r w:rsidR="0096534C">
          <w:rPr>
            <w:noProof/>
            <w:webHidden/>
          </w:rPr>
          <w:fldChar w:fldCharType="begin"/>
        </w:r>
        <w:r w:rsidR="0096534C">
          <w:rPr>
            <w:noProof/>
            <w:webHidden/>
          </w:rPr>
          <w:instrText xml:space="preserve"> PAGEREF _Toc185511114 \h </w:instrText>
        </w:r>
        <w:r w:rsidR="0096534C">
          <w:rPr>
            <w:noProof/>
            <w:webHidden/>
          </w:rPr>
        </w:r>
        <w:r w:rsidR="0096534C">
          <w:rPr>
            <w:noProof/>
            <w:webHidden/>
          </w:rPr>
          <w:fldChar w:fldCharType="separate"/>
        </w:r>
        <w:r w:rsidR="0096534C">
          <w:rPr>
            <w:noProof/>
            <w:webHidden/>
          </w:rPr>
          <w:t>22</w:t>
        </w:r>
        <w:r w:rsidR="0096534C">
          <w:rPr>
            <w:noProof/>
            <w:webHidden/>
          </w:rPr>
          <w:fldChar w:fldCharType="end"/>
        </w:r>
      </w:hyperlink>
    </w:p>
    <w:p w14:paraId="4808A85F" w14:textId="39D8679C" w:rsidR="0096534C" w:rsidRDefault="00883A1D">
      <w:pPr>
        <w:pStyle w:val="TOC1"/>
        <w:tabs>
          <w:tab w:val="left" w:pos="480"/>
          <w:tab w:val="right" w:leader="dot" w:pos="8534"/>
        </w:tabs>
        <w:rPr>
          <w:rFonts w:asciiTheme="minorHAnsi" w:eastAsiaTheme="minorEastAsia" w:hAnsiTheme="minorHAnsi" w:cstheme="minorBidi"/>
          <w:noProof/>
          <w:color w:val="auto"/>
          <w:sz w:val="22"/>
          <w:szCs w:val="22"/>
          <w:lang w:val="es-ES" w:eastAsia="es-ES" w:bidi="ar-SA"/>
        </w:rPr>
      </w:pPr>
      <w:hyperlink w:anchor="_Toc185511115" w:history="1">
        <w:r w:rsidR="0096534C" w:rsidRPr="00CC4A24">
          <w:rPr>
            <w:rStyle w:val="Hyperlink"/>
            <w:noProof/>
          </w:rPr>
          <w:t>9.</w:t>
        </w:r>
        <w:r w:rsidR="0096534C">
          <w:rPr>
            <w:rFonts w:asciiTheme="minorHAnsi" w:eastAsiaTheme="minorEastAsia" w:hAnsiTheme="minorHAnsi" w:cstheme="minorBidi"/>
            <w:noProof/>
            <w:color w:val="auto"/>
            <w:sz w:val="22"/>
            <w:szCs w:val="22"/>
            <w:lang w:val="es-ES" w:eastAsia="es-ES" w:bidi="ar-SA"/>
          </w:rPr>
          <w:tab/>
        </w:r>
        <w:r w:rsidR="0096534C" w:rsidRPr="00CC4A24">
          <w:rPr>
            <w:rStyle w:val="Hyperlink"/>
            <w:noProof/>
          </w:rPr>
          <w:t>Critères d’attribution</w:t>
        </w:r>
        <w:r w:rsidR="0096534C">
          <w:rPr>
            <w:noProof/>
            <w:webHidden/>
          </w:rPr>
          <w:tab/>
        </w:r>
        <w:r w:rsidR="0096534C">
          <w:rPr>
            <w:noProof/>
            <w:webHidden/>
          </w:rPr>
          <w:fldChar w:fldCharType="begin"/>
        </w:r>
        <w:r w:rsidR="0096534C">
          <w:rPr>
            <w:noProof/>
            <w:webHidden/>
          </w:rPr>
          <w:instrText xml:space="preserve"> PAGEREF _Toc185511115 \h </w:instrText>
        </w:r>
        <w:r w:rsidR="0096534C">
          <w:rPr>
            <w:noProof/>
            <w:webHidden/>
          </w:rPr>
        </w:r>
        <w:r w:rsidR="0096534C">
          <w:rPr>
            <w:noProof/>
            <w:webHidden/>
          </w:rPr>
          <w:fldChar w:fldCharType="separate"/>
        </w:r>
        <w:r w:rsidR="0096534C">
          <w:rPr>
            <w:noProof/>
            <w:webHidden/>
          </w:rPr>
          <w:t>24</w:t>
        </w:r>
        <w:r w:rsidR="0096534C">
          <w:rPr>
            <w:noProof/>
            <w:webHidden/>
          </w:rPr>
          <w:fldChar w:fldCharType="end"/>
        </w:r>
      </w:hyperlink>
    </w:p>
    <w:p w14:paraId="0F301DE8" w14:textId="3E8FD263" w:rsidR="0096534C" w:rsidRDefault="00883A1D">
      <w:pPr>
        <w:pStyle w:val="TOC1"/>
        <w:tabs>
          <w:tab w:val="left" w:pos="660"/>
          <w:tab w:val="right" w:leader="dot" w:pos="8534"/>
        </w:tabs>
        <w:rPr>
          <w:rFonts w:asciiTheme="minorHAnsi" w:eastAsiaTheme="minorEastAsia" w:hAnsiTheme="minorHAnsi" w:cstheme="minorBidi"/>
          <w:noProof/>
          <w:color w:val="auto"/>
          <w:sz w:val="22"/>
          <w:szCs w:val="22"/>
          <w:lang w:val="es-ES" w:eastAsia="es-ES" w:bidi="ar-SA"/>
        </w:rPr>
      </w:pPr>
      <w:hyperlink w:anchor="_Toc185511116" w:history="1">
        <w:r w:rsidR="0096534C" w:rsidRPr="00CC4A24">
          <w:rPr>
            <w:rStyle w:val="Hyperlink"/>
            <w:noProof/>
          </w:rPr>
          <w:t>10.</w:t>
        </w:r>
        <w:r w:rsidR="0096534C">
          <w:rPr>
            <w:rFonts w:asciiTheme="minorHAnsi" w:eastAsiaTheme="minorEastAsia" w:hAnsiTheme="minorHAnsi" w:cstheme="minorBidi"/>
            <w:noProof/>
            <w:color w:val="auto"/>
            <w:sz w:val="22"/>
            <w:szCs w:val="22"/>
            <w:lang w:val="es-ES" w:eastAsia="es-ES" w:bidi="ar-SA"/>
          </w:rPr>
          <w:tab/>
        </w:r>
        <w:r w:rsidR="0096534C" w:rsidRPr="00CC4A24">
          <w:rPr>
            <w:rStyle w:val="Hyperlink"/>
            <w:noProof/>
          </w:rPr>
          <w:t>Structure juridique et financière des conventions de subvention</w:t>
        </w:r>
        <w:r w:rsidR="0096534C">
          <w:rPr>
            <w:noProof/>
            <w:webHidden/>
          </w:rPr>
          <w:tab/>
        </w:r>
        <w:r w:rsidR="0096534C">
          <w:rPr>
            <w:noProof/>
            <w:webHidden/>
          </w:rPr>
          <w:fldChar w:fldCharType="begin"/>
        </w:r>
        <w:r w:rsidR="0096534C">
          <w:rPr>
            <w:noProof/>
            <w:webHidden/>
          </w:rPr>
          <w:instrText xml:space="preserve"> PAGEREF _Toc185511116 \h </w:instrText>
        </w:r>
        <w:r w:rsidR="0096534C">
          <w:rPr>
            <w:noProof/>
            <w:webHidden/>
          </w:rPr>
        </w:r>
        <w:r w:rsidR="0096534C">
          <w:rPr>
            <w:noProof/>
            <w:webHidden/>
          </w:rPr>
          <w:fldChar w:fldCharType="separate"/>
        </w:r>
        <w:r w:rsidR="0096534C">
          <w:rPr>
            <w:noProof/>
            <w:webHidden/>
          </w:rPr>
          <w:t>26</w:t>
        </w:r>
        <w:r w:rsidR="0096534C">
          <w:rPr>
            <w:noProof/>
            <w:webHidden/>
          </w:rPr>
          <w:fldChar w:fldCharType="end"/>
        </w:r>
      </w:hyperlink>
    </w:p>
    <w:p w14:paraId="43F7F525" w14:textId="15AC8698" w:rsidR="0096534C" w:rsidRDefault="00883A1D">
      <w:pPr>
        <w:pStyle w:val="TOC2"/>
        <w:tabs>
          <w:tab w:val="right" w:leader="dot" w:pos="8534"/>
        </w:tabs>
        <w:rPr>
          <w:rFonts w:asciiTheme="minorHAnsi" w:eastAsiaTheme="minorEastAsia" w:hAnsiTheme="minorHAnsi" w:cstheme="minorBidi"/>
          <w:noProof/>
          <w:color w:val="auto"/>
          <w:sz w:val="22"/>
          <w:szCs w:val="22"/>
          <w:lang w:val="es-ES" w:eastAsia="es-ES" w:bidi="ar-SA"/>
        </w:rPr>
      </w:pPr>
      <w:hyperlink w:anchor="_Toc185511117" w:history="1">
        <w:r w:rsidR="0096534C" w:rsidRPr="00CC4A24">
          <w:rPr>
            <w:rStyle w:val="Hyperlink"/>
            <w:i/>
            <w:noProof/>
          </w:rPr>
          <w:t>Date de lancement et durée du projet</w:t>
        </w:r>
        <w:r w:rsidR="0096534C">
          <w:rPr>
            <w:noProof/>
            <w:webHidden/>
          </w:rPr>
          <w:tab/>
        </w:r>
        <w:r w:rsidR="0096534C">
          <w:rPr>
            <w:noProof/>
            <w:webHidden/>
          </w:rPr>
          <w:fldChar w:fldCharType="begin"/>
        </w:r>
        <w:r w:rsidR="0096534C">
          <w:rPr>
            <w:noProof/>
            <w:webHidden/>
          </w:rPr>
          <w:instrText xml:space="preserve"> PAGEREF _Toc185511117 \h </w:instrText>
        </w:r>
        <w:r w:rsidR="0096534C">
          <w:rPr>
            <w:noProof/>
            <w:webHidden/>
          </w:rPr>
        </w:r>
        <w:r w:rsidR="0096534C">
          <w:rPr>
            <w:noProof/>
            <w:webHidden/>
          </w:rPr>
          <w:fldChar w:fldCharType="separate"/>
        </w:r>
        <w:r w:rsidR="0096534C">
          <w:rPr>
            <w:noProof/>
            <w:webHidden/>
          </w:rPr>
          <w:t>26</w:t>
        </w:r>
        <w:r w:rsidR="0096534C">
          <w:rPr>
            <w:noProof/>
            <w:webHidden/>
          </w:rPr>
          <w:fldChar w:fldCharType="end"/>
        </w:r>
      </w:hyperlink>
    </w:p>
    <w:p w14:paraId="1A845832" w14:textId="423B803F" w:rsidR="0096534C" w:rsidRDefault="00883A1D">
      <w:pPr>
        <w:pStyle w:val="TOC2"/>
        <w:tabs>
          <w:tab w:val="right" w:leader="dot" w:pos="8534"/>
        </w:tabs>
        <w:rPr>
          <w:rFonts w:asciiTheme="minorHAnsi" w:eastAsiaTheme="minorEastAsia" w:hAnsiTheme="minorHAnsi" w:cstheme="minorBidi"/>
          <w:noProof/>
          <w:color w:val="auto"/>
          <w:sz w:val="22"/>
          <w:szCs w:val="22"/>
          <w:lang w:val="es-ES" w:eastAsia="es-ES" w:bidi="ar-SA"/>
        </w:rPr>
      </w:pPr>
      <w:hyperlink w:anchor="_Toc185511118" w:history="1">
        <w:r w:rsidR="0096534C" w:rsidRPr="00CC4A24">
          <w:rPr>
            <w:rStyle w:val="Hyperlink"/>
            <w:i/>
            <w:noProof/>
          </w:rPr>
          <w:t>Étapes et éléments livrables</w:t>
        </w:r>
        <w:r w:rsidR="0096534C">
          <w:rPr>
            <w:noProof/>
            <w:webHidden/>
          </w:rPr>
          <w:tab/>
        </w:r>
        <w:r w:rsidR="0096534C">
          <w:rPr>
            <w:noProof/>
            <w:webHidden/>
          </w:rPr>
          <w:fldChar w:fldCharType="begin"/>
        </w:r>
        <w:r w:rsidR="0096534C">
          <w:rPr>
            <w:noProof/>
            <w:webHidden/>
          </w:rPr>
          <w:instrText xml:space="preserve"> PAGEREF _Toc185511118 \h </w:instrText>
        </w:r>
        <w:r w:rsidR="0096534C">
          <w:rPr>
            <w:noProof/>
            <w:webHidden/>
          </w:rPr>
        </w:r>
        <w:r w:rsidR="0096534C">
          <w:rPr>
            <w:noProof/>
            <w:webHidden/>
          </w:rPr>
          <w:fldChar w:fldCharType="separate"/>
        </w:r>
        <w:r w:rsidR="0096534C">
          <w:rPr>
            <w:noProof/>
            <w:webHidden/>
          </w:rPr>
          <w:t>26</w:t>
        </w:r>
        <w:r w:rsidR="0096534C">
          <w:rPr>
            <w:noProof/>
            <w:webHidden/>
          </w:rPr>
          <w:fldChar w:fldCharType="end"/>
        </w:r>
      </w:hyperlink>
    </w:p>
    <w:p w14:paraId="62384224" w14:textId="43B1A245" w:rsidR="0096534C" w:rsidRDefault="00883A1D">
      <w:pPr>
        <w:pStyle w:val="TOC2"/>
        <w:tabs>
          <w:tab w:val="right" w:leader="dot" w:pos="8534"/>
        </w:tabs>
        <w:rPr>
          <w:rFonts w:asciiTheme="minorHAnsi" w:eastAsiaTheme="minorEastAsia" w:hAnsiTheme="minorHAnsi" w:cstheme="minorBidi"/>
          <w:noProof/>
          <w:color w:val="auto"/>
          <w:sz w:val="22"/>
          <w:szCs w:val="22"/>
          <w:lang w:val="es-ES" w:eastAsia="es-ES" w:bidi="ar-SA"/>
        </w:rPr>
      </w:pPr>
      <w:hyperlink w:anchor="_Toc185511119" w:history="1">
        <w:r w:rsidR="0096534C" w:rsidRPr="00CC4A24">
          <w:rPr>
            <w:rStyle w:val="Hyperlink"/>
            <w:i/>
            <w:noProof/>
          </w:rPr>
          <w:t>Formulaire de subvention, taux de financement et montant maximal de la subvention</w:t>
        </w:r>
        <w:r w:rsidR="0096534C">
          <w:rPr>
            <w:noProof/>
            <w:webHidden/>
          </w:rPr>
          <w:tab/>
        </w:r>
        <w:r w:rsidR="0096534C">
          <w:rPr>
            <w:noProof/>
            <w:webHidden/>
          </w:rPr>
          <w:fldChar w:fldCharType="begin"/>
        </w:r>
        <w:r w:rsidR="0096534C">
          <w:rPr>
            <w:noProof/>
            <w:webHidden/>
          </w:rPr>
          <w:instrText xml:space="preserve"> PAGEREF _Toc185511119 \h </w:instrText>
        </w:r>
        <w:r w:rsidR="0096534C">
          <w:rPr>
            <w:noProof/>
            <w:webHidden/>
          </w:rPr>
        </w:r>
        <w:r w:rsidR="0096534C">
          <w:rPr>
            <w:noProof/>
            <w:webHidden/>
          </w:rPr>
          <w:fldChar w:fldCharType="separate"/>
        </w:r>
        <w:r w:rsidR="0096534C">
          <w:rPr>
            <w:noProof/>
            <w:webHidden/>
          </w:rPr>
          <w:t>27</w:t>
        </w:r>
        <w:r w:rsidR="0096534C">
          <w:rPr>
            <w:noProof/>
            <w:webHidden/>
          </w:rPr>
          <w:fldChar w:fldCharType="end"/>
        </w:r>
      </w:hyperlink>
    </w:p>
    <w:p w14:paraId="234E3FF6" w14:textId="5C5FFADF" w:rsidR="0096534C" w:rsidRDefault="00883A1D">
      <w:pPr>
        <w:pStyle w:val="TOC2"/>
        <w:tabs>
          <w:tab w:val="right" w:leader="dot" w:pos="8534"/>
        </w:tabs>
        <w:rPr>
          <w:rFonts w:asciiTheme="minorHAnsi" w:eastAsiaTheme="minorEastAsia" w:hAnsiTheme="minorHAnsi" w:cstheme="minorBidi"/>
          <w:noProof/>
          <w:color w:val="auto"/>
          <w:sz w:val="22"/>
          <w:szCs w:val="22"/>
          <w:lang w:val="es-ES" w:eastAsia="es-ES" w:bidi="ar-SA"/>
        </w:rPr>
      </w:pPr>
      <w:hyperlink w:anchor="_Toc185511120" w:history="1">
        <w:r w:rsidR="0096534C" w:rsidRPr="00CC4A24">
          <w:rPr>
            <w:rStyle w:val="Hyperlink"/>
            <w:i/>
            <w:noProof/>
          </w:rPr>
          <w:t>Catégories budgétaires et règles d’éligibilité des coûts</w:t>
        </w:r>
        <w:r w:rsidR="0096534C">
          <w:rPr>
            <w:noProof/>
            <w:webHidden/>
          </w:rPr>
          <w:tab/>
        </w:r>
        <w:r w:rsidR="0096534C">
          <w:rPr>
            <w:noProof/>
            <w:webHidden/>
          </w:rPr>
          <w:fldChar w:fldCharType="begin"/>
        </w:r>
        <w:r w:rsidR="0096534C">
          <w:rPr>
            <w:noProof/>
            <w:webHidden/>
          </w:rPr>
          <w:instrText xml:space="preserve"> PAGEREF _Toc185511120 \h </w:instrText>
        </w:r>
        <w:r w:rsidR="0096534C">
          <w:rPr>
            <w:noProof/>
            <w:webHidden/>
          </w:rPr>
        </w:r>
        <w:r w:rsidR="0096534C">
          <w:rPr>
            <w:noProof/>
            <w:webHidden/>
          </w:rPr>
          <w:fldChar w:fldCharType="separate"/>
        </w:r>
        <w:r w:rsidR="0096534C">
          <w:rPr>
            <w:noProof/>
            <w:webHidden/>
          </w:rPr>
          <w:t>27</w:t>
        </w:r>
        <w:r w:rsidR="0096534C">
          <w:rPr>
            <w:noProof/>
            <w:webHidden/>
          </w:rPr>
          <w:fldChar w:fldCharType="end"/>
        </w:r>
      </w:hyperlink>
    </w:p>
    <w:p w14:paraId="0BF894E4" w14:textId="676332C7" w:rsidR="0096534C" w:rsidRDefault="00883A1D">
      <w:pPr>
        <w:pStyle w:val="TOC2"/>
        <w:tabs>
          <w:tab w:val="right" w:leader="dot" w:pos="8534"/>
        </w:tabs>
        <w:rPr>
          <w:rFonts w:asciiTheme="minorHAnsi" w:eastAsiaTheme="minorEastAsia" w:hAnsiTheme="minorHAnsi" w:cstheme="minorBidi"/>
          <w:noProof/>
          <w:color w:val="auto"/>
          <w:sz w:val="22"/>
          <w:szCs w:val="22"/>
          <w:lang w:val="es-ES" w:eastAsia="es-ES" w:bidi="ar-SA"/>
        </w:rPr>
      </w:pPr>
      <w:hyperlink w:anchor="_Toc185511121" w:history="1">
        <w:r w:rsidR="0096534C" w:rsidRPr="00CC4A24">
          <w:rPr>
            <w:rStyle w:val="Hyperlink"/>
            <w:i/>
            <w:noProof/>
          </w:rPr>
          <w:t>Modalités de remise des rapports et de paiement</w:t>
        </w:r>
        <w:r w:rsidR="0096534C">
          <w:rPr>
            <w:noProof/>
            <w:webHidden/>
          </w:rPr>
          <w:tab/>
        </w:r>
        <w:r w:rsidR="0096534C">
          <w:rPr>
            <w:noProof/>
            <w:webHidden/>
          </w:rPr>
          <w:fldChar w:fldCharType="begin"/>
        </w:r>
        <w:r w:rsidR="0096534C">
          <w:rPr>
            <w:noProof/>
            <w:webHidden/>
          </w:rPr>
          <w:instrText xml:space="preserve"> PAGEREF _Toc185511121 \h </w:instrText>
        </w:r>
        <w:r w:rsidR="0096534C">
          <w:rPr>
            <w:noProof/>
            <w:webHidden/>
          </w:rPr>
        </w:r>
        <w:r w:rsidR="0096534C">
          <w:rPr>
            <w:noProof/>
            <w:webHidden/>
          </w:rPr>
          <w:fldChar w:fldCharType="separate"/>
        </w:r>
        <w:r w:rsidR="0096534C">
          <w:rPr>
            <w:noProof/>
            <w:webHidden/>
          </w:rPr>
          <w:t>29</w:t>
        </w:r>
        <w:r w:rsidR="0096534C">
          <w:rPr>
            <w:noProof/>
            <w:webHidden/>
          </w:rPr>
          <w:fldChar w:fldCharType="end"/>
        </w:r>
      </w:hyperlink>
    </w:p>
    <w:p w14:paraId="5A749E1B" w14:textId="68B4528C" w:rsidR="0096534C" w:rsidRDefault="00883A1D">
      <w:pPr>
        <w:pStyle w:val="TOC2"/>
        <w:tabs>
          <w:tab w:val="right" w:leader="dot" w:pos="8534"/>
        </w:tabs>
        <w:rPr>
          <w:rFonts w:asciiTheme="minorHAnsi" w:eastAsiaTheme="minorEastAsia" w:hAnsiTheme="minorHAnsi" w:cstheme="minorBidi"/>
          <w:noProof/>
          <w:color w:val="auto"/>
          <w:sz w:val="22"/>
          <w:szCs w:val="22"/>
          <w:lang w:val="es-ES" w:eastAsia="es-ES" w:bidi="ar-SA"/>
        </w:rPr>
      </w:pPr>
      <w:hyperlink w:anchor="_Toc185511122" w:history="1">
        <w:r w:rsidR="0096534C" w:rsidRPr="00CC4A24">
          <w:rPr>
            <w:rStyle w:val="Hyperlink"/>
            <w:i/>
            <w:noProof/>
          </w:rPr>
          <w:t>Garanties de préfinancement</w:t>
        </w:r>
        <w:r w:rsidR="0096534C">
          <w:rPr>
            <w:noProof/>
            <w:webHidden/>
          </w:rPr>
          <w:tab/>
        </w:r>
        <w:r w:rsidR="0096534C">
          <w:rPr>
            <w:noProof/>
            <w:webHidden/>
          </w:rPr>
          <w:fldChar w:fldCharType="begin"/>
        </w:r>
        <w:r w:rsidR="0096534C">
          <w:rPr>
            <w:noProof/>
            <w:webHidden/>
          </w:rPr>
          <w:instrText xml:space="preserve"> PAGEREF _Toc185511122 \h </w:instrText>
        </w:r>
        <w:r w:rsidR="0096534C">
          <w:rPr>
            <w:noProof/>
            <w:webHidden/>
          </w:rPr>
        </w:r>
        <w:r w:rsidR="0096534C">
          <w:rPr>
            <w:noProof/>
            <w:webHidden/>
          </w:rPr>
          <w:fldChar w:fldCharType="separate"/>
        </w:r>
        <w:r w:rsidR="0096534C">
          <w:rPr>
            <w:noProof/>
            <w:webHidden/>
          </w:rPr>
          <w:t>30</w:t>
        </w:r>
        <w:r w:rsidR="0096534C">
          <w:rPr>
            <w:noProof/>
            <w:webHidden/>
          </w:rPr>
          <w:fldChar w:fldCharType="end"/>
        </w:r>
      </w:hyperlink>
    </w:p>
    <w:p w14:paraId="46E26340" w14:textId="46E240D8" w:rsidR="0096534C" w:rsidRDefault="00883A1D">
      <w:pPr>
        <w:pStyle w:val="TOC2"/>
        <w:tabs>
          <w:tab w:val="right" w:leader="dot" w:pos="8534"/>
        </w:tabs>
        <w:rPr>
          <w:rFonts w:asciiTheme="minorHAnsi" w:eastAsiaTheme="minorEastAsia" w:hAnsiTheme="minorHAnsi" w:cstheme="minorBidi"/>
          <w:noProof/>
          <w:color w:val="auto"/>
          <w:sz w:val="22"/>
          <w:szCs w:val="22"/>
          <w:lang w:val="es-ES" w:eastAsia="es-ES" w:bidi="ar-SA"/>
        </w:rPr>
      </w:pPr>
      <w:hyperlink w:anchor="_Toc185511123" w:history="1">
        <w:r w:rsidR="0096534C" w:rsidRPr="00CC4A24">
          <w:rPr>
            <w:rStyle w:val="Hyperlink"/>
            <w:i/>
            <w:noProof/>
          </w:rPr>
          <w:t>Certificats</w:t>
        </w:r>
        <w:r w:rsidR="0096534C">
          <w:rPr>
            <w:noProof/>
            <w:webHidden/>
          </w:rPr>
          <w:tab/>
        </w:r>
        <w:r w:rsidR="0096534C">
          <w:rPr>
            <w:noProof/>
            <w:webHidden/>
          </w:rPr>
          <w:fldChar w:fldCharType="begin"/>
        </w:r>
        <w:r w:rsidR="0096534C">
          <w:rPr>
            <w:noProof/>
            <w:webHidden/>
          </w:rPr>
          <w:instrText xml:space="preserve"> PAGEREF _Toc185511123 \h </w:instrText>
        </w:r>
        <w:r w:rsidR="0096534C">
          <w:rPr>
            <w:noProof/>
            <w:webHidden/>
          </w:rPr>
        </w:r>
        <w:r w:rsidR="0096534C">
          <w:rPr>
            <w:noProof/>
            <w:webHidden/>
          </w:rPr>
          <w:fldChar w:fldCharType="separate"/>
        </w:r>
        <w:r w:rsidR="0096534C">
          <w:rPr>
            <w:noProof/>
            <w:webHidden/>
          </w:rPr>
          <w:t>30</w:t>
        </w:r>
        <w:r w:rsidR="0096534C">
          <w:rPr>
            <w:noProof/>
            <w:webHidden/>
          </w:rPr>
          <w:fldChar w:fldCharType="end"/>
        </w:r>
      </w:hyperlink>
    </w:p>
    <w:p w14:paraId="7606683C" w14:textId="0B011952" w:rsidR="0096534C" w:rsidRDefault="00883A1D">
      <w:pPr>
        <w:pStyle w:val="TOC2"/>
        <w:tabs>
          <w:tab w:val="right" w:leader="dot" w:pos="8534"/>
        </w:tabs>
        <w:rPr>
          <w:rFonts w:asciiTheme="minorHAnsi" w:eastAsiaTheme="minorEastAsia" w:hAnsiTheme="minorHAnsi" w:cstheme="minorBidi"/>
          <w:noProof/>
          <w:color w:val="auto"/>
          <w:sz w:val="22"/>
          <w:szCs w:val="22"/>
          <w:lang w:val="es-ES" w:eastAsia="es-ES" w:bidi="ar-SA"/>
        </w:rPr>
      </w:pPr>
      <w:hyperlink w:anchor="_Toc185511124" w:history="1">
        <w:r w:rsidR="0096534C" w:rsidRPr="00CC4A24">
          <w:rPr>
            <w:rStyle w:val="Hyperlink"/>
            <w:i/>
            <w:noProof/>
          </w:rPr>
          <w:t>Régime de responsabilité pour les recouvrements</w:t>
        </w:r>
        <w:r w:rsidR="0096534C">
          <w:rPr>
            <w:noProof/>
            <w:webHidden/>
          </w:rPr>
          <w:tab/>
        </w:r>
        <w:r w:rsidR="0096534C">
          <w:rPr>
            <w:noProof/>
            <w:webHidden/>
          </w:rPr>
          <w:fldChar w:fldCharType="begin"/>
        </w:r>
        <w:r w:rsidR="0096534C">
          <w:rPr>
            <w:noProof/>
            <w:webHidden/>
          </w:rPr>
          <w:instrText xml:space="preserve"> PAGEREF _Toc185511124 \h </w:instrText>
        </w:r>
        <w:r w:rsidR="0096534C">
          <w:rPr>
            <w:noProof/>
            <w:webHidden/>
          </w:rPr>
        </w:r>
        <w:r w:rsidR="0096534C">
          <w:rPr>
            <w:noProof/>
            <w:webHidden/>
          </w:rPr>
          <w:fldChar w:fldCharType="separate"/>
        </w:r>
        <w:r w:rsidR="0096534C">
          <w:rPr>
            <w:noProof/>
            <w:webHidden/>
          </w:rPr>
          <w:t>30</w:t>
        </w:r>
        <w:r w:rsidR="0096534C">
          <w:rPr>
            <w:noProof/>
            <w:webHidden/>
          </w:rPr>
          <w:fldChar w:fldCharType="end"/>
        </w:r>
      </w:hyperlink>
    </w:p>
    <w:p w14:paraId="6ED9CBC4" w14:textId="1768F6AB" w:rsidR="0096534C" w:rsidRDefault="00883A1D">
      <w:pPr>
        <w:pStyle w:val="TOC2"/>
        <w:tabs>
          <w:tab w:val="right" w:leader="dot" w:pos="8534"/>
        </w:tabs>
        <w:rPr>
          <w:rFonts w:asciiTheme="minorHAnsi" w:eastAsiaTheme="minorEastAsia" w:hAnsiTheme="minorHAnsi" w:cstheme="minorBidi"/>
          <w:noProof/>
          <w:color w:val="auto"/>
          <w:sz w:val="22"/>
          <w:szCs w:val="22"/>
          <w:lang w:val="es-ES" w:eastAsia="es-ES" w:bidi="ar-SA"/>
        </w:rPr>
      </w:pPr>
      <w:hyperlink w:anchor="_Toc185511125" w:history="1">
        <w:r w:rsidR="0096534C" w:rsidRPr="00CC4A24">
          <w:rPr>
            <w:rStyle w:val="Hyperlink"/>
            <w:i/>
            <w:noProof/>
          </w:rPr>
          <w:t>Dispositions relatives à la mise en œuvre du projet</w:t>
        </w:r>
        <w:r w:rsidR="0096534C">
          <w:rPr>
            <w:noProof/>
            <w:webHidden/>
          </w:rPr>
          <w:tab/>
        </w:r>
        <w:r w:rsidR="0096534C">
          <w:rPr>
            <w:noProof/>
            <w:webHidden/>
          </w:rPr>
          <w:fldChar w:fldCharType="begin"/>
        </w:r>
        <w:r w:rsidR="0096534C">
          <w:rPr>
            <w:noProof/>
            <w:webHidden/>
          </w:rPr>
          <w:instrText xml:space="preserve"> PAGEREF _Toc185511125 \h </w:instrText>
        </w:r>
        <w:r w:rsidR="0096534C">
          <w:rPr>
            <w:noProof/>
            <w:webHidden/>
          </w:rPr>
        </w:r>
        <w:r w:rsidR="0096534C">
          <w:rPr>
            <w:noProof/>
            <w:webHidden/>
          </w:rPr>
          <w:fldChar w:fldCharType="separate"/>
        </w:r>
        <w:r w:rsidR="0096534C">
          <w:rPr>
            <w:noProof/>
            <w:webHidden/>
          </w:rPr>
          <w:t>31</w:t>
        </w:r>
        <w:r w:rsidR="0096534C">
          <w:rPr>
            <w:noProof/>
            <w:webHidden/>
          </w:rPr>
          <w:fldChar w:fldCharType="end"/>
        </w:r>
      </w:hyperlink>
    </w:p>
    <w:p w14:paraId="346B15B7" w14:textId="5148EC8D" w:rsidR="0096534C" w:rsidRDefault="00883A1D">
      <w:pPr>
        <w:pStyle w:val="TOC2"/>
        <w:tabs>
          <w:tab w:val="right" w:leader="dot" w:pos="8534"/>
        </w:tabs>
        <w:rPr>
          <w:rFonts w:asciiTheme="minorHAnsi" w:eastAsiaTheme="minorEastAsia" w:hAnsiTheme="minorHAnsi" w:cstheme="minorBidi"/>
          <w:noProof/>
          <w:color w:val="auto"/>
          <w:sz w:val="22"/>
          <w:szCs w:val="22"/>
          <w:lang w:val="es-ES" w:eastAsia="es-ES" w:bidi="ar-SA"/>
        </w:rPr>
      </w:pPr>
      <w:hyperlink w:anchor="_Toc185511126" w:history="1">
        <w:r w:rsidR="0096534C" w:rsidRPr="00CC4A24">
          <w:rPr>
            <w:rStyle w:val="Hyperlink"/>
            <w:i/>
            <w:noProof/>
          </w:rPr>
          <w:t>Autres particularités</w:t>
        </w:r>
        <w:r w:rsidR="0096534C">
          <w:rPr>
            <w:noProof/>
            <w:webHidden/>
          </w:rPr>
          <w:tab/>
        </w:r>
        <w:r w:rsidR="0096534C">
          <w:rPr>
            <w:noProof/>
            <w:webHidden/>
          </w:rPr>
          <w:fldChar w:fldCharType="begin"/>
        </w:r>
        <w:r w:rsidR="0096534C">
          <w:rPr>
            <w:noProof/>
            <w:webHidden/>
          </w:rPr>
          <w:instrText xml:space="preserve"> PAGEREF _Toc185511126 \h </w:instrText>
        </w:r>
        <w:r w:rsidR="0096534C">
          <w:rPr>
            <w:noProof/>
            <w:webHidden/>
          </w:rPr>
        </w:r>
        <w:r w:rsidR="0096534C">
          <w:rPr>
            <w:noProof/>
            <w:webHidden/>
          </w:rPr>
          <w:fldChar w:fldCharType="separate"/>
        </w:r>
        <w:r w:rsidR="0096534C">
          <w:rPr>
            <w:noProof/>
            <w:webHidden/>
          </w:rPr>
          <w:t>31</w:t>
        </w:r>
        <w:r w:rsidR="0096534C">
          <w:rPr>
            <w:noProof/>
            <w:webHidden/>
          </w:rPr>
          <w:fldChar w:fldCharType="end"/>
        </w:r>
      </w:hyperlink>
    </w:p>
    <w:p w14:paraId="0B2CDC89" w14:textId="6DBCE1F1" w:rsidR="0096534C" w:rsidRDefault="00883A1D">
      <w:pPr>
        <w:pStyle w:val="TOC2"/>
        <w:tabs>
          <w:tab w:val="right" w:leader="dot" w:pos="8534"/>
        </w:tabs>
        <w:rPr>
          <w:rFonts w:asciiTheme="minorHAnsi" w:eastAsiaTheme="minorEastAsia" w:hAnsiTheme="minorHAnsi" w:cstheme="minorBidi"/>
          <w:noProof/>
          <w:color w:val="auto"/>
          <w:sz w:val="22"/>
          <w:szCs w:val="22"/>
          <w:lang w:val="es-ES" w:eastAsia="es-ES" w:bidi="ar-SA"/>
        </w:rPr>
      </w:pPr>
      <w:hyperlink w:anchor="_Toc185511127" w:history="1">
        <w:r w:rsidR="0096534C" w:rsidRPr="00CC4A24">
          <w:rPr>
            <w:rStyle w:val="Hyperlink"/>
            <w:i/>
            <w:noProof/>
          </w:rPr>
          <w:t>Non-conformité et rupture de contrat</w:t>
        </w:r>
        <w:r w:rsidR="0096534C">
          <w:rPr>
            <w:noProof/>
            <w:webHidden/>
          </w:rPr>
          <w:tab/>
        </w:r>
        <w:r w:rsidR="0096534C">
          <w:rPr>
            <w:noProof/>
            <w:webHidden/>
          </w:rPr>
          <w:fldChar w:fldCharType="begin"/>
        </w:r>
        <w:r w:rsidR="0096534C">
          <w:rPr>
            <w:noProof/>
            <w:webHidden/>
          </w:rPr>
          <w:instrText xml:space="preserve"> PAGEREF _Toc185511127 \h </w:instrText>
        </w:r>
        <w:r w:rsidR="0096534C">
          <w:rPr>
            <w:noProof/>
            <w:webHidden/>
          </w:rPr>
        </w:r>
        <w:r w:rsidR="0096534C">
          <w:rPr>
            <w:noProof/>
            <w:webHidden/>
          </w:rPr>
          <w:fldChar w:fldCharType="separate"/>
        </w:r>
        <w:r w:rsidR="0096534C">
          <w:rPr>
            <w:noProof/>
            <w:webHidden/>
          </w:rPr>
          <w:t>31</w:t>
        </w:r>
        <w:r w:rsidR="0096534C">
          <w:rPr>
            <w:noProof/>
            <w:webHidden/>
          </w:rPr>
          <w:fldChar w:fldCharType="end"/>
        </w:r>
      </w:hyperlink>
    </w:p>
    <w:p w14:paraId="53151915" w14:textId="6E078A14" w:rsidR="0096534C" w:rsidRDefault="00883A1D">
      <w:pPr>
        <w:pStyle w:val="TOC1"/>
        <w:tabs>
          <w:tab w:val="left" w:pos="660"/>
          <w:tab w:val="right" w:leader="dot" w:pos="8534"/>
        </w:tabs>
        <w:rPr>
          <w:rFonts w:asciiTheme="minorHAnsi" w:eastAsiaTheme="minorEastAsia" w:hAnsiTheme="minorHAnsi" w:cstheme="minorBidi"/>
          <w:noProof/>
          <w:color w:val="auto"/>
          <w:sz w:val="22"/>
          <w:szCs w:val="22"/>
          <w:lang w:val="es-ES" w:eastAsia="es-ES" w:bidi="ar-SA"/>
        </w:rPr>
      </w:pPr>
      <w:hyperlink w:anchor="_Toc185511128" w:history="1">
        <w:r w:rsidR="0096534C" w:rsidRPr="00CC4A24">
          <w:rPr>
            <w:rStyle w:val="Hyperlink"/>
            <w:noProof/>
          </w:rPr>
          <w:t>11.</w:t>
        </w:r>
        <w:r w:rsidR="0096534C">
          <w:rPr>
            <w:rFonts w:asciiTheme="minorHAnsi" w:eastAsiaTheme="minorEastAsia" w:hAnsiTheme="minorHAnsi" w:cstheme="minorBidi"/>
            <w:noProof/>
            <w:color w:val="auto"/>
            <w:sz w:val="22"/>
            <w:szCs w:val="22"/>
            <w:lang w:val="es-ES" w:eastAsia="es-ES" w:bidi="ar-SA"/>
          </w:rPr>
          <w:tab/>
        </w:r>
        <w:r w:rsidR="0096534C" w:rsidRPr="00CC4A24">
          <w:rPr>
            <w:rStyle w:val="Hyperlink"/>
            <w:noProof/>
          </w:rPr>
          <w:t>Comment présenter la candidature?</w:t>
        </w:r>
        <w:r w:rsidR="0096534C">
          <w:rPr>
            <w:noProof/>
            <w:webHidden/>
          </w:rPr>
          <w:tab/>
        </w:r>
        <w:r w:rsidR="0096534C">
          <w:rPr>
            <w:noProof/>
            <w:webHidden/>
          </w:rPr>
          <w:fldChar w:fldCharType="begin"/>
        </w:r>
        <w:r w:rsidR="0096534C">
          <w:rPr>
            <w:noProof/>
            <w:webHidden/>
          </w:rPr>
          <w:instrText xml:space="preserve"> PAGEREF _Toc185511128 \h </w:instrText>
        </w:r>
        <w:r w:rsidR="0096534C">
          <w:rPr>
            <w:noProof/>
            <w:webHidden/>
          </w:rPr>
        </w:r>
        <w:r w:rsidR="0096534C">
          <w:rPr>
            <w:noProof/>
            <w:webHidden/>
          </w:rPr>
          <w:fldChar w:fldCharType="separate"/>
        </w:r>
        <w:r w:rsidR="0096534C">
          <w:rPr>
            <w:noProof/>
            <w:webHidden/>
          </w:rPr>
          <w:t>31</w:t>
        </w:r>
        <w:r w:rsidR="0096534C">
          <w:rPr>
            <w:noProof/>
            <w:webHidden/>
          </w:rPr>
          <w:fldChar w:fldCharType="end"/>
        </w:r>
      </w:hyperlink>
    </w:p>
    <w:p w14:paraId="6B702600" w14:textId="1070F7C1" w:rsidR="0096534C" w:rsidRDefault="00883A1D">
      <w:pPr>
        <w:pStyle w:val="TOC1"/>
        <w:tabs>
          <w:tab w:val="left" w:pos="660"/>
          <w:tab w:val="right" w:leader="dot" w:pos="8534"/>
        </w:tabs>
        <w:rPr>
          <w:rFonts w:asciiTheme="minorHAnsi" w:eastAsiaTheme="minorEastAsia" w:hAnsiTheme="minorHAnsi" w:cstheme="minorBidi"/>
          <w:noProof/>
          <w:color w:val="auto"/>
          <w:sz w:val="22"/>
          <w:szCs w:val="22"/>
          <w:lang w:val="es-ES" w:eastAsia="es-ES" w:bidi="ar-SA"/>
        </w:rPr>
      </w:pPr>
      <w:hyperlink w:anchor="_Toc185511129" w:history="1">
        <w:r w:rsidR="0096534C" w:rsidRPr="00CC4A24">
          <w:rPr>
            <w:rStyle w:val="Hyperlink"/>
            <w:noProof/>
          </w:rPr>
          <w:t>12.</w:t>
        </w:r>
        <w:r w:rsidR="0096534C">
          <w:rPr>
            <w:rFonts w:asciiTheme="minorHAnsi" w:eastAsiaTheme="minorEastAsia" w:hAnsiTheme="minorHAnsi" w:cstheme="minorBidi"/>
            <w:noProof/>
            <w:color w:val="auto"/>
            <w:sz w:val="22"/>
            <w:szCs w:val="22"/>
            <w:lang w:val="es-ES" w:eastAsia="es-ES" w:bidi="ar-SA"/>
          </w:rPr>
          <w:tab/>
        </w:r>
        <w:r w:rsidR="0096534C" w:rsidRPr="00CC4A24">
          <w:rPr>
            <w:rStyle w:val="Hyperlink"/>
            <w:noProof/>
          </w:rPr>
          <w:t>Aide</w:t>
        </w:r>
        <w:r w:rsidR="0096534C">
          <w:rPr>
            <w:noProof/>
            <w:webHidden/>
          </w:rPr>
          <w:tab/>
        </w:r>
        <w:r w:rsidR="0096534C">
          <w:rPr>
            <w:noProof/>
            <w:webHidden/>
          </w:rPr>
          <w:fldChar w:fldCharType="begin"/>
        </w:r>
        <w:r w:rsidR="0096534C">
          <w:rPr>
            <w:noProof/>
            <w:webHidden/>
          </w:rPr>
          <w:instrText xml:space="preserve"> PAGEREF _Toc185511129 \h </w:instrText>
        </w:r>
        <w:r w:rsidR="0096534C">
          <w:rPr>
            <w:noProof/>
            <w:webHidden/>
          </w:rPr>
        </w:r>
        <w:r w:rsidR="0096534C">
          <w:rPr>
            <w:noProof/>
            <w:webHidden/>
          </w:rPr>
          <w:fldChar w:fldCharType="separate"/>
        </w:r>
        <w:r w:rsidR="0096534C">
          <w:rPr>
            <w:noProof/>
            <w:webHidden/>
          </w:rPr>
          <w:t>33</w:t>
        </w:r>
        <w:r w:rsidR="0096534C">
          <w:rPr>
            <w:noProof/>
            <w:webHidden/>
          </w:rPr>
          <w:fldChar w:fldCharType="end"/>
        </w:r>
      </w:hyperlink>
    </w:p>
    <w:p w14:paraId="46DFC15A" w14:textId="486EB301" w:rsidR="000435C2" w:rsidRPr="0096534C" w:rsidRDefault="00BA0CA3" w:rsidP="008049F0">
      <w:pPr>
        <w:pStyle w:val="Tableofcontents0"/>
        <w:tabs>
          <w:tab w:val="left" w:pos="421"/>
          <w:tab w:val="right" w:leader="dot" w:pos="8606"/>
        </w:tabs>
        <w:ind w:firstLine="0"/>
        <w:jc w:val="both"/>
      </w:pPr>
      <w:r w:rsidRPr="0096534C">
        <w:fldChar w:fldCharType="end"/>
      </w:r>
    </w:p>
    <w:p w14:paraId="4C25EFEF" w14:textId="77777777" w:rsidR="000E41C6" w:rsidRPr="0096534C" w:rsidRDefault="000E41C6" w:rsidP="000E41C6">
      <w:pPr>
        <w:pStyle w:val="Tableofcontents0"/>
        <w:tabs>
          <w:tab w:val="left" w:pos="421"/>
          <w:tab w:val="right" w:leader="dot" w:pos="8606"/>
        </w:tabs>
        <w:jc w:val="both"/>
      </w:pPr>
    </w:p>
    <w:p w14:paraId="534B5D69" w14:textId="77777777" w:rsidR="000E41C6" w:rsidRPr="0096534C" w:rsidRDefault="000E41C6" w:rsidP="000E41C6">
      <w:pPr>
        <w:pStyle w:val="Tableofcontents0"/>
        <w:tabs>
          <w:tab w:val="left" w:pos="421"/>
          <w:tab w:val="right" w:leader="dot" w:pos="8606"/>
        </w:tabs>
        <w:jc w:val="both"/>
      </w:pPr>
    </w:p>
    <w:p w14:paraId="1EC44404" w14:textId="77777777" w:rsidR="000E41C6" w:rsidRPr="0096534C" w:rsidRDefault="000E41C6" w:rsidP="000E41C6">
      <w:pPr>
        <w:pStyle w:val="Tableofcontents0"/>
        <w:tabs>
          <w:tab w:val="left" w:pos="421"/>
          <w:tab w:val="right" w:leader="dot" w:pos="8606"/>
        </w:tabs>
        <w:jc w:val="both"/>
      </w:pPr>
    </w:p>
    <w:p w14:paraId="5A09EF04" w14:textId="77777777" w:rsidR="000435C2" w:rsidRPr="0096534C" w:rsidRDefault="008B332B" w:rsidP="008049F0">
      <w:pPr>
        <w:pStyle w:val="Heading1"/>
        <w:pageBreakBefore/>
        <w:numPr>
          <w:ilvl w:val="0"/>
          <w:numId w:val="0"/>
        </w:numPr>
      </w:pPr>
      <w:bookmarkStart w:id="2" w:name="bookmark5"/>
      <w:bookmarkStart w:id="3" w:name="_Toc185511093"/>
      <w:r w:rsidRPr="0096534C">
        <w:rPr>
          <w:rStyle w:val="Headingnumber30"/>
          <w:b/>
        </w:rPr>
        <w:lastRenderedPageBreak/>
        <w:t>Introduction</w:t>
      </w:r>
      <w:bookmarkEnd w:id="2"/>
      <w:bookmarkEnd w:id="3"/>
    </w:p>
    <w:p w14:paraId="4A234804" w14:textId="77777777" w:rsidR="000435C2" w:rsidRPr="0096534C" w:rsidRDefault="008B332B">
      <w:pPr>
        <w:keepNext/>
        <w:keepLines/>
        <w:spacing w:after="200"/>
        <w:jc w:val="both"/>
      </w:pPr>
      <w:bookmarkStart w:id="4" w:name="bookmark7"/>
      <w:r w:rsidRPr="0096534C">
        <w:t>Le présent appel a pour objet de susciter des propositions de subventions à l’action de l’UE dans le domaine de l’enseignement supérieur au titre de l’</w:t>
      </w:r>
      <w:r w:rsidRPr="0096534C">
        <w:rPr>
          <w:b/>
        </w:rPr>
        <w:t>instrument de voisinage, de coopération au développement et de coopération internationale - Europe dans le monde (IVCDCI-Europe dans le monde)</w:t>
      </w:r>
      <w:r w:rsidRPr="0096534C">
        <w:t>.</w:t>
      </w:r>
      <w:bookmarkEnd w:id="4"/>
    </w:p>
    <w:p w14:paraId="468E99F2" w14:textId="77777777" w:rsidR="000435C2" w:rsidRPr="0096534C" w:rsidRDefault="008B332B">
      <w:pPr>
        <w:pStyle w:val="BodyText"/>
        <w:spacing w:after="200"/>
        <w:jc w:val="both"/>
      </w:pPr>
      <w:r w:rsidRPr="0096534C">
        <w:rPr>
          <w:rStyle w:val="BodyTextChar"/>
        </w:rPr>
        <w:t xml:space="preserve">Le cadre réglementaire de ce programme de financement de l’UE est défini </w:t>
      </w:r>
      <w:proofErr w:type="gramStart"/>
      <w:r w:rsidRPr="0096534C">
        <w:rPr>
          <w:rStyle w:val="BodyTextChar"/>
        </w:rPr>
        <w:t>dans:</w:t>
      </w:r>
      <w:proofErr w:type="gramEnd"/>
    </w:p>
    <w:p w14:paraId="67B4A03E" w14:textId="39CBAB4C" w:rsidR="000435C2" w:rsidRPr="0096534C" w:rsidRDefault="008B332B" w:rsidP="0056686A">
      <w:pPr>
        <w:pStyle w:val="Style1"/>
      </w:pPr>
      <w:proofErr w:type="gramStart"/>
      <w:r w:rsidRPr="0096534C">
        <w:rPr>
          <w:rStyle w:val="BodyTextChar"/>
        </w:rPr>
        <w:t>le</w:t>
      </w:r>
      <w:proofErr w:type="gramEnd"/>
      <w:r w:rsidRPr="0096534C">
        <w:rPr>
          <w:rStyle w:val="BodyTextChar"/>
        </w:rPr>
        <w:t xml:space="preserve"> règlement (UE) 2018/1046 (règlement financier de l’UE);</w:t>
      </w:r>
    </w:p>
    <w:p w14:paraId="177467BB" w14:textId="77777777" w:rsidR="000435C2" w:rsidRPr="0096534C" w:rsidRDefault="008B332B" w:rsidP="0056686A">
      <w:pPr>
        <w:pStyle w:val="Style1"/>
      </w:pPr>
      <w:proofErr w:type="gramStart"/>
      <w:r w:rsidRPr="0096534C">
        <w:rPr>
          <w:rStyle w:val="BodyTextChar"/>
        </w:rPr>
        <w:t>l’acte</w:t>
      </w:r>
      <w:proofErr w:type="gramEnd"/>
      <w:r w:rsidRPr="0096534C">
        <w:rPr>
          <w:rStyle w:val="BodyTextChar"/>
        </w:rPr>
        <w:t xml:space="preserve"> de base [règlement (UE) </w:t>
      </w:r>
      <w:hyperlink r:id="rId17" w:history="1">
        <w:r w:rsidRPr="0096534C">
          <w:rPr>
            <w:rStyle w:val="BodyTextChar"/>
          </w:rPr>
          <w:t xml:space="preserve"> </w:t>
        </w:r>
        <w:r w:rsidRPr="0096534C">
          <w:rPr>
            <w:rStyle w:val="BodyTextChar"/>
            <w:color w:val="0088CC"/>
          </w:rPr>
          <w:t>2021/947</w:t>
        </w:r>
      </w:hyperlink>
      <w:r w:rsidRPr="0096534C">
        <w:t>(IVCDCI)</w:t>
      </w:r>
      <w:r w:rsidRPr="0096534C">
        <w:rPr>
          <w:rStyle w:val="BodyTextChar"/>
        </w:rPr>
        <w:t>].</w:t>
      </w:r>
      <w:r w:rsidRPr="0096534C">
        <w:rPr>
          <w:rStyle w:val="BodyTextChar"/>
          <w:vertAlign w:val="superscript"/>
        </w:rPr>
        <w:footnoteReference w:id="1"/>
      </w:r>
    </w:p>
    <w:p w14:paraId="67BC386A" w14:textId="77777777" w:rsidR="000435C2" w:rsidRPr="0096534C" w:rsidRDefault="008B332B">
      <w:pPr>
        <w:pStyle w:val="BodyText"/>
        <w:spacing w:after="200"/>
        <w:jc w:val="both"/>
      </w:pPr>
      <w:r w:rsidRPr="0096534C">
        <w:rPr>
          <w:rStyle w:val="BodyTextChar"/>
        </w:rPr>
        <w:t>L’appel est lancé conformément à la décision de financement 2022-2024</w:t>
      </w:r>
      <w:r w:rsidRPr="0096534C">
        <w:rPr>
          <w:rStyle w:val="BodyTextChar"/>
          <w:vertAlign w:val="superscript"/>
        </w:rPr>
        <w:footnoteReference w:id="2"/>
      </w:r>
      <w:r w:rsidRPr="0096534C">
        <w:rPr>
          <w:rStyle w:val="BodyTextChar"/>
        </w:rPr>
        <w:t xml:space="preserve"> et sera géré par l’</w:t>
      </w:r>
      <w:r w:rsidRPr="0096534C">
        <w:rPr>
          <w:rStyle w:val="BodyTextChar"/>
          <w:b/>
        </w:rPr>
        <w:t xml:space="preserve">Agence exécutive européenne pour l’éducation et la culture (EACEA) </w:t>
      </w:r>
      <w:r w:rsidRPr="0096534C">
        <w:rPr>
          <w:rStyle w:val="BodyTextChar"/>
        </w:rPr>
        <w:t>(ci-après l</w:t>
      </w:r>
      <w:proofErr w:type="gramStart"/>
      <w:r w:rsidRPr="0096534C">
        <w:rPr>
          <w:rStyle w:val="BodyTextChar"/>
        </w:rPr>
        <w:t>’«Agence</w:t>
      </w:r>
      <w:proofErr w:type="gramEnd"/>
      <w:r w:rsidRPr="0096534C">
        <w:rPr>
          <w:rStyle w:val="BodyTextChar"/>
        </w:rPr>
        <w:t>»).</w:t>
      </w:r>
    </w:p>
    <w:p w14:paraId="3ACD1F49" w14:textId="77777777" w:rsidR="000435C2" w:rsidRPr="0096534C" w:rsidRDefault="008B332B">
      <w:pPr>
        <w:pStyle w:val="BodyText"/>
        <w:spacing w:after="200"/>
        <w:jc w:val="both"/>
      </w:pPr>
      <w:r w:rsidRPr="0096534C">
        <w:rPr>
          <w:rStyle w:val="BodyTextChar"/>
        </w:rPr>
        <w:t xml:space="preserve">L’appel porte sur le </w:t>
      </w:r>
      <w:r w:rsidRPr="0096534C">
        <w:rPr>
          <w:rStyle w:val="BodyTextChar"/>
          <w:b/>
        </w:rPr>
        <w:t>thème</w:t>
      </w:r>
      <w:r w:rsidRPr="0096534C">
        <w:rPr>
          <w:rStyle w:val="BodyTextChar"/>
        </w:rPr>
        <w:t xml:space="preserve"> </w:t>
      </w:r>
      <w:proofErr w:type="gramStart"/>
      <w:r w:rsidRPr="0096534C">
        <w:rPr>
          <w:rStyle w:val="BodyTextChar"/>
        </w:rPr>
        <w:t>suivant:</w:t>
      </w:r>
      <w:proofErr w:type="gramEnd"/>
    </w:p>
    <w:p w14:paraId="6A36191F" w14:textId="5B8695FA" w:rsidR="000435C2" w:rsidRPr="0096534C" w:rsidRDefault="00883A1D" w:rsidP="006008C4">
      <w:pPr>
        <w:keepNext/>
        <w:keepLines/>
        <w:numPr>
          <w:ilvl w:val="0"/>
          <w:numId w:val="42"/>
        </w:numPr>
        <w:tabs>
          <w:tab w:val="left" w:pos="682"/>
        </w:tabs>
        <w:spacing w:after="200"/>
        <w:ind w:left="709" w:hanging="425"/>
        <w:jc w:val="both"/>
        <w:rPr>
          <w:b/>
          <w:bCs/>
          <w:color w:val="FF0000"/>
        </w:rPr>
      </w:pPr>
      <w:bookmarkStart w:id="5" w:name="bookmark9"/>
      <w:r>
        <w:rPr>
          <w:b/>
          <w:color w:val="FF0000"/>
        </w:rPr>
        <w:t>N</w:t>
      </w:r>
      <w:r w:rsidR="008B332B" w:rsidRPr="0096534C">
        <w:rPr>
          <w:b/>
          <w:color w:val="FF0000"/>
        </w:rPr>
        <w:t>D</w:t>
      </w:r>
      <w:r>
        <w:rPr>
          <w:b/>
          <w:color w:val="FF0000"/>
        </w:rPr>
        <w:t>I</w:t>
      </w:r>
      <w:r w:rsidR="008B332B" w:rsidRPr="0096534C">
        <w:rPr>
          <w:b/>
          <w:color w:val="FF0000"/>
        </w:rPr>
        <w:t>CI-2024-MOBAF — Programme de mobilité universitaire intra-Afrique</w:t>
      </w:r>
      <w:bookmarkEnd w:id="5"/>
    </w:p>
    <w:p w14:paraId="386E9FCA" w14:textId="7B937A00" w:rsidR="000435C2" w:rsidRPr="0096534C" w:rsidRDefault="008B332B" w:rsidP="0056686A">
      <w:pPr>
        <w:pStyle w:val="Style2"/>
      </w:pPr>
      <w:r w:rsidRPr="0096534C">
        <w:rPr>
          <w:rStyle w:val="BodyTextChar"/>
        </w:rPr>
        <w:t xml:space="preserve">Nous vous invitons à lire attentivement la </w:t>
      </w:r>
      <w:r w:rsidRPr="0096534C">
        <w:rPr>
          <w:rStyle w:val="BodyTextChar"/>
          <w:b/>
        </w:rPr>
        <w:t>documentation relative à l’appel</w:t>
      </w:r>
      <w:r w:rsidRPr="0096534C">
        <w:rPr>
          <w:rStyle w:val="BodyTextChar"/>
        </w:rPr>
        <w:t xml:space="preserve"> et en particulier le présent document relatif à l’appel, le modèle de convention de subvention, le</w:t>
      </w:r>
      <w:hyperlink r:id="rId18" w:history="1">
        <w:r w:rsidRPr="0096534C">
          <w:rPr>
            <w:rStyle w:val="BodyTextChar"/>
          </w:rPr>
          <w:t xml:space="preserve"> </w:t>
        </w:r>
        <w:r w:rsidRPr="0096534C">
          <w:rPr>
            <w:rStyle w:val="BodyTextChar"/>
            <w:color w:val="0088CC"/>
            <w:u w:val="single"/>
          </w:rPr>
          <w:t>manuel en ligne du portail «Funding &amp; Tenders» de l’UE</w:t>
        </w:r>
      </w:hyperlink>
      <w:r w:rsidRPr="0096534C">
        <w:t xml:space="preserve"> et la </w:t>
      </w:r>
      <w:hyperlink r:id="rId19" w:history="1">
        <w:r w:rsidRPr="0096534C">
          <w:rPr>
            <w:rStyle w:val="BodyTextChar"/>
          </w:rPr>
          <w:t>convention de subvention annotée (AGA) de l’UE</w:t>
        </w:r>
      </w:hyperlink>
      <w:r w:rsidRPr="0096534C">
        <w:t>.</w:t>
      </w:r>
    </w:p>
    <w:p w14:paraId="06F4E6F2" w14:textId="77777777" w:rsidR="000435C2" w:rsidRPr="0096534C" w:rsidRDefault="008B332B">
      <w:pPr>
        <w:pStyle w:val="BodyText"/>
        <w:spacing w:after="200"/>
        <w:jc w:val="both"/>
      </w:pPr>
      <w:r w:rsidRPr="0096534C">
        <w:rPr>
          <w:rStyle w:val="BodyTextChar"/>
        </w:rPr>
        <w:t xml:space="preserve">Ces documents fournissent des éclaircissements et des réponses aux questions que vous pourriez vous poser au moment où vous élaborerez votre </w:t>
      </w:r>
      <w:proofErr w:type="gramStart"/>
      <w:r w:rsidRPr="0096534C">
        <w:rPr>
          <w:rStyle w:val="BodyTextChar"/>
        </w:rPr>
        <w:t>demande:</w:t>
      </w:r>
      <w:proofErr w:type="gramEnd"/>
    </w:p>
    <w:p w14:paraId="7C4C8E3A" w14:textId="77777777" w:rsidR="000435C2" w:rsidRPr="0096534C" w:rsidRDefault="008B332B">
      <w:pPr>
        <w:pStyle w:val="BodyText"/>
        <w:numPr>
          <w:ilvl w:val="0"/>
          <w:numId w:val="2"/>
        </w:numPr>
        <w:tabs>
          <w:tab w:val="left" w:pos="721"/>
        </w:tabs>
        <w:spacing w:after="200"/>
        <w:ind w:firstLine="420"/>
        <w:jc w:val="both"/>
      </w:pPr>
      <w:proofErr w:type="gramStart"/>
      <w:r w:rsidRPr="0096534C">
        <w:rPr>
          <w:rStyle w:val="BodyTextChar"/>
        </w:rPr>
        <w:t>le</w:t>
      </w:r>
      <w:proofErr w:type="gramEnd"/>
      <w:r w:rsidRPr="0096534C">
        <w:rPr>
          <w:rStyle w:val="BodyTextChar"/>
        </w:rPr>
        <w:t xml:space="preserve"> </w:t>
      </w:r>
      <w:r w:rsidRPr="0096534C">
        <w:rPr>
          <w:rStyle w:val="BodyTextChar"/>
          <w:u w:val="single"/>
        </w:rPr>
        <w:t>document relatif à l’appel</w:t>
      </w:r>
      <w:r w:rsidRPr="0096534C">
        <w:rPr>
          <w:rStyle w:val="BodyTextChar"/>
        </w:rPr>
        <w:t xml:space="preserve"> décrit:</w:t>
      </w:r>
    </w:p>
    <w:p w14:paraId="1FF94FBE" w14:textId="77777777" w:rsidR="000435C2" w:rsidRPr="0096534C" w:rsidRDefault="008B332B">
      <w:pPr>
        <w:pStyle w:val="BodyText"/>
        <w:numPr>
          <w:ilvl w:val="0"/>
          <w:numId w:val="3"/>
        </w:numPr>
        <w:tabs>
          <w:tab w:val="left" w:pos="1513"/>
        </w:tabs>
        <w:spacing w:after="200"/>
        <w:ind w:left="1500" w:hanging="360"/>
        <w:jc w:val="both"/>
      </w:pPr>
      <w:proofErr w:type="gramStart"/>
      <w:r w:rsidRPr="0096534C">
        <w:rPr>
          <w:rStyle w:val="BodyTextChar"/>
        </w:rPr>
        <w:t>le</w:t>
      </w:r>
      <w:proofErr w:type="gramEnd"/>
      <w:r w:rsidRPr="0096534C">
        <w:rPr>
          <w:rStyle w:val="BodyTextChar"/>
        </w:rPr>
        <w:t xml:space="preserve"> contexte, les objectifs, le champ d’application, les activités pouvant être financées et les résultats attendus (sections 1 et 2);</w:t>
      </w:r>
    </w:p>
    <w:p w14:paraId="3A74EB7D" w14:textId="77777777" w:rsidR="000435C2" w:rsidRPr="0096534C" w:rsidRDefault="008B332B">
      <w:pPr>
        <w:pStyle w:val="BodyText"/>
        <w:numPr>
          <w:ilvl w:val="0"/>
          <w:numId w:val="3"/>
        </w:numPr>
        <w:tabs>
          <w:tab w:val="left" w:pos="1513"/>
        </w:tabs>
        <w:spacing w:after="200"/>
        <w:ind w:left="1140"/>
        <w:jc w:val="both"/>
      </w:pPr>
      <w:proofErr w:type="gramStart"/>
      <w:r w:rsidRPr="0096534C">
        <w:rPr>
          <w:rStyle w:val="BodyTextChar"/>
        </w:rPr>
        <w:t>le</w:t>
      </w:r>
      <w:proofErr w:type="gramEnd"/>
      <w:r w:rsidRPr="0096534C">
        <w:rPr>
          <w:rStyle w:val="BodyTextChar"/>
        </w:rPr>
        <w:t xml:space="preserve"> calendrier et le budget disponible (sections 3 et 4);</w:t>
      </w:r>
    </w:p>
    <w:p w14:paraId="327AEE7B" w14:textId="77777777" w:rsidR="000435C2" w:rsidRPr="0096534C" w:rsidRDefault="008B332B">
      <w:pPr>
        <w:pStyle w:val="BodyText"/>
        <w:numPr>
          <w:ilvl w:val="0"/>
          <w:numId w:val="3"/>
        </w:numPr>
        <w:tabs>
          <w:tab w:val="left" w:pos="1513"/>
        </w:tabs>
        <w:spacing w:after="200"/>
        <w:ind w:left="1500" w:hanging="360"/>
        <w:jc w:val="both"/>
      </w:pPr>
      <w:proofErr w:type="gramStart"/>
      <w:r w:rsidRPr="0096534C">
        <w:rPr>
          <w:rStyle w:val="BodyTextChar"/>
        </w:rPr>
        <w:t>les</w:t>
      </w:r>
      <w:proofErr w:type="gramEnd"/>
      <w:r w:rsidRPr="0096534C">
        <w:rPr>
          <w:rStyle w:val="BodyTextChar"/>
        </w:rPr>
        <w:t xml:space="preserve"> conditions d’admissibilité et d’éligibilité (y compris les documents obligatoires; sections 5 et 6);</w:t>
      </w:r>
    </w:p>
    <w:p w14:paraId="311BB6E2" w14:textId="77777777" w:rsidR="000435C2" w:rsidRPr="0096534C" w:rsidRDefault="008B332B">
      <w:pPr>
        <w:pStyle w:val="BodyText"/>
        <w:numPr>
          <w:ilvl w:val="0"/>
          <w:numId w:val="3"/>
        </w:numPr>
        <w:tabs>
          <w:tab w:val="left" w:pos="1513"/>
        </w:tabs>
        <w:spacing w:after="200"/>
        <w:ind w:left="1140"/>
        <w:jc w:val="both"/>
      </w:pPr>
      <w:proofErr w:type="gramStart"/>
      <w:r w:rsidRPr="0096534C">
        <w:rPr>
          <w:rStyle w:val="BodyTextChar"/>
        </w:rPr>
        <w:t>les</w:t>
      </w:r>
      <w:proofErr w:type="gramEnd"/>
      <w:r w:rsidRPr="0096534C">
        <w:rPr>
          <w:rStyle w:val="BodyTextChar"/>
        </w:rPr>
        <w:t xml:space="preserve"> critères de capacité financière et opérationnelle et d’exclusion (section 7);</w:t>
      </w:r>
    </w:p>
    <w:p w14:paraId="0F43B98C" w14:textId="77777777" w:rsidR="000435C2" w:rsidRPr="0096534C" w:rsidRDefault="008B332B">
      <w:pPr>
        <w:pStyle w:val="BodyText"/>
        <w:numPr>
          <w:ilvl w:val="0"/>
          <w:numId w:val="3"/>
        </w:numPr>
        <w:tabs>
          <w:tab w:val="left" w:pos="1513"/>
        </w:tabs>
        <w:spacing w:after="200"/>
        <w:ind w:left="1140"/>
        <w:jc w:val="both"/>
      </w:pPr>
      <w:proofErr w:type="gramStart"/>
      <w:r w:rsidRPr="0096534C">
        <w:rPr>
          <w:rStyle w:val="BodyTextChar"/>
        </w:rPr>
        <w:t>la</w:t>
      </w:r>
      <w:proofErr w:type="gramEnd"/>
      <w:r w:rsidRPr="0096534C">
        <w:rPr>
          <w:rStyle w:val="BodyTextChar"/>
        </w:rPr>
        <w:t xml:space="preserve"> procédure d’évaluation et d’attribution (section 8);</w:t>
      </w:r>
    </w:p>
    <w:p w14:paraId="3431E13D" w14:textId="77777777" w:rsidR="000435C2" w:rsidRPr="0096534C" w:rsidRDefault="008B332B">
      <w:pPr>
        <w:pStyle w:val="BodyText"/>
        <w:numPr>
          <w:ilvl w:val="0"/>
          <w:numId w:val="3"/>
        </w:numPr>
        <w:tabs>
          <w:tab w:val="left" w:pos="1513"/>
        </w:tabs>
        <w:spacing w:after="200"/>
        <w:ind w:left="1140"/>
        <w:jc w:val="both"/>
      </w:pPr>
      <w:proofErr w:type="gramStart"/>
      <w:r w:rsidRPr="0096534C">
        <w:rPr>
          <w:rStyle w:val="BodyTextChar"/>
        </w:rPr>
        <w:t>les</w:t>
      </w:r>
      <w:proofErr w:type="gramEnd"/>
      <w:r w:rsidRPr="0096534C">
        <w:rPr>
          <w:rStyle w:val="BodyTextChar"/>
        </w:rPr>
        <w:t xml:space="preserve"> critères d’attribution (section 9);</w:t>
      </w:r>
    </w:p>
    <w:p w14:paraId="789AAF88" w14:textId="77777777" w:rsidR="000435C2" w:rsidRPr="0096534C" w:rsidRDefault="008B332B">
      <w:pPr>
        <w:pStyle w:val="BodyText"/>
        <w:numPr>
          <w:ilvl w:val="0"/>
          <w:numId w:val="3"/>
        </w:numPr>
        <w:tabs>
          <w:tab w:val="left" w:pos="1513"/>
        </w:tabs>
        <w:spacing w:after="200"/>
        <w:ind w:left="1140"/>
        <w:jc w:val="both"/>
      </w:pPr>
      <w:proofErr w:type="gramStart"/>
      <w:r w:rsidRPr="0096534C">
        <w:rPr>
          <w:rStyle w:val="BodyTextChar"/>
        </w:rPr>
        <w:t>la</w:t>
      </w:r>
      <w:proofErr w:type="gramEnd"/>
      <w:r w:rsidRPr="0096534C">
        <w:rPr>
          <w:rStyle w:val="BodyTextChar"/>
        </w:rPr>
        <w:t xml:space="preserve"> structure juridique et financière des conventions de subvention (section 10);</w:t>
      </w:r>
    </w:p>
    <w:p w14:paraId="614CF475" w14:textId="77777777" w:rsidR="000435C2" w:rsidRPr="0096534C" w:rsidRDefault="008B332B">
      <w:pPr>
        <w:pStyle w:val="BodyText"/>
        <w:numPr>
          <w:ilvl w:val="0"/>
          <w:numId w:val="3"/>
        </w:numPr>
        <w:tabs>
          <w:tab w:val="left" w:pos="1513"/>
        </w:tabs>
        <w:spacing w:after="200"/>
        <w:ind w:left="1140"/>
        <w:jc w:val="both"/>
      </w:pPr>
      <w:proofErr w:type="gramStart"/>
      <w:r w:rsidRPr="0096534C">
        <w:rPr>
          <w:rStyle w:val="BodyTextChar"/>
        </w:rPr>
        <w:lastRenderedPageBreak/>
        <w:t>les</w:t>
      </w:r>
      <w:proofErr w:type="gramEnd"/>
      <w:r w:rsidRPr="0096534C">
        <w:rPr>
          <w:rStyle w:val="BodyTextChar"/>
        </w:rPr>
        <w:t xml:space="preserve"> modalités de dépôt d’une demande (section 11).</w:t>
      </w:r>
    </w:p>
    <w:p w14:paraId="604B16AD" w14:textId="77777777" w:rsidR="000435C2" w:rsidRPr="0096534C" w:rsidRDefault="008B332B">
      <w:pPr>
        <w:pStyle w:val="BodyText"/>
        <w:numPr>
          <w:ilvl w:val="0"/>
          <w:numId w:val="4"/>
        </w:numPr>
        <w:tabs>
          <w:tab w:val="left" w:pos="721"/>
        </w:tabs>
        <w:spacing w:after="200"/>
        <w:ind w:firstLine="420"/>
        <w:jc w:val="both"/>
      </w:pPr>
      <w:proofErr w:type="gramStart"/>
      <w:r w:rsidRPr="0096534C">
        <w:rPr>
          <w:rStyle w:val="BodyTextChar"/>
        </w:rPr>
        <w:t>le</w:t>
      </w:r>
      <w:proofErr w:type="gramEnd"/>
      <w:r w:rsidRPr="0096534C">
        <w:rPr>
          <w:rStyle w:val="BodyTextChar"/>
        </w:rPr>
        <w:t xml:space="preserve"> </w:t>
      </w:r>
      <w:r w:rsidRPr="0096534C">
        <w:rPr>
          <w:rStyle w:val="BodyTextChar"/>
          <w:u w:val="single"/>
        </w:rPr>
        <w:t>manuel en ligne</w:t>
      </w:r>
      <w:r w:rsidRPr="0096534C">
        <w:rPr>
          <w:rStyle w:val="BodyTextChar"/>
        </w:rPr>
        <w:t xml:space="preserve"> présente les éléments suivants:</w:t>
      </w:r>
    </w:p>
    <w:p w14:paraId="3BB1D373" w14:textId="77777777" w:rsidR="000435C2" w:rsidRPr="0096534C" w:rsidRDefault="008B332B">
      <w:pPr>
        <w:pStyle w:val="BodyText"/>
        <w:numPr>
          <w:ilvl w:val="0"/>
          <w:numId w:val="4"/>
        </w:numPr>
        <w:tabs>
          <w:tab w:val="left" w:pos="1513"/>
        </w:tabs>
        <w:spacing w:after="200"/>
        <w:ind w:left="1500" w:hanging="360"/>
        <w:jc w:val="both"/>
      </w:pPr>
      <w:proofErr w:type="gramStart"/>
      <w:r w:rsidRPr="0096534C">
        <w:rPr>
          <w:rStyle w:val="BodyTextChar"/>
        </w:rPr>
        <w:t>les</w:t>
      </w:r>
      <w:proofErr w:type="gramEnd"/>
      <w:r w:rsidRPr="0096534C">
        <w:rPr>
          <w:rStyle w:val="BodyTextChar"/>
        </w:rPr>
        <w:t xml:space="preserve"> procédures d’enregistrement et de dépôt des propositions en ligne via le portail «EU Funding &amp; Tenders» (ci-après le «portail»);</w:t>
      </w:r>
    </w:p>
    <w:p w14:paraId="3009AC22" w14:textId="77777777" w:rsidR="000435C2" w:rsidRPr="0096534C" w:rsidRDefault="008B332B">
      <w:pPr>
        <w:pStyle w:val="BodyText"/>
        <w:numPr>
          <w:ilvl w:val="0"/>
          <w:numId w:val="4"/>
        </w:numPr>
        <w:tabs>
          <w:tab w:val="left" w:pos="1460"/>
        </w:tabs>
        <w:ind w:left="1100"/>
        <w:jc w:val="both"/>
      </w:pPr>
      <w:proofErr w:type="gramStart"/>
      <w:r w:rsidRPr="0096534C">
        <w:rPr>
          <w:rStyle w:val="BodyTextChar"/>
        </w:rPr>
        <w:t>des</w:t>
      </w:r>
      <w:proofErr w:type="gramEnd"/>
      <w:r w:rsidRPr="0096534C">
        <w:rPr>
          <w:rStyle w:val="BodyTextChar"/>
        </w:rPr>
        <w:t xml:space="preserve"> recommandations pour l’élaboration de la demande.</w:t>
      </w:r>
    </w:p>
    <w:p w14:paraId="7E1D6785" w14:textId="407555FB" w:rsidR="000435C2" w:rsidRPr="0096534C" w:rsidRDefault="008B332B" w:rsidP="0056686A">
      <w:pPr>
        <w:pStyle w:val="BodyText"/>
        <w:numPr>
          <w:ilvl w:val="0"/>
          <w:numId w:val="4"/>
        </w:numPr>
        <w:tabs>
          <w:tab w:val="left" w:pos="721"/>
        </w:tabs>
        <w:spacing w:after="200"/>
        <w:ind w:firstLine="420"/>
        <w:jc w:val="both"/>
      </w:pPr>
      <w:proofErr w:type="gramStart"/>
      <w:r w:rsidRPr="0096534C">
        <w:rPr>
          <w:rStyle w:val="BodyTextChar"/>
        </w:rPr>
        <w:t>la</w:t>
      </w:r>
      <w:proofErr w:type="gramEnd"/>
      <w:r w:rsidRPr="0096534C">
        <w:rPr>
          <w:rStyle w:val="BodyTextChar"/>
        </w:rPr>
        <w:t xml:space="preserve"> </w:t>
      </w:r>
      <w:r w:rsidRPr="0096534C">
        <w:rPr>
          <w:rStyle w:val="BodyTextChar"/>
          <w:u w:val="single"/>
        </w:rPr>
        <w:t>convention de subvention annotée (AGA)</w:t>
      </w:r>
      <w:r w:rsidRPr="0096534C">
        <w:rPr>
          <w:rStyle w:val="BodyTextChar"/>
        </w:rPr>
        <w:t xml:space="preserve"> contient:</w:t>
      </w:r>
    </w:p>
    <w:p w14:paraId="49194AFB" w14:textId="77777777" w:rsidR="000435C2" w:rsidRPr="0096534C" w:rsidRDefault="008B332B">
      <w:pPr>
        <w:pStyle w:val="BodyText"/>
        <w:numPr>
          <w:ilvl w:val="0"/>
          <w:numId w:val="4"/>
        </w:numPr>
        <w:tabs>
          <w:tab w:val="left" w:pos="1460"/>
        </w:tabs>
        <w:ind w:left="1460" w:hanging="360"/>
        <w:jc w:val="both"/>
      </w:pPr>
      <w:proofErr w:type="gramStart"/>
      <w:r w:rsidRPr="0096534C">
        <w:rPr>
          <w:rStyle w:val="BodyTextChar"/>
        </w:rPr>
        <w:t>des</w:t>
      </w:r>
      <w:proofErr w:type="gramEnd"/>
      <w:r w:rsidRPr="0096534C">
        <w:rPr>
          <w:rStyle w:val="BodyTextChar"/>
        </w:rPr>
        <w:t xml:space="preserve"> annotations détaillées sur toutes les dispositions de la convention de subvention que vous devrez signer pour obtenir la subvention </w:t>
      </w:r>
      <w:r w:rsidRPr="0096534C">
        <w:rPr>
          <w:rStyle w:val="BodyTextChar"/>
          <w:i/>
        </w:rPr>
        <w:t>(y compris l’éligibilité des coûts, le calendrier de paiement, les obligations accessoires, etc.)</w:t>
      </w:r>
      <w:r w:rsidRPr="0096534C">
        <w:rPr>
          <w:rStyle w:val="BodyTextChar"/>
        </w:rPr>
        <w:t>.</w:t>
      </w:r>
    </w:p>
    <w:p w14:paraId="6A5E6E26" w14:textId="64922DD3" w:rsidR="000435C2" w:rsidRPr="0096534C" w:rsidRDefault="008B332B" w:rsidP="0056686A">
      <w:pPr>
        <w:pStyle w:val="Style3"/>
      </w:pPr>
      <w:r w:rsidRPr="0096534C">
        <w:rPr>
          <w:rStyle w:val="BodyTextChar"/>
        </w:rPr>
        <w:t xml:space="preserve">Vous êtes également encouragé à visiter la page consacrée aux </w:t>
      </w:r>
      <w:r w:rsidRPr="0096534C">
        <w:rPr>
          <w:rStyle w:val="BodyTextChar"/>
          <w:color w:val="0088CC"/>
          <w:u w:val="single"/>
        </w:rPr>
        <w:t>bourses d’études intra-Afrique sur le domaine europa.eu</w:t>
      </w:r>
      <w:hyperlink r:id="rId20" w:history="1">
        <w:r w:rsidRPr="0096534C">
          <w:rPr>
            <w:rStyle w:val="BodyTextChar"/>
          </w:rPr>
          <w:t xml:space="preserve"> </w:t>
        </w:r>
      </w:hyperlink>
      <w:r w:rsidRPr="0096534C">
        <w:rPr>
          <w:rStyle w:val="BodyTextChar"/>
        </w:rPr>
        <w:t>afin de consulter la liste des projets financés précédemment.</w:t>
      </w:r>
    </w:p>
    <w:p w14:paraId="43B4A862" w14:textId="45A8C30B" w:rsidR="000435C2" w:rsidRPr="0096534C" w:rsidRDefault="008B332B" w:rsidP="00A45543">
      <w:pPr>
        <w:pStyle w:val="Heading1"/>
      </w:pPr>
      <w:bookmarkStart w:id="6" w:name="bookmark11"/>
      <w:bookmarkStart w:id="7" w:name="_Toc185511094"/>
      <w:r w:rsidRPr="0096534C">
        <w:rPr>
          <w:rStyle w:val="Heading3"/>
          <w:b/>
        </w:rPr>
        <w:t>Contexte</w:t>
      </w:r>
      <w:bookmarkEnd w:id="6"/>
      <w:bookmarkEnd w:id="7"/>
    </w:p>
    <w:p w14:paraId="04AC85C1" w14:textId="77777777" w:rsidR="000435C2" w:rsidRPr="0096534C" w:rsidRDefault="008B332B">
      <w:pPr>
        <w:pStyle w:val="BodyText"/>
        <w:spacing w:after="100"/>
        <w:jc w:val="both"/>
      </w:pPr>
      <w:r w:rsidRPr="0096534C">
        <w:rPr>
          <w:rStyle w:val="BodyTextChar"/>
        </w:rPr>
        <w:t xml:space="preserve">La stratégie </w:t>
      </w:r>
      <w:r w:rsidRPr="0096534C">
        <w:rPr>
          <w:rStyle w:val="BodyTextChar"/>
          <w:b/>
        </w:rPr>
        <w:t>Global Gateway</w:t>
      </w:r>
      <w:r w:rsidRPr="0096534C">
        <w:rPr>
          <w:rStyle w:val="BodyTextChar"/>
        </w:rPr>
        <w:t xml:space="preserve"> est la stratégie de l’Europe visant à développer des liens intelligents, propres et sûrs dans les domaines du numérique, de l’énergie et des transports et à renforcer les systèmes de santé, d’éducation et de recherche dans le monde entier</w:t>
      </w:r>
      <w:r w:rsidRPr="0096534C">
        <w:rPr>
          <w:rStyle w:val="BodyTextChar"/>
          <w:vertAlign w:val="superscript"/>
        </w:rPr>
        <w:footnoteReference w:id="3"/>
      </w:r>
      <w:r w:rsidRPr="0096534C">
        <w:rPr>
          <w:rStyle w:val="BodyTextChar"/>
        </w:rPr>
        <w:t>. Dans ce cadre, l’UE vise à mobiliser 300 milliards d’EUR d’investissements d’ici à 2027, dont environ 150 milliards d’EUR consacrés au renforcement de la coopération avec les partenaires africains dans le cadre du paquet d’investissements</w:t>
      </w:r>
      <w:proofErr w:type="gramStart"/>
      <w:r w:rsidRPr="0096534C">
        <w:rPr>
          <w:rStyle w:val="BodyTextChar"/>
        </w:rPr>
        <w:t xml:space="preserve"> «Global</w:t>
      </w:r>
      <w:proofErr w:type="gramEnd"/>
      <w:r w:rsidRPr="0096534C">
        <w:rPr>
          <w:rStyle w:val="BodyTextChar"/>
        </w:rPr>
        <w:t xml:space="preserve"> Gateway» Afrique-Europe.</w:t>
      </w:r>
    </w:p>
    <w:p w14:paraId="699401E5" w14:textId="77777777" w:rsidR="000435C2" w:rsidRPr="0096534C" w:rsidRDefault="008B332B">
      <w:pPr>
        <w:pStyle w:val="BodyText"/>
        <w:spacing w:after="100"/>
        <w:jc w:val="both"/>
      </w:pPr>
      <w:r w:rsidRPr="0096534C">
        <w:rPr>
          <w:rStyle w:val="BodyTextChar"/>
        </w:rPr>
        <w:t>Il est essentiel de progresser vers une économie fondée sur la connaissance et de placer le capital humain qualifié au cœur des priorités de l’Afrique pour renforcer l’autonomie stratégique, la force et la résilience de ce continent afin de relever les grands défis auxquels il est confronté. L’Agenda 2063 de l’Afrique vise à catalyser la révolution de l’éducation et des compétences et à promouvoir activement la science, la technologie, la recherche et l’innovation, afin de développer la connaissance, le capital humain, les capacités et les compétences nécessaires pour stimuler l’innovation.</w:t>
      </w:r>
    </w:p>
    <w:p w14:paraId="6E19A4A7" w14:textId="77777777" w:rsidR="000435C2" w:rsidRPr="0096534C" w:rsidRDefault="008B332B">
      <w:pPr>
        <w:pStyle w:val="BodyText"/>
        <w:spacing w:after="100"/>
        <w:jc w:val="both"/>
      </w:pPr>
      <w:r w:rsidRPr="0096534C">
        <w:rPr>
          <w:rStyle w:val="BodyTextChar"/>
        </w:rPr>
        <w:t>Les systèmes et les établissements d’enseignement supérieur, en travaillant de concert, contribuent à accélérer les progrès vers la mise en œuvre des cinq piliers du paquet d’investissements</w:t>
      </w:r>
      <w:proofErr w:type="gramStart"/>
      <w:r w:rsidRPr="0096534C">
        <w:rPr>
          <w:rStyle w:val="BodyTextChar"/>
        </w:rPr>
        <w:t xml:space="preserve"> «Global</w:t>
      </w:r>
      <w:proofErr w:type="gramEnd"/>
      <w:r w:rsidRPr="0096534C">
        <w:rPr>
          <w:rStyle w:val="BodyTextChar"/>
        </w:rPr>
        <w:t xml:space="preserve"> Gateway» Afrique-Europe. Les points d’entrée peuvent prendre la forme d’une ou de plusieurs des quatre principales fonctions que les EES sont censés remplir, à savoir: i) la préparation de professionnels qualifiés à un emploi productif; ii) la production, l’adaptation et la diffusion des connaissances par la recherche et l’innovation et l’engagement auprès de l’économie locale; iii) le renforcement des capacités institutionnelles; et iv) la transmission de valeurs positives et de compétences citoyennes pour soutenir des sociétés démocratiques fortes.</w:t>
      </w:r>
    </w:p>
    <w:p w14:paraId="68CE7B2C" w14:textId="77777777" w:rsidR="000435C2" w:rsidRPr="0096534C" w:rsidRDefault="008B332B">
      <w:pPr>
        <w:pStyle w:val="BodyText"/>
        <w:spacing w:after="100"/>
        <w:jc w:val="both"/>
      </w:pPr>
      <w:r w:rsidRPr="0096534C">
        <w:rPr>
          <w:rStyle w:val="BodyTextChar"/>
        </w:rPr>
        <w:t xml:space="preserve">Le programme de mobilité universitaire intra-Afrique s’inscrit dans la continuité des programmes précédents connexes, à savoir le programme de mobilité universitaire intra-ACP 2010-2013 et le programme de mobilité universitaire intra-Afrique 2016-2020. S’appuyant sur la réussite des expériences passées, l’action vise à contribuer au développement économique, social et humain de l’Afrique en améliorant les </w:t>
      </w:r>
      <w:r w:rsidRPr="0096534C">
        <w:rPr>
          <w:rStyle w:val="BodyTextChar"/>
        </w:rPr>
        <w:lastRenderedPageBreak/>
        <w:t>aptitudes et les compétences des étudiants, des stagiaires et du personnel universitaire dans différents domaines, grâce à des possibilités de mobilité à des fins d’apprentissage sur l’ensemble du continent africain.</w:t>
      </w:r>
    </w:p>
    <w:p w14:paraId="54584563" w14:textId="001A2D2A" w:rsidR="000435C2" w:rsidRPr="0096534C" w:rsidRDefault="008B332B">
      <w:pPr>
        <w:pStyle w:val="BodyText"/>
        <w:spacing w:after="100"/>
        <w:jc w:val="both"/>
        <w:rPr>
          <w:rStyle w:val="BodyTextChar"/>
        </w:rPr>
      </w:pPr>
      <w:r w:rsidRPr="0096534C">
        <w:rPr>
          <w:rStyle w:val="BodyTextChar"/>
        </w:rPr>
        <w:t>En accordant une attention particulière au renforcement des mécanismes visant à garantir une mobilité à des fins d’apprentissage plus équitable et inclusive pour tous, l’action soutiendra les projets de mobilité entre les établissements d’enseignement supérieur (EES) africains, en se concentrant notamment sur les domaines liés au changement climatique et à la transition écologique, conformément aux politiques extérieures de l’UE.</w:t>
      </w:r>
    </w:p>
    <w:p w14:paraId="596AD136" w14:textId="77777777" w:rsidR="000435C2" w:rsidRPr="0096534C" w:rsidRDefault="008B332B">
      <w:pPr>
        <w:pStyle w:val="BodyText"/>
        <w:spacing w:after="100"/>
        <w:jc w:val="both"/>
      </w:pPr>
      <w:r w:rsidRPr="0096534C">
        <w:rPr>
          <w:rStyle w:val="BodyTextChar"/>
        </w:rPr>
        <w:t>À moyen terme, le programme soutiendra l’harmonisation des programmes et des cursus axés sur les résultats entre les EES participants, ainsi que l’élaboration de mécanismes visant à renforcer la transparence et la reconnaissance des crédits/diplômes et autres qualifications. Cela permettra d’améliorer la mobilité universitaire et de la main-d’œuvre sur le continent et de soutenir la mise en œuvre de l’Accord portant création de la zone de libre-échange continentale africaine, du Protocole au traité instituant la Communauté économique africaine relatif à la libre circulation des personnes, au droit de séjour et au droit d’établissement (protocole sur la libre circulation) et de la Convention d’Addis sur la reconnaissance des qualifications dans l’enseignement supérieur. L’action prévoit de soutenir les EES dans leur capacité à mettre en œuvre des projets de mobilité et, par conséquent, dans leurs partenariats et leur coopération universitaire, dans le but de contribuer à l</w:t>
      </w:r>
      <w:proofErr w:type="gramStart"/>
      <w:r w:rsidRPr="0096534C">
        <w:rPr>
          <w:rStyle w:val="BodyTextChar"/>
        </w:rPr>
        <w:t>’«Espace</w:t>
      </w:r>
      <w:proofErr w:type="gramEnd"/>
      <w:r w:rsidRPr="0096534C">
        <w:rPr>
          <w:rStyle w:val="BodyTextChar"/>
        </w:rPr>
        <w:t xml:space="preserve"> africain de l’enseignement supérieur et de la recherche».</w:t>
      </w:r>
    </w:p>
    <w:p w14:paraId="71E8F42F" w14:textId="77777777" w:rsidR="000435C2" w:rsidRPr="0096534C" w:rsidRDefault="008B332B">
      <w:pPr>
        <w:pStyle w:val="BodyText"/>
        <w:spacing w:after="100"/>
        <w:jc w:val="both"/>
      </w:pPr>
      <w:r w:rsidRPr="0096534C">
        <w:rPr>
          <w:rStyle w:val="BodyTextChar"/>
        </w:rPr>
        <w:t>En outre, en soutenant une collaboration renforcée entre les EES et les entreprises pour la mobilité des étudiants et des stagiaires, l’action optimisera également l’anticipation et l’adéquation des compétences, ainsi que l’innovation et le transfert de connaissances entre les universités et les entreprises. Cela contribuera à répondre à la demande de compétences de haut niveau et aux besoins en connaissances afin de soutenir les économies vertes et la transformation numérique sur le continent.</w:t>
      </w:r>
    </w:p>
    <w:p w14:paraId="10EC9AAD" w14:textId="77777777" w:rsidR="000435C2" w:rsidRPr="0096534C" w:rsidRDefault="008B332B">
      <w:pPr>
        <w:pStyle w:val="BodyText"/>
        <w:spacing w:after="100"/>
        <w:jc w:val="both"/>
      </w:pPr>
      <w:r w:rsidRPr="0096534C">
        <w:rPr>
          <w:rStyle w:val="BodyTextChar"/>
        </w:rPr>
        <w:t>Enfin, le programme de mobilité universitaire intra-Afrique sera en synergie avec les actions Erasmus+ ainsi qu’avec l’initiative</w:t>
      </w:r>
      <w:proofErr w:type="gramStart"/>
      <w:r w:rsidRPr="0096534C">
        <w:rPr>
          <w:rStyle w:val="BodyTextChar"/>
        </w:rPr>
        <w:t xml:space="preserve"> «Harmonisation</w:t>
      </w:r>
      <w:proofErr w:type="gramEnd"/>
      <w:r w:rsidRPr="0096534C">
        <w:rPr>
          <w:rStyle w:val="BodyTextChar"/>
        </w:rPr>
        <w:t xml:space="preserve"> de l’assurance qualité et de l’accréditation dans l’enseignement supérieur africain » (HAQAA II)</w:t>
      </w:r>
      <w:r w:rsidRPr="0096534C">
        <w:rPr>
          <w:rStyle w:val="BodyTextChar"/>
          <w:vertAlign w:val="superscript"/>
        </w:rPr>
        <w:footnoteReference w:id="4"/>
      </w:r>
      <w:r w:rsidRPr="0096534C">
        <w:rPr>
          <w:rStyle w:val="BodyTextChar"/>
        </w:rPr>
        <w:t>, contribuant ainsi à la stratégie globale de l’UE visant à soutenir le renforcement des systèmes d’enseignement supérieur sur le continent africain.</w:t>
      </w:r>
    </w:p>
    <w:p w14:paraId="5FF68C07" w14:textId="4367D7F8" w:rsidR="000435C2" w:rsidRPr="0096534C" w:rsidRDefault="008B332B">
      <w:pPr>
        <w:pStyle w:val="BodyText"/>
        <w:spacing w:after="640"/>
        <w:jc w:val="both"/>
      </w:pPr>
      <w:r w:rsidRPr="0096534C">
        <w:rPr>
          <w:rStyle w:val="BodyTextChar"/>
        </w:rPr>
        <w:t>L’action s’inscrit dans le cadre de l’initiative phare</w:t>
      </w:r>
      <w:proofErr w:type="gramStart"/>
      <w:r w:rsidRPr="0096534C">
        <w:rPr>
          <w:rStyle w:val="BodyTextChar"/>
        </w:rPr>
        <w:t xml:space="preserve"> «Mobilité</w:t>
      </w:r>
      <w:proofErr w:type="gramEnd"/>
      <w:r w:rsidRPr="0096534C">
        <w:rPr>
          <w:rStyle w:val="BodyTextChar"/>
        </w:rPr>
        <w:t xml:space="preserve"> des jeunes pour l’Afrique» du paquet d’investissement «Global Gateway» UE-Afrique</w:t>
      </w:r>
      <w:r w:rsidR="0056686A" w:rsidRPr="0096534C">
        <w:rPr>
          <w:rStyle w:val="FootnoteReference"/>
        </w:rPr>
        <w:footnoteReference w:id="5"/>
      </w:r>
      <w:r w:rsidRPr="0096534C">
        <w:rPr>
          <w:rStyle w:val="BodyTextChar"/>
        </w:rPr>
        <w:t>, qui vise à soutenir les possibilités d’apprentissage et les échanges et, en définitive, à promouvoir l’Afrique en tant que destination d’études attrayante. L’initiative</w:t>
      </w:r>
      <w:proofErr w:type="gramStart"/>
      <w:r w:rsidRPr="0096534C">
        <w:rPr>
          <w:rStyle w:val="BodyTextChar"/>
        </w:rPr>
        <w:t xml:space="preserve"> «Mobilité</w:t>
      </w:r>
      <w:proofErr w:type="gramEnd"/>
      <w:r w:rsidRPr="0096534C">
        <w:rPr>
          <w:rStyle w:val="BodyTextChar"/>
        </w:rPr>
        <w:t xml:space="preserve"> des jeunes pour l’Afrique» est l’une des nombreuses initiatives phares menées dans le cadre de la stratégie «Global Gateway», qui consiste à investir dans une éducation, des compétences et une formation technique et professionnelle de qualité en Afrique et dans le monde entier.</w:t>
      </w:r>
    </w:p>
    <w:p w14:paraId="1066D6B1" w14:textId="77777777" w:rsidR="000435C2" w:rsidRPr="0096534C" w:rsidRDefault="008B332B" w:rsidP="00BF35B3">
      <w:pPr>
        <w:pStyle w:val="Heading1"/>
        <w:rPr>
          <w:rStyle w:val="BodyTextChar"/>
        </w:rPr>
      </w:pPr>
      <w:bookmarkStart w:id="8" w:name="bookmark14"/>
      <w:bookmarkStart w:id="9" w:name="_Toc185511095"/>
      <w:r w:rsidRPr="0096534C">
        <w:rPr>
          <w:rStyle w:val="BodyTextChar"/>
        </w:rPr>
        <w:t>Objectifs — Thèmes et priorités — Activités pouvant être financées — Résultat attendu</w:t>
      </w:r>
      <w:bookmarkEnd w:id="8"/>
      <w:bookmarkEnd w:id="9"/>
    </w:p>
    <w:p w14:paraId="5446F83A" w14:textId="719E6356" w:rsidR="000435C2" w:rsidRPr="0096534C" w:rsidRDefault="00883A1D" w:rsidP="00A45543">
      <w:pPr>
        <w:keepNext/>
        <w:keepLines/>
        <w:spacing w:after="180"/>
        <w:jc w:val="both"/>
        <w:rPr>
          <w:b/>
          <w:bCs/>
          <w:color w:val="FF0000"/>
          <w:szCs w:val="20"/>
        </w:rPr>
      </w:pPr>
      <w:bookmarkStart w:id="10" w:name="bookmark15"/>
      <w:r>
        <w:rPr>
          <w:b/>
          <w:color w:val="FF0000"/>
        </w:rPr>
        <w:t>N</w:t>
      </w:r>
      <w:r w:rsidR="008B332B" w:rsidRPr="0096534C">
        <w:rPr>
          <w:b/>
          <w:color w:val="FF0000"/>
        </w:rPr>
        <w:t>D</w:t>
      </w:r>
      <w:r>
        <w:rPr>
          <w:b/>
          <w:color w:val="FF0000"/>
        </w:rPr>
        <w:t>I</w:t>
      </w:r>
      <w:r w:rsidR="008B332B" w:rsidRPr="0096534C">
        <w:rPr>
          <w:b/>
          <w:color w:val="FF0000"/>
        </w:rPr>
        <w:t>CI-2024-MOBAF — Programme de mobilité universitaire intra-Afrique</w:t>
      </w:r>
      <w:bookmarkEnd w:id="10"/>
    </w:p>
    <w:p w14:paraId="41AD9E30" w14:textId="77777777" w:rsidR="000435C2" w:rsidRPr="0096534C" w:rsidRDefault="008B332B" w:rsidP="00BF35B3">
      <w:pPr>
        <w:pStyle w:val="Heading2"/>
      </w:pPr>
      <w:bookmarkStart w:id="11" w:name="bookmark17"/>
      <w:bookmarkStart w:id="12" w:name="_Toc185511096"/>
      <w:r w:rsidRPr="0096534C">
        <w:rPr>
          <w:rStyle w:val="Heading3"/>
          <w:b/>
        </w:rPr>
        <w:t>Objectifs</w:t>
      </w:r>
      <w:bookmarkEnd w:id="11"/>
      <w:bookmarkEnd w:id="12"/>
    </w:p>
    <w:p w14:paraId="3C9A7E77" w14:textId="77777777" w:rsidR="000435C2" w:rsidRPr="0096534C" w:rsidRDefault="008B332B">
      <w:pPr>
        <w:pStyle w:val="BodyText"/>
        <w:jc w:val="both"/>
      </w:pPr>
      <w:r w:rsidRPr="0096534C">
        <w:rPr>
          <w:rStyle w:val="BodyTextChar"/>
        </w:rPr>
        <w:lastRenderedPageBreak/>
        <w:t>L’objectif global de cette action est d’accroître les compétences et les qualifications sur l’ensemble du continent africain.</w:t>
      </w:r>
    </w:p>
    <w:p w14:paraId="0DF26BB5" w14:textId="77777777" w:rsidR="000435C2" w:rsidRPr="0096534C" w:rsidRDefault="008B332B">
      <w:pPr>
        <w:pStyle w:val="BodyText"/>
        <w:jc w:val="both"/>
      </w:pPr>
      <w:r w:rsidRPr="0096534C">
        <w:rPr>
          <w:rStyle w:val="BodyTextChar"/>
        </w:rPr>
        <w:t xml:space="preserve">Les objectifs spécifiques de cette action sont les </w:t>
      </w:r>
      <w:proofErr w:type="gramStart"/>
      <w:r w:rsidRPr="0096534C">
        <w:rPr>
          <w:rStyle w:val="BodyTextChar"/>
        </w:rPr>
        <w:t>suivants:</w:t>
      </w:r>
      <w:proofErr w:type="gramEnd"/>
    </w:p>
    <w:p w14:paraId="281AB561" w14:textId="77777777" w:rsidR="000435C2" w:rsidRPr="0096534C" w:rsidRDefault="008B332B" w:rsidP="006008C4">
      <w:pPr>
        <w:pStyle w:val="BodyText"/>
        <w:numPr>
          <w:ilvl w:val="0"/>
          <w:numId w:val="5"/>
        </w:numPr>
        <w:tabs>
          <w:tab w:val="left" w:pos="289"/>
        </w:tabs>
        <w:ind w:left="300" w:hanging="300"/>
        <w:jc w:val="both"/>
      </w:pPr>
      <w:proofErr w:type="gramStart"/>
      <w:r w:rsidRPr="0096534C">
        <w:rPr>
          <w:rStyle w:val="BodyTextChar"/>
        </w:rPr>
        <w:t>promouvoir</w:t>
      </w:r>
      <w:proofErr w:type="gramEnd"/>
      <w:r w:rsidRPr="0096534C">
        <w:rPr>
          <w:rStyle w:val="BodyTextChar"/>
        </w:rPr>
        <w:t xml:space="preserve"> des possibilités de mobilité d’apprentissage inclusives en mettant l’accent sur l’atténuation du changement climatique et l’adaptation à celui-ci dans les programmes d’études et de recherche;</w:t>
      </w:r>
    </w:p>
    <w:p w14:paraId="23AD0DAD" w14:textId="77777777" w:rsidR="000435C2" w:rsidRPr="0096534C" w:rsidRDefault="008B332B" w:rsidP="006008C4">
      <w:pPr>
        <w:pStyle w:val="BodyText"/>
        <w:numPr>
          <w:ilvl w:val="0"/>
          <w:numId w:val="5"/>
        </w:numPr>
        <w:tabs>
          <w:tab w:val="left" w:pos="303"/>
        </w:tabs>
        <w:ind w:left="300" w:hanging="300"/>
        <w:jc w:val="both"/>
      </w:pPr>
      <w:proofErr w:type="gramStart"/>
      <w:r w:rsidRPr="0096534C">
        <w:rPr>
          <w:rStyle w:val="BodyTextChar"/>
        </w:rPr>
        <w:t>améliorer</w:t>
      </w:r>
      <w:proofErr w:type="gramEnd"/>
      <w:r w:rsidRPr="0096534C">
        <w:rPr>
          <w:rStyle w:val="BodyTextChar"/>
        </w:rPr>
        <w:t xml:space="preserve"> l’employabilité des étudiants et des stagiaires de l’enseignement supérieur, en particulier dans les emplois verts, et leurs compétences en matière d’entrepreneuriat;</w:t>
      </w:r>
    </w:p>
    <w:p w14:paraId="40F26B9B" w14:textId="77777777" w:rsidR="000435C2" w:rsidRPr="0096534C" w:rsidRDefault="008B332B" w:rsidP="006008C4">
      <w:pPr>
        <w:pStyle w:val="BodyText"/>
        <w:numPr>
          <w:ilvl w:val="0"/>
          <w:numId w:val="5"/>
        </w:numPr>
        <w:tabs>
          <w:tab w:val="left" w:pos="303"/>
        </w:tabs>
        <w:ind w:left="300" w:hanging="300"/>
        <w:jc w:val="both"/>
      </w:pPr>
      <w:proofErr w:type="gramStart"/>
      <w:r w:rsidRPr="0096534C">
        <w:rPr>
          <w:rStyle w:val="BodyTextChar"/>
        </w:rPr>
        <w:t>améliorer</w:t>
      </w:r>
      <w:proofErr w:type="gramEnd"/>
      <w:r w:rsidRPr="0096534C">
        <w:rPr>
          <w:rStyle w:val="BodyTextChar"/>
        </w:rPr>
        <w:t xml:space="preserve"> la qualité, la pertinence, l’internationalisation et la prise en considération du changement climatique dans l’enseignement supérieur en Afrique.</w:t>
      </w:r>
    </w:p>
    <w:p w14:paraId="2F16F745" w14:textId="77777777" w:rsidR="000435C2" w:rsidRPr="0096534C" w:rsidRDefault="008B332B" w:rsidP="00BF35B3">
      <w:pPr>
        <w:pStyle w:val="Heading2"/>
        <w:rPr>
          <w:rStyle w:val="BodyTextChar"/>
          <w:b w:val="0"/>
          <w:bCs w:val="0"/>
          <w:i/>
          <w:iCs/>
          <w:u w:val="single"/>
        </w:rPr>
      </w:pPr>
      <w:bookmarkStart w:id="13" w:name="bookmark19"/>
      <w:bookmarkStart w:id="14" w:name="_Toc185511097"/>
      <w:r w:rsidRPr="0096534C">
        <w:rPr>
          <w:rStyle w:val="BodyTextChar"/>
          <w:b w:val="0"/>
          <w:i/>
          <w:u w:val="single"/>
        </w:rPr>
        <w:t>Thèmes et priorités (champ d’application)</w:t>
      </w:r>
      <w:bookmarkEnd w:id="13"/>
      <w:bookmarkEnd w:id="14"/>
    </w:p>
    <w:p w14:paraId="1F18E35E" w14:textId="77777777" w:rsidR="000435C2" w:rsidRPr="0096534C" w:rsidRDefault="008B332B" w:rsidP="008B332B">
      <w:pPr>
        <w:pStyle w:val="Style4"/>
      </w:pPr>
      <w:r w:rsidRPr="0096534C">
        <w:rPr>
          <w:rStyle w:val="BodyTextChar"/>
        </w:rPr>
        <w:t xml:space="preserve">Le présent appel est ouvert aux </w:t>
      </w:r>
      <w:r w:rsidRPr="0096534C">
        <w:rPr>
          <w:rStyle w:val="BodyTextChar"/>
          <w:b/>
        </w:rPr>
        <w:t>thèmes/domaines alignés sur les priorités de la stratégie</w:t>
      </w:r>
      <w:proofErr w:type="gramStart"/>
      <w:r w:rsidRPr="0096534C">
        <w:rPr>
          <w:rStyle w:val="BodyTextChar"/>
          <w:b/>
        </w:rPr>
        <w:t xml:space="preserve"> «Global</w:t>
      </w:r>
      <w:proofErr w:type="gramEnd"/>
      <w:r w:rsidRPr="0096534C">
        <w:rPr>
          <w:rStyle w:val="BodyTextChar"/>
          <w:b/>
        </w:rPr>
        <w:t xml:space="preserve"> Gateway» au niveau national </w:t>
      </w:r>
      <w:hyperlink r:id="rId21" w:history="1">
        <w:r w:rsidRPr="0096534C">
          <w:rPr>
            <w:rStyle w:val="BodyTextChar"/>
            <w:b/>
          </w:rPr>
          <w:t>(</w:t>
        </w:r>
        <w:r w:rsidRPr="0096534C">
          <w:rPr>
            <w:rStyle w:val="BodyTextChar"/>
            <w:b/>
            <w:color w:val="0088CC"/>
            <w:u w:val="single"/>
          </w:rPr>
          <w:t>projets phares</w:t>
        </w:r>
        <w:r w:rsidRPr="0096534C">
          <w:rPr>
            <w:rStyle w:val="BodyTextChar"/>
            <w:b/>
          </w:rPr>
          <w:t>)</w:t>
        </w:r>
      </w:hyperlink>
      <w:r w:rsidRPr="0096534C">
        <w:rPr>
          <w:rStyle w:val="BodyTextChar"/>
        </w:rPr>
        <w:t xml:space="preserve">. Chaque candidat doit démontrer comment il abordera et contribuera aux secteurs des projets phares (nationaux et/ou régionaux) de </w:t>
      </w:r>
      <w:proofErr w:type="gramStart"/>
      <w:r w:rsidRPr="0096534C">
        <w:rPr>
          <w:rStyle w:val="BodyTextChar"/>
        </w:rPr>
        <w:t>son pays présentés</w:t>
      </w:r>
      <w:proofErr w:type="gramEnd"/>
      <w:r w:rsidRPr="0096534C">
        <w:rPr>
          <w:rStyle w:val="BodyTextChar"/>
        </w:rPr>
        <w:t xml:space="preserve"> dans le tableau ci-dessous. Les projets doivent être en mesure de démontrer la valeur ajoutée qu’ils apportent aux secteurs des projets phares.</w:t>
      </w:r>
    </w:p>
    <w:p w14:paraId="18D743B3" w14:textId="77777777" w:rsidR="000435C2" w:rsidRPr="0096534C" w:rsidRDefault="008B332B">
      <w:pPr>
        <w:pStyle w:val="BodyText"/>
        <w:jc w:val="both"/>
      </w:pPr>
      <w:r w:rsidRPr="0096534C">
        <w:rPr>
          <w:rStyle w:val="BodyTextChar"/>
        </w:rPr>
        <w:t>Les projets phares de la stratégie</w:t>
      </w:r>
      <w:proofErr w:type="gramStart"/>
      <w:r w:rsidRPr="0096534C">
        <w:rPr>
          <w:rStyle w:val="BodyTextChar"/>
        </w:rPr>
        <w:t xml:space="preserve"> «Global</w:t>
      </w:r>
      <w:proofErr w:type="gramEnd"/>
      <w:r w:rsidRPr="0096534C">
        <w:rPr>
          <w:rStyle w:val="BodyTextChar"/>
        </w:rPr>
        <w:t xml:space="preserve"> Gateway» couvrent principalement les secteurs suivants:</w:t>
      </w:r>
    </w:p>
    <w:p w14:paraId="154CE67F" w14:textId="77777777" w:rsidR="000435C2" w:rsidRPr="0096534C" w:rsidRDefault="008B332B" w:rsidP="006008C4">
      <w:pPr>
        <w:pStyle w:val="BodyText"/>
        <w:numPr>
          <w:ilvl w:val="0"/>
          <w:numId w:val="43"/>
        </w:numPr>
        <w:tabs>
          <w:tab w:val="left" w:pos="712"/>
        </w:tabs>
        <w:spacing w:after="0" w:line="218" w:lineRule="auto"/>
        <w:jc w:val="both"/>
      </w:pPr>
      <w:proofErr w:type="gramStart"/>
      <w:r w:rsidRPr="0096534C">
        <w:rPr>
          <w:rStyle w:val="BodyTextChar"/>
        </w:rPr>
        <w:t>le</w:t>
      </w:r>
      <w:proofErr w:type="gramEnd"/>
      <w:r w:rsidRPr="0096534C">
        <w:rPr>
          <w:rStyle w:val="BodyTextChar"/>
        </w:rPr>
        <w:t xml:space="preserve"> climat et l’énergie (par exemple, l’atténuation, la résilience aux changements climatiques, l’énergie propre);</w:t>
      </w:r>
    </w:p>
    <w:p w14:paraId="42336004" w14:textId="77777777" w:rsidR="000435C2" w:rsidRPr="0096534C" w:rsidRDefault="008B332B" w:rsidP="006008C4">
      <w:pPr>
        <w:pStyle w:val="BodyText"/>
        <w:numPr>
          <w:ilvl w:val="0"/>
          <w:numId w:val="43"/>
        </w:numPr>
        <w:tabs>
          <w:tab w:val="left" w:pos="712"/>
        </w:tabs>
        <w:spacing w:after="0" w:line="218" w:lineRule="auto"/>
        <w:jc w:val="both"/>
      </w:pPr>
      <w:proofErr w:type="gramStart"/>
      <w:r w:rsidRPr="0096534C">
        <w:rPr>
          <w:rStyle w:val="BodyTextChar"/>
        </w:rPr>
        <w:t>le</w:t>
      </w:r>
      <w:proofErr w:type="gramEnd"/>
      <w:r w:rsidRPr="0096534C">
        <w:rPr>
          <w:rStyle w:val="BodyTextChar"/>
        </w:rPr>
        <w:t xml:space="preserve"> numérique</w:t>
      </w:r>
    </w:p>
    <w:p w14:paraId="47F7570A" w14:textId="68301951" w:rsidR="000435C2" w:rsidRPr="0096534C" w:rsidRDefault="008B332B" w:rsidP="006008C4">
      <w:pPr>
        <w:pStyle w:val="BodyText"/>
        <w:numPr>
          <w:ilvl w:val="0"/>
          <w:numId w:val="43"/>
        </w:numPr>
        <w:tabs>
          <w:tab w:val="left" w:pos="712"/>
        </w:tabs>
        <w:spacing w:after="0" w:line="218" w:lineRule="auto"/>
        <w:jc w:val="both"/>
      </w:pPr>
      <w:proofErr w:type="gramStart"/>
      <w:r w:rsidRPr="0096534C">
        <w:rPr>
          <w:rStyle w:val="BodyTextChar"/>
        </w:rPr>
        <w:t>l’éducation</w:t>
      </w:r>
      <w:proofErr w:type="gramEnd"/>
      <w:r w:rsidRPr="0096534C">
        <w:rPr>
          <w:rStyle w:val="BodyTextChar"/>
        </w:rPr>
        <w:t xml:space="preserve"> et les compétences</w:t>
      </w:r>
    </w:p>
    <w:p w14:paraId="76D2EF73" w14:textId="77777777" w:rsidR="000435C2" w:rsidRPr="0096534C" w:rsidRDefault="008B332B" w:rsidP="006008C4">
      <w:pPr>
        <w:pStyle w:val="BodyText"/>
        <w:numPr>
          <w:ilvl w:val="0"/>
          <w:numId w:val="43"/>
        </w:numPr>
        <w:tabs>
          <w:tab w:val="left" w:pos="712"/>
        </w:tabs>
        <w:spacing w:after="0" w:line="218" w:lineRule="auto"/>
        <w:jc w:val="both"/>
      </w:pPr>
      <w:proofErr w:type="gramStart"/>
      <w:r w:rsidRPr="0096534C">
        <w:rPr>
          <w:rStyle w:val="BodyTextChar"/>
        </w:rPr>
        <w:t>le</w:t>
      </w:r>
      <w:proofErr w:type="gramEnd"/>
      <w:r w:rsidRPr="0096534C">
        <w:rPr>
          <w:rStyle w:val="BodyTextChar"/>
        </w:rPr>
        <w:t xml:space="preserve"> transport</w:t>
      </w:r>
    </w:p>
    <w:p w14:paraId="1539004C" w14:textId="3C0EFD4B" w:rsidR="000435C2" w:rsidRPr="0096534C" w:rsidRDefault="008B332B" w:rsidP="006008C4">
      <w:pPr>
        <w:pStyle w:val="BodyText"/>
        <w:numPr>
          <w:ilvl w:val="0"/>
          <w:numId w:val="43"/>
        </w:numPr>
        <w:spacing w:after="100" w:line="218" w:lineRule="auto"/>
        <w:jc w:val="both"/>
      </w:pPr>
      <w:proofErr w:type="gramStart"/>
      <w:r w:rsidRPr="0096534C">
        <w:rPr>
          <w:rStyle w:val="BodyTextChar"/>
        </w:rPr>
        <w:t>la</w:t>
      </w:r>
      <w:proofErr w:type="gramEnd"/>
      <w:r w:rsidRPr="0096534C">
        <w:rPr>
          <w:rStyle w:val="BodyTextChar"/>
        </w:rPr>
        <w:t xml:space="preserve"> santé (par exemple, chaînes d’approvisionnement pharmaceutiques et fabrication locale)</w:t>
      </w:r>
    </w:p>
    <w:p w14:paraId="46CD1E47" w14:textId="77777777" w:rsidR="000435C2" w:rsidRPr="0096534C" w:rsidRDefault="008B332B">
      <w:pPr>
        <w:pStyle w:val="BodyText"/>
        <w:spacing w:after="100"/>
        <w:jc w:val="both"/>
      </w:pPr>
      <w:r w:rsidRPr="0096534C">
        <w:rPr>
          <w:rStyle w:val="BodyTextChar"/>
        </w:rPr>
        <w:t>Les projets sélectionnés doivent favoriser le développement des aptitudes et des compétences dans des domaines ciblés du monde universitaire i) afin d’accroître le rôle de l’enseignement supérieur dans le pays inclus dans la stratégie</w:t>
      </w:r>
      <w:proofErr w:type="gramStart"/>
      <w:r w:rsidRPr="0096534C">
        <w:rPr>
          <w:rStyle w:val="BodyTextChar"/>
        </w:rPr>
        <w:t xml:space="preserve"> «Global</w:t>
      </w:r>
      <w:proofErr w:type="gramEnd"/>
      <w:r w:rsidRPr="0096534C">
        <w:rPr>
          <w:rStyle w:val="BodyTextChar"/>
        </w:rPr>
        <w:t xml:space="preserve"> Gateway» et/ou les projets phares sectoriels régionaux et ii) de maximiser les avantages pour les étudiants et les stagiaires mobiles grâce à des programmes universitaires de qualité et à l’offre de stages.</w:t>
      </w:r>
    </w:p>
    <w:p w14:paraId="460F6C40" w14:textId="77777777" w:rsidR="000435C2" w:rsidRPr="0096534C" w:rsidRDefault="008B332B" w:rsidP="008B332B">
      <w:pPr>
        <w:pStyle w:val="Style5"/>
      </w:pPr>
      <w:r w:rsidRPr="0096534C">
        <w:rPr>
          <w:rStyle w:val="BodyTextChar"/>
        </w:rPr>
        <w:t>Le</w:t>
      </w:r>
      <w:hyperlink r:id="rId22" w:history="1">
        <w:r w:rsidRPr="0096534C">
          <w:rPr>
            <w:rStyle w:val="BodyTextChar"/>
            <w:color w:val="0088CC"/>
            <w:u w:val="single"/>
          </w:rPr>
          <w:t>lien</w:t>
        </w:r>
      </w:hyperlink>
      <w:r w:rsidRPr="0096534C">
        <w:rPr>
          <w:rStyle w:val="BodyTextChar"/>
        </w:rPr>
        <w:t xml:space="preserve"> suivant présente les secteurs par pays qui doivent être ciblés dans les propositions de chaque candidat, ainsi que la liste détaillée des projets phares par pays.</w:t>
      </w:r>
    </w:p>
    <w:p w14:paraId="58B8A0A6" w14:textId="77777777" w:rsidR="000435C2" w:rsidRPr="0096534C" w:rsidRDefault="008B332B">
      <w:pPr>
        <w:pStyle w:val="BodyText"/>
        <w:spacing w:after="100"/>
        <w:jc w:val="both"/>
      </w:pPr>
      <w:r w:rsidRPr="0096534C">
        <w:rPr>
          <w:rStyle w:val="BodyTextChar"/>
        </w:rPr>
        <w:t>L’action donne la priorité aux mesures visant à soutenir l’égalité entre les hommes et les femmes, la participation et l’autonomisation des jeunes et des femmes. À cet égard, il est aussi attendu de chaque projet qu’il contienne des mesures adéquates pour attirer les demandes de mobilité émanant de femmes. La présentation des possibilités de mobilité et les processus de sélection devraient tenir compte de la dimension de genre afin de promouvoir l’équilibre entre les hommes et les femmes parmi les bénéficiaires (personnel, étudiants et stagiaires).</w:t>
      </w:r>
    </w:p>
    <w:p w14:paraId="3DF7F27F" w14:textId="77777777" w:rsidR="000435C2" w:rsidRPr="0096534C" w:rsidRDefault="008B332B">
      <w:pPr>
        <w:pStyle w:val="BodyText"/>
        <w:jc w:val="both"/>
      </w:pPr>
      <w:r w:rsidRPr="0096534C">
        <w:rPr>
          <w:rStyle w:val="BodyTextChar"/>
        </w:rPr>
        <w:t>Les projets doivent également faire en sorte d’accroître la participation des jeunes étudiants, des stagiaires et du personnel, ainsi que des participants ayant des besoins particuliers ou un statut vulnérable (par exemple, les personnes issues de milieux socio-économiques défavorisés, de pays/régions fragiles et moins développés, ou ayant le statut de réfugié).</w:t>
      </w:r>
    </w:p>
    <w:p w14:paraId="6C1EC514" w14:textId="77777777" w:rsidR="000435C2" w:rsidRPr="0096534C" w:rsidRDefault="008B332B" w:rsidP="00BF35B3">
      <w:pPr>
        <w:pStyle w:val="Heading2"/>
        <w:rPr>
          <w:b w:val="0"/>
          <w:bCs w:val="0"/>
        </w:rPr>
      </w:pPr>
      <w:bookmarkStart w:id="15" w:name="bookmark20"/>
      <w:bookmarkStart w:id="16" w:name="_Toc185511098"/>
      <w:r w:rsidRPr="0096534C">
        <w:rPr>
          <w:rStyle w:val="BodyTextChar"/>
          <w:b w:val="0"/>
          <w:i/>
          <w:u w:val="single"/>
        </w:rPr>
        <w:lastRenderedPageBreak/>
        <w:t>Activités pouvant être financées (champ d’application)</w:t>
      </w:r>
      <w:bookmarkEnd w:id="15"/>
      <w:bookmarkEnd w:id="16"/>
    </w:p>
    <w:p w14:paraId="737B9363" w14:textId="77777777" w:rsidR="000435C2" w:rsidRPr="0096534C" w:rsidRDefault="008B332B">
      <w:pPr>
        <w:pStyle w:val="BodyText"/>
        <w:spacing w:after="100"/>
        <w:jc w:val="both"/>
      </w:pPr>
      <w:r w:rsidRPr="0096534C">
        <w:rPr>
          <w:rStyle w:val="BodyTextChar"/>
        </w:rPr>
        <w:t>Les projets sélectionnés comprendront l’organisation et la mise en œuvre de la mobilité internationale des étudiants, des stagiaires et du personnel, ainsi que la mise en œuvre d’activités institutionnelles connexes.</w:t>
      </w:r>
    </w:p>
    <w:p w14:paraId="66D2385F" w14:textId="77777777" w:rsidR="000435C2" w:rsidRPr="0096534C" w:rsidRDefault="008B332B">
      <w:pPr>
        <w:pStyle w:val="BodyText"/>
        <w:spacing w:after="240"/>
        <w:jc w:val="both"/>
      </w:pPr>
      <w:r w:rsidRPr="0096534C">
        <w:rPr>
          <w:rStyle w:val="BodyTextChar"/>
        </w:rPr>
        <w:t>Toutes les activités doivent se dérouler pendant la période d’éligibilité telle que définie dans la convention de subvention.</w:t>
      </w:r>
    </w:p>
    <w:p w14:paraId="29C974A5" w14:textId="77777777" w:rsidR="000435C2" w:rsidRPr="0096534C" w:rsidRDefault="008B332B">
      <w:pPr>
        <w:pStyle w:val="BodyText"/>
        <w:spacing w:after="100"/>
        <w:jc w:val="both"/>
      </w:pPr>
      <w:r w:rsidRPr="0096534C">
        <w:rPr>
          <w:rStyle w:val="BodyTextChar"/>
        </w:rPr>
        <w:t xml:space="preserve">Le consortium d’EES qui a accepté de coopérer au projet de mobilité devrait également associer des pays et des EES n’ayant qu’une expérience limitée ou aucune expérience du programme intra-Afrique et mener des activités visant à renforcer leur internationalisation et leur modernisation ainsi que leurs liens avec les entreprises. À cette fin, au cours de la mise en œuvre du projet, le consortium </w:t>
      </w:r>
      <w:proofErr w:type="gramStart"/>
      <w:r w:rsidRPr="0096534C">
        <w:rPr>
          <w:rStyle w:val="BodyTextChar"/>
        </w:rPr>
        <w:t>devrait:</w:t>
      </w:r>
      <w:proofErr w:type="gramEnd"/>
    </w:p>
    <w:p w14:paraId="308CB981" w14:textId="77777777" w:rsidR="000435C2" w:rsidRPr="0096534C" w:rsidRDefault="008B332B" w:rsidP="006008C4">
      <w:pPr>
        <w:pStyle w:val="BodyText"/>
        <w:numPr>
          <w:ilvl w:val="0"/>
          <w:numId w:val="6"/>
        </w:numPr>
        <w:tabs>
          <w:tab w:val="left" w:pos="735"/>
        </w:tabs>
        <w:spacing w:after="100"/>
        <w:ind w:left="740" w:hanging="360"/>
        <w:jc w:val="both"/>
      </w:pPr>
      <w:proofErr w:type="gramStart"/>
      <w:r w:rsidRPr="0096534C">
        <w:rPr>
          <w:rStyle w:val="BodyTextChar"/>
        </w:rPr>
        <w:t>établir</w:t>
      </w:r>
      <w:proofErr w:type="gramEnd"/>
      <w:r w:rsidRPr="0096534C">
        <w:rPr>
          <w:rStyle w:val="BodyTextChar"/>
        </w:rPr>
        <w:t xml:space="preserve"> un accord de consortium entre les EES participants dans le but de parvenir à une bonne gestion du projet, qui devrait aborder tous les principaux aspects liés aux modalités internes de coordination et de fonctionnement;</w:t>
      </w:r>
    </w:p>
    <w:p w14:paraId="21B5625B" w14:textId="77777777" w:rsidR="000435C2" w:rsidRPr="0096534C" w:rsidRDefault="008B332B" w:rsidP="006008C4">
      <w:pPr>
        <w:pStyle w:val="BodyText"/>
        <w:numPr>
          <w:ilvl w:val="0"/>
          <w:numId w:val="6"/>
        </w:numPr>
        <w:tabs>
          <w:tab w:val="left" w:pos="735"/>
        </w:tabs>
        <w:spacing w:after="100"/>
        <w:ind w:left="740" w:hanging="360"/>
        <w:jc w:val="both"/>
      </w:pPr>
      <w:proofErr w:type="gramStart"/>
      <w:r w:rsidRPr="0096534C">
        <w:rPr>
          <w:rStyle w:val="BodyTextChar"/>
        </w:rPr>
        <w:t>prévoir</w:t>
      </w:r>
      <w:proofErr w:type="gramEnd"/>
      <w:r w:rsidRPr="0096534C">
        <w:rPr>
          <w:rStyle w:val="BodyTextChar"/>
        </w:rPr>
        <w:t xml:space="preserve"> des capacités en ressources humaines adéquates dans chaque EES participant, pour assurer la gestion administrative et financière de la subvention, y compris l’établissement de rapports continus sur les données et les activités relatives à la mobilité;</w:t>
      </w:r>
    </w:p>
    <w:p w14:paraId="468B0464" w14:textId="77777777" w:rsidR="000435C2" w:rsidRPr="0096534C" w:rsidRDefault="008B332B" w:rsidP="006008C4">
      <w:pPr>
        <w:pStyle w:val="BodyText"/>
        <w:numPr>
          <w:ilvl w:val="0"/>
          <w:numId w:val="6"/>
        </w:numPr>
        <w:tabs>
          <w:tab w:val="left" w:pos="735"/>
        </w:tabs>
        <w:spacing w:after="100"/>
        <w:ind w:left="740" w:hanging="360"/>
        <w:jc w:val="both"/>
      </w:pPr>
      <w:proofErr w:type="gramStart"/>
      <w:r w:rsidRPr="0096534C">
        <w:rPr>
          <w:rStyle w:val="BodyTextChar"/>
        </w:rPr>
        <w:t>mettre</w:t>
      </w:r>
      <w:proofErr w:type="gramEnd"/>
      <w:r w:rsidRPr="0096534C">
        <w:rPr>
          <w:rStyle w:val="BodyTextChar"/>
        </w:rPr>
        <w:t xml:space="preserve"> en place un conseil de gestion de projet afin d’assurer une gestion cohérente des activités du projet incluant des représentants des services pertinents (par exemple, finances, service aux étudiants, bureau international, assurance qualité, etc.);</w:t>
      </w:r>
    </w:p>
    <w:p w14:paraId="5E34472B" w14:textId="77777777" w:rsidR="000435C2" w:rsidRPr="0096534C" w:rsidRDefault="008B332B" w:rsidP="006008C4">
      <w:pPr>
        <w:pStyle w:val="BodyText"/>
        <w:numPr>
          <w:ilvl w:val="0"/>
          <w:numId w:val="6"/>
        </w:numPr>
        <w:tabs>
          <w:tab w:val="left" w:pos="735"/>
        </w:tabs>
        <w:spacing w:after="100"/>
        <w:ind w:left="740" w:hanging="360"/>
        <w:jc w:val="both"/>
      </w:pPr>
      <w:proofErr w:type="gramStart"/>
      <w:r w:rsidRPr="0096534C">
        <w:rPr>
          <w:rStyle w:val="BodyTextChar"/>
        </w:rPr>
        <w:t>mener</w:t>
      </w:r>
      <w:proofErr w:type="gramEnd"/>
      <w:r w:rsidRPr="0096534C">
        <w:rPr>
          <w:rStyle w:val="BodyTextChar"/>
        </w:rPr>
        <w:t xml:space="preserve"> des activités visant à renforcer les capacités des EES participants, telles que l’échange d’expériences dans les bureaux de relations internationales, la création de réseaux, l’échange de pratiques/méthodes d’enseignement et de recherche, la mise à niveau et l’harmonisation des programmes d’études, l’élaboration de nouveaux projets de collaboration, etc.;</w:t>
      </w:r>
    </w:p>
    <w:p w14:paraId="169B2A78" w14:textId="77777777" w:rsidR="000435C2" w:rsidRPr="0096534C" w:rsidRDefault="008B332B" w:rsidP="006008C4">
      <w:pPr>
        <w:pStyle w:val="BodyText"/>
        <w:numPr>
          <w:ilvl w:val="0"/>
          <w:numId w:val="6"/>
        </w:numPr>
        <w:tabs>
          <w:tab w:val="left" w:pos="735"/>
        </w:tabs>
        <w:spacing w:after="100"/>
        <w:ind w:left="740" w:hanging="360"/>
        <w:jc w:val="both"/>
      </w:pPr>
      <w:proofErr w:type="gramStart"/>
      <w:r w:rsidRPr="0096534C">
        <w:rPr>
          <w:rStyle w:val="BodyTextChar"/>
        </w:rPr>
        <w:t>mettre</w:t>
      </w:r>
      <w:proofErr w:type="gramEnd"/>
      <w:r w:rsidRPr="0096534C">
        <w:rPr>
          <w:rStyle w:val="BodyTextChar"/>
        </w:rPr>
        <w:t xml:space="preserve"> en place des mécanismes adéquats pour mettre en œuvre le programme de mobilité entre les EES de différents pays et régions, y compris des dispositifs pour comparer les programmes d’études et les compétences et pour reconnaître les périodes d’études à l’étranger;</w:t>
      </w:r>
    </w:p>
    <w:p w14:paraId="59B8FC02" w14:textId="77777777" w:rsidR="000435C2" w:rsidRPr="0096534C" w:rsidRDefault="008B332B" w:rsidP="006008C4">
      <w:pPr>
        <w:pStyle w:val="BodyText"/>
        <w:numPr>
          <w:ilvl w:val="0"/>
          <w:numId w:val="6"/>
        </w:numPr>
        <w:tabs>
          <w:tab w:val="left" w:pos="735"/>
        </w:tabs>
        <w:spacing w:after="100"/>
        <w:ind w:left="740" w:hanging="360"/>
        <w:jc w:val="both"/>
      </w:pPr>
      <w:proofErr w:type="gramStart"/>
      <w:r w:rsidRPr="0096534C">
        <w:rPr>
          <w:rStyle w:val="BodyTextChar"/>
        </w:rPr>
        <w:t>établir</w:t>
      </w:r>
      <w:proofErr w:type="gramEnd"/>
      <w:r w:rsidRPr="0096534C">
        <w:rPr>
          <w:rStyle w:val="BodyTextChar"/>
        </w:rPr>
        <w:t xml:space="preserve"> des liens et des accords de coopération avec les acteurs des entreprises privées et/ou publiques (y compris la nomination dans les conseils de gestion des projets), en vue de faciliter le dialogue entre les universités et les employeurs, de développer et de mettre en œuvre la mobilité des stagiaires et de renforcer les services d’orientation professionnelle, l’innovation, le transfert de connaissances, ainsi que l’anticipation et l’adéquation des compétences;</w:t>
      </w:r>
    </w:p>
    <w:p w14:paraId="28A8BE55" w14:textId="77777777" w:rsidR="000435C2" w:rsidRPr="0096534C" w:rsidRDefault="008B332B" w:rsidP="006008C4">
      <w:pPr>
        <w:pStyle w:val="BodyText"/>
        <w:numPr>
          <w:ilvl w:val="0"/>
          <w:numId w:val="6"/>
        </w:numPr>
        <w:tabs>
          <w:tab w:val="left" w:pos="735"/>
        </w:tabs>
        <w:spacing w:after="100"/>
        <w:ind w:left="740" w:hanging="360"/>
        <w:jc w:val="both"/>
      </w:pPr>
      <w:proofErr w:type="gramStart"/>
      <w:r w:rsidRPr="0096534C">
        <w:rPr>
          <w:rStyle w:val="BodyTextChar"/>
        </w:rPr>
        <w:t>mettre</w:t>
      </w:r>
      <w:proofErr w:type="gramEnd"/>
      <w:r w:rsidRPr="0096534C">
        <w:rPr>
          <w:rStyle w:val="BodyTextChar"/>
        </w:rPr>
        <w:t xml:space="preserve"> en place des mécanismes et outils internes et, si possible, externes d’assurance de la qualité pour évaluer la mise en œuvre globale des projets, y compris les dispositions de gestion et de coopération, les procédures de demande et de sélection, les services institutionnels et les appuis fournis avant, pendant et après la période de mobilité, les activités de suivi dans les périodes d’après-mobilité, etc. Ces mécanismes doivent par ailleurs permettre d’évaluer et de mesurer l’incidence des projets à tous les </w:t>
      </w:r>
      <w:proofErr w:type="gramStart"/>
      <w:r w:rsidRPr="0096534C">
        <w:rPr>
          <w:rStyle w:val="BodyTextChar"/>
        </w:rPr>
        <w:t>niveaux;</w:t>
      </w:r>
      <w:proofErr w:type="gramEnd"/>
    </w:p>
    <w:p w14:paraId="6C9A820B" w14:textId="77777777" w:rsidR="000435C2" w:rsidRPr="0096534C" w:rsidRDefault="008B332B" w:rsidP="006008C4">
      <w:pPr>
        <w:pStyle w:val="BodyText"/>
        <w:numPr>
          <w:ilvl w:val="0"/>
          <w:numId w:val="6"/>
        </w:numPr>
        <w:tabs>
          <w:tab w:val="left" w:pos="735"/>
        </w:tabs>
        <w:spacing w:after="100"/>
        <w:ind w:left="740" w:hanging="360"/>
        <w:jc w:val="both"/>
      </w:pPr>
      <w:proofErr w:type="gramStart"/>
      <w:r w:rsidRPr="0096534C">
        <w:rPr>
          <w:rStyle w:val="BodyTextChar"/>
        </w:rPr>
        <w:t>établir</w:t>
      </w:r>
      <w:proofErr w:type="gramEnd"/>
      <w:r w:rsidRPr="0096534C">
        <w:rPr>
          <w:rStyle w:val="BodyTextChar"/>
        </w:rPr>
        <w:t xml:space="preserve"> un plan de durabilité pour favoriser la création de liens durables entre les EES concernés — et avec les entreprises — et garantir la poursuite financière et opérationnelle de la collaboration au-delà du financement de l’UE.</w:t>
      </w:r>
    </w:p>
    <w:p w14:paraId="7E7BBE8D" w14:textId="77777777" w:rsidR="000435C2" w:rsidRPr="0096534C" w:rsidRDefault="008B332B">
      <w:pPr>
        <w:pStyle w:val="BodyText"/>
        <w:jc w:val="both"/>
      </w:pPr>
      <w:r w:rsidRPr="0096534C">
        <w:rPr>
          <w:rStyle w:val="BodyTextChar"/>
        </w:rPr>
        <w:t xml:space="preserve">Dans ce processus, l’EES demandeur de l’UE, qui participe en tant que partenaire </w:t>
      </w:r>
      <w:r w:rsidRPr="0096534C">
        <w:rPr>
          <w:rStyle w:val="BodyTextChar"/>
        </w:rPr>
        <w:lastRenderedPageBreak/>
        <w:t>technique, est censé fournir des conseils et un soutien actif au moyen d’un transfert de connaissances et d’un partage d’expérience, en particulier dans la gestion académique, administrative et financière du projet et du programme de mobilité. Son rôle et sa participation devraient être définis dans la demande et ne devraient pas se limiter à la participation à la mobilité du personnel.</w:t>
      </w:r>
    </w:p>
    <w:p w14:paraId="6C4A306A" w14:textId="77777777" w:rsidR="000435C2" w:rsidRPr="0096534C" w:rsidRDefault="008B332B">
      <w:pPr>
        <w:pStyle w:val="BodyText"/>
        <w:jc w:val="both"/>
      </w:pPr>
      <w:r w:rsidRPr="0096534C">
        <w:rPr>
          <w:rStyle w:val="BodyTextChar"/>
        </w:rPr>
        <w:t xml:space="preserve">Les activités ci-dessus devraient aboutir à des résultats concrets en ce qui </w:t>
      </w:r>
      <w:proofErr w:type="gramStart"/>
      <w:r w:rsidRPr="0096534C">
        <w:rPr>
          <w:rStyle w:val="BodyTextChar"/>
        </w:rPr>
        <w:t>concerne:</w:t>
      </w:r>
      <w:proofErr w:type="gramEnd"/>
    </w:p>
    <w:p w14:paraId="75F2938F" w14:textId="77777777" w:rsidR="00BF35B3" w:rsidRPr="0096534C" w:rsidRDefault="008B332B" w:rsidP="006008C4">
      <w:pPr>
        <w:pStyle w:val="BodyText"/>
        <w:numPr>
          <w:ilvl w:val="0"/>
          <w:numId w:val="6"/>
        </w:numPr>
        <w:spacing w:after="0"/>
        <w:ind w:firstLine="380"/>
        <w:jc w:val="both"/>
        <w:rPr>
          <w:rStyle w:val="BodyTextChar"/>
        </w:rPr>
      </w:pPr>
      <w:proofErr w:type="gramStart"/>
      <w:r w:rsidRPr="0096534C">
        <w:rPr>
          <w:rStyle w:val="BodyTextChar"/>
        </w:rPr>
        <w:t>le</w:t>
      </w:r>
      <w:proofErr w:type="gramEnd"/>
      <w:r w:rsidRPr="0096534C">
        <w:rPr>
          <w:rStyle w:val="BodyTextChar"/>
        </w:rPr>
        <w:t xml:space="preserve"> nombre d’EES participant pour la première fois au programme;</w:t>
      </w:r>
    </w:p>
    <w:p w14:paraId="77530AE5" w14:textId="1F17FA85" w:rsidR="000435C2" w:rsidRPr="0096534C" w:rsidRDefault="008B332B" w:rsidP="006008C4">
      <w:pPr>
        <w:pStyle w:val="BodyText"/>
        <w:numPr>
          <w:ilvl w:val="0"/>
          <w:numId w:val="6"/>
        </w:numPr>
        <w:spacing w:after="0"/>
        <w:ind w:firstLine="380"/>
        <w:jc w:val="both"/>
        <w:rPr>
          <w:rStyle w:val="BodyTextChar"/>
        </w:rPr>
      </w:pPr>
      <w:proofErr w:type="gramStart"/>
      <w:r w:rsidRPr="0096534C">
        <w:rPr>
          <w:rStyle w:val="BodyTextChar"/>
        </w:rPr>
        <w:t>le</w:t>
      </w:r>
      <w:proofErr w:type="gramEnd"/>
      <w:r w:rsidRPr="0096534C">
        <w:rPr>
          <w:rStyle w:val="BodyTextChar"/>
        </w:rPr>
        <w:t xml:space="preserve"> nombre d’EES participants qui ont élaboré des procédures internes pour mettre en œuvre des projets de mobilité internationale, avec le soutien de cette action;</w:t>
      </w:r>
    </w:p>
    <w:p w14:paraId="742F6F4C" w14:textId="47DC7080" w:rsidR="000435C2" w:rsidRPr="0096534C" w:rsidRDefault="008B332B" w:rsidP="006008C4">
      <w:pPr>
        <w:pStyle w:val="BodyText"/>
        <w:numPr>
          <w:ilvl w:val="0"/>
          <w:numId w:val="6"/>
        </w:numPr>
        <w:spacing w:after="0"/>
        <w:ind w:firstLine="380"/>
        <w:jc w:val="both"/>
        <w:rPr>
          <w:rStyle w:val="BodyTextChar"/>
        </w:rPr>
      </w:pPr>
      <w:proofErr w:type="gramStart"/>
      <w:r w:rsidRPr="0096534C">
        <w:rPr>
          <w:rStyle w:val="BodyTextChar"/>
        </w:rPr>
        <w:t>le</w:t>
      </w:r>
      <w:proofErr w:type="gramEnd"/>
      <w:r w:rsidRPr="0096534C">
        <w:rPr>
          <w:rStyle w:val="BodyTextChar"/>
        </w:rPr>
        <w:t xml:space="preserve"> nombre d’EES qui ont élaboré une stratégie d’internationalisation, créé de nouveaux bureaux/structures internationaux ou amélioré les structures/bureaux existants;</w:t>
      </w:r>
    </w:p>
    <w:p w14:paraId="1FB1C97C" w14:textId="7C1F9D16" w:rsidR="000435C2" w:rsidRPr="0096534C" w:rsidRDefault="008B332B" w:rsidP="006008C4">
      <w:pPr>
        <w:pStyle w:val="BodyText"/>
        <w:numPr>
          <w:ilvl w:val="0"/>
          <w:numId w:val="6"/>
        </w:numPr>
        <w:spacing w:after="0"/>
        <w:ind w:firstLine="380"/>
        <w:jc w:val="both"/>
        <w:rPr>
          <w:rStyle w:val="BodyTextChar"/>
        </w:rPr>
      </w:pPr>
      <w:proofErr w:type="gramStart"/>
      <w:r w:rsidRPr="0096534C">
        <w:rPr>
          <w:rStyle w:val="BodyTextChar"/>
        </w:rPr>
        <w:t>le</w:t>
      </w:r>
      <w:proofErr w:type="gramEnd"/>
      <w:r w:rsidRPr="0096534C">
        <w:rPr>
          <w:rStyle w:val="BodyTextChar"/>
        </w:rPr>
        <w:t xml:space="preserve"> nombre d’EES participants dans lesquels de nouveaux programmes d’études axés sur les résultats sont élaborés ou révisés à la suite des projets de mobilité;</w:t>
      </w:r>
    </w:p>
    <w:p w14:paraId="5C7DC19F" w14:textId="2332BBF1" w:rsidR="00BF35B3" w:rsidRPr="0096534C" w:rsidRDefault="008B332B" w:rsidP="006008C4">
      <w:pPr>
        <w:pStyle w:val="BodyText"/>
        <w:numPr>
          <w:ilvl w:val="0"/>
          <w:numId w:val="6"/>
        </w:numPr>
        <w:spacing w:after="720"/>
        <w:ind w:left="380"/>
        <w:jc w:val="both"/>
      </w:pPr>
      <w:proofErr w:type="gramStart"/>
      <w:r w:rsidRPr="0096534C">
        <w:rPr>
          <w:rStyle w:val="BodyTextChar"/>
        </w:rPr>
        <w:t>le</w:t>
      </w:r>
      <w:proofErr w:type="gramEnd"/>
      <w:r w:rsidRPr="0096534C">
        <w:rPr>
          <w:rStyle w:val="BodyTextChar"/>
        </w:rPr>
        <w:t xml:space="preserve"> nombre d’accords établis entre les EES participants et les partenaires commerciaux dans le cadre des projets de mobilité (stages, projets de recherche conjoints, publications conjointes, etc.).</w:t>
      </w:r>
    </w:p>
    <w:p w14:paraId="7CF12BB2" w14:textId="77777777" w:rsidR="000435C2" w:rsidRPr="0096534C" w:rsidRDefault="008B332B" w:rsidP="00BF35B3">
      <w:pPr>
        <w:pStyle w:val="BodyText"/>
        <w:keepNext/>
        <w:keepLines/>
        <w:spacing w:after="100"/>
        <w:jc w:val="both"/>
      </w:pPr>
      <w:r w:rsidRPr="0096534C">
        <w:rPr>
          <w:rStyle w:val="BodyTextChar"/>
          <w:b/>
          <w:i/>
          <w:u w:val="single"/>
        </w:rPr>
        <w:t>Mise en place d’un programme de mobilité</w:t>
      </w:r>
    </w:p>
    <w:p w14:paraId="4B263C81" w14:textId="77777777" w:rsidR="000435C2" w:rsidRPr="0096534C" w:rsidRDefault="008B332B" w:rsidP="00BF35B3">
      <w:pPr>
        <w:pStyle w:val="BodyText"/>
        <w:keepNext/>
        <w:keepLines/>
        <w:spacing w:after="200"/>
        <w:jc w:val="both"/>
      </w:pPr>
      <w:r w:rsidRPr="0096534C">
        <w:rPr>
          <w:rStyle w:val="BodyTextChar"/>
        </w:rPr>
        <w:t>Le consortium devrait créer des conditions optimales, grâce à des mesures de soutien de la qualité, pour permettre aux étudiants, aux stagiaires et au personnel d’entreprendre des périodes de mobilité (de travail/d’étude/d’enseignement/de formation) au sein de l’organisation d’accueil.</w:t>
      </w:r>
    </w:p>
    <w:p w14:paraId="14EC0FFC" w14:textId="77777777" w:rsidR="000435C2" w:rsidRPr="0096534C" w:rsidRDefault="008B332B">
      <w:pPr>
        <w:pStyle w:val="BodyText"/>
        <w:spacing w:after="200"/>
        <w:jc w:val="both"/>
      </w:pPr>
      <w:r w:rsidRPr="0096534C">
        <w:rPr>
          <w:rStyle w:val="BodyTextChar"/>
        </w:rPr>
        <w:t xml:space="preserve">À cette fin, au cours de la mise en œuvre du projet, le consortium </w:t>
      </w:r>
      <w:proofErr w:type="gramStart"/>
      <w:r w:rsidRPr="0096534C">
        <w:rPr>
          <w:rStyle w:val="BodyTextChar"/>
        </w:rPr>
        <w:t>devrait:</w:t>
      </w:r>
      <w:proofErr w:type="gramEnd"/>
    </w:p>
    <w:p w14:paraId="3F2DF856" w14:textId="77777777" w:rsidR="000435C2" w:rsidRPr="0096534C" w:rsidRDefault="008B332B" w:rsidP="006008C4">
      <w:pPr>
        <w:pStyle w:val="BodyText"/>
        <w:numPr>
          <w:ilvl w:val="0"/>
          <w:numId w:val="7"/>
        </w:numPr>
        <w:tabs>
          <w:tab w:val="left" w:pos="433"/>
        </w:tabs>
        <w:spacing w:after="120"/>
        <w:ind w:left="440" w:hanging="440"/>
        <w:jc w:val="both"/>
      </w:pPr>
      <w:proofErr w:type="gramStart"/>
      <w:r w:rsidRPr="0096534C">
        <w:rPr>
          <w:rStyle w:val="BodyTextChar"/>
        </w:rPr>
        <w:t>élaborer</w:t>
      </w:r>
      <w:proofErr w:type="gramEnd"/>
      <w:r w:rsidRPr="0096534C">
        <w:rPr>
          <w:rStyle w:val="BodyTextChar"/>
        </w:rPr>
        <w:t xml:space="preserve"> une stratégie claire de promotion et de visibilité pour le consortium, y compris un site web spécifique au projet, faisant clairement référence au «programme de mobilité universitaire intra-Afrique» et incluant des informations exhaustives sur le projet des points de vue académique, financier et administratif. Cela doit inclure une solide stratégie commune de promotion des possibilités de bourses d’études afin d’atteindre le plus grand nombre possible de candidats/demandeurs potentiels de bourses sur le continent africain, en accordant une attention particulière aux femmes candidates et aux candidats ayant des besoins particuliers ou un statut vulnérable (par exemple, issus de milieux socio-économiques défavorisés, de pays/régions fragiles et moins développés, bénéficiant du statut de réfugié</w:t>
      </w:r>
      <w:proofErr w:type="gramStart"/>
      <w:r w:rsidRPr="0096534C">
        <w:rPr>
          <w:rStyle w:val="BodyTextChar"/>
        </w:rPr>
        <w:t>);</w:t>
      </w:r>
      <w:proofErr w:type="gramEnd"/>
    </w:p>
    <w:p w14:paraId="619CC126" w14:textId="77777777" w:rsidR="000435C2" w:rsidRPr="0096534C" w:rsidRDefault="008B332B" w:rsidP="006008C4">
      <w:pPr>
        <w:pStyle w:val="BodyText"/>
        <w:numPr>
          <w:ilvl w:val="0"/>
          <w:numId w:val="7"/>
        </w:numPr>
        <w:tabs>
          <w:tab w:val="left" w:pos="433"/>
        </w:tabs>
        <w:spacing w:after="120" w:line="226" w:lineRule="auto"/>
        <w:ind w:left="440" w:hanging="440"/>
        <w:jc w:val="both"/>
      </w:pPr>
      <w:proofErr w:type="gramStart"/>
      <w:r w:rsidRPr="0096534C">
        <w:rPr>
          <w:rStyle w:val="BodyTextChar"/>
        </w:rPr>
        <w:t>élaborer</w:t>
      </w:r>
      <w:proofErr w:type="gramEnd"/>
      <w:r w:rsidRPr="0096534C">
        <w:rPr>
          <w:rStyle w:val="BodyTextChar"/>
        </w:rPr>
        <w:t xml:space="preserve"> un plan clair pour la contribution de la mobilité du personnel aux objectifs généraux du projet et à sa mise en œuvre;</w:t>
      </w:r>
    </w:p>
    <w:p w14:paraId="55AABAB3" w14:textId="77777777" w:rsidR="000435C2" w:rsidRPr="0096534C" w:rsidRDefault="008B332B" w:rsidP="006008C4">
      <w:pPr>
        <w:pStyle w:val="BodyText"/>
        <w:numPr>
          <w:ilvl w:val="0"/>
          <w:numId w:val="7"/>
        </w:numPr>
        <w:tabs>
          <w:tab w:val="left" w:pos="433"/>
        </w:tabs>
        <w:spacing w:after="120"/>
        <w:ind w:left="440" w:hanging="440"/>
        <w:jc w:val="both"/>
      </w:pPr>
      <w:proofErr w:type="gramStart"/>
      <w:r w:rsidRPr="0096534C">
        <w:rPr>
          <w:rStyle w:val="BodyTextChar"/>
        </w:rPr>
        <w:t>mettre</w:t>
      </w:r>
      <w:proofErr w:type="gramEnd"/>
      <w:r w:rsidRPr="0096534C">
        <w:rPr>
          <w:rStyle w:val="BodyTextChar"/>
        </w:rPr>
        <w:t xml:space="preserve"> en place un mécanisme ouvert et centralisé de sélection des étudiants, des stagiaires et du personnel (y compris la publication des appels) qui garantisse la transparence du processus de sélection et un traitement équitable des demandes individuelles.</w:t>
      </w:r>
    </w:p>
    <w:p w14:paraId="11C95473" w14:textId="77777777" w:rsidR="000435C2" w:rsidRPr="0096534C" w:rsidRDefault="008B332B" w:rsidP="006008C4">
      <w:pPr>
        <w:pStyle w:val="BodyText"/>
        <w:numPr>
          <w:ilvl w:val="0"/>
          <w:numId w:val="7"/>
        </w:numPr>
        <w:tabs>
          <w:tab w:val="left" w:pos="433"/>
        </w:tabs>
        <w:spacing w:after="120"/>
        <w:ind w:left="440" w:hanging="440"/>
        <w:jc w:val="both"/>
      </w:pPr>
      <w:proofErr w:type="gramStart"/>
      <w:r w:rsidRPr="0096534C">
        <w:rPr>
          <w:rStyle w:val="BodyTextChar"/>
        </w:rPr>
        <w:t>établir</w:t>
      </w:r>
      <w:proofErr w:type="gramEnd"/>
      <w:r w:rsidRPr="0096534C">
        <w:rPr>
          <w:rStyle w:val="BodyTextChar"/>
        </w:rPr>
        <w:t xml:space="preserve"> des procédures et critères spécifiques pour la sélection des étudiants, des stagiaires et des membres du personnel susceptibles de participer aux activités de mobilité individuelles. Ces critères de sélection doivent respecter les critères de mobilité spécifiques décrits dans le présent appel et, pour les étudiants, les critères d’admission définis par chaque EES d’accueil. La procédure et le calendrier de demande de bourse doivent être définis de telle sorte qu’ils offrent </w:t>
      </w:r>
      <w:r w:rsidRPr="0096534C">
        <w:rPr>
          <w:rStyle w:val="BodyTextChar"/>
        </w:rPr>
        <w:lastRenderedPageBreak/>
        <w:t xml:space="preserve">aux demandeurs toutes les informations nécessaires bien à l’avance et suffisamment de temps pour préparer et soumettre leur </w:t>
      </w:r>
      <w:proofErr w:type="gramStart"/>
      <w:r w:rsidRPr="0096534C">
        <w:rPr>
          <w:rStyle w:val="BodyTextChar"/>
        </w:rPr>
        <w:t>demande;</w:t>
      </w:r>
      <w:proofErr w:type="gramEnd"/>
    </w:p>
    <w:p w14:paraId="73B97712" w14:textId="77777777" w:rsidR="000435C2" w:rsidRPr="0096534C" w:rsidRDefault="008B332B" w:rsidP="006008C4">
      <w:pPr>
        <w:pStyle w:val="BodyText"/>
        <w:numPr>
          <w:ilvl w:val="0"/>
          <w:numId w:val="7"/>
        </w:numPr>
        <w:tabs>
          <w:tab w:val="left" w:pos="433"/>
        </w:tabs>
        <w:spacing w:after="120" w:line="233" w:lineRule="auto"/>
        <w:ind w:left="440" w:hanging="440"/>
        <w:jc w:val="both"/>
      </w:pPr>
      <w:proofErr w:type="gramStart"/>
      <w:r w:rsidRPr="0096534C">
        <w:rPr>
          <w:rStyle w:val="BodyTextChar"/>
        </w:rPr>
        <w:t>offrir</w:t>
      </w:r>
      <w:proofErr w:type="gramEnd"/>
      <w:r w:rsidRPr="0096534C">
        <w:rPr>
          <w:rStyle w:val="BodyTextChar"/>
        </w:rPr>
        <w:t xml:space="preserve"> aux boursiers des facilités et des services communs (par exemple, accueil, logement, encadrement, assistance avant et pendant la mobilité, soutien en matière de visas, de permis de séjour et de recherche, soutien linguistique);</w:t>
      </w:r>
    </w:p>
    <w:p w14:paraId="2D19EFB1" w14:textId="77777777" w:rsidR="000435C2" w:rsidRPr="0096534C" w:rsidRDefault="008B332B" w:rsidP="006008C4">
      <w:pPr>
        <w:pStyle w:val="BodyText"/>
        <w:numPr>
          <w:ilvl w:val="0"/>
          <w:numId w:val="7"/>
        </w:numPr>
        <w:tabs>
          <w:tab w:val="left" w:pos="433"/>
        </w:tabs>
        <w:spacing w:after="120"/>
        <w:ind w:left="440" w:hanging="440"/>
        <w:jc w:val="both"/>
      </w:pPr>
      <w:proofErr w:type="gramStart"/>
      <w:r w:rsidRPr="0096534C">
        <w:rPr>
          <w:rStyle w:val="BodyTextChar"/>
        </w:rPr>
        <w:t>établir</w:t>
      </w:r>
      <w:proofErr w:type="gramEnd"/>
      <w:r w:rsidRPr="0096534C">
        <w:rPr>
          <w:rStyle w:val="BodyTextChar"/>
        </w:rPr>
        <w:t xml:space="preserve"> des </w:t>
      </w:r>
      <w:r w:rsidRPr="0096534C">
        <w:rPr>
          <w:rStyle w:val="BodyTextChar"/>
          <w:b/>
        </w:rPr>
        <w:t>conventions de bourse</w:t>
      </w:r>
      <w:r w:rsidRPr="0096534C">
        <w:rPr>
          <w:rStyle w:val="BodyTextChar"/>
        </w:rPr>
        <w:t xml:space="preserve"> pour chaque mobilité individuelle, précisant les conditions de la bourse, le type de mobilité, la période et la durée, les droits et obligations des boursiers, etc.;</w:t>
      </w:r>
    </w:p>
    <w:p w14:paraId="570D2068" w14:textId="77777777" w:rsidR="000435C2" w:rsidRPr="0096534C" w:rsidRDefault="008B332B" w:rsidP="006008C4">
      <w:pPr>
        <w:pStyle w:val="BodyText"/>
        <w:numPr>
          <w:ilvl w:val="0"/>
          <w:numId w:val="7"/>
        </w:numPr>
        <w:tabs>
          <w:tab w:val="left" w:pos="433"/>
        </w:tabs>
        <w:spacing w:after="120"/>
        <w:ind w:left="440" w:hanging="440"/>
        <w:jc w:val="both"/>
      </w:pPr>
      <w:proofErr w:type="gramStart"/>
      <w:r w:rsidRPr="0096534C">
        <w:rPr>
          <w:rStyle w:val="BodyTextChar"/>
        </w:rPr>
        <w:t>faciliter</w:t>
      </w:r>
      <w:proofErr w:type="gramEnd"/>
      <w:r w:rsidRPr="0096534C">
        <w:rPr>
          <w:rStyle w:val="BodyTextChar"/>
        </w:rPr>
        <w:t xml:space="preserve"> la reconnaissance des périodes de mobilité au moyen de mécanismes convenus entre les EES d’origine et d’accueil afin de favoriser la création d’un espace africain de l’enseignement supérieur et de la recherche. Dans cette optique, avant la mobilité, les institutions concernées (d’origine et d’accueil) devraient </w:t>
      </w:r>
      <w:proofErr w:type="gramStart"/>
      <w:r w:rsidRPr="0096534C">
        <w:rPr>
          <w:rStyle w:val="BodyTextChar"/>
        </w:rPr>
        <w:t>établir:</w:t>
      </w:r>
      <w:proofErr w:type="gramEnd"/>
    </w:p>
    <w:p w14:paraId="7789089C" w14:textId="7F7B78A6" w:rsidR="000435C2" w:rsidRPr="0096534C" w:rsidRDefault="008B332B" w:rsidP="008B332B">
      <w:pPr>
        <w:keepNext/>
        <w:keepLines/>
        <w:numPr>
          <w:ilvl w:val="0"/>
          <w:numId w:val="8"/>
        </w:numPr>
        <w:tabs>
          <w:tab w:val="left" w:pos="1417"/>
          <w:tab w:val="right" w:pos="7308"/>
          <w:tab w:val="right" w:pos="8716"/>
        </w:tabs>
        <w:spacing w:after="120"/>
        <w:ind w:left="1418" w:hanging="425"/>
        <w:jc w:val="both"/>
      </w:pPr>
      <w:proofErr w:type="gramStart"/>
      <w:r w:rsidRPr="0096534C">
        <w:rPr>
          <w:rStyle w:val="BodyTextChar"/>
        </w:rPr>
        <w:t>des</w:t>
      </w:r>
      <w:proofErr w:type="gramEnd"/>
      <w:r w:rsidRPr="0096534C">
        <w:rPr>
          <w:rStyle w:val="BodyTextChar"/>
        </w:rPr>
        <w:t xml:space="preserve"> </w:t>
      </w:r>
      <w:r w:rsidRPr="0096534C">
        <w:rPr>
          <w:rStyle w:val="BodyTextChar"/>
          <w:b/>
        </w:rPr>
        <w:t>accords d’apprentissage/plans de recherche</w:t>
      </w:r>
      <w:r w:rsidRPr="0096534C">
        <w:rPr>
          <w:rStyle w:val="BodyTextChar"/>
        </w:rPr>
        <w:t xml:space="preserve"> avec les étudiants (master et doctorat) définissant notamment un programme de travail individuel et la charge de travail requise pour réussir les examens ou d’autres formes d’évaluation;</w:t>
      </w:r>
    </w:p>
    <w:p w14:paraId="751D8004" w14:textId="6ABD0516" w:rsidR="000435C2" w:rsidRPr="0096534C" w:rsidRDefault="008B332B" w:rsidP="008B332B">
      <w:pPr>
        <w:keepNext/>
        <w:keepLines/>
        <w:numPr>
          <w:ilvl w:val="0"/>
          <w:numId w:val="8"/>
        </w:numPr>
        <w:tabs>
          <w:tab w:val="left" w:pos="1417"/>
          <w:tab w:val="right" w:pos="7308"/>
          <w:tab w:val="right" w:pos="8716"/>
        </w:tabs>
        <w:spacing w:after="120"/>
        <w:ind w:left="1418" w:hanging="425"/>
        <w:jc w:val="both"/>
        <w:rPr>
          <w:rStyle w:val="BodyTextChar"/>
        </w:rPr>
      </w:pPr>
      <w:proofErr w:type="gramStart"/>
      <w:r w:rsidRPr="0096534C">
        <w:t>des</w:t>
      </w:r>
      <w:proofErr w:type="gramEnd"/>
      <w:r w:rsidRPr="0096534C">
        <w:t xml:space="preserve"> </w:t>
      </w:r>
      <w:bookmarkStart w:id="17" w:name="bookmark21"/>
      <w:r w:rsidRPr="0096534C">
        <w:rPr>
          <w:rStyle w:val="BodyTextChar"/>
        </w:rPr>
        <w:t>conventions de stage avec les stagiaires et des conventions de mobilité</w:t>
      </w:r>
      <w:bookmarkEnd w:id="17"/>
      <w:r w:rsidRPr="0096534C">
        <w:rPr>
          <w:rStyle w:val="BodyTextChar"/>
        </w:rPr>
        <w:t xml:space="preserve"> avec le personnel, qui présentent en particulier le plan d’activité à mettre en œuvre pendant la mobilité, par exemple la pratique professionnelle, les conférences, la recherche, la formation et les activités de renforcement des capacités.</w:t>
      </w:r>
    </w:p>
    <w:p w14:paraId="07C5067A" w14:textId="77777777" w:rsidR="000435C2" w:rsidRPr="0096534C" w:rsidRDefault="008B332B" w:rsidP="006008C4">
      <w:pPr>
        <w:pStyle w:val="BodyText"/>
        <w:numPr>
          <w:ilvl w:val="0"/>
          <w:numId w:val="9"/>
        </w:numPr>
        <w:tabs>
          <w:tab w:val="left" w:pos="433"/>
        </w:tabs>
        <w:spacing w:after="720"/>
        <w:ind w:left="380" w:hanging="380"/>
        <w:jc w:val="both"/>
      </w:pPr>
      <w:proofErr w:type="gramStart"/>
      <w:r w:rsidRPr="0096534C">
        <w:rPr>
          <w:rStyle w:val="BodyTextChar"/>
        </w:rPr>
        <w:t>prévoir</w:t>
      </w:r>
      <w:proofErr w:type="gramEnd"/>
      <w:r w:rsidRPr="0096534C">
        <w:rPr>
          <w:rStyle w:val="BodyTextChar"/>
        </w:rPr>
        <w:t xml:space="preserve"> des dispositions pour le suivi des activités des boursiers (par exemple, le mentorat, les rapports réguliers, les enquêtes), y compris le suivi après la mobilité.</w:t>
      </w:r>
    </w:p>
    <w:p w14:paraId="2C9634E3" w14:textId="77777777" w:rsidR="000435C2" w:rsidRPr="0096534C" w:rsidRDefault="008B332B" w:rsidP="00F96019">
      <w:pPr>
        <w:pStyle w:val="BodyText"/>
        <w:keepNext/>
        <w:jc w:val="both"/>
      </w:pPr>
      <w:r w:rsidRPr="0096534C">
        <w:rPr>
          <w:rStyle w:val="BodyTextChar"/>
          <w:b/>
          <w:i/>
          <w:u w:val="single"/>
        </w:rPr>
        <w:t>Activités liées à la mobilité</w:t>
      </w:r>
    </w:p>
    <w:p w14:paraId="1977B5A5" w14:textId="77777777" w:rsidR="000435C2" w:rsidRPr="0096534C" w:rsidRDefault="008B332B">
      <w:pPr>
        <w:pStyle w:val="BodyText"/>
        <w:spacing w:after="100"/>
        <w:jc w:val="both"/>
      </w:pPr>
      <w:r w:rsidRPr="0096534C">
        <w:rPr>
          <w:rStyle w:val="BodyTextChar"/>
        </w:rPr>
        <w:t>Chaque mobilité individuelle doit être organisée dans un pays africain, différent du pays de nationalité et de résidence des boursiers au moment de la demande de bourse</w:t>
      </w:r>
      <w:r w:rsidRPr="0096534C">
        <w:rPr>
          <w:rStyle w:val="BodyTextChar"/>
          <w:vertAlign w:val="superscript"/>
        </w:rPr>
        <w:footnoteReference w:id="6"/>
      </w:r>
      <w:r w:rsidRPr="0096534C">
        <w:rPr>
          <w:rStyle w:val="BodyTextChar"/>
        </w:rPr>
        <w:t>.</w:t>
      </w:r>
    </w:p>
    <w:p w14:paraId="208031DE" w14:textId="77777777" w:rsidR="000435C2" w:rsidRPr="0096534C" w:rsidRDefault="008B332B">
      <w:pPr>
        <w:pStyle w:val="BodyText"/>
        <w:spacing w:after="100"/>
        <w:jc w:val="both"/>
      </w:pPr>
      <w:r w:rsidRPr="0096534C">
        <w:rPr>
          <w:rStyle w:val="BodyTextChar"/>
        </w:rPr>
        <w:t>Seuls les EES d’Afrique participant en qualité de demandeurs (bénéficiaire) peuvent accueillir des flux de mobilité d’étudiants et de personnel.</w:t>
      </w:r>
    </w:p>
    <w:p w14:paraId="7105CA97" w14:textId="77777777" w:rsidR="000435C2" w:rsidRPr="0096534C" w:rsidRDefault="008B332B">
      <w:pPr>
        <w:pStyle w:val="BodyText"/>
        <w:spacing w:after="100"/>
        <w:jc w:val="both"/>
      </w:pPr>
      <w:r w:rsidRPr="0096534C">
        <w:rPr>
          <w:rStyle w:val="BodyTextChar"/>
        </w:rPr>
        <w:t>Seules les organisations (publiques ou privées) établies dans les pays des EES demandeurs (bénéficiaires) d’Afrique peuvent accueillir des stagiaires.</w:t>
      </w:r>
    </w:p>
    <w:p w14:paraId="063A04DC" w14:textId="77777777" w:rsidR="000435C2" w:rsidRPr="0096534C" w:rsidRDefault="008B332B">
      <w:pPr>
        <w:pStyle w:val="BodyText"/>
        <w:spacing w:after="100"/>
        <w:jc w:val="both"/>
      </w:pPr>
      <w:r w:rsidRPr="0096534C">
        <w:rPr>
          <w:rStyle w:val="BodyTextChar"/>
        </w:rPr>
        <w:t xml:space="preserve">Les types de mobilité éligibles sont les </w:t>
      </w:r>
      <w:proofErr w:type="gramStart"/>
      <w:r w:rsidRPr="0096534C">
        <w:rPr>
          <w:rStyle w:val="BodyTextChar"/>
        </w:rPr>
        <w:t>suivants:</w:t>
      </w:r>
      <w:proofErr w:type="gramEnd"/>
    </w:p>
    <w:p w14:paraId="7AD92517" w14:textId="77777777" w:rsidR="000435C2" w:rsidRPr="0096534C" w:rsidRDefault="008B332B" w:rsidP="006008C4">
      <w:pPr>
        <w:pStyle w:val="BodyText"/>
        <w:numPr>
          <w:ilvl w:val="0"/>
          <w:numId w:val="9"/>
        </w:numPr>
        <w:tabs>
          <w:tab w:val="left" w:pos="754"/>
        </w:tabs>
        <w:spacing w:after="100" w:line="230" w:lineRule="auto"/>
        <w:ind w:firstLine="380"/>
        <w:jc w:val="both"/>
      </w:pPr>
      <w:r w:rsidRPr="0096534C">
        <w:rPr>
          <w:rStyle w:val="BodyTextChar"/>
          <w:b/>
        </w:rPr>
        <w:t>Mobilité des étudiants</w:t>
      </w:r>
    </w:p>
    <w:p w14:paraId="7770D3E5" w14:textId="77777777" w:rsidR="000435C2" w:rsidRPr="0096534C" w:rsidRDefault="008B332B">
      <w:pPr>
        <w:pStyle w:val="BodyText"/>
        <w:spacing w:after="100"/>
        <w:jc w:val="both"/>
      </w:pPr>
      <w:r w:rsidRPr="0096534C">
        <w:rPr>
          <w:rStyle w:val="BodyTextChar"/>
        </w:rPr>
        <w:t>La mobilité des étudiants doit avoir lieu dans le cadre de cours de niveau master</w:t>
      </w:r>
      <w:r w:rsidRPr="0096534C">
        <w:rPr>
          <w:rStyle w:val="BodyTextChar"/>
          <w:vertAlign w:val="superscript"/>
        </w:rPr>
        <w:footnoteReference w:id="7"/>
      </w:r>
      <w:r w:rsidRPr="0096534C">
        <w:rPr>
          <w:rStyle w:val="BodyTextChar"/>
        </w:rPr>
        <w:t xml:space="preserve"> et de programmes de doctorat</w:t>
      </w:r>
      <w:r w:rsidRPr="0096534C">
        <w:rPr>
          <w:rStyle w:val="BodyTextChar"/>
          <w:vertAlign w:val="superscript"/>
        </w:rPr>
        <w:footnoteReference w:id="8"/>
      </w:r>
      <w:r w:rsidRPr="0096534C">
        <w:rPr>
          <w:rStyle w:val="BodyTextChar"/>
        </w:rPr>
        <w:t xml:space="preserve"> accrédités proposés par les EES africains participant au projet en tant que demandeur (bénéficiaires) et liés au(x) domaine(s) prioritaire(s) choisi(s) pour le projet. Pendant la mise en œuvre du projet, une preuve de cette accréditation pourra être demandée par l’Agence pour tous les programmes mentionnés dans la demande.</w:t>
      </w:r>
    </w:p>
    <w:p w14:paraId="3E7DF1CD" w14:textId="77777777" w:rsidR="000435C2" w:rsidRPr="0096534C" w:rsidRDefault="008B332B">
      <w:pPr>
        <w:pStyle w:val="BodyText"/>
        <w:spacing w:after="100"/>
        <w:jc w:val="both"/>
      </w:pPr>
      <w:r w:rsidRPr="0096534C">
        <w:rPr>
          <w:rStyle w:val="BodyTextChar"/>
        </w:rPr>
        <w:lastRenderedPageBreak/>
        <w:t>Au moment où ils déposent leur demande de bourse, les demandeurs doivent être ressortissants d’un pays africain et y résider.</w:t>
      </w:r>
    </w:p>
    <w:p w14:paraId="00B217D3" w14:textId="77777777" w:rsidR="000435C2" w:rsidRPr="0096534C" w:rsidRDefault="008B332B">
      <w:pPr>
        <w:pStyle w:val="BodyText"/>
        <w:spacing w:after="100"/>
        <w:jc w:val="both"/>
      </w:pPr>
      <w:r w:rsidRPr="0096534C">
        <w:rPr>
          <w:rStyle w:val="BodyTextChar"/>
        </w:rPr>
        <w:t>Deux catégories d’étudiants seront soutenues :</w:t>
      </w:r>
    </w:p>
    <w:p w14:paraId="4B489EAB" w14:textId="77777777" w:rsidR="000435C2" w:rsidRPr="0096534C" w:rsidRDefault="008B332B" w:rsidP="006008C4">
      <w:pPr>
        <w:pStyle w:val="BodyText"/>
        <w:numPr>
          <w:ilvl w:val="0"/>
          <w:numId w:val="9"/>
        </w:numPr>
        <w:tabs>
          <w:tab w:val="left" w:pos="754"/>
        </w:tabs>
        <w:spacing w:after="100"/>
        <w:ind w:left="740" w:hanging="360"/>
        <w:jc w:val="both"/>
      </w:pPr>
      <w:r w:rsidRPr="0096534C">
        <w:rPr>
          <w:rStyle w:val="BodyTextChar"/>
          <w:b/>
          <w:i/>
        </w:rPr>
        <w:t>Groupe cible </w:t>
      </w:r>
      <w:proofErr w:type="gramStart"/>
      <w:r w:rsidRPr="0096534C">
        <w:rPr>
          <w:rStyle w:val="BodyTextChar"/>
          <w:b/>
          <w:i/>
        </w:rPr>
        <w:t>1</w:t>
      </w:r>
      <w:r w:rsidRPr="0096534C">
        <w:rPr>
          <w:rStyle w:val="BodyTextChar"/>
          <w:i/>
        </w:rPr>
        <w:t>:</w:t>
      </w:r>
      <w:proofErr w:type="gramEnd"/>
      <w:r w:rsidRPr="0096534C">
        <w:rPr>
          <w:rStyle w:val="BodyTextChar"/>
          <w:i/>
        </w:rPr>
        <w:t xml:space="preserve"> étudiants inscrits/admis ou ayant obtenu un diplôme dans l’un des EES demandeurs africains (bénéficiaires) participant au consortium.</w:t>
      </w:r>
    </w:p>
    <w:p w14:paraId="3BFBD59F" w14:textId="77777777" w:rsidR="000435C2" w:rsidRPr="0096534C" w:rsidRDefault="008B332B" w:rsidP="006008C4">
      <w:pPr>
        <w:pStyle w:val="BodyText"/>
        <w:numPr>
          <w:ilvl w:val="0"/>
          <w:numId w:val="9"/>
        </w:numPr>
        <w:tabs>
          <w:tab w:val="left" w:pos="754"/>
        </w:tabs>
        <w:spacing w:after="100"/>
        <w:ind w:left="740" w:hanging="360"/>
        <w:jc w:val="both"/>
      </w:pPr>
      <w:r w:rsidRPr="0096534C">
        <w:rPr>
          <w:rStyle w:val="BodyTextChar"/>
          <w:b/>
          <w:i/>
        </w:rPr>
        <w:t>Groupe cible </w:t>
      </w:r>
      <w:proofErr w:type="gramStart"/>
      <w:r w:rsidRPr="0096534C">
        <w:rPr>
          <w:rStyle w:val="BodyTextChar"/>
          <w:b/>
          <w:i/>
        </w:rPr>
        <w:t>2:</w:t>
      </w:r>
      <w:proofErr w:type="gramEnd"/>
      <w:r w:rsidRPr="0096534C">
        <w:rPr>
          <w:rStyle w:val="BodyTextChar"/>
          <w:b/>
          <w:i/>
        </w:rPr>
        <w:t xml:space="preserve"> </w:t>
      </w:r>
      <w:r w:rsidRPr="0096534C">
        <w:rPr>
          <w:rStyle w:val="BodyTextChar"/>
          <w:i/>
        </w:rPr>
        <w:t>étudiants inscrits/admis ou ayant obtenu un diplôme dans un autre EES qui ne participe pas en tant que demandeur (bénéficiaire) mais qui est établi en Afrique.</w:t>
      </w:r>
    </w:p>
    <w:p w14:paraId="473F0F5A" w14:textId="77777777" w:rsidR="000435C2" w:rsidRPr="0096534C" w:rsidRDefault="008B332B">
      <w:pPr>
        <w:pStyle w:val="BodyText"/>
        <w:spacing w:after="100"/>
        <w:jc w:val="both"/>
      </w:pPr>
      <w:r w:rsidRPr="0096534C">
        <w:rPr>
          <w:rStyle w:val="BodyTextChar"/>
        </w:rPr>
        <w:t>Les étudiants ne peuvent recevoir qu’une seule bourse au titre des projets sélectionnés dans le cadre du programme de mobilité universitaire intra-Afrique 2022-2027.</w:t>
      </w:r>
    </w:p>
    <w:p w14:paraId="593CBA53" w14:textId="77777777" w:rsidR="000435C2" w:rsidRPr="0096534C" w:rsidRDefault="008B332B">
      <w:pPr>
        <w:pStyle w:val="BodyText"/>
        <w:spacing w:after="100"/>
        <w:jc w:val="both"/>
      </w:pPr>
      <w:r w:rsidRPr="0096534C">
        <w:rPr>
          <w:rStyle w:val="BodyTextChar"/>
        </w:rPr>
        <w:t xml:space="preserve">La mobilité des étudiants peut porter sur une courte durée, c’est-à-dire la </w:t>
      </w:r>
      <w:r w:rsidRPr="0096534C">
        <w:rPr>
          <w:rStyle w:val="BodyTextChar"/>
          <w:b/>
        </w:rPr>
        <w:t>mobilité visant à l’obtention de crédits</w:t>
      </w:r>
      <w:r w:rsidRPr="0096534C">
        <w:rPr>
          <w:rStyle w:val="BodyTextChar"/>
        </w:rPr>
        <w:t> (menant à la reconnaissance universitaire par l’EES d’origine de la période d’études/de recherche passée dans l’EES d’accueil</w:t>
      </w:r>
      <w:r w:rsidRPr="0096534C">
        <w:rPr>
          <w:rStyle w:val="BodyTextChar"/>
          <w:vertAlign w:val="superscript"/>
        </w:rPr>
        <w:footnoteReference w:id="9"/>
      </w:r>
      <w:r w:rsidRPr="0096534C">
        <w:rPr>
          <w:rStyle w:val="BodyTextChar"/>
        </w:rPr>
        <w:t xml:space="preserve">) ou sur un programme complet d’études universitaires, c’est-à-dire la </w:t>
      </w:r>
      <w:r w:rsidRPr="0096534C">
        <w:rPr>
          <w:rStyle w:val="BodyTextChar"/>
          <w:b/>
        </w:rPr>
        <w:t>mobilité visant à l’obtention d’un diplôme</w:t>
      </w:r>
      <w:r w:rsidRPr="0096534C">
        <w:rPr>
          <w:rStyle w:val="BodyTextChar"/>
        </w:rPr>
        <w:t> (menant à la délivrance d’un diplôme par l’EES d’accueil après la réussite des études).</w:t>
      </w:r>
    </w:p>
    <w:p w14:paraId="09C4D8B3" w14:textId="77777777" w:rsidR="000435C2" w:rsidRPr="0096534C" w:rsidRDefault="008B332B">
      <w:pPr>
        <w:pStyle w:val="BodyText"/>
        <w:spacing w:after="100"/>
        <w:jc w:val="both"/>
      </w:pPr>
      <w:r w:rsidRPr="0096534C">
        <w:rPr>
          <w:rStyle w:val="BodyTextChar"/>
        </w:rPr>
        <w:t>La mobilité des étudiants peut inclure une période de stage dans le même pays que l’EES d’accueil, à condition que le stage soit reconnu comme faisant partie intégrante du programme de mobilité de l’étudiant.</w:t>
      </w:r>
    </w:p>
    <w:p w14:paraId="5FB9F6A2" w14:textId="77777777" w:rsidR="000435C2" w:rsidRPr="0096534C" w:rsidRDefault="008B332B">
      <w:pPr>
        <w:pStyle w:val="BodyText"/>
        <w:spacing w:after="100"/>
        <w:jc w:val="both"/>
      </w:pPr>
      <w:r w:rsidRPr="0096534C">
        <w:rPr>
          <w:rStyle w:val="BodyTextChar"/>
        </w:rPr>
        <w:t>Le consortium doit garantir la reconnaissance académique des périodes d’études, de formation et de recherche grâce à des mécanismes convenus entre l’EES d’origine et l’EES d’accueil. À la fin de la période d’études/de recherche, l’EES d’accueil communiquera à l’étudiant et à l’EES d’origine les résultats consignés dans un diplôme et/ou un relevé des notes, confirmant les activités menées à bien. Si nécessaire, il est recommandé que la reconnaissance soit également documentée dans un supplément au diplôme.</w:t>
      </w:r>
    </w:p>
    <w:p w14:paraId="7C379A1C" w14:textId="77777777" w:rsidR="000435C2" w:rsidRPr="0096534C" w:rsidRDefault="008B332B" w:rsidP="006008C4">
      <w:pPr>
        <w:pStyle w:val="BodyText"/>
        <w:numPr>
          <w:ilvl w:val="0"/>
          <w:numId w:val="9"/>
        </w:numPr>
        <w:tabs>
          <w:tab w:val="left" w:pos="754"/>
        </w:tabs>
        <w:spacing w:after="100"/>
        <w:ind w:firstLine="380"/>
        <w:jc w:val="both"/>
      </w:pPr>
      <w:r w:rsidRPr="0096534C">
        <w:rPr>
          <w:rStyle w:val="BodyTextChar"/>
          <w:b/>
        </w:rPr>
        <w:t>Mobilité des stagiaires</w:t>
      </w:r>
    </w:p>
    <w:p w14:paraId="7C202EA3" w14:textId="77777777" w:rsidR="000435C2" w:rsidRPr="0096534C" w:rsidRDefault="008B332B">
      <w:pPr>
        <w:pStyle w:val="BodyText"/>
        <w:spacing w:after="100"/>
        <w:jc w:val="both"/>
      </w:pPr>
      <w:r w:rsidRPr="0096534C">
        <w:rPr>
          <w:rStyle w:val="BodyTextChar"/>
        </w:rPr>
        <w:t>Au moment où ils déposent leur demande de bourse, les demandeurs doivent être ressortissants d’un pays africain et y résider.</w:t>
      </w:r>
    </w:p>
    <w:p w14:paraId="79AA16D3" w14:textId="77777777" w:rsidR="000435C2" w:rsidRPr="0096534C" w:rsidRDefault="008B332B">
      <w:pPr>
        <w:pStyle w:val="BodyText"/>
        <w:spacing w:after="100"/>
        <w:jc w:val="both"/>
      </w:pPr>
      <w:r w:rsidRPr="0096534C">
        <w:rPr>
          <w:rStyle w:val="BodyTextChar"/>
        </w:rPr>
        <w:t>Ils doivent être inscrits à un programme de licence/master/doctorat dans l’un des EES demandeurs (bénéficiaires) d’Afrique participant au consortium.</w:t>
      </w:r>
    </w:p>
    <w:p w14:paraId="0D3AA759" w14:textId="77777777" w:rsidR="000435C2" w:rsidRPr="0096534C" w:rsidRDefault="008B332B">
      <w:pPr>
        <w:pStyle w:val="BodyText"/>
        <w:jc w:val="both"/>
      </w:pPr>
      <w:r w:rsidRPr="0096534C">
        <w:rPr>
          <w:rStyle w:val="BodyTextChar"/>
        </w:rPr>
        <w:t>La mobilité des stagiaires comprendra des périodes de stage dans des organisations/acteurs commerciaux privés ou publics dans le cadre du programme universitaire des stagiaires.</w:t>
      </w:r>
    </w:p>
    <w:p w14:paraId="1E32BD34" w14:textId="77777777" w:rsidR="000435C2" w:rsidRPr="0096534C" w:rsidRDefault="008B332B">
      <w:pPr>
        <w:pStyle w:val="BodyText"/>
        <w:spacing w:after="100"/>
        <w:jc w:val="both"/>
      </w:pPr>
      <w:r w:rsidRPr="0096534C">
        <w:rPr>
          <w:rStyle w:val="BodyTextChar"/>
        </w:rPr>
        <w:t xml:space="preserve">Les stagiaires acquerront une expérience professionnelle substantielle et significative dans le ou les domaines prioritaires du projet afin d’accroître leur employabilité. Les EES demandeurs établis dans le pays d’accueil devraient participer à l’organisation et à la mise en œuvre de la </w:t>
      </w:r>
      <w:proofErr w:type="gramStart"/>
      <w:r w:rsidRPr="0096534C">
        <w:rPr>
          <w:rStyle w:val="BodyTextChar"/>
        </w:rPr>
        <w:t>mobilité;</w:t>
      </w:r>
      <w:proofErr w:type="gramEnd"/>
      <w:r w:rsidRPr="0096534C">
        <w:rPr>
          <w:rStyle w:val="BodyTextChar"/>
        </w:rPr>
        <w:t xml:space="preserve"> il est par conséquent attendu qu’ils renforcent leurs services d’orientation professionnelle et de placement ainsi que leurs partenariats avec les secteurs public et privé. Le consortium doit garantir la reconnaissance universitaire par l’EES d’origine de la période de stage à l’étranger.</w:t>
      </w:r>
    </w:p>
    <w:p w14:paraId="1B912C64" w14:textId="77777777" w:rsidR="000435C2" w:rsidRPr="0096534C" w:rsidRDefault="008B332B" w:rsidP="0096534C">
      <w:pPr>
        <w:pStyle w:val="BodyText"/>
        <w:pageBreakBefore/>
        <w:numPr>
          <w:ilvl w:val="0"/>
          <w:numId w:val="9"/>
        </w:numPr>
        <w:tabs>
          <w:tab w:val="left" w:pos="754"/>
        </w:tabs>
        <w:spacing w:after="100"/>
        <w:ind w:firstLine="380"/>
        <w:jc w:val="both"/>
      </w:pPr>
      <w:r w:rsidRPr="0096534C">
        <w:rPr>
          <w:rStyle w:val="BodyTextChar"/>
          <w:b/>
        </w:rPr>
        <w:lastRenderedPageBreak/>
        <w:t>Mobilité du personnel</w:t>
      </w:r>
    </w:p>
    <w:p w14:paraId="2B60AA28" w14:textId="77777777" w:rsidR="000435C2" w:rsidRPr="0096534C" w:rsidRDefault="008B332B">
      <w:pPr>
        <w:pStyle w:val="BodyText"/>
        <w:jc w:val="both"/>
      </w:pPr>
      <w:r w:rsidRPr="0096534C">
        <w:rPr>
          <w:rStyle w:val="BodyTextChar"/>
        </w:rPr>
        <w:t>Au moment où ils demandent une bourse, les demandeurs doivent être des membres du personnel travaillant pour l’un des EES demandeurs (bénéficiaires) participant au consortium (y compris le partenaire technique de l’UE).</w:t>
      </w:r>
    </w:p>
    <w:p w14:paraId="366C925B" w14:textId="77777777" w:rsidR="000435C2" w:rsidRPr="0096534C" w:rsidRDefault="008B332B">
      <w:pPr>
        <w:pStyle w:val="BodyText"/>
        <w:jc w:val="both"/>
      </w:pPr>
      <w:r w:rsidRPr="0096534C">
        <w:rPr>
          <w:rStyle w:val="BodyTextChar"/>
        </w:rPr>
        <w:t>La mobilité du personnel peut concerner le personnel académique, administratif et technique. Les activités correspondantes peuvent aller de missions d’enseignement à des activités de recherche, en passant par des tâches administratives, la participation à des cours de formation ou l’organisation de ceux-ci, des activités d’élaboration de programmes d’études, une assistance technique, etc. La mobilité du personnel devrait viser à favoriser l’échange de pratiques, le renforcement des capacités ainsi que l’amélioration des compétences (en matière de gestion, d’enseignement, de technique et d’administration). Elle devrait également permettre d’améliorer l’harmonisation et la reconnaissance des études au sein des EES participants ainsi que la qualité de l’enseignement et de la recherche.</w:t>
      </w:r>
    </w:p>
    <w:p w14:paraId="7E376E05" w14:textId="77777777" w:rsidR="000435C2" w:rsidRPr="0096534C" w:rsidRDefault="008B332B">
      <w:pPr>
        <w:pStyle w:val="BodyText"/>
        <w:jc w:val="both"/>
      </w:pPr>
      <w:r w:rsidRPr="0096534C">
        <w:rPr>
          <w:rStyle w:val="BodyTextChar"/>
        </w:rPr>
        <w:t>Le personnel du partenaire technique de l’UE pourra participer à des périodes de mobilité dans l’un des EES demandeurs (bénéficiaires) en Afrique</w:t>
      </w:r>
      <w:r w:rsidRPr="0096534C">
        <w:rPr>
          <w:rStyle w:val="BodyTextChar"/>
          <w:vertAlign w:val="superscript"/>
        </w:rPr>
        <w:footnoteReference w:id="10"/>
      </w:r>
      <w:r w:rsidRPr="0096534C">
        <w:rPr>
          <w:rStyle w:val="BodyTextChar"/>
        </w:rPr>
        <w:t xml:space="preserve"> dans le but de soutenir davantage la gestion et la mise en œuvre du projet et du programme de mobilité d’un point de vue académique, administratif et financier.</w:t>
      </w:r>
    </w:p>
    <w:p w14:paraId="2F84A22A" w14:textId="77777777" w:rsidR="000435C2" w:rsidRPr="0096534C" w:rsidRDefault="008B332B">
      <w:pPr>
        <w:pStyle w:val="BodyText"/>
        <w:jc w:val="both"/>
      </w:pPr>
      <w:r w:rsidRPr="0096534C">
        <w:rPr>
          <w:rStyle w:val="BodyTextChar"/>
        </w:rPr>
        <w:t>La mobilité du personnel est une composante intégrante et importante du projet et devrait être planifiée et réalisée en temps utile et de manière stratégique en vue de la réalisation des objectifs du projet.</w:t>
      </w:r>
    </w:p>
    <w:p w14:paraId="0E4DF1EA" w14:textId="77777777" w:rsidR="000435C2" w:rsidRPr="0096534C" w:rsidRDefault="008B332B">
      <w:pPr>
        <w:pStyle w:val="BodyText"/>
        <w:jc w:val="both"/>
      </w:pPr>
      <w:r w:rsidRPr="0096534C">
        <w:rPr>
          <w:rStyle w:val="BodyTextChar"/>
        </w:rPr>
        <w:t>Les boursiers ne peuvent pas bénéficier d’un autre programme de bourses financé par l’UE (par exemple, le programme de mobilité universitaire intra-Afrique, Erasmus</w:t>
      </w:r>
      <w:proofErr w:type="gramStart"/>
      <w:r w:rsidRPr="0096534C">
        <w:rPr>
          <w:rStyle w:val="BodyTextChar"/>
        </w:rPr>
        <w:t>+:</w:t>
      </w:r>
      <w:proofErr w:type="gramEnd"/>
      <w:r w:rsidRPr="0096534C">
        <w:rPr>
          <w:rStyle w:val="BodyTextChar"/>
        </w:rPr>
        <w:t xml:space="preserve"> masters communs Erasmus Mundus) afin de mettre en œuvre la même activité pendant leur période de mobilité intra-Afrique.</w:t>
      </w:r>
    </w:p>
    <w:p w14:paraId="5F464A83" w14:textId="77777777" w:rsidR="000435C2" w:rsidRPr="0096534C" w:rsidRDefault="008B332B">
      <w:pPr>
        <w:pStyle w:val="BodyText"/>
        <w:jc w:val="both"/>
      </w:pPr>
      <w:r w:rsidRPr="0096534C">
        <w:rPr>
          <w:rStyle w:val="BodyTextChar"/>
        </w:rPr>
        <w:t xml:space="preserve">Afin d’éviter des irrégularités dans la sélection des boursiers, le consortium doit demander les éléments </w:t>
      </w:r>
      <w:proofErr w:type="gramStart"/>
      <w:r w:rsidRPr="0096534C">
        <w:rPr>
          <w:rStyle w:val="BodyTextChar"/>
        </w:rPr>
        <w:t>suivants:</w:t>
      </w:r>
      <w:proofErr w:type="gramEnd"/>
    </w:p>
    <w:p w14:paraId="26A57FBF" w14:textId="77777777" w:rsidR="000435C2" w:rsidRPr="0096534C" w:rsidRDefault="008B332B" w:rsidP="006008C4">
      <w:pPr>
        <w:pStyle w:val="BodyText"/>
        <w:numPr>
          <w:ilvl w:val="0"/>
          <w:numId w:val="10"/>
        </w:numPr>
        <w:tabs>
          <w:tab w:val="left" w:pos="726"/>
        </w:tabs>
        <w:ind w:left="740" w:hanging="360"/>
        <w:jc w:val="both"/>
      </w:pPr>
      <w:r w:rsidRPr="0096534C">
        <w:rPr>
          <w:rStyle w:val="BodyTextChar"/>
        </w:rPr>
        <w:t xml:space="preserve">Aux </w:t>
      </w:r>
      <w:proofErr w:type="gramStart"/>
      <w:r w:rsidRPr="0096534C">
        <w:rPr>
          <w:rStyle w:val="BodyTextChar"/>
        </w:rPr>
        <w:t>étudiants:</w:t>
      </w:r>
      <w:proofErr w:type="gramEnd"/>
      <w:r w:rsidRPr="0096534C">
        <w:rPr>
          <w:rStyle w:val="BodyTextChar"/>
        </w:rPr>
        <w:t xml:space="preserve"> déclarer (tant au stade de la demande que dans la convention de bourse) ne pas avoir déjà bénéficié d’une bourse d’étudiant antérieure au titre des projets sélectionnés dans le cadre du programme de mobilité universitaire intra-Afrique 2022-2027.</w:t>
      </w:r>
    </w:p>
    <w:p w14:paraId="36229B67" w14:textId="77777777" w:rsidR="000435C2" w:rsidRPr="0096534C" w:rsidRDefault="008B332B" w:rsidP="006008C4">
      <w:pPr>
        <w:pStyle w:val="BodyText"/>
        <w:numPr>
          <w:ilvl w:val="0"/>
          <w:numId w:val="10"/>
        </w:numPr>
        <w:tabs>
          <w:tab w:val="left" w:pos="634"/>
        </w:tabs>
        <w:spacing w:after="100"/>
        <w:ind w:left="740" w:hanging="360"/>
        <w:jc w:val="both"/>
      </w:pPr>
      <w:r w:rsidRPr="0096534C">
        <w:rPr>
          <w:rStyle w:val="BodyTextChar"/>
        </w:rPr>
        <w:t xml:space="preserve">Aux étudiants, aux stagiaires et au </w:t>
      </w:r>
      <w:proofErr w:type="gramStart"/>
      <w:r w:rsidRPr="0096534C">
        <w:rPr>
          <w:rStyle w:val="BodyTextChar"/>
        </w:rPr>
        <w:t>personnel:</w:t>
      </w:r>
      <w:proofErr w:type="gramEnd"/>
      <w:r w:rsidRPr="0096534C">
        <w:rPr>
          <w:rStyle w:val="BodyTextChar"/>
        </w:rPr>
        <w:t xml:space="preserve"> s’engager (tant au stade de la demande que dans la convention de bourse) à ne pas bénéficier d’un autre programme de bourse financé par l’UE (par exemple, le programme de mobilité universitaire intra-Afrique, Erasmus+: masters communs Erasmus Mundus) afin de mettre en œuvre la même activité pendant leur période de mobilité intra-Afrique.</w:t>
      </w:r>
    </w:p>
    <w:p w14:paraId="68B0902A" w14:textId="77777777" w:rsidR="000435C2" w:rsidRPr="0096534C" w:rsidRDefault="008B332B" w:rsidP="006008C4">
      <w:pPr>
        <w:pStyle w:val="BodyText"/>
        <w:numPr>
          <w:ilvl w:val="0"/>
          <w:numId w:val="10"/>
        </w:numPr>
        <w:tabs>
          <w:tab w:val="left" w:pos="634"/>
        </w:tabs>
        <w:spacing w:after="100"/>
        <w:ind w:left="740" w:hanging="360"/>
        <w:jc w:val="both"/>
      </w:pPr>
      <w:r w:rsidRPr="0096534C">
        <w:rPr>
          <w:rStyle w:val="BodyTextChar"/>
        </w:rPr>
        <w:t xml:space="preserve">Aux étudiants, aux stagiaires et au </w:t>
      </w:r>
      <w:proofErr w:type="gramStart"/>
      <w:r w:rsidRPr="0096534C">
        <w:rPr>
          <w:rStyle w:val="BodyTextChar"/>
        </w:rPr>
        <w:t>personnel:</w:t>
      </w:r>
      <w:proofErr w:type="gramEnd"/>
      <w:r w:rsidRPr="0096534C">
        <w:rPr>
          <w:rStyle w:val="BodyTextChar"/>
        </w:rPr>
        <w:t xml:space="preserve"> rembourser le soutien financier en cas de déclaration incomplète ou fausse.</w:t>
      </w:r>
    </w:p>
    <w:p w14:paraId="58977B9D" w14:textId="77777777" w:rsidR="000435C2" w:rsidRPr="0096534C" w:rsidRDefault="008B332B">
      <w:pPr>
        <w:pStyle w:val="BodyText"/>
        <w:spacing w:after="200"/>
        <w:jc w:val="both"/>
      </w:pPr>
      <w:r w:rsidRPr="0096534C">
        <w:rPr>
          <w:rStyle w:val="BodyTextChar"/>
        </w:rPr>
        <w:t>Le consortium doit assumer la responsabilité de veiller à ce que les boursiers sélectionnés soient éligibles conformément aux critères énoncés dans le présent appel.</w:t>
      </w:r>
    </w:p>
    <w:p w14:paraId="466E2681" w14:textId="77777777" w:rsidR="000435C2" w:rsidRPr="0096534C" w:rsidRDefault="008B332B">
      <w:pPr>
        <w:pStyle w:val="BodyText"/>
        <w:spacing w:after="420"/>
        <w:jc w:val="both"/>
      </w:pPr>
      <w:r w:rsidRPr="0096534C">
        <w:rPr>
          <w:rStyle w:val="BodyTextChar"/>
        </w:rPr>
        <w:t xml:space="preserve">La mobilité individuelle devrait normalement respecter les durées </w:t>
      </w:r>
      <w:proofErr w:type="gramStart"/>
      <w:r w:rsidRPr="0096534C">
        <w:rPr>
          <w:rStyle w:val="BodyTextChar"/>
        </w:rPr>
        <w:t>suivantes:</w:t>
      </w:r>
      <w:proofErr w:type="gramEnd"/>
    </w:p>
    <w:tbl>
      <w:tblPr>
        <w:tblOverlap w:val="never"/>
        <w:tblW w:w="0" w:type="auto"/>
        <w:jc w:val="center"/>
        <w:tblLayout w:type="fixed"/>
        <w:tblCellMar>
          <w:top w:w="28" w:type="dxa"/>
          <w:left w:w="57" w:type="dxa"/>
          <w:bottom w:w="28" w:type="dxa"/>
          <w:right w:w="57" w:type="dxa"/>
        </w:tblCellMar>
        <w:tblLook w:val="0000" w:firstRow="0" w:lastRow="0" w:firstColumn="0" w:lastColumn="0" w:noHBand="0" w:noVBand="0"/>
      </w:tblPr>
      <w:tblGrid>
        <w:gridCol w:w="2294"/>
        <w:gridCol w:w="2424"/>
      </w:tblGrid>
      <w:tr w:rsidR="000435C2" w:rsidRPr="0096534C" w14:paraId="2C612836" w14:textId="77777777" w:rsidTr="00F96019">
        <w:trPr>
          <w:trHeight w:hRule="exact" w:val="422"/>
          <w:jc w:val="center"/>
        </w:trPr>
        <w:tc>
          <w:tcPr>
            <w:tcW w:w="2294" w:type="dxa"/>
            <w:tcBorders>
              <w:top w:val="single" w:sz="4" w:space="0" w:color="auto"/>
              <w:left w:val="single" w:sz="4" w:space="0" w:color="auto"/>
            </w:tcBorders>
            <w:shd w:val="clear" w:color="auto" w:fill="auto"/>
            <w:vAlign w:val="center"/>
          </w:tcPr>
          <w:p w14:paraId="0AC7EEFE" w14:textId="77777777" w:rsidR="000435C2" w:rsidRPr="0096534C" w:rsidRDefault="008B332B">
            <w:pPr>
              <w:pStyle w:val="Other0"/>
              <w:spacing w:after="0"/>
            </w:pPr>
            <w:r w:rsidRPr="0096534C">
              <w:rPr>
                <w:rStyle w:val="Other"/>
                <w:b/>
              </w:rPr>
              <w:lastRenderedPageBreak/>
              <w:t>Type de mobilité</w:t>
            </w:r>
          </w:p>
        </w:tc>
        <w:tc>
          <w:tcPr>
            <w:tcW w:w="2424" w:type="dxa"/>
            <w:tcBorders>
              <w:top w:val="single" w:sz="4" w:space="0" w:color="auto"/>
              <w:left w:val="single" w:sz="4" w:space="0" w:color="auto"/>
              <w:right w:val="single" w:sz="4" w:space="0" w:color="auto"/>
            </w:tcBorders>
            <w:shd w:val="clear" w:color="auto" w:fill="auto"/>
            <w:vAlign w:val="center"/>
          </w:tcPr>
          <w:p w14:paraId="33284EBB" w14:textId="77777777" w:rsidR="000435C2" w:rsidRPr="0096534C" w:rsidRDefault="008B332B">
            <w:pPr>
              <w:pStyle w:val="Other0"/>
              <w:spacing w:after="0"/>
            </w:pPr>
            <w:r w:rsidRPr="0096534C">
              <w:rPr>
                <w:rStyle w:val="Other"/>
                <w:b/>
              </w:rPr>
              <w:t>Durée min/max</w:t>
            </w:r>
          </w:p>
        </w:tc>
      </w:tr>
      <w:tr w:rsidR="000435C2" w:rsidRPr="0096534C" w14:paraId="6B5343C4" w14:textId="77777777" w:rsidTr="00F96019">
        <w:trPr>
          <w:trHeight w:hRule="exact" w:val="350"/>
          <w:jc w:val="center"/>
        </w:trPr>
        <w:tc>
          <w:tcPr>
            <w:tcW w:w="2294" w:type="dxa"/>
            <w:tcBorders>
              <w:top w:val="single" w:sz="4" w:space="0" w:color="auto"/>
              <w:left w:val="single" w:sz="4" w:space="0" w:color="auto"/>
            </w:tcBorders>
            <w:shd w:val="clear" w:color="auto" w:fill="auto"/>
            <w:vAlign w:val="center"/>
          </w:tcPr>
          <w:p w14:paraId="26507603" w14:textId="77777777" w:rsidR="000435C2" w:rsidRPr="0096534C" w:rsidRDefault="008B332B">
            <w:pPr>
              <w:pStyle w:val="Other0"/>
              <w:spacing w:after="0"/>
            </w:pPr>
            <w:r w:rsidRPr="0096534C">
              <w:rPr>
                <w:rStyle w:val="Other"/>
              </w:rPr>
              <w:t>Étudiants en master</w:t>
            </w:r>
          </w:p>
        </w:tc>
        <w:tc>
          <w:tcPr>
            <w:tcW w:w="2424" w:type="dxa"/>
            <w:tcBorders>
              <w:top w:val="single" w:sz="4" w:space="0" w:color="auto"/>
              <w:left w:val="single" w:sz="4" w:space="0" w:color="auto"/>
              <w:right w:val="single" w:sz="4" w:space="0" w:color="auto"/>
            </w:tcBorders>
            <w:shd w:val="clear" w:color="auto" w:fill="auto"/>
            <w:vAlign w:val="center"/>
          </w:tcPr>
          <w:p w14:paraId="77CC151F" w14:textId="77777777" w:rsidR="000435C2" w:rsidRPr="0096534C" w:rsidRDefault="008B332B">
            <w:pPr>
              <w:pStyle w:val="Other0"/>
              <w:spacing w:after="0"/>
            </w:pPr>
            <w:r w:rsidRPr="0096534C">
              <w:rPr>
                <w:rStyle w:val="Other"/>
              </w:rPr>
              <w:t>4 à 24 mois</w:t>
            </w:r>
          </w:p>
        </w:tc>
      </w:tr>
      <w:tr w:rsidR="000435C2" w:rsidRPr="0096534C" w14:paraId="1D7D9677" w14:textId="77777777" w:rsidTr="00F96019">
        <w:trPr>
          <w:trHeight w:hRule="exact" w:val="350"/>
          <w:jc w:val="center"/>
        </w:trPr>
        <w:tc>
          <w:tcPr>
            <w:tcW w:w="2294" w:type="dxa"/>
            <w:tcBorders>
              <w:top w:val="single" w:sz="4" w:space="0" w:color="auto"/>
              <w:left w:val="single" w:sz="4" w:space="0" w:color="auto"/>
            </w:tcBorders>
            <w:shd w:val="clear" w:color="auto" w:fill="auto"/>
            <w:vAlign w:val="center"/>
          </w:tcPr>
          <w:p w14:paraId="745B99A1" w14:textId="77777777" w:rsidR="000435C2" w:rsidRPr="0096534C" w:rsidRDefault="008B332B">
            <w:pPr>
              <w:pStyle w:val="Other0"/>
              <w:spacing w:after="0"/>
            </w:pPr>
            <w:r w:rsidRPr="0096534C">
              <w:rPr>
                <w:rStyle w:val="Other"/>
              </w:rPr>
              <w:t>Doctorants</w:t>
            </w:r>
          </w:p>
        </w:tc>
        <w:tc>
          <w:tcPr>
            <w:tcW w:w="2424" w:type="dxa"/>
            <w:tcBorders>
              <w:top w:val="single" w:sz="4" w:space="0" w:color="auto"/>
              <w:left w:val="single" w:sz="4" w:space="0" w:color="auto"/>
              <w:right w:val="single" w:sz="4" w:space="0" w:color="auto"/>
            </w:tcBorders>
            <w:shd w:val="clear" w:color="auto" w:fill="auto"/>
            <w:vAlign w:val="center"/>
          </w:tcPr>
          <w:p w14:paraId="7921B730" w14:textId="77777777" w:rsidR="000435C2" w:rsidRPr="0096534C" w:rsidRDefault="008B332B">
            <w:pPr>
              <w:pStyle w:val="Other0"/>
              <w:spacing w:after="0"/>
            </w:pPr>
            <w:r w:rsidRPr="0096534C">
              <w:rPr>
                <w:rStyle w:val="Other"/>
              </w:rPr>
              <w:t>6 à 36 mois</w:t>
            </w:r>
          </w:p>
        </w:tc>
      </w:tr>
      <w:tr w:rsidR="000435C2" w:rsidRPr="0096534C" w14:paraId="31B768D3" w14:textId="77777777" w:rsidTr="00F96019">
        <w:trPr>
          <w:trHeight w:hRule="exact" w:val="350"/>
          <w:jc w:val="center"/>
        </w:trPr>
        <w:tc>
          <w:tcPr>
            <w:tcW w:w="2294" w:type="dxa"/>
            <w:tcBorders>
              <w:top w:val="single" w:sz="4" w:space="0" w:color="auto"/>
              <w:left w:val="single" w:sz="4" w:space="0" w:color="auto"/>
            </w:tcBorders>
            <w:shd w:val="clear" w:color="auto" w:fill="auto"/>
            <w:vAlign w:val="center"/>
          </w:tcPr>
          <w:p w14:paraId="7602079A" w14:textId="77777777" w:rsidR="000435C2" w:rsidRPr="0096534C" w:rsidRDefault="008B332B">
            <w:pPr>
              <w:pStyle w:val="Other0"/>
              <w:spacing w:after="0"/>
            </w:pPr>
            <w:r w:rsidRPr="0096534C">
              <w:rPr>
                <w:rStyle w:val="Other"/>
              </w:rPr>
              <w:t>Stagiaires</w:t>
            </w:r>
          </w:p>
        </w:tc>
        <w:tc>
          <w:tcPr>
            <w:tcW w:w="2424" w:type="dxa"/>
            <w:tcBorders>
              <w:top w:val="single" w:sz="4" w:space="0" w:color="auto"/>
              <w:left w:val="single" w:sz="4" w:space="0" w:color="auto"/>
              <w:right w:val="single" w:sz="4" w:space="0" w:color="auto"/>
            </w:tcBorders>
            <w:shd w:val="clear" w:color="auto" w:fill="auto"/>
            <w:vAlign w:val="center"/>
          </w:tcPr>
          <w:p w14:paraId="46EA9DE0" w14:textId="77777777" w:rsidR="000435C2" w:rsidRPr="0096534C" w:rsidRDefault="008B332B">
            <w:pPr>
              <w:pStyle w:val="Other0"/>
              <w:spacing w:after="0"/>
            </w:pPr>
            <w:r w:rsidRPr="0096534C">
              <w:rPr>
                <w:rStyle w:val="Other"/>
              </w:rPr>
              <w:t>3 à 6 mois</w:t>
            </w:r>
          </w:p>
        </w:tc>
      </w:tr>
      <w:tr w:rsidR="000435C2" w:rsidRPr="0096534C" w14:paraId="0992D9DC" w14:textId="77777777" w:rsidTr="00F96019">
        <w:trPr>
          <w:trHeight w:hRule="exact" w:val="355"/>
          <w:jc w:val="center"/>
        </w:trPr>
        <w:tc>
          <w:tcPr>
            <w:tcW w:w="2294" w:type="dxa"/>
            <w:tcBorders>
              <w:top w:val="single" w:sz="4" w:space="0" w:color="auto"/>
              <w:left w:val="single" w:sz="4" w:space="0" w:color="auto"/>
              <w:bottom w:val="single" w:sz="4" w:space="0" w:color="auto"/>
            </w:tcBorders>
            <w:shd w:val="clear" w:color="auto" w:fill="auto"/>
            <w:vAlign w:val="center"/>
          </w:tcPr>
          <w:p w14:paraId="643D474F" w14:textId="77777777" w:rsidR="000435C2" w:rsidRPr="0096534C" w:rsidRDefault="008B332B">
            <w:pPr>
              <w:pStyle w:val="Other0"/>
              <w:spacing w:after="0"/>
            </w:pPr>
            <w:r w:rsidRPr="0096534C">
              <w:rPr>
                <w:rStyle w:val="Other"/>
              </w:rPr>
              <w:t>Membres du personnel</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14:paraId="1DE587AE" w14:textId="77777777" w:rsidR="000435C2" w:rsidRPr="0096534C" w:rsidRDefault="008B332B">
            <w:pPr>
              <w:pStyle w:val="Other0"/>
              <w:spacing w:after="0"/>
            </w:pPr>
            <w:r w:rsidRPr="0096534C">
              <w:rPr>
                <w:rStyle w:val="Other"/>
              </w:rPr>
              <w:t>2 semaines à 3 mois</w:t>
            </w:r>
          </w:p>
        </w:tc>
      </w:tr>
    </w:tbl>
    <w:p w14:paraId="61BC7083" w14:textId="77777777" w:rsidR="000435C2" w:rsidRPr="0096534C" w:rsidRDefault="000435C2">
      <w:pPr>
        <w:spacing w:after="419" w:line="1" w:lineRule="exact"/>
      </w:pPr>
    </w:p>
    <w:p w14:paraId="15353626" w14:textId="77777777" w:rsidR="000435C2" w:rsidRPr="0096534C" w:rsidRDefault="008B332B">
      <w:pPr>
        <w:pStyle w:val="BodyText"/>
        <w:spacing w:after="200"/>
        <w:jc w:val="both"/>
      </w:pPr>
      <w:r w:rsidRPr="0096534C">
        <w:rPr>
          <w:rStyle w:val="BodyTextChar"/>
        </w:rPr>
        <w:t>Des durées plus courtes ou plus longues sont possibles si elles sont dûment justifiées et autorisées par l’Agence.</w:t>
      </w:r>
    </w:p>
    <w:p w14:paraId="356AFA24" w14:textId="77777777" w:rsidR="000435C2" w:rsidRPr="0096534C" w:rsidRDefault="008B332B">
      <w:pPr>
        <w:pStyle w:val="BodyText"/>
        <w:spacing w:after="200"/>
        <w:jc w:val="both"/>
      </w:pPr>
      <w:r w:rsidRPr="0096534C">
        <w:rPr>
          <w:rStyle w:val="BodyTextChar"/>
        </w:rPr>
        <w:t xml:space="preserve">En outre, en ce qui concerne les types de mobilité individuelle spécifiés ci-dessus, il est recommandé à chaque projet de respecter les </w:t>
      </w:r>
      <w:r w:rsidRPr="0096534C">
        <w:rPr>
          <w:rStyle w:val="BodyTextChar"/>
          <w:b/>
          <w:u w:val="single"/>
        </w:rPr>
        <w:t>objectifs indicatifs</w:t>
      </w:r>
      <w:r w:rsidRPr="0096534C">
        <w:rPr>
          <w:rStyle w:val="BodyTextChar"/>
        </w:rPr>
        <w:t xml:space="preserve"> </w:t>
      </w:r>
      <w:proofErr w:type="gramStart"/>
      <w:r w:rsidRPr="0096534C">
        <w:rPr>
          <w:rStyle w:val="BodyTextChar"/>
        </w:rPr>
        <w:t>suivants:</w:t>
      </w:r>
      <w:proofErr w:type="gramEnd"/>
    </w:p>
    <w:p w14:paraId="640B029B" w14:textId="77777777" w:rsidR="000435C2" w:rsidRPr="0096534C" w:rsidRDefault="008B332B" w:rsidP="006008C4">
      <w:pPr>
        <w:pStyle w:val="BodyText"/>
        <w:numPr>
          <w:ilvl w:val="0"/>
          <w:numId w:val="11"/>
        </w:numPr>
        <w:tabs>
          <w:tab w:val="left" w:pos="606"/>
        </w:tabs>
        <w:spacing w:after="100" w:line="276" w:lineRule="auto"/>
        <w:jc w:val="both"/>
      </w:pPr>
      <w:r w:rsidRPr="0096534C">
        <w:rPr>
          <w:rStyle w:val="BodyTextChar"/>
        </w:rPr>
        <w:t xml:space="preserve">Pourcentage minimum de boursiers par type de </w:t>
      </w:r>
      <w:proofErr w:type="gramStart"/>
      <w:r w:rsidRPr="0096534C">
        <w:rPr>
          <w:rStyle w:val="BodyTextChar"/>
        </w:rPr>
        <w:t>mobilité:</w:t>
      </w:r>
      <w:proofErr w:type="gramEnd"/>
    </w:p>
    <w:tbl>
      <w:tblPr>
        <w:tblOverlap w:val="never"/>
        <w:tblW w:w="0" w:type="auto"/>
        <w:jc w:val="center"/>
        <w:tblLayout w:type="fixed"/>
        <w:tblCellMar>
          <w:top w:w="28" w:type="dxa"/>
          <w:left w:w="57" w:type="dxa"/>
          <w:bottom w:w="28" w:type="dxa"/>
          <w:right w:w="57" w:type="dxa"/>
        </w:tblCellMar>
        <w:tblLook w:val="0000" w:firstRow="0" w:lastRow="0" w:firstColumn="0" w:lastColumn="0" w:noHBand="0" w:noVBand="0"/>
      </w:tblPr>
      <w:tblGrid>
        <w:gridCol w:w="2587"/>
        <w:gridCol w:w="2534"/>
      </w:tblGrid>
      <w:tr w:rsidR="000435C2" w:rsidRPr="0096534C" w14:paraId="6F5D5176" w14:textId="77777777" w:rsidTr="00F96019">
        <w:trPr>
          <w:trHeight w:hRule="exact" w:val="413"/>
          <w:jc w:val="center"/>
        </w:trPr>
        <w:tc>
          <w:tcPr>
            <w:tcW w:w="2587" w:type="dxa"/>
            <w:tcBorders>
              <w:top w:val="single" w:sz="4" w:space="0" w:color="auto"/>
              <w:left w:val="single" w:sz="4" w:space="0" w:color="auto"/>
            </w:tcBorders>
            <w:shd w:val="clear" w:color="auto" w:fill="auto"/>
            <w:vAlign w:val="center"/>
          </w:tcPr>
          <w:p w14:paraId="156FD1BF" w14:textId="77777777" w:rsidR="000435C2" w:rsidRPr="0096534C" w:rsidRDefault="008B332B">
            <w:pPr>
              <w:pStyle w:val="Other0"/>
              <w:spacing w:after="0"/>
            </w:pPr>
            <w:r w:rsidRPr="0096534C">
              <w:rPr>
                <w:rStyle w:val="Other"/>
                <w:b/>
              </w:rPr>
              <w:t>Type de mobilité</w:t>
            </w:r>
          </w:p>
        </w:tc>
        <w:tc>
          <w:tcPr>
            <w:tcW w:w="2534" w:type="dxa"/>
            <w:tcBorders>
              <w:top w:val="single" w:sz="4" w:space="0" w:color="auto"/>
              <w:left w:val="single" w:sz="4" w:space="0" w:color="auto"/>
              <w:right w:val="single" w:sz="4" w:space="0" w:color="auto"/>
            </w:tcBorders>
            <w:shd w:val="clear" w:color="auto" w:fill="auto"/>
            <w:vAlign w:val="center"/>
          </w:tcPr>
          <w:p w14:paraId="7DCE5344" w14:textId="77777777" w:rsidR="000435C2" w:rsidRPr="0096534C" w:rsidRDefault="008B332B">
            <w:pPr>
              <w:pStyle w:val="Other0"/>
              <w:spacing w:after="0"/>
            </w:pPr>
            <w:r w:rsidRPr="0096534C">
              <w:rPr>
                <w:rStyle w:val="Other"/>
                <w:b/>
              </w:rPr>
              <w:t>Pourcentage</w:t>
            </w:r>
          </w:p>
        </w:tc>
      </w:tr>
      <w:tr w:rsidR="000435C2" w:rsidRPr="0096534C" w14:paraId="168B8B75" w14:textId="77777777" w:rsidTr="00F96019">
        <w:trPr>
          <w:trHeight w:hRule="exact" w:val="341"/>
          <w:jc w:val="center"/>
        </w:trPr>
        <w:tc>
          <w:tcPr>
            <w:tcW w:w="2587" w:type="dxa"/>
            <w:tcBorders>
              <w:top w:val="single" w:sz="4" w:space="0" w:color="auto"/>
              <w:left w:val="single" w:sz="4" w:space="0" w:color="auto"/>
            </w:tcBorders>
            <w:shd w:val="clear" w:color="auto" w:fill="auto"/>
            <w:vAlign w:val="center"/>
          </w:tcPr>
          <w:p w14:paraId="6A0AFC26" w14:textId="77777777" w:rsidR="000435C2" w:rsidRPr="0096534C" w:rsidRDefault="008B332B">
            <w:pPr>
              <w:pStyle w:val="Other0"/>
              <w:spacing w:after="0"/>
            </w:pPr>
            <w:r w:rsidRPr="0096534C">
              <w:rPr>
                <w:rStyle w:val="Other"/>
              </w:rPr>
              <w:t>Étudiants en master</w:t>
            </w:r>
          </w:p>
        </w:tc>
        <w:tc>
          <w:tcPr>
            <w:tcW w:w="2534" w:type="dxa"/>
            <w:tcBorders>
              <w:top w:val="single" w:sz="4" w:space="0" w:color="auto"/>
              <w:left w:val="single" w:sz="4" w:space="0" w:color="auto"/>
              <w:right w:val="single" w:sz="4" w:space="0" w:color="auto"/>
            </w:tcBorders>
            <w:shd w:val="clear" w:color="auto" w:fill="auto"/>
            <w:vAlign w:val="center"/>
          </w:tcPr>
          <w:p w14:paraId="42782761" w14:textId="77777777" w:rsidR="000435C2" w:rsidRPr="0096534C" w:rsidRDefault="008B332B">
            <w:pPr>
              <w:pStyle w:val="Other0"/>
              <w:spacing w:after="0"/>
            </w:pPr>
            <w:r w:rsidRPr="0096534C">
              <w:rPr>
                <w:rStyle w:val="Other"/>
              </w:rPr>
              <w:t>45 %</w:t>
            </w:r>
          </w:p>
        </w:tc>
      </w:tr>
      <w:tr w:rsidR="000435C2" w:rsidRPr="0096534C" w14:paraId="64F3AAE5" w14:textId="77777777" w:rsidTr="00F96019">
        <w:trPr>
          <w:trHeight w:hRule="exact" w:val="312"/>
          <w:jc w:val="center"/>
        </w:trPr>
        <w:tc>
          <w:tcPr>
            <w:tcW w:w="2587" w:type="dxa"/>
            <w:tcBorders>
              <w:top w:val="single" w:sz="4" w:space="0" w:color="auto"/>
              <w:left w:val="single" w:sz="4" w:space="0" w:color="auto"/>
            </w:tcBorders>
            <w:shd w:val="clear" w:color="auto" w:fill="auto"/>
            <w:vAlign w:val="center"/>
          </w:tcPr>
          <w:p w14:paraId="0271CB78" w14:textId="77777777" w:rsidR="000435C2" w:rsidRPr="0096534C" w:rsidRDefault="008B332B">
            <w:pPr>
              <w:pStyle w:val="Other0"/>
              <w:spacing w:after="0"/>
            </w:pPr>
            <w:r w:rsidRPr="0096534C">
              <w:rPr>
                <w:rStyle w:val="Other"/>
              </w:rPr>
              <w:t>Doctorants</w:t>
            </w:r>
          </w:p>
        </w:tc>
        <w:tc>
          <w:tcPr>
            <w:tcW w:w="2534" w:type="dxa"/>
            <w:tcBorders>
              <w:top w:val="single" w:sz="4" w:space="0" w:color="auto"/>
              <w:left w:val="single" w:sz="4" w:space="0" w:color="auto"/>
              <w:right w:val="single" w:sz="4" w:space="0" w:color="auto"/>
            </w:tcBorders>
            <w:shd w:val="clear" w:color="auto" w:fill="auto"/>
            <w:vAlign w:val="center"/>
          </w:tcPr>
          <w:p w14:paraId="62976467" w14:textId="77777777" w:rsidR="000435C2" w:rsidRPr="0096534C" w:rsidRDefault="008B332B">
            <w:pPr>
              <w:pStyle w:val="Other0"/>
              <w:spacing w:after="0"/>
            </w:pPr>
            <w:r w:rsidRPr="0096534C">
              <w:rPr>
                <w:rStyle w:val="Other"/>
              </w:rPr>
              <w:t>10 %</w:t>
            </w:r>
          </w:p>
        </w:tc>
      </w:tr>
      <w:tr w:rsidR="000435C2" w:rsidRPr="0096534C" w14:paraId="6DE2DF60" w14:textId="77777777" w:rsidTr="00F96019">
        <w:trPr>
          <w:trHeight w:hRule="exact" w:val="307"/>
          <w:jc w:val="center"/>
        </w:trPr>
        <w:tc>
          <w:tcPr>
            <w:tcW w:w="2587" w:type="dxa"/>
            <w:tcBorders>
              <w:top w:val="single" w:sz="4" w:space="0" w:color="auto"/>
              <w:left w:val="single" w:sz="4" w:space="0" w:color="auto"/>
            </w:tcBorders>
            <w:shd w:val="clear" w:color="auto" w:fill="auto"/>
            <w:vAlign w:val="center"/>
          </w:tcPr>
          <w:p w14:paraId="72EFFE1C" w14:textId="77777777" w:rsidR="000435C2" w:rsidRPr="0096534C" w:rsidRDefault="008B332B">
            <w:pPr>
              <w:pStyle w:val="Other0"/>
              <w:spacing w:after="0"/>
            </w:pPr>
            <w:r w:rsidRPr="0096534C">
              <w:rPr>
                <w:rStyle w:val="Other"/>
              </w:rPr>
              <w:t>Stagiaires</w:t>
            </w:r>
          </w:p>
        </w:tc>
        <w:tc>
          <w:tcPr>
            <w:tcW w:w="2534" w:type="dxa"/>
            <w:tcBorders>
              <w:top w:val="single" w:sz="4" w:space="0" w:color="auto"/>
              <w:left w:val="single" w:sz="4" w:space="0" w:color="auto"/>
              <w:right w:val="single" w:sz="4" w:space="0" w:color="auto"/>
            </w:tcBorders>
            <w:shd w:val="clear" w:color="auto" w:fill="auto"/>
            <w:vAlign w:val="center"/>
          </w:tcPr>
          <w:p w14:paraId="7BF48017" w14:textId="77777777" w:rsidR="000435C2" w:rsidRPr="0096534C" w:rsidRDefault="008B332B">
            <w:pPr>
              <w:pStyle w:val="Other0"/>
              <w:spacing w:after="0"/>
            </w:pPr>
            <w:r w:rsidRPr="0096534C">
              <w:rPr>
                <w:rStyle w:val="Other"/>
              </w:rPr>
              <w:t>20 %</w:t>
            </w:r>
          </w:p>
        </w:tc>
      </w:tr>
      <w:tr w:rsidR="000435C2" w:rsidRPr="0096534C" w14:paraId="0AF1C640" w14:textId="77777777" w:rsidTr="00F96019">
        <w:trPr>
          <w:trHeight w:hRule="exact" w:val="317"/>
          <w:jc w:val="center"/>
        </w:trPr>
        <w:tc>
          <w:tcPr>
            <w:tcW w:w="2587" w:type="dxa"/>
            <w:tcBorders>
              <w:top w:val="single" w:sz="4" w:space="0" w:color="auto"/>
              <w:left w:val="single" w:sz="4" w:space="0" w:color="auto"/>
              <w:bottom w:val="single" w:sz="4" w:space="0" w:color="auto"/>
            </w:tcBorders>
            <w:shd w:val="clear" w:color="auto" w:fill="auto"/>
            <w:vAlign w:val="center"/>
          </w:tcPr>
          <w:p w14:paraId="33A04ACE" w14:textId="77777777" w:rsidR="000435C2" w:rsidRPr="0096534C" w:rsidRDefault="008B332B">
            <w:pPr>
              <w:pStyle w:val="Other0"/>
              <w:spacing w:after="0"/>
            </w:pPr>
            <w:r w:rsidRPr="0096534C">
              <w:rPr>
                <w:rStyle w:val="Other"/>
              </w:rPr>
              <w:t>Membres du personnel</w:t>
            </w:r>
          </w:p>
        </w:tc>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14:paraId="27628E17" w14:textId="77777777" w:rsidR="000435C2" w:rsidRPr="0096534C" w:rsidRDefault="008B332B">
            <w:pPr>
              <w:pStyle w:val="Other0"/>
              <w:spacing w:after="0"/>
            </w:pPr>
            <w:r w:rsidRPr="0096534C">
              <w:rPr>
                <w:rStyle w:val="Other"/>
              </w:rPr>
              <w:t>10 %</w:t>
            </w:r>
          </w:p>
        </w:tc>
      </w:tr>
    </w:tbl>
    <w:p w14:paraId="784F3A12" w14:textId="77777777" w:rsidR="000435C2" w:rsidRPr="0096534C" w:rsidRDefault="000435C2">
      <w:pPr>
        <w:spacing w:after="199" w:line="1" w:lineRule="exact"/>
      </w:pPr>
    </w:p>
    <w:p w14:paraId="1273C6EB" w14:textId="77777777" w:rsidR="000435C2" w:rsidRPr="0096534C" w:rsidRDefault="008B332B" w:rsidP="006008C4">
      <w:pPr>
        <w:pStyle w:val="BodyText"/>
        <w:numPr>
          <w:ilvl w:val="0"/>
          <w:numId w:val="11"/>
        </w:numPr>
        <w:tabs>
          <w:tab w:val="left" w:pos="606"/>
        </w:tabs>
        <w:spacing w:after="0"/>
        <w:jc w:val="both"/>
      </w:pPr>
      <w:r w:rsidRPr="0096534C">
        <w:rPr>
          <w:rStyle w:val="BodyTextChar"/>
        </w:rPr>
        <w:t>Au moins 25 % du nombre d’étudiants boursiers (étudiants en master</w:t>
      </w:r>
    </w:p>
    <w:p w14:paraId="7EA2DAF1" w14:textId="77777777" w:rsidR="000435C2" w:rsidRPr="0096534C" w:rsidRDefault="008B332B">
      <w:pPr>
        <w:pStyle w:val="BodyText"/>
        <w:spacing w:after="100"/>
        <w:ind w:firstLine="580"/>
      </w:pPr>
      <w:proofErr w:type="gramStart"/>
      <w:r w:rsidRPr="0096534C">
        <w:rPr>
          <w:rStyle w:val="BodyTextChar"/>
        </w:rPr>
        <w:t>et</w:t>
      </w:r>
      <w:proofErr w:type="gramEnd"/>
      <w:r w:rsidRPr="0096534C">
        <w:rPr>
          <w:rStyle w:val="BodyTextChar"/>
        </w:rPr>
        <w:t xml:space="preserve"> doctorants) sont à la recherche de crédits.</w:t>
      </w:r>
    </w:p>
    <w:p w14:paraId="48B64AE2" w14:textId="77777777" w:rsidR="000435C2" w:rsidRPr="0096534C" w:rsidRDefault="008B332B" w:rsidP="006008C4">
      <w:pPr>
        <w:pStyle w:val="BodyText"/>
        <w:numPr>
          <w:ilvl w:val="0"/>
          <w:numId w:val="11"/>
        </w:numPr>
        <w:tabs>
          <w:tab w:val="left" w:pos="606"/>
        </w:tabs>
        <w:spacing w:after="0"/>
        <w:jc w:val="both"/>
      </w:pPr>
      <w:r w:rsidRPr="0096534C">
        <w:rPr>
          <w:rStyle w:val="BodyTextChar"/>
        </w:rPr>
        <w:t>Répartition équilibrée du nombre de flux de mobilité entre les EES demandeurs</w:t>
      </w:r>
    </w:p>
    <w:p w14:paraId="14639958" w14:textId="77777777" w:rsidR="000435C2" w:rsidRPr="0096534C" w:rsidRDefault="008B332B">
      <w:pPr>
        <w:pStyle w:val="BodyText"/>
        <w:spacing w:after="100"/>
        <w:ind w:left="580"/>
        <w:jc w:val="both"/>
      </w:pPr>
      <w:r w:rsidRPr="0096534C">
        <w:rPr>
          <w:rStyle w:val="BodyTextChar"/>
        </w:rPr>
        <w:t>(</w:t>
      </w:r>
      <w:proofErr w:type="gramStart"/>
      <w:r w:rsidRPr="0096534C">
        <w:rPr>
          <w:rStyle w:val="BodyTextChar"/>
        </w:rPr>
        <w:t>bénéficiaires</w:t>
      </w:r>
      <w:proofErr w:type="gramEnd"/>
      <w:r w:rsidRPr="0096534C">
        <w:rPr>
          <w:rStyle w:val="BodyTextChar"/>
        </w:rPr>
        <w:t>) d’Afrique (en tenant compte de la capacité opérationnelle de gestion de la mobilité et de la capacité d’accueil et d’envoi des boursiers).</w:t>
      </w:r>
    </w:p>
    <w:p w14:paraId="4BFE8542" w14:textId="77777777" w:rsidR="000435C2" w:rsidRPr="0096534C" w:rsidRDefault="008B332B" w:rsidP="006008C4">
      <w:pPr>
        <w:pStyle w:val="BodyText"/>
        <w:numPr>
          <w:ilvl w:val="0"/>
          <w:numId w:val="11"/>
        </w:numPr>
        <w:tabs>
          <w:tab w:val="left" w:pos="606"/>
        </w:tabs>
        <w:spacing w:after="100"/>
        <w:jc w:val="both"/>
      </w:pPr>
      <w:r w:rsidRPr="0096534C">
        <w:rPr>
          <w:rStyle w:val="BodyTextChar"/>
        </w:rPr>
        <w:t>Au moins 25 % du nombre total de boursiers sont des femmes.</w:t>
      </w:r>
    </w:p>
    <w:p w14:paraId="7E4B08F8" w14:textId="77777777" w:rsidR="000435C2" w:rsidRPr="0096534C" w:rsidRDefault="008B332B" w:rsidP="006008C4">
      <w:pPr>
        <w:pStyle w:val="BodyText"/>
        <w:numPr>
          <w:ilvl w:val="0"/>
          <w:numId w:val="11"/>
        </w:numPr>
        <w:tabs>
          <w:tab w:val="left" w:pos="606"/>
        </w:tabs>
        <w:spacing w:after="0"/>
        <w:jc w:val="both"/>
      </w:pPr>
      <w:r w:rsidRPr="0096534C">
        <w:rPr>
          <w:rStyle w:val="BodyTextChar"/>
        </w:rPr>
        <w:t>Au moins 10 % du nombre total de boursiers ont des besoins particuliers</w:t>
      </w:r>
    </w:p>
    <w:p w14:paraId="1FA403B0" w14:textId="77777777" w:rsidR="000435C2" w:rsidRPr="0096534C" w:rsidRDefault="008B332B">
      <w:pPr>
        <w:pStyle w:val="BodyText"/>
        <w:spacing w:after="100"/>
        <w:ind w:left="580"/>
        <w:jc w:val="both"/>
      </w:pPr>
      <w:proofErr w:type="gramStart"/>
      <w:r w:rsidRPr="0096534C">
        <w:rPr>
          <w:rStyle w:val="BodyTextChar"/>
        </w:rPr>
        <w:t>ou</w:t>
      </w:r>
      <w:proofErr w:type="gramEnd"/>
      <w:r w:rsidRPr="0096534C">
        <w:rPr>
          <w:rStyle w:val="BodyTextChar"/>
        </w:rPr>
        <w:t xml:space="preserve"> sont en situation de vulnérabilité (par exemple, issus de milieux socio-économiques défavorisés, de pays/régions fragiles et moins avancés, bénéficiant du statut de réfugié).</w:t>
      </w:r>
    </w:p>
    <w:p w14:paraId="722E387F" w14:textId="77777777" w:rsidR="000435C2" w:rsidRPr="0096534C" w:rsidRDefault="008B332B" w:rsidP="006008C4">
      <w:pPr>
        <w:pStyle w:val="BodyText"/>
        <w:numPr>
          <w:ilvl w:val="0"/>
          <w:numId w:val="11"/>
        </w:numPr>
        <w:tabs>
          <w:tab w:val="left" w:pos="606"/>
        </w:tabs>
        <w:spacing w:after="0"/>
        <w:jc w:val="both"/>
      </w:pPr>
      <w:r w:rsidRPr="0096534C">
        <w:rPr>
          <w:rStyle w:val="BodyTextChar"/>
        </w:rPr>
        <w:t>Au maximum 20 % du nombre total de boursiers sont de la même</w:t>
      </w:r>
    </w:p>
    <w:p w14:paraId="723A5DDD" w14:textId="77777777" w:rsidR="000435C2" w:rsidRPr="0096534C" w:rsidRDefault="008B332B">
      <w:pPr>
        <w:pStyle w:val="BodyText"/>
        <w:spacing w:after="160"/>
        <w:ind w:firstLine="580"/>
        <w:jc w:val="both"/>
      </w:pPr>
      <w:proofErr w:type="gramStart"/>
      <w:r w:rsidRPr="0096534C">
        <w:rPr>
          <w:rStyle w:val="BodyTextChar"/>
        </w:rPr>
        <w:t>nationalité</w:t>
      </w:r>
      <w:proofErr w:type="gramEnd"/>
      <w:r w:rsidRPr="0096534C">
        <w:rPr>
          <w:rStyle w:val="BodyTextChar"/>
        </w:rPr>
        <w:t>.</w:t>
      </w:r>
    </w:p>
    <w:p w14:paraId="442FDFB2" w14:textId="77777777" w:rsidR="000435C2" w:rsidRPr="0096534C" w:rsidRDefault="008B332B" w:rsidP="00F96019">
      <w:pPr>
        <w:pStyle w:val="BodyText"/>
        <w:keepNext/>
        <w:spacing w:before="720"/>
        <w:jc w:val="both"/>
      </w:pPr>
      <w:r w:rsidRPr="0096534C">
        <w:rPr>
          <w:rStyle w:val="BodyTextChar"/>
          <w:b/>
          <w:i/>
          <w:u w:val="single"/>
        </w:rPr>
        <w:t>Activités de diffusion</w:t>
      </w:r>
    </w:p>
    <w:p w14:paraId="7BA5859A" w14:textId="77777777" w:rsidR="000435C2" w:rsidRPr="0096534C" w:rsidRDefault="008B332B" w:rsidP="00F96019">
      <w:pPr>
        <w:pStyle w:val="BodyText"/>
        <w:keepLines/>
        <w:jc w:val="both"/>
      </w:pPr>
      <w:r w:rsidRPr="0096534C">
        <w:rPr>
          <w:rStyle w:val="BodyTextChar"/>
        </w:rPr>
        <w:t>Chaque projet devrait contribuer à accroître la qualité, la pertinence et l’internationalisation de l’enseignement supérieur en Afrique. Au cours de la phase de mise en œuvre, le consortium sera tenu de diffuser les résultats des projets, en particulier dans le domaine de la recherche et du dialogue politique. Le projet est donc censé (le cas échéant</w:t>
      </w:r>
      <w:proofErr w:type="gramStart"/>
      <w:r w:rsidRPr="0096534C">
        <w:rPr>
          <w:rStyle w:val="BodyTextChar"/>
        </w:rPr>
        <w:t>):</w:t>
      </w:r>
      <w:proofErr w:type="gramEnd"/>
    </w:p>
    <w:p w14:paraId="18037243" w14:textId="77777777" w:rsidR="000435C2" w:rsidRPr="0096534C" w:rsidRDefault="008B332B" w:rsidP="006008C4">
      <w:pPr>
        <w:pStyle w:val="BodyText"/>
        <w:numPr>
          <w:ilvl w:val="0"/>
          <w:numId w:val="12"/>
        </w:numPr>
        <w:tabs>
          <w:tab w:val="left" w:pos="713"/>
        </w:tabs>
        <w:spacing w:after="120"/>
        <w:ind w:left="740" w:hanging="360"/>
        <w:jc w:val="both"/>
      </w:pPr>
      <w:proofErr w:type="gramStart"/>
      <w:r w:rsidRPr="0096534C">
        <w:rPr>
          <w:rStyle w:val="BodyTextChar"/>
        </w:rPr>
        <w:t>promouvoir</w:t>
      </w:r>
      <w:proofErr w:type="gramEnd"/>
      <w:r w:rsidRPr="0096534C">
        <w:rPr>
          <w:rStyle w:val="BodyTextChar"/>
        </w:rPr>
        <w:t xml:space="preserve"> les projets de recherche conjoints et les publications conjointes – établis entre les EES et/ou les centres d’excellence;</w:t>
      </w:r>
    </w:p>
    <w:p w14:paraId="57433DFE" w14:textId="77777777" w:rsidR="000435C2" w:rsidRPr="0096534C" w:rsidRDefault="008B332B" w:rsidP="006008C4">
      <w:pPr>
        <w:pStyle w:val="BodyText"/>
        <w:numPr>
          <w:ilvl w:val="0"/>
          <w:numId w:val="12"/>
        </w:numPr>
        <w:tabs>
          <w:tab w:val="left" w:pos="745"/>
        </w:tabs>
        <w:spacing w:after="120"/>
        <w:ind w:firstLine="380"/>
        <w:jc w:val="both"/>
      </w:pPr>
      <w:proofErr w:type="gramStart"/>
      <w:r w:rsidRPr="0096534C">
        <w:rPr>
          <w:rStyle w:val="BodyTextChar"/>
        </w:rPr>
        <w:t>promouvoir</w:t>
      </w:r>
      <w:proofErr w:type="gramEnd"/>
      <w:r w:rsidRPr="0096534C">
        <w:rPr>
          <w:rStyle w:val="BodyTextChar"/>
        </w:rPr>
        <w:t xml:space="preserve"> des documents d’orientation communs avec les responsables politiques des pays participants;</w:t>
      </w:r>
    </w:p>
    <w:p w14:paraId="49AE2851" w14:textId="77777777" w:rsidR="000435C2" w:rsidRPr="0096534C" w:rsidRDefault="008B332B" w:rsidP="006008C4">
      <w:pPr>
        <w:pStyle w:val="BodyText"/>
        <w:numPr>
          <w:ilvl w:val="0"/>
          <w:numId w:val="12"/>
        </w:numPr>
        <w:tabs>
          <w:tab w:val="left" w:pos="713"/>
        </w:tabs>
        <w:spacing w:after="120"/>
        <w:ind w:left="740" w:hanging="360"/>
        <w:jc w:val="both"/>
      </w:pPr>
      <w:proofErr w:type="gramStart"/>
      <w:r w:rsidRPr="0096534C">
        <w:rPr>
          <w:rStyle w:val="BodyTextChar"/>
        </w:rPr>
        <w:t>promouvoir</w:t>
      </w:r>
      <w:proofErr w:type="gramEnd"/>
      <w:r w:rsidRPr="0096534C">
        <w:rPr>
          <w:rStyle w:val="BodyTextChar"/>
        </w:rPr>
        <w:t xml:space="preserve"> les activités de diffusion des meilleures pratiques et des </w:t>
      </w:r>
      <w:r w:rsidRPr="0096534C">
        <w:rPr>
          <w:rStyle w:val="BodyTextChar"/>
        </w:rPr>
        <w:lastRenderedPageBreak/>
        <w:t>connaissances acquises dans le cadre des projets en associant des partenariats publics et privés;</w:t>
      </w:r>
    </w:p>
    <w:p w14:paraId="394D8C9C" w14:textId="77777777" w:rsidR="000435C2" w:rsidRPr="0096534C" w:rsidRDefault="008B332B" w:rsidP="006008C4">
      <w:pPr>
        <w:pStyle w:val="BodyText"/>
        <w:numPr>
          <w:ilvl w:val="0"/>
          <w:numId w:val="12"/>
        </w:numPr>
        <w:tabs>
          <w:tab w:val="left" w:pos="713"/>
        </w:tabs>
        <w:spacing w:after="240" w:line="226" w:lineRule="auto"/>
        <w:ind w:left="740" w:hanging="360"/>
        <w:jc w:val="both"/>
      </w:pPr>
      <w:proofErr w:type="gramStart"/>
      <w:r w:rsidRPr="0096534C">
        <w:rPr>
          <w:rStyle w:val="BodyTextChar"/>
        </w:rPr>
        <w:t>soutenir</w:t>
      </w:r>
      <w:proofErr w:type="gramEnd"/>
      <w:r w:rsidRPr="0096534C">
        <w:rPr>
          <w:rStyle w:val="BodyTextChar"/>
        </w:rPr>
        <w:t xml:space="preserve"> la diffusion des résultats en associant autant de parties prenantes et de participants internes et externes que possible.</w:t>
      </w:r>
    </w:p>
    <w:p w14:paraId="6F1806B3" w14:textId="77777777" w:rsidR="000435C2" w:rsidRPr="0096534C" w:rsidRDefault="008B332B" w:rsidP="00F96019">
      <w:pPr>
        <w:pStyle w:val="Heading2"/>
        <w:rPr>
          <w:b w:val="0"/>
          <w:bCs w:val="0"/>
        </w:rPr>
      </w:pPr>
      <w:bookmarkStart w:id="18" w:name="bookmark23"/>
      <w:bookmarkStart w:id="19" w:name="_Toc185511099"/>
      <w:r w:rsidRPr="0096534C">
        <w:rPr>
          <w:rStyle w:val="BodyTextChar"/>
          <w:b w:val="0"/>
          <w:i/>
          <w:u w:val="single"/>
        </w:rPr>
        <w:t>Effets attendus</w:t>
      </w:r>
      <w:bookmarkEnd w:id="18"/>
      <w:bookmarkEnd w:id="19"/>
    </w:p>
    <w:p w14:paraId="07C5EC8E" w14:textId="77777777" w:rsidR="000435C2" w:rsidRPr="0096534C" w:rsidRDefault="008B332B">
      <w:pPr>
        <w:pStyle w:val="BodyText"/>
        <w:jc w:val="both"/>
      </w:pPr>
      <w:r w:rsidRPr="0096534C">
        <w:rPr>
          <w:rStyle w:val="BodyTextChar"/>
        </w:rPr>
        <w:t xml:space="preserve">Les résultats à fournir par cette action et contribuant aux objectifs spécifiques sont les </w:t>
      </w:r>
      <w:proofErr w:type="gramStart"/>
      <w:r w:rsidRPr="0096534C">
        <w:rPr>
          <w:rStyle w:val="BodyTextChar"/>
        </w:rPr>
        <w:t>suivants:</w:t>
      </w:r>
      <w:proofErr w:type="gramEnd"/>
    </w:p>
    <w:p w14:paraId="4F10A9E0" w14:textId="77777777" w:rsidR="000435C2" w:rsidRPr="0096534C" w:rsidRDefault="008B332B">
      <w:pPr>
        <w:pStyle w:val="BodyText"/>
        <w:jc w:val="both"/>
      </w:pPr>
      <w:r w:rsidRPr="0096534C">
        <w:rPr>
          <w:rStyle w:val="BodyTextChar"/>
          <w:i/>
        </w:rPr>
        <w:t>Sur le plan du système</w:t>
      </w:r>
    </w:p>
    <w:p w14:paraId="55A24BAE" w14:textId="7ACCD419" w:rsidR="000435C2" w:rsidRPr="0096534C" w:rsidRDefault="008B332B" w:rsidP="008B332B">
      <w:pPr>
        <w:pStyle w:val="BodyText"/>
        <w:numPr>
          <w:ilvl w:val="0"/>
          <w:numId w:val="13"/>
        </w:numPr>
        <w:spacing w:after="120"/>
        <w:ind w:left="709" w:hanging="709"/>
        <w:jc w:val="both"/>
      </w:pPr>
      <w:r w:rsidRPr="0096534C">
        <w:rPr>
          <w:rStyle w:val="BodyTextChar"/>
        </w:rPr>
        <w:t>Amélioration des mécanismes de transparence internationale et de reconnaissance des études/diplômes et des qualifications dans les EES participants.</w:t>
      </w:r>
    </w:p>
    <w:p w14:paraId="420D21D1" w14:textId="49EFDA98" w:rsidR="000435C2" w:rsidRPr="0096534C" w:rsidRDefault="008B332B" w:rsidP="008B332B">
      <w:pPr>
        <w:pStyle w:val="BodyText"/>
        <w:numPr>
          <w:ilvl w:val="0"/>
          <w:numId w:val="13"/>
        </w:numPr>
        <w:spacing w:after="120"/>
        <w:ind w:left="709" w:hanging="709"/>
        <w:jc w:val="both"/>
      </w:pPr>
      <w:r w:rsidRPr="0096534C">
        <w:rPr>
          <w:rStyle w:val="BodyTextChar"/>
        </w:rPr>
        <w:t>Amélioration du transfert de connaissances entre les EES, de la qualité de l’enseignement supérieur et de l’échange d’informations sur les possibilités d’études dans l’espace africain de l’enseignement supérieur et de la recherche.</w:t>
      </w:r>
    </w:p>
    <w:p w14:paraId="0CD72F49" w14:textId="77777777" w:rsidR="000435C2" w:rsidRPr="0096534C" w:rsidRDefault="008B332B" w:rsidP="008B332B">
      <w:pPr>
        <w:pStyle w:val="BodyText"/>
        <w:ind w:left="709" w:hanging="709"/>
        <w:jc w:val="both"/>
      </w:pPr>
      <w:r w:rsidRPr="0096534C">
        <w:rPr>
          <w:rStyle w:val="BodyTextChar"/>
          <w:i/>
        </w:rPr>
        <w:t>Sur le plan institutionnel</w:t>
      </w:r>
    </w:p>
    <w:p w14:paraId="7C063F40" w14:textId="122FCD57" w:rsidR="000435C2" w:rsidRPr="0096534C" w:rsidRDefault="008B332B" w:rsidP="008B332B">
      <w:pPr>
        <w:pStyle w:val="BodyText"/>
        <w:numPr>
          <w:ilvl w:val="0"/>
          <w:numId w:val="13"/>
        </w:numPr>
        <w:spacing w:after="120"/>
        <w:ind w:left="709" w:hanging="709"/>
        <w:jc w:val="both"/>
      </w:pPr>
      <w:r w:rsidRPr="0096534C">
        <w:rPr>
          <w:rStyle w:val="BodyTextChar"/>
        </w:rPr>
        <w:t>Renforcement de la capacité des EES à gérer les partenariats internationaux, les flux de mobilité et les services d’orientation professionnelle.</w:t>
      </w:r>
    </w:p>
    <w:p w14:paraId="488CA3E4" w14:textId="3FBF491B" w:rsidR="000435C2" w:rsidRPr="0096534C" w:rsidRDefault="008B332B" w:rsidP="008B332B">
      <w:pPr>
        <w:pStyle w:val="BodyText"/>
        <w:numPr>
          <w:ilvl w:val="0"/>
          <w:numId w:val="13"/>
        </w:numPr>
        <w:spacing w:after="120"/>
        <w:ind w:left="709" w:hanging="709"/>
        <w:jc w:val="both"/>
      </w:pPr>
      <w:r w:rsidRPr="0096534C">
        <w:rPr>
          <w:rStyle w:val="BodyTextChar"/>
        </w:rPr>
        <w:t>Augmentation du nombre de partenariats et de réseaux entre les EES en Afrique, en particulier dans le domaine de la recherche au niveau régional et continental.</w:t>
      </w:r>
    </w:p>
    <w:p w14:paraId="5E1CFAB7" w14:textId="1406502D" w:rsidR="000435C2" w:rsidRPr="0096534C" w:rsidRDefault="008B332B" w:rsidP="008B332B">
      <w:pPr>
        <w:pStyle w:val="BodyText"/>
        <w:numPr>
          <w:ilvl w:val="0"/>
          <w:numId w:val="13"/>
        </w:numPr>
        <w:spacing w:after="120"/>
        <w:ind w:left="709" w:hanging="709"/>
        <w:jc w:val="both"/>
      </w:pPr>
      <w:r w:rsidRPr="0096534C">
        <w:rPr>
          <w:rStyle w:val="BodyTextChar"/>
        </w:rPr>
        <w:t>Renforcement de la coopération entre les EES et les entreprises, notamment dans le domaine du changement climatique.</w:t>
      </w:r>
    </w:p>
    <w:p w14:paraId="18CB1600" w14:textId="77777777" w:rsidR="000435C2" w:rsidRPr="0096534C" w:rsidRDefault="008B332B" w:rsidP="008B332B">
      <w:pPr>
        <w:pStyle w:val="BodyText"/>
        <w:ind w:left="709" w:hanging="709"/>
        <w:jc w:val="both"/>
      </w:pPr>
      <w:r w:rsidRPr="0096534C">
        <w:rPr>
          <w:rStyle w:val="BodyTextChar"/>
          <w:i/>
        </w:rPr>
        <w:t>Sur le plan individuel</w:t>
      </w:r>
    </w:p>
    <w:p w14:paraId="22E65CA6" w14:textId="552F474E" w:rsidR="000435C2" w:rsidRPr="0096534C" w:rsidRDefault="008B332B" w:rsidP="008B332B">
      <w:pPr>
        <w:pStyle w:val="BodyText"/>
        <w:numPr>
          <w:ilvl w:val="0"/>
          <w:numId w:val="13"/>
        </w:numPr>
        <w:spacing w:after="120"/>
        <w:ind w:left="709" w:hanging="709"/>
        <w:jc w:val="both"/>
        <w:rPr>
          <w:rStyle w:val="BodyTextChar"/>
        </w:rPr>
      </w:pPr>
      <w:r w:rsidRPr="0096534C">
        <w:rPr>
          <w:rStyle w:val="BodyTextChar"/>
        </w:rPr>
        <w:t>Amélioration des connaissances, des compétences, des aptitudes et de l’employabilité des boursiers.</w:t>
      </w:r>
    </w:p>
    <w:p w14:paraId="2AB21335" w14:textId="38AC8F2C" w:rsidR="000435C2" w:rsidRPr="0096534C" w:rsidRDefault="008B332B" w:rsidP="008B332B">
      <w:pPr>
        <w:pStyle w:val="BodyText"/>
        <w:numPr>
          <w:ilvl w:val="0"/>
          <w:numId w:val="13"/>
        </w:numPr>
        <w:spacing w:after="120"/>
        <w:ind w:left="709" w:hanging="709"/>
        <w:jc w:val="both"/>
        <w:rPr>
          <w:rStyle w:val="BodyTextChar"/>
        </w:rPr>
      </w:pPr>
      <w:r w:rsidRPr="0096534C">
        <w:rPr>
          <w:rStyle w:val="BodyTextChar"/>
        </w:rPr>
        <w:t>Les connaissances, les compétences et les aptitudes dans le domaine de l’adaptation au changement climatique et de l’atténuation de ses effets sont renforcées dans l’ensemble des pays et pour toutes les parties prenantes.</w:t>
      </w:r>
    </w:p>
    <w:p w14:paraId="2E81C377" w14:textId="1839C70A" w:rsidR="000435C2" w:rsidRPr="0096534C" w:rsidRDefault="008B332B" w:rsidP="008B332B">
      <w:pPr>
        <w:pStyle w:val="BodyText"/>
        <w:numPr>
          <w:ilvl w:val="0"/>
          <w:numId w:val="13"/>
        </w:numPr>
        <w:spacing w:after="120"/>
        <w:ind w:left="709" w:hanging="709"/>
        <w:jc w:val="both"/>
        <w:rPr>
          <w:rStyle w:val="BodyTextChar"/>
        </w:rPr>
      </w:pPr>
      <w:r w:rsidRPr="0096534C">
        <w:rPr>
          <w:rStyle w:val="BodyTextChar"/>
        </w:rPr>
        <w:t>Participation accrue des femmes et augmentation du nombre de femmes africaines titulaires d’un diplôme de troisième cycle.</w:t>
      </w:r>
    </w:p>
    <w:p w14:paraId="518C6C43" w14:textId="3499C274" w:rsidR="000435C2" w:rsidRPr="0096534C" w:rsidRDefault="008B332B" w:rsidP="008B332B">
      <w:pPr>
        <w:pStyle w:val="BodyText"/>
        <w:numPr>
          <w:ilvl w:val="0"/>
          <w:numId w:val="13"/>
        </w:numPr>
        <w:spacing w:after="120"/>
        <w:ind w:left="709" w:hanging="709"/>
        <w:jc w:val="both"/>
        <w:rPr>
          <w:rStyle w:val="BodyTextChar"/>
        </w:rPr>
      </w:pPr>
      <w:r w:rsidRPr="0096534C">
        <w:rPr>
          <w:rStyle w:val="BodyTextChar"/>
        </w:rPr>
        <w:t>L’accès aux diplômes de troisième cycle est diversifié, une attention particulière étant accordée aux</w:t>
      </w:r>
      <w:bookmarkStart w:id="20" w:name="bookmark24"/>
      <w:r w:rsidRPr="0096534C">
        <w:rPr>
          <w:rStyle w:val="BodyTextChar"/>
        </w:rPr>
        <w:t xml:space="preserve"> étudiants ayant des besoins particuliers ou un statut vulnérable (par exemple, issus de milieux socio-économiques défavorisés, de pays/régions fragiles et moins avancés, bénéficiant du statut de réfugié).</w:t>
      </w:r>
      <w:bookmarkEnd w:id="20"/>
    </w:p>
    <w:p w14:paraId="132221FB" w14:textId="559BD009" w:rsidR="000435C2" w:rsidRPr="0096534C" w:rsidRDefault="008B332B" w:rsidP="00BF35B3">
      <w:pPr>
        <w:pStyle w:val="Heading1"/>
      </w:pPr>
      <w:bookmarkStart w:id="21" w:name="_Toc185511100"/>
      <w:r w:rsidRPr="0096534C">
        <w:rPr>
          <w:rStyle w:val="Heading3"/>
          <w:b/>
        </w:rPr>
        <w:t>Budget disponible</w:t>
      </w:r>
      <w:bookmarkEnd w:id="21"/>
    </w:p>
    <w:p w14:paraId="1F7E5348" w14:textId="77777777" w:rsidR="000435C2" w:rsidRPr="0096534C" w:rsidRDefault="008B332B">
      <w:pPr>
        <w:pStyle w:val="BodyText"/>
        <w:jc w:val="both"/>
      </w:pPr>
      <w:r w:rsidRPr="0096534C">
        <w:rPr>
          <w:rStyle w:val="BodyTextChar"/>
        </w:rPr>
        <w:t xml:space="preserve">Le budget disponible estimé pour l’appel est de </w:t>
      </w:r>
      <w:r w:rsidRPr="0096534C">
        <w:rPr>
          <w:rStyle w:val="BodyTextChar"/>
          <w:b/>
        </w:rPr>
        <w:t>29 000 000 EUR</w:t>
      </w:r>
      <w:r w:rsidRPr="0096534C">
        <w:rPr>
          <w:rStyle w:val="BodyTextChar"/>
        </w:rPr>
        <w:t>.</w:t>
      </w:r>
    </w:p>
    <w:p w14:paraId="4C4DB45E" w14:textId="77777777" w:rsidR="000435C2" w:rsidRPr="0096534C" w:rsidRDefault="008B332B">
      <w:pPr>
        <w:pStyle w:val="BodyText"/>
        <w:jc w:val="both"/>
      </w:pPr>
      <w:r w:rsidRPr="0096534C">
        <w:rPr>
          <w:rStyle w:val="BodyTextChar"/>
        </w:rPr>
        <w:t>Nous prévoyons de financer 20 projets.</w:t>
      </w:r>
    </w:p>
    <w:p w14:paraId="5C0D515D" w14:textId="77777777" w:rsidR="000435C2" w:rsidRPr="0096534C" w:rsidRDefault="008B332B">
      <w:pPr>
        <w:pStyle w:val="BodyText"/>
        <w:spacing w:after="620"/>
        <w:jc w:val="both"/>
      </w:pPr>
      <w:r w:rsidRPr="0096534C">
        <w:rPr>
          <w:rStyle w:val="BodyTextChar"/>
        </w:rPr>
        <w:t>Nous nous réservons le droit de ne pas attribuer tous les fonds disponibles ou de les redistribuer entre les priorités de l’appel, en fonction des propositions reçues et des résultats de l’évaluation.</w:t>
      </w:r>
    </w:p>
    <w:p w14:paraId="05F7471D" w14:textId="77777777" w:rsidR="000435C2" w:rsidRPr="0096534C" w:rsidRDefault="008B332B" w:rsidP="00BF35B3">
      <w:pPr>
        <w:pStyle w:val="Heading1"/>
      </w:pPr>
      <w:bookmarkStart w:id="22" w:name="bookmark27"/>
      <w:bookmarkStart w:id="23" w:name="_Toc185511101"/>
      <w:r w:rsidRPr="0096534C">
        <w:rPr>
          <w:rStyle w:val="BodyTextChar"/>
        </w:rPr>
        <w:lastRenderedPageBreak/>
        <w:t>Calendrier et délais</w:t>
      </w:r>
      <w:bookmarkEnd w:id="22"/>
      <w:bookmarkEnd w:id="23"/>
    </w:p>
    <w:tbl>
      <w:tblPr>
        <w:tblOverlap w:val="never"/>
        <w:tblW w:w="0" w:type="auto"/>
        <w:jc w:val="center"/>
        <w:tblCellMar>
          <w:top w:w="28" w:type="dxa"/>
          <w:left w:w="57" w:type="dxa"/>
          <w:bottom w:w="28" w:type="dxa"/>
          <w:right w:w="57" w:type="dxa"/>
        </w:tblCellMar>
        <w:tblLook w:val="0000" w:firstRow="0" w:lastRow="0" w:firstColumn="0" w:lastColumn="0" w:noHBand="0" w:noVBand="0"/>
      </w:tblPr>
      <w:tblGrid>
        <w:gridCol w:w="3648"/>
        <w:gridCol w:w="3422"/>
      </w:tblGrid>
      <w:tr w:rsidR="000435C2" w:rsidRPr="0096534C" w14:paraId="2E259072" w14:textId="77777777" w:rsidTr="00F96019">
        <w:trPr>
          <w:trHeight w:hRule="exact" w:val="475"/>
          <w:jc w:val="center"/>
        </w:trPr>
        <w:tc>
          <w:tcPr>
            <w:tcW w:w="7070" w:type="dxa"/>
            <w:gridSpan w:val="2"/>
            <w:tcBorders>
              <w:top w:val="single" w:sz="4" w:space="0" w:color="auto"/>
              <w:left w:val="single" w:sz="4" w:space="0" w:color="auto"/>
              <w:right w:val="single" w:sz="4" w:space="0" w:color="auto"/>
            </w:tcBorders>
            <w:shd w:val="clear" w:color="auto" w:fill="auto"/>
            <w:vAlign w:val="center"/>
          </w:tcPr>
          <w:p w14:paraId="7A6FCD58" w14:textId="77777777" w:rsidR="000435C2" w:rsidRPr="0096534C" w:rsidRDefault="008B332B">
            <w:pPr>
              <w:pStyle w:val="Other0"/>
              <w:spacing w:after="0"/>
              <w:rPr>
                <w:sz w:val="16"/>
                <w:szCs w:val="16"/>
              </w:rPr>
            </w:pPr>
            <w:r w:rsidRPr="0096534C">
              <w:rPr>
                <w:rStyle w:val="Other"/>
                <w:b/>
                <w:color w:val="595959"/>
                <w:sz w:val="16"/>
              </w:rPr>
              <w:t>Calendrier et délais (indicatifs)</w:t>
            </w:r>
          </w:p>
        </w:tc>
      </w:tr>
      <w:tr w:rsidR="000435C2" w:rsidRPr="0096534C" w14:paraId="563EF070" w14:textId="77777777" w:rsidTr="00F96019">
        <w:trPr>
          <w:trHeight w:hRule="exact" w:val="470"/>
          <w:jc w:val="center"/>
        </w:trPr>
        <w:tc>
          <w:tcPr>
            <w:tcW w:w="3648" w:type="dxa"/>
            <w:tcBorders>
              <w:top w:val="single" w:sz="4" w:space="0" w:color="auto"/>
              <w:left w:val="single" w:sz="4" w:space="0" w:color="auto"/>
            </w:tcBorders>
            <w:shd w:val="clear" w:color="auto" w:fill="auto"/>
            <w:vAlign w:val="center"/>
          </w:tcPr>
          <w:p w14:paraId="72233968" w14:textId="77777777" w:rsidR="000435C2" w:rsidRPr="0096534C" w:rsidRDefault="008B332B">
            <w:pPr>
              <w:pStyle w:val="Other0"/>
              <w:spacing w:after="0"/>
              <w:rPr>
                <w:sz w:val="16"/>
                <w:szCs w:val="16"/>
              </w:rPr>
            </w:pPr>
            <w:r w:rsidRPr="0096534C">
              <w:rPr>
                <w:rStyle w:val="Other"/>
                <w:color w:val="595959"/>
                <w:sz w:val="16"/>
              </w:rPr>
              <w:t xml:space="preserve">Ouverture de </w:t>
            </w:r>
            <w:proofErr w:type="gramStart"/>
            <w:r w:rsidRPr="0096534C">
              <w:rPr>
                <w:rStyle w:val="Other"/>
                <w:color w:val="595959"/>
                <w:sz w:val="16"/>
              </w:rPr>
              <w:t>l’appel:</w:t>
            </w:r>
            <w:proofErr w:type="gramEnd"/>
          </w:p>
        </w:tc>
        <w:tc>
          <w:tcPr>
            <w:tcW w:w="3422" w:type="dxa"/>
            <w:tcBorders>
              <w:top w:val="single" w:sz="4" w:space="0" w:color="auto"/>
              <w:left w:val="single" w:sz="4" w:space="0" w:color="auto"/>
              <w:right w:val="single" w:sz="4" w:space="0" w:color="auto"/>
            </w:tcBorders>
            <w:shd w:val="clear" w:color="auto" w:fill="auto"/>
            <w:vAlign w:val="center"/>
          </w:tcPr>
          <w:p w14:paraId="4C5E3C5F" w14:textId="77777777" w:rsidR="000435C2" w:rsidRPr="0096534C" w:rsidRDefault="008B332B">
            <w:pPr>
              <w:pStyle w:val="Other0"/>
              <w:spacing w:after="0"/>
              <w:jc w:val="center"/>
              <w:rPr>
                <w:sz w:val="16"/>
                <w:szCs w:val="16"/>
              </w:rPr>
            </w:pPr>
            <w:r w:rsidRPr="0096534C">
              <w:rPr>
                <w:rStyle w:val="Other"/>
                <w:color w:val="595959"/>
                <w:sz w:val="16"/>
              </w:rPr>
              <w:t>14 novembre 2024</w:t>
            </w:r>
          </w:p>
        </w:tc>
      </w:tr>
      <w:tr w:rsidR="000435C2" w:rsidRPr="0096534C" w14:paraId="5A76DD7A" w14:textId="77777777" w:rsidTr="00F96019">
        <w:trPr>
          <w:trHeight w:hRule="exact" w:val="682"/>
          <w:jc w:val="center"/>
        </w:trPr>
        <w:tc>
          <w:tcPr>
            <w:tcW w:w="3648" w:type="dxa"/>
            <w:tcBorders>
              <w:top w:val="single" w:sz="4" w:space="0" w:color="auto"/>
              <w:left w:val="single" w:sz="4" w:space="0" w:color="auto"/>
            </w:tcBorders>
            <w:shd w:val="clear" w:color="auto" w:fill="auto"/>
          </w:tcPr>
          <w:p w14:paraId="479AD00E" w14:textId="77777777" w:rsidR="000435C2" w:rsidRPr="0096534C" w:rsidRDefault="008B332B">
            <w:pPr>
              <w:pStyle w:val="Other0"/>
              <w:spacing w:before="120" w:after="0"/>
              <w:rPr>
                <w:sz w:val="16"/>
                <w:szCs w:val="16"/>
              </w:rPr>
            </w:pPr>
            <w:r w:rsidRPr="0096534C">
              <w:rPr>
                <w:rStyle w:val="Other"/>
                <w:color w:val="595959"/>
                <w:sz w:val="16"/>
                <w:u w:val="single"/>
              </w:rPr>
              <w:t xml:space="preserve">Date limite de dépôt des </w:t>
            </w:r>
            <w:proofErr w:type="gramStart"/>
            <w:r w:rsidRPr="0096534C">
              <w:rPr>
                <w:rStyle w:val="Other"/>
                <w:color w:val="595959"/>
                <w:sz w:val="16"/>
                <w:u w:val="single"/>
              </w:rPr>
              <w:t>propositions:</w:t>
            </w:r>
            <w:proofErr w:type="gramEnd"/>
          </w:p>
        </w:tc>
        <w:tc>
          <w:tcPr>
            <w:tcW w:w="3422" w:type="dxa"/>
            <w:tcBorders>
              <w:top w:val="single" w:sz="4" w:space="0" w:color="auto"/>
              <w:left w:val="single" w:sz="4" w:space="0" w:color="auto"/>
              <w:right w:val="single" w:sz="4" w:space="0" w:color="auto"/>
            </w:tcBorders>
            <w:shd w:val="clear" w:color="auto" w:fill="auto"/>
            <w:vAlign w:val="center"/>
          </w:tcPr>
          <w:p w14:paraId="192C7AFC" w14:textId="77777777" w:rsidR="000435C2" w:rsidRPr="0096534C" w:rsidRDefault="008B332B">
            <w:pPr>
              <w:pStyle w:val="Other0"/>
              <w:spacing w:after="0" w:line="276" w:lineRule="auto"/>
              <w:jc w:val="center"/>
              <w:rPr>
                <w:sz w:val="16"/>
                <w:szCs w:val="16"/>
              </w:rPr>
            </w:pPr>
            <w:r w:rsidRPr="0096534C">
              <w:rPr>
                <w:rStyle w:val="Other"/>
                <w:color w:val="595959"/>
                <w:sz w:val="16"/>
                <w:u w:val="single"/>
              </w:rPr>
              <w:t>30 janvier 2025 à 17 h 00 (HEC) (Bruxelles)</w:t>
            </w:r>
            <w:r w:rsidRPr="0096534C">
              <w:rPr>
                <w:rStyle w:val="Other"/>
                <w:color w:val="595959"/>
                <w:sz w:val="16"/>
                <w:szCs w:val="16"/>
                <w:u w:val="single"/>
                <w:vertAlign w:val="superscript"/>
              </w:rPr>
              <w:footnoteReference w:id="11"/>
            </w:r>
          </w:p>
        </w:tc>
      </w:tr>
      <w:tr w:rsidR="000435C2" w:rsidRPr="0096534C" w14:paraId="63DF6012" w14:textId="77777777" w:rsidTr="00F96019">
        <w:trPr>
          <w:trHeight w:hRule="exact" w:val="461"/>
          <w:jc w:val="center"/>
        </w:trPr>
        <w:tc>
          <w:tcPr>
            <w:tcW w:w="3648" w:type="dxa"/>
            <w:tcBorders>
              <w:top w:val="single" w:sz="4" w:space="0" w:color="auto"/>
              <w:left w:val="single" w:sz="4" w:space="0" w:color="auto"/>
            </w:tcBorders>
            <w:shd w:val="clear" w:color="auto" w:fill="auto"/>
            <w:vAlign w:val="center"/>
          </w:tcPr>
          <w:p w14:paraId="1D1B798C" w14:textId="77777777" w:rsidR="000435C2" w:rsidRPr="0096534C" w:rsidRDefault="008B332B">
            <w:pPr>
              <w:pStyle w:val="Other0"/>
              <w:spacing w:after="0"/>
              <w:rPr>
                <w:sz w:val="16"/>
                <w:szCs w:val="16"/>
              </w:rPr>
            </w:pPr>
            <w:proofErr w:type="gramStart"/>
            <w:r w:rsidRPr="0096534C">
              <w:rPr>
                <w:rStyle w:val="Other"/>
                <w:color w:val="595959"/>
                <w:sz w:val="16"/>
              </w:rPr>
              <w:t>Évaluation:</w:t>
            </w:r>
            <w:proofErr w:type="gramEnd"/>
          </w:p>
        </w:tc>
        <w:tc>
          <w:tcPr>
            <w:tcW w:w="3422" w:type="dxa"/>
            <w:tcBorders>
              <w:top w:val="single" w:sz="4" w:space="0" w:color="auto"/>
              <w:left w:val="single" w:sz="4" w:space="0" w:color="auto"/>
              <w:right w:val="single" w:sz="4" w:space="0" w:color="auto"/>
            </w:tcBorders>
            <w:shd w:val="clear" w:color="auto" w:fill="auto"/>
            <w:vAlign w:val="center"/>
          </w:tcPr>
          <w:p w14:paraId="4212BCBC" w14:textId="77777777" w:rsidR="000435C2" w:rsidRPr="0096534C" w:rsidRDefault="008B332B">
            <w:pPr>
              <w:pStyle w:val="Other0"/>
              <w:spacing w:after="0"/>
              <w:jc w:val="center"/>
              <w:rPr>
                <w:sz w:val="16"/>
                <w:szCs w:val="16"/>
              </w:rPr>
            </w:pPr>
            <w:proofErr w:type="gramStart"/>
            <w:r w:rsidRPr="0096534C">
              <w:rPr>
                <w:rStyle w:val="Other"/>
                <w:color w:val="595959"/>
                <w:sz w:val="16"/>
              </w:rPr>
              <w:t>février</w:t>
            </w:r>
            <w:proofErr w:type="gramEnd"/>
            <w:r w:rsidRPr="0096534C">
              <w:rPr>
                <w:rStyle w:val="Other"/>
                <w:color w:val="595959"/>
                <w:sz w:val="16"/>
              </w:rPr>
              <w:t>-mai 2025</w:t>
            </w:r>
          </w:p>
        </w:tc>
      </w:tr>
      <w:tr w:rsidR="000435C2" w:rsidRPr="0096534C" w14:paraId="7E0073FF" w14:textId="77777777" w:rsidTr="00F96019">
        <w:trPr>
          <w:trHeight w:hRule="exact" w:val="466"/>
          <w:jc w:val="center"/>
        </w:trPr>
        <w:tc>
          <w:tcPr>
            <w:tcW w:w="3648" w:type="dxa"/>
            <w:tcBorders>
              <w:top w:val="single" w:sz="4" w:space="0" w:color="auto"/>
              <w:left w:val="single" w:sz="4" w:space="0" w:color="auto"/>
            </w:tcBorders>
            <w:shd w:val="clear" w:color="auto" w:fill="auto"/>
            <w:vAlign w:val="center"/>
          </w:tcPr>
          <w:p w14:paraId="0B758256" w14:textId="77777777" w:rsidR="000435C2" w:rsidRPr="0096534C" w:rsidRDefault="008B332B">
            <w:pPr>
              <w:pStyle w:val="Other0"/>
              <w:spacing w:after="0"/>
              <w:rPr>
                <w:sz w:val="16"/>
                <w:szCs w:val="16"/>
              </w:rPr>
            </w:pPr>
            <w:r w:rsidRPr="0096534C">
              <w:rPr>
                <w:rStyle w:val="Other"/>
                <w:color w:val="595959"/>
                <w:sz w:val="16"/>
              </w:rPr>
              <w:t xml:space="preserve">Informations sur les résultats de </w:t>
            </w:r>
            <w:proofErr w:type="gramStart"/>
            <w:r w:rsidRPr="0096534C">
              <w:rPr>
                <w:rStyle w:val="Other"/>
                <w:color w:val="595959"/>
                <w:sz w:val="16"/>
              </w:rPr>
              <w:t>l’évaluation:</w:t>
            </w:r>
            <w:proofErr w:type="gramEnd"/>
          </w:p>
        </w:tc>
        <w:tc>
          <w:tcPr>
            <w:tcW w:w="3422" w:type="dxa"/>
            <w:tcBorders>
              <w:top w:val="single" w:sz="4" w:space="0" w:color="auto"/>
              <w:left w:val="single" w:sz="4" w:space="0" w:color="auto"/>
              <w:right w:val="single" w:sz="4" w:space="0" w:color="auto"/>
            </w:tcBorders>
            <w:shd w:val="clear" w:color="auto" w:fill="auto"/>
            <w:vAlign w:val="center"/>
          </w:tcPr>
          <w:p w14:paraId="3615D105" w14:textId="77777777" w:rsidR="000435C2" w:rsidRPr="0096534C" w:rsidRDefault="008B332B">
            <w:pPr>
              <w:pStyle w:val="Other0"/>
              <w:spacing w:after="0"/>
              <w:jc w:val="center"/>
              <w:rPr>
                <w:sz w:val="16"/>
                <w:szCs w:val="16"/>
              </w:rPr>
            </w:pPr>
            <w:proofErr w:type="gramStart"/>
            <w:r w:rsidRPr="0096534C">
              <w:rPr>
                <w:rStyle w:val="Other"/>
                <w:color w:val="595959"/>
                <w:sz w:val="16"/>
              </w:rPr>
              <w:t>juillet</w:t>
            </w:r>
            <w:proofErr w:type="gramEnd"/>
            <w:r w:rsidRPr="0096534C">
              <w:rPr>
                <w:rStyle w:val="Other"/>
                <w:color w:val="595959"/>
                <w:sz w:val="16"/>
              </w:rPr>
              <w:t> 2025</w:t>
            </w:r>
          </w:p>
        </w:tc>
      </w:tr>
      <w:tr w:rsidR="000435C2" w:rsidRPr="0096534C" w14:paraId="5CA3FA56" w14:textId="77777777" w:rsidTr="00F96019">
        <w:trPr>
          <w:trHeight w:hRule="exact" w:val="480"/>
          <w:jc w:val="center"/>
        </w:trPr>
        <w:tc>
          <w:tcPr>
            <w:tcW w:w="3648" w:type="dxa"/>
            <w:tcBorders>
              <w:top w:val="single" w:sz="4" w:space="0" w:color="auto"/>
              <w:left w:val="single" w:sz="4" w:space="0" w:color="auto"/>
              <w:bottom w:val="single" w:sz="4" w:space="0" w:color="auto"/>
            </w:tcBorders>
            <w:shd w:val="clear" w:color="auto" w:fill="auto"/>
            <w:vAlign w:val="center"/>
          </w:tcPr>
          <w:p w14:paraId="726EECE7" w14:textId="77777777" w:rsidR="000435C2" w:rsidRPr="0096534C" w:rsidRDefault="008B332B">
            <w:pPr>
              <w:pStyle w:val="Other0"/>
              <w:spacing w:after="0"/>
              <w:rPr>
                <w:sz w:val="16"/>
                <w:szCs w:val="16"/>
              </w:rPr>
            </w:pPr>
            <w:r w:rsidRPr="0096534C">
              <w:rPr>
                <w:rStyle w:val="Other"/>
                <w:color w:val="595959"/>
                <w:sz w:val="16"/>
              </w:rPr>
              <w:t xml:space="preserve">Signature de la convention de </w:t>
            </w:r>
            <w:proofErr w:type="gramStart"/>
            <w:r w:rsidRPr="0096534C">
              <w:rPr>
                <w:rStyle w:val="Other"/>
                <w:color w:val="595959"/>
                <w:sz w:val="16"/>
              </w:rPr>
              <w:t>subvention:</w:t>
            </w:r>
            <w:proofErr w:type="gramEnd"/>
          </w:p>
        </w:tc>
        <w:tc>
          <w:tcPr>
            <w:tcW w:w="3422" w:type="dxa"/>
            <w:tcBorders>
              <w:top w:val="single" w:sz="4" w:space="0" w:color="auto"/>
              <w:left w:val="single" w:sz="4" w:space="0" w:color="auto"/>
              <w:bottom w:val="single" w:sz="4" w:space="0" w:color="auto"/>
              <w:right w:val="single" w:sz="4" w:space="0" w:color="auto"/>
            </w:tcBorders>
            <w:shd w:val="clear" w:color="auto" w:fill="auto"/>
            <w:vAlign w:val="center"/>
          </w:tcPr>
          <w:p w14:paraId="24835015" w14:textId="77777777" w:rsidR="000435C2" w:rsidRPr="0096534C" w:rsidRDefault="008B332B">
            <w:pPr>
              <w:pStyle w:val="Other0"/>
              <w:spacing w:after="0"/>
              <w:jc w:val="center"/>
              <w:rPr>
                <w:sz w:val="16"/>
                <w:szCs w:val="16"/>
              </w:rPr>
            </w:pPr>
            <w:proofErr w:type="gramStart"/>
            <w:r w:rsidRPr="0096534C">
              <w:rPr>
                <w:rStyle w:val="Other"/>
                <w:color w:val="595959"/>
                <w:sz w:val="16"/>
              </w:rPr>
              <w:t>octobre</w:t>
            </w:r>
            <w:proofErr w:type="gramEnd"/>
            <w:r w:rsidRPr="0096534C">
              <w:rPr>
                <w:rStyle w:val="Other"/>
                <w:color w:val="595959"/>
                <w:sz w:val="16"/>
              </w:rPr>
              <w:t> 2025</w:t>
            </w:r>
          </w:p>
        </w:tc>
      </w:tr>
    </w:tbl>
    <w:p w14:paraId="19C7A4BD" w14:textId="77777777" w:rsidR="000435C2" w:rsidRPr="0096534C" w:rsidRDefault="000435C2">
      <w:pPr>
        <w:spacing w:after="439" w:line="1" w:lineRule="exact"/>
      </w:pPr>
    </w:p>
    <w:p w14:paraId="1B07A4EE" w14:textId="69BADEB5" w:rsidR="000435C2" w:rsidRPr="0096534C" w:rsidRDefault="008B332B" w:rsidP="00BF35B3">
      <w:pPr>
        <w:pStyle w:val="Heading1"/>
      </w:pPr>
      <w:bookmarkStart w:id="24" w:name="bookmark28"/>
      <w:bookmarkStart w:id="25" w:name="_Toc185511102"/>
      <w:r w:rsidRPr="0096534C">
        <w:rPr>
          <w:rStyle w:val="Heading3"/>
          <w:b/>
        </w:rPr>
        <w:t>Admissibilité et documents</w:t>
      </w:r>
      <w:bookmarkEnd w:id="24"/>
      <w:bookmarkEnd w:id="25"/>
    </w:p>
    <w:p w14:paraId="0F4EEFC4" w14:textId="77777777" w:rsidR="000435C2" w:rsidRPr="0096534C" w:rsidRDefault="008B332B">
      <w:pPr>
        <w:pStyle w:val="BodyText"/>
        <w:jc w:val="both"/>
      </w:pPr>
      <w:r w:rsidRPr="0096534C">
        <w:rPr>
          <w:rStyle w:val="BodyTextChar"/>
        </w:rPr>
        <w:t xml:space="preserve">Les propositions doivent être soumises avant la </w:t>
      </w:r>
      <w:r w:rsidRPr="0096534C">
        <w:rPr>
          <w:rStyle w:val="BodyTextChar"/>
          <w:b/>
        </w:rPr>
        <w:t>date de clôture de l’appel</w:t>
      </w:r>
      <w:r w:rsidRPr="0096534C">
        <w:rPr>
          <w:rStyle w:val="BodyTextChar"/>
        </w:rPr>
        <w:t xml:space="preserve"> </w:t>
      </w:r>
      <w:r w:rsidRPr="0096534C">
        <w:rPr>
          <w:rStyle w:val="BodyTextChar"/>
          <w:i/>
        </w:rPr>
        <w:t>(voir la section 4 Calendrier)</w:t>
      </w:r>
      <w:r w:rsidRPr="0096534C">
        <w:rPr>
          <w:rStyle w:val="BodyTextChar"/>
        </w:rPr>
        <w:t>.</w:t>
      </w:r>
    </w:p>
    <w:p w14:paraId="6250F99C" w14:textId="77777777" w:rsidR="000435C2" w:rsidRPr="0096534C" w:rsidRDefault="008B332B" w:rsidP="008B332B">
      <w:pPr>
        <w:pStyle w:val="Style6"/>
      </w:pPr>
      <w:r w:rsidRPr="0096534C">
        <w:rPr>
          <w:rStyle w:val="BodyTextChar"/>
        </w:rPr>
        <w:t xml:space="preserve">Les propositions doivent être soumises </w:t>
      </w:r>
      <w:r w:rsidRPr="0096534C">
        <w:rPr>
          <w:rStyle w:val="BodyTextChar"/>
          <w:b/>
        </w:rPr>
        <w:t>par voie électronique</w:t>
      </w:r>
      <w:r w:rsidRPr="0096534C">
        <w:rPr>
          <w:rStyle w:val="BodyTextChar"/>
        </w:rPr>
        <w:t xml:space="preserve"> via le système de soumission électronique du portail des financements et appels d’offres [accessible via la page thématique dans la section </w:t>
      </w:r>
      <w:r w:rsidRPr="0096534C">
        <w:rPr>
          <w:rStyle w:val="BodyTextChar"/>
          <w:color w:val="0088CC"/>
          <w:u w:val="single"/>
        </w:rPr>
        <w:t>Search Funding &amp; Tenders</w:t>
      </w:r>
      <w:r w:rsidRPr="0096534C">
        <w:rPr>
          <w:rStyle w:val="BodyTextChar"/>
        </w:rPr>
        <w:t xml:space="preserve"> (Recherche de financements et d’appels d’offres)]. Les soumissions sur papier ne sont PAS possibles.</w:t>
      </w:r>
    </w:p>
    <w:p w14:paraId="5784B37B" w14:textId="1A4503CA" w:rsidR="000435C2" w:rsidRPr="0096534C" w:rsidRDefault="008B332B">
      <w:pPr>
        <w:pStyle w:val="BodyText"/>
        <w:spacing w:after="120" w:line="283" w:lineRule="auto"/>
        <w:jc w:val="both"/>
      </w:pPr>
      <w:r w:rsidRPr="0096534C">
        <w:rPr>
          <w:rStyle w:val="BodyTextChar"/>
        </w:rPr>
        <w:t xml:space="preserve">Les propositions (y compris les annexes et les pièces justificatives) doivent être soumises au moyen des formulaires fournis </w:t>
      </w:r>
      <w:r w:rsidRPr="0096534C">
        <w:rPr>
          <w:rStyle w:val="BodyTextChar"/>
          <w:i/>
        </w:rPr>
        <w:t>dans</w:t>
      </w:r>
      <w:r w:rsidRPr="0096534C">
        <w:rPr>
          <w:rStyle w:val="BodyTextChar"/>
        </w:rPr>
        <w:t xml:space="preserve"> le système de soumission (</w:t>
      </w:r>
      <w:r w:rsidRPr="0096534C">
        <w:rPr>
          <w:noProof/>
        </w:rPr>
        <w:drawing>
          <wp:inline distT="0" distB="0" distL="0" distR="0" wp14:anchorId="3A4F839D" wp14:editId="177902E4">
            <wp:extent cx="151130" cy="151130"/>
            <wp:effectExtent l="0" t="0" r="127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96534C">
        <w:rPr>
          <w:rStyle w:val="BodyTextChar"/>
        </w:rPr>
        <w:t xml:space="preserve"> PAS les documents disponibles sur la page thématique — ils ne sont fournis qu’à titre d’information).</w:t>
      </w:r>
    </w:p>
    <w:p w14:paraId="18E65F69" w14:textId="77777777" w:rsidR="000435C2" w:rsidRPr="0096534C" w:rsidRDefault="008B332B">
      <w:pPr>
        <w:pStyle w:val="BodyText"/>
        <w:spacing w:after="120"/>
        <w:jc w:val="both"/>
      </w:pPr>
      <w:r w:rsidRPr="0096534C">
        <w:rPr>
          <w:rStyle w:val="BodyTextChar"/>
        </w:rPr>
        <w:t xml:space="preserve">Les propositions doivent être </w:t>
      </w:r>
      <w:r w:rsidRPr="0096534C">
        <w:rPr>
          <w:rStyle w:val="BodyTextChar"/>
          <w:b/>
        </w:rPr>
        <w:t>complètes</w:t>
      </w:r>
      <w:r w:rsidRPr="0096534C">
        <w:rPr>
          <w:rStyle w:val="BodyTextChar"/>
        </w:rPr>
        <w:t xml:space="preserve"> et contenir toutes les informations demandées ainsi que toutes les annexes et pièces justificatives </w:t>
      </w:r>
      <w:proofErr w:type="gramStart"/>
      <w:r w:rsidRPr="0096534C">
        <w:rPr>
          <w:rStyle w:val="BodyTextChar"/>
        </w:rPr>
        <w:t>requises:</w:t>
      </w:r>
      <w:proofErr w:type="gramEnd"/>
    </w:p>
    <w:p w14:paraId="58E6FDEF" w14:textId="77777777" w:rsidR="000435C2" w:rsidRPr="0096534C" w:rsidRDefault="008B332B" w:rsidP="006008C4">
      <w:pPr>
        <w:pStyle w:val="BodyText"/>
        <w:numPr>
          <w:ilvl w:val="0"/>
          <w:numId w:val="14"/>
        </w:numPr>
        <w:tabs>
          <w:tab w:val="left" w:pos="740"/>
        </w:tabs>
        <w:ind w:left="740" w:hanging="360"/>
        <w:jc w:val="both"/>
      </w:pPr>
      <w:proofErr w:type="gramStart"/>
      <w:r w:rsidRPr="0096534C">
        <w:rPr>
          <w:rStyle w:val="BodyTextChar"/>
        </w:rPr>
        <w:t>la</w:t>
      </w:r>
      <w:proofErr w:type="gramEnd"/>
      <w:r w:rsidRPr="0096534C">
        <w:rPr>
          <w:rStyle w:val="BodyTextChar"/>
        </w:rPr>
        <w:t xml:space="preserve"> partie A du formulaire de demande – contient des informations administratives sur les participants (futur coordinateur, bénéficiaires et entités affiliées) et le budget récapitulatif du projet </w:t>
      </w:r>
      <w:r w:rsidRPr="0096534C">
        <w:rPr>
          <w:rStyle w:val="BodyTextChar"/>
          <w:i/>
          <w:color w:val="808080"/>
        </w:rPr>
        <w:t>(à remplir directement en ligne);</w:t>
      </w:r>
    </w:p>
    <w:p w14:paraId="30A89BE8" w14:textId="77777777" w:rsidR="000435C2" w:rsidRPr="0096534C" w:rsidRDefault="008B332B" w:rsidP="006008C4">
      <w:pPr>
        <w:pStyle w:val="BodyText"/>
        <w:numPr>
          <w:ilvl w:val="0"/>
          <w:numId w:val="14"/>
        </w:numPr>
        <w:tabs>
          <w:tab w:val="left" w:pos="740"/>
        </w:tabs>
        <w:ind w:left="740" w:hanging="360"/>
        <w:jc w:val="both"/>
      </w:pPr>
      <w:proofErr w:type="gramStart"/>
      <w:r w:rsidRPr="0096534C">
        <w:rPr>
          <w:rStyle w:val="BodyTextChar"/>
        </w:rPr>
        <w:t>la</w:t>
      </w:r>
      <w:proofErr w:type="gramEnd"/>
      <w:r w:rsidRPr="0096534C">
        <w:rPr>
          <w:rStyle w:val="BodyTextChar"/>
        </w:rPr>
        <w:t xml:space="preserve"> partie B du formulaire de demande – contient la description technique du projet </w:t>
      </w:r>
      <w:r w:rsidRPr="0096534C">
        <w:rPr>
          <w:rStyle w:val="BodyTextChar"/>
          <w:i/>
          <w:color w:val="808080"/>
        </w:rPr>
        <w:t>(à télécharger à partir du système de soumission du portail, complétée, puis assemblée et de nouveau téléchargée)</w:t>
      </w:r>
      <w:r w:rsidRPr="0096534C">
        <w:rPr>
          <w:rStyle w:val="BodyTextChar"/>
        </w:rPr>
        <w:t>;</w:t>
      </w:r>
    </w:p>
    <w:p w14:paraId="4F71E434" w14:textId="77777777" w:rsidR="000435C2" w:rsidRPr="0096534C" w:rsidRDefault="008B332B" w:rsidP="006008C4">
      <w:pPr>
        <w:pStyle w:val="BodyText"/>
        <w:numPr>
          <w:ilvl w:val="0"/>
          <w:numId w:val="14"/>
        </w:numPr>
        <w:tabs>
          <w:tab w:val="left" w:pos="740"/>
        </w:tabs>
        <w:ind w:left="740" w:hanging="360"/>
        <w:jc w:val="both"/>
      </w:pPr>
      <w:proofErr w:type="gramStart"/>
      <w:r w:rsidRPr="0096534C">
        <w:rPr>
          <w:rStyle w:val="BodyTextChar"/>
          <w:b/>
        </w:rPr>
        <w:t>annexes</w:t>
      </w:r>
      <w:proofErr w:type="gramEnd"/>
      <w:r w:rsidRPr="0096534C">
        <w:rPr>
          <w:rStyle w:val="BodyTextChar"/>
          <w:b/>
        </w:rPr>
        <w:t xml:space="preserve"> obligatoires et pièces justificatives</w:t>
      </w:r>
      <w:r w:rsidRPr="0096534C">
        <w:rPr>
          <w:rStyle w:val="BodyTextChar"/>
        </w:rPr>
        <w:t xml:space="preserve"> </w:t>
      </w:r>
      <w:r w:rsidRPr="0096534C">
        <w:rPr>
          <w:rStyle w:val="BodyTextChar"/>
          <w:i/>
          <w:color w:val="808080"/>
        </w:rPr>
        <w:t>(modèles à télécharger à partir du système de dépôt du portail, complétés, assemblés et de nouveau téléchargés)</w:t>
      </w:r>
      <w:r w:rsidRPr="0096534C">
        <w:rPr>
          <w:rStyle w:val="BodyTextChar"/>
        </w:rPr>
        <w:t>:</w:t>
      </w:r>
    </w:p>
    <w:p w14:paraId="5F4C7F52" w14:textId="77777777" w:rsidR="000435C2" w:rsidRPr="0096534C" w:rsidRDefault="008B332B" w:rsidP="006008C4">
      <w:pPr>
        <w:pStyle w:val="BodyText"/>
        <w:numPr>
          <w:ilvl w:val="0"/>
          <w:numId w:val="15"/>
        </w:numPr>
        <w:spacing w:after="100"/>
        <w:ind w:left="1080"/>
        <w:jc w:val="both"/>
      </w:pPr>
      <w:proofErr w:type="gramStart"/>
      <w:r w:rsidRPr="0096534C">
        <w:rPr>
          <w:rStyle w:val="BodyTextChar"/>
        </w:rPr>
        <w:t>tableau</w:t>
      </w:r>
      <w:proofErr w:type="gramEnd"/>
      <w:r w:rsidRPr="0096534C">
        <w:rPr>
          <w:rStyle w:val="BodyTextChar"/>
        </w:rPr>
        <w:t xml:space="preserve"> budgétaire détaillé/calculateur;</w:t>
      </w:r>
    </w:p>
    <w:p w14:paraId="14BD643A" w14:textId="77777777" w:rsidR="000435C2" w:rsidRPr="0096534C" w:rsidRDefault="008B332B" w:rsidP="006008C4">
      <w:pPr>
        <w:pStyle w:val="BodyText"/>
        <w:numPr>
          <w:ilvl w:val="0"/>
          <w:numId w:val="15"/>
        </w:numPr>
        <w:tabs>
          <w:tab w:val="left" w:pos="1452"/>
        </w:tabs>
        <w:spacing w:after="100"/>
        <w:ind w:left="1080"/>
        <w:jc w:val="both"/>
      </w:pPr>
      <w:r w:rsidRPr="0096534C">
        <w:rPr>
          <w:rStyle w:val="BodyTextChar"/>
        </w:rPr>
        <w:t xml:space="preserve">CV de l’équipe de projet </w:t>
      </w:r>
      <w:proofErr w:type="gramStart"/>
      <w:r w:rsidRPr="0096534C">
        <w:rPr>
          <w:rStyle w:val="BodyTextChar"/>
        </w:rPr>
        <w:t>principale:</w:t>
      </w:r>
      <w:proofErr w:type="gramEnd"/>
      <w:r w:rsidRPr="0096534C">
        <w:rPr>
          <w:rStyle w:val="BodyTextChar"/>
        </w:rPr>
        <w:t xml:space="preserve"> sans objet;</w:t>
      </w:r>
    </w:p>
    <w:p w14:paraId="40BACD14" w14:textId="77777777" w:rsidR="000435C2" w:rsidRPr="0096534C" w:rsidRDefault="008B332B" w:rsidP="006008C4">
      <w:pPr>
        <w:pStyle w:val="BodyText"/>
        <w:numPr>
          <w:ilvl w:val="0"/>
          <w:numId w:val="15"/>
        </w:numPr>
        <w:tabs>
          <w:tab w:val="left" w:pos="1452"/>
        </w:tabs>
        <w:spacing w:after="100"/>
        <w:ind w:left="1080"/>
        <w:jc w:val="both"/>
      </w:pPr>
      <w:proofErr w:type="gramStart"/>
      <w:r w:rsidRPr="0096534C">
        <w:rPr>
          <w:rStyle w:val="BodyTextChar"/>
        </w:rPr>
        <w:t>les</w:t>
      </w:r>
      <w:proofErr w:type="gramEnd"/>
      <w:r w:rsidRPr="0096534C">
        <w:rPr>
          <w:rStyle w:val="BodyTextChar"/>
        </w:rPr>
        <w:t xml:space="preserve"> rapports d’activité de l’année précédente: sans objet;</w:t>
      </w:r>
    </w:p>
    <w:p w14:paraId="595A4118" w14:textId="77777777" w:rsidR="000435C2" w:rsidRPr="0096534C" w:rsidRDefault="008B332B" w:rsidP="006008C4">
      <w:pPr>
        <w:pStyle w:val="BodyText"/>
        <w:numPr>
          <w:ilvl w:val="0"/>
          <w:numId w:val="15"/>
        </w:numPr>
        <w:tabs>
          <w:tab w:val="left" w:pos="1452"/>
        </w:tabs>
        <w:spacing w:after="100"/>
        <w:ind w:left="1460" w:hanging="360"/>
        <w:jc w:val="both"/>
      </w:pPr>
      <w:proofErr w:type="gramStart"/>
      <w:r w:rsidRPr="0096534C">
        <w:rPr>
          <w:rStyle w:val="BodyTextChar"/>
        </w:rPr>
        <w:t>la</w:t>
      </w:r>
      <w:proofErr w:type="gramEnd"/>
      <w:r w:rsidRPr="0096534C">
        <w:rPr>
          <w:rStyle w:val="BodyTextChar"/>
        </w:rPr>
        <w:t xml:space="preserve"> liste des projets antérieurs (projets clés des 4 dernières années) </w:t>
      </w:r>
      <w:r w:rsidRPr="0096534C">
        <w:rPr>
          <w:rStyle w:val="BodyTextChar"/>
          <w:i/>
          <w:color w:val="808080"/>
        </w:rPr>
        <w:t>(modèle disponible dans la partie B)</w:t>
      </w:r>
      <w:r w:rsidRPr="0096534C">
        <w:rPr>
          <w:rStyle w:val="BodyTextChar"/>
        </w:rPr>
        <w:t>;</w:t>
      </w:r>
    </w:p>
    <w:p w14:paraId="768024D6" w14:textId="77777777" w:rsidR="000435C2" w:rsidRPr="0096534C" w:rsidRDefault="008B332B" w:rsidP="006008C4">
      <w:pPr>
        <w:pStyle w:val="BodyText"/>
        <w:numPr>
          <w:ilvl w:val="0"/>
          <w:numId w:val="15"/>
        </w:numPr>
        <w:tabs>
          <w:tab w:val="left" w:pos="1452"/>
        </w:tabs>
        <w:ind w:left="1080"/>
        <w:jc w:val="both"/>
      </w:pPr>
      <w:proofErr w:type="gramStart"/>
      <w:r w:rsidRPr="0096534C">
        <w:rPr>
          <w:rStyle w:val="BodyTextChar"/>
        </w:rPr>
        <w:lastRenderedPageBreak/>
        <w:t>liste</w:t>
      </w:r>
      <w:proofErr w:type="gramEnd"/>
      <w:r w:rsidRPr="0096534C">
        <w:rPr>
          <w:rStyle w:val="BodyTextChar"/>
        </w:rPr>
        <w:t xml:space="preserve"> des programmes universitaires.</w:t>
      </w:r>
    </w:p>
    <w:p w14:paraId="2D120DE5" w14:textId="77777777" w:rsidR="000435C2" w:rsidRPr="0096534C" w:rsidRDefault="008B332B">
      <w:pPr>
        <w:pStyle w:val="BodyText"/>
        <w:spacing w:after="100"/>
        <w:jc w:val="both"/>
      </w:pPr>
      <w:r w:rsidRPr="0096534C">
        <w:rPr>
          <w:rStyle w:val="BodyTextChar"/>
        </w:rPr>
        <w:t xml:space="preserve">Lors de la soumission de la proposition, vous devrez confirmer que vous avez le </w:t>
      </w:r>
      <w:r w:rsidRPr="0096534C">
        <w:rPr>
          <w:rStyle w:val="BodyTextChar"/>
          <w:b/>
        </w:rPr>
        <w:t>mandat d’agir</w:t>
      </w:r>
      <w:r w:rsidRPr="0096534C">
        <w:rPr>
          <w:rStyle w:val="BodyTextChar"/>
        </w:rPr>
        <w:t xml:space="preserve"> pour tous les candidats. En outre, vous devrez confirmer que les informations contenues dans la demande sont correctes et complètes et que les participants remplissent les conditions pour bénéficier d’un financement de l’UE (notamment les conditions d’éligibilité, de capacité financière et opérationnelle, d’exclusion, etc.). Avant de signer la convention de subvention, chaque bénéficiaire et entité affiliée devra le confirmer de nouveau en signant une déclaration sur l’honneur. Les propositions sans soutien total seront rejetées.</w:t>
      </w:r>
    </w:p>
    <w:p w14:paraId="28ABD040" w14:textId="77777777" w:rsidR="000435C2" w:rsidRPr="0096534C" w:rsidRDefault="008B332B">
      <w:pPr>
        <w:pStyle w:val="BodyText"/>
        <w:jc w:val="both"/>
      </w:pPr>
      <w:r w:rsidRPr="0096534C">
        <w:rPr>
          <w:rStyle w:val="BodyTextChar"/>
        </w:rPr>
        <w:t xml:space="preserve">Votre demande doit être </w:t>
      </w:r>
      <w:r w:rsidRPr="0096534C">
        <w:rPr>
          <w:rStyle w:val="BodyTextChar"/>
          <w:b/>
        </w:rPr>
        <w:t>lisible, accessible et imprimable</w:t>
      </w:r>
      <w:r w:rsidRPr="0096534C">
        <w:rPr>
          <w:rStyle w:val="BodyTextChar"/>
        </w:rPr>
        <w:t>.</w:t>
      </w:r>
    </w:p>
    <w:p w14:paraId="6260FAB8" w14:textId="77777777" w:rsidR="000435C2" w:rsidRPr="0096534C" w:rsidRDefault="008B332B">
      <w:pPr>
        <w:pStyle w:val="BodyText"/>
        <w:jc w:val="both"/>
      </w:pPr>
      <w:r w:rsidRPr="0096534C">
        <w:rPr>
          <w:rStyle w:val="BodyTextChar"/>
        </w:rPr>
        <w:t xml:space="preserve">Les propositions sont limitées à un maximum de </w:t>
      </w:r>
      <w:r w:rsidRPr="0096534C">
        <w:rPr>
          <w:rStyle w:val="BodyTextChar"/>
          <w:b/>
        </w:rPr>
        <w:t xml:space="preserve">70 pages </w:t>
      </w:r>
      <w:r w:rsidRPr="0096534C">
        <w:rPr>
          <w:rStyle w:val="BodyTextChar"/>
        </w:rPr>
        <w:t>(partie B). Les évaluateurs ne tiendront pas compte des pages supplémentaires. Des propositions plus courtes sont les bienvenues.</w:t>
      </w:r>
    </w:p>
    <w:p w14:paraId="3D7F4C05" w14:textId="77777777" w:rsidR="000435C2" w:rsidRPr="0096534C" w:rsidRDefault="008B332B">
      <w:pPr>
        <w:pStyle w:val="BodyText"/>
        <w:spacing w:after="260"/>
        <w:jc w:val="both"/>
      </w:pPr>
      <w:r w:rsidRPr="0096534C">
        <w:rPr>
          <w:rStyle w:val="BodyTextChar"/>
        </w:rPr>
        <w:t xml:space="preserve">D’autres documents pourront vous être demandés ultérieurement </w:t>
      </w:r>
      <w:r w:rsidRPr="0096534C">
        <w:rPr>
          <w:rStyle w:val="BodyTextChar"/>
          <w:i/>
        </w:rPr>
        <w:t>(pour la validation de l’entité légale, le contrôle de la capacité financière, la validation du compte bancaire, etc.)</w:t>
      </w:r>
      <w:r w:rsidRPr="0096534C">
        <w:rPr>
          <w:rStyle w:val="BodyTextChar"/>
        </w:rPr>
        <w:t>.</w:t>
      </w:r>
    </w:p>
    <w:p w14:paraId="57943A3A" w14:textId="48F352EA" w:rsidR="000435C2" w:rsidRPr="0096534C" w:rsidRDefault="008B332B" w:rsidP="008B332B">
      <w:pPr>
        <w:pStyle w:val="BodyText"/>
        <w:spacing w:after="640"/>
        <w:jc w:val="both"/>
      </w:pPr>
      <w:r w:rsidRPr="0096534C">
        <w:rPr>
          <w:noProof/>
        </w:rPr>
        <w:drawing>
          <wp:inline distT="0" distB="0" distL="0" distR="0" wp14:anchorId="39C0A842" wp14:editId="2F03D03B">
            <wp:extent cx="167005" cy="167005"/>
            <wp:effectExtent l="0" t="0" r="4445" b="4445"/>
            <wp:docPr id="21" name="Picture 21" descr="https://lh5.googleusercontent.com/-n5VVWXljoCs/T8X1egaB-BI/AAAAAAAAC1I/fLBP4VIzxQM/s16/infoIcon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5.googleusercontent.com/-n5VVWXljoCs/T8X1egaB-BI/AAAAAAAAC1I/fLBP4VIzxQM/s16/infoIcon_blue.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7005" cy="167005"/>
                    </a:xfrm>
                    <a:prstGeom prst="rect">
                      <a:avLst/>
                    </a:prstGeom>
                    <a:noFill/>
                    <a:ln>
                      <a:noFill/>
                    </a:ln>
                  </pic:spPr>
                </pic:pic>
              </a:graphicData>
            </a:graphic>
          </wp:inline>
        </w:drawing>
      </w:r>
      <w:r w:rsidRPr="0096534C">
        <w:t xml:space="preserve"> </w:t>
      </w:r>
      <w:r w:rsidRPr="0096534C">
        <w:rPr>
          <w:rStyle w:val="BodyTextChar"/>
        </w:rPr>
        <w:t>Pour plus d’informations sur le processus de soumission (y compris les aspects informatiques), veuillez consulter le</w:t>
      </w:r>
      <w:hyperlink r:id="rId25" w:history="1">
        <w:r w:rsidRPr="0096534C">
          <w:rPr>
            <w:rStyle w:val="BodyTextChar"/>
          </w:rPr>
          <w:t xml:space="preserve"> </w:t>
        </w:r>
        <w:r w:rsidRPr="0096534C">
          <w:rPr>
            <w:rStyle w:val="BodyTextChar"/>
            <w:color w:val="0088CC"/>
            <w:u w:val="single"/>
          </w:rPr>
          <w:t>manuel en ligne</w:t>
        </w:r>
        <w:r w:rsidRPr="0096534C">
          <w:rPr>
            <w:rStyle w:val="BodyTextChar"/>
          </w:rPr>
          <w:t>.</w:t>
        </w:r>
      </w:hyperlink>
    </w:p>
    <w:p w14:paraId="6C8A97D0" w14:textId="3EE3483A" w:rsidR="000435C2" w:rsidRPr="0096534C" w:rsidRDefault="008B332B" w:rsidP="00BF35B3">
      <w:pPr>
        <w:pStyle w:val="Heading1"/>
      </w:pPr>
      <w:bookmarkStart w:id="26" w:name="bookmark31"/>
      <w:bookmarkStart w:id="27" w:name="_Toc185511103"/>
      <w:r w:rsidRPr="0096534C">
        <w:rPr>
          <w:rStyle w:val="Heading3"/>
          <w:b/>
        </w:rPr>
        <w:t>Admissibilité</w:t>
      </w:r>
      <w:bookmarkEnd w:id="26"/>
      <w:bookmarkEnd w:id="27"/>
    </w:p>
    <w:p w14:paraId="1BEEF11D" w14:textId="77777777" w:rsidR="000435C2" w:rsidRPr="0096534C" w:rsidRDefault="008B332B">
      <w:pPr>
        <w:pStyle w:val="BodyText"/>
        <w:jc w:val="both"/>
      </w:pPr>
      <w:r w:rsidRPr="0096534C">
        <w:rPr>
          <w:rStyle w:val="BodyTextChar"/>
        </w:rPr>
        <w:t>Les demandes ne seront considérées comme éligibles que si leur contenu correspond entièrement (ou au moins en partie) à la description du thème pour lequel elles sont soumises.</w:t>
      </w:r>
    </w:p>
    <w:p w14:paraId="38A4A467" w14:textId="77777777" w:rsidR="000435C2" w:rsidRPr="0096534C" w:rsidRDefault="008B332B" w:rsidP="00F96019">
      <w:pPr>
        <w:pStyle w:val="Heading2"/>
        <w:rPr>
          <w:b w:val="0"/>
          <w:bCs w:val="0"/>
        </w:rPr>
      </w:pPr>
      <w:bookmarkStart w:id="28" w:name="bookmark34"/>
      <w:bookmarkStart w:id="29" w:name="_Toc185511104"/>
      <w:r w:rsidRPr="0096534C">
        <w:rPr>
          <w:rStyle w:val="BodyTextChar"/>
          <w:b w:val="0"/>
          <w:i/>
          <w:u w:val="single"/>
        </w:rPr>
        <w:t>Participants éligibles (pays éligibles)</w:t>
      </w:r>
      <w:bookmarkEnd w:id="28"/>
      <w:bookmarkEnd w:id="29"/>
    </w:p>
    <w:p w14:paraId="1F43C61B" w14:textId="77777777" w:rsidR="000435C2" w:rsidRPr="0096534C" w:rsidRDefault="008B332B">
      <w:pPr>
        <w:pStyle w:val="BodyText"/>
        <w:spacing w:after="100"/>
        <w:jc w:val="both"/>
      </w:pPr>
      <w:r w:rsidRPr="0096534C">
        <w:rPr>
          <w:rStyle w:val="BodyTextChar"/>
        </w:rPr>
        <w:t xml:space="preserve">Pour être éligibles, les candidats (bénéficiaires et entités affiliées) </w:t>
      </w:r>
      <w:proofErr w:type="gramStart"/>
      <w:r w:rsidRPr="0096534C">
        <w:rPr>
          <w:rStyle w:val="BodyTextChar"/>
        </w:rPr>
        <w:t>doivent:</w:t>
      </w:r>
      <w:proofErr w:type="gramEnd"/>
    </w:p>
    <w:p w14:paraId="0613C69D" w14:textId="77777777" w:rsidR="000435C2" w:rsidRPr="0096534C" w:rsidRDefault="008B332B" w:rsidP="006008C4">
      <w:pPr>
        <w:pStyle w:val="BodyText"/>
        <w:numPr>
          <w:ilvl w:val="0"/>
          <w:numId w:val="16"/>
        </w:numPr>
        <w:tabs>
          <w:tab w:val="left" w:pos="734"/>
        </w:tabs>
        <w:spacing w:after="100"/>
        <w:ind w:firstLine="360"/>
        <w:jc w:val="both"/>
      </w:pPr>
      <w:proofErr w:type="gramStart"/>
      <w:r w:rsidRPr="0096534C">
        <w:rPr>
          <w:rStyle w:val="BodyTextChar"/>
        </w:rPr>
        <w:t>être</w:t>
      </w:r>
      <w:proofErr w:type="gramEnd"/>
      <w:r w:rsidRPr="0096534C">
        <w:rPr>
          <w:rStyle w:val="BodyTextChar"/>
        </w:rPr>
        <w:t xml:space="preserve"> des personnes morales (organismes publics ou privés);</w:t>
      </w:r>
    </w:p>
    <w:p w14:paraId="3FB72F7B" w14:textId="77777777" w:rsidR="000435C2" w:rsidRPr="0096534C" w:rsidRDefault="008B332B" w:rsidP="006008C4">
      <w:pPr>
        <w:pStyle w:val="BodyText"/>
        <w:numPr>
          <w:ilvl w:val="0"/>
          <w:numId w:val="16"/>
        </w:numPr>
        <w:tabs>
          <w:tab w:val="left" w:pos="734"/>
        </w:tabs>
        <w:spacing w:after="100"/>
        <w:ind w:firstLine="360"/>
      </w:pPr>
      <w:proofErr w:type="gramStart"/>
      <w:r w:rsidRPr="0096534C">
        <w:rPr>
          <w:rStyle w:val="BodyTextChar"/>
        </w:rPr>
        <w:t>avoir</w:t>
      </w:r>
      <w:proofErr w:type="gramEnd"/>
      <w:r w:rsidRPr="0096534C">
        <w:rPr>
          <w:rStyle w:val="BodyTextChar"/>
        </w:rPr>
        <w:t xml:space="preserve"> leur siège dans l’un des pays éligibles, à savoir:</w:t>
      </w:r>
    </w:p>
    <w:p w14:paraId="71A54F3B" w14:textId="77777777" w:rsidR="000435C2" w:rsidRPr="0096534C" w:rsidRDefault="008B332B" w:rsidP="006008C4">
      <w:pPr>
        <w:pStyle w:val="BodyText"/>
        <w:numPr>
          <w:ilvl w:val="0"/>
          <w:numId w:val="17"/>
        </w:numPr>
        <w:tabs>
          <w:tab w:val="left" w:pos="1452"/>
        </w:tabs>
        <w:spacing w:after="100"/>
        <w:ind w:left="1080"/>
        <w:jc w:val="both"/>
      </w:pPr>
      <w:proofErr w:type="gramStart"/>
      <w:r w:rsidRPr="0096534C">
        <w:rPr>
          <w:rStyle w:val="BodyTextChar"/>
        </w:rPr>
        <w:t>les</w:t>
      </w:r>
      <w:proofErr w:type="gramEnd"/>
      <w:r w:rsidRPr="0096534C">
        <w:rPr>
          <w:rStyle w:val="BodyTextChar"/>
        </w:rPr>
        <w:t xml:space="preserve"> États membres de l’UE et les pays et territoires d’outre-mer (PTOM).</w:t>
      </w:r>
    </w:p>
    <w:p w14:paraId="6DDD8A8F" w14:textId="77777777" w:rsidR="000435C2" w:rsidRPr="0096534C" w:rsidRDefault="008B332B" w:rsidP="006008C4">
      <w:pPr>
        <w:pStyle w:val="BodyText"/>
        <w:numPr>
          <w:ilvl w:val="0"/>
          <w:numId w:val="17"/>
        </w:numPr>
        <w:tabs>
          <w:tab w:val="left" w:pos="1452"/>
        </w:tabs>
        <w:spacing w:after="100"/>
        <w:ind w:left="1080"/>
        <w:jc w:val="both"/>
      </w:pPr>
      <w:r w:rsidRPr="0096534C">
        <w:rPr>
          <w:rStyle w:val="BodyTextChar"/>
        </w:rPr>
        <w:t xml:space="preserve">Pays </w:t>
      </w:r>
      <w:proofErr w:type="gramStart"/>
      <w:r w:rsidRPr="0096534C">
        <w:rPr>
          <w:rStyle w:val="BodyTextChar"/>
        </w:rPr>
        <w:t>africains:</w:t>
      </w:r>
      <w:proofErr w:type="gramEnd"/>
    </w:p>
    <w:p w14:paraId="6719812A" w14:textId="77777777" w:rsidR="000435C2" w:rsidRPr="0096534C" w:rsidRDefault="008B332B" w:rsidP="006008C4">
      <w:pPr>
        <w:keepNext/>
        <w:keepLines/>
        <w:numPr>
          <w:ilvl w:val="0"/>
          <w:numId w:val="18"/>
        </w:numPr>
        <w:tabs>
          <w:tab w:val="left" w:pos="1834"/>
        </w:tabs>
        <w:ind w:left="1460"/>
        <w:rPr>
          <w:b/>
          <w:bCs/>
        </w:rPr>
      </w:pPr>
      <w:bookmarkStart w:id="30" w:name="bookmark35"/>
      <w:r w:rsidRPr="0096534C">
        <w:rPr>
          <w:b/>
        </w:rPr>
        <w:t>Afrique orientale et centrale</w:t>
      </w:r>
      <w:bookmarkEnd w:id="30"/>
    </w:p>
    <w:p w14:paraId="587D13C7" w14:textId="77777777" w:rsidR="000435C2" w:rsidRPr="0096534C" w:rsidRDefault="008B332B">
      <w:pPr>
        <w:pStyle w:val="BodyText"/>
        <w:spacing w:after="140"/>
        <w:ind w:left="2180"/>
        <w:jc w:val="both"/>
      </w:pPr>
      <w:r w:rsidRPr="0096534C">
        <w:rPr>
          <w:rStyle w:val="BodyTextChar"/>
        </w:rPr>
        <w:t>Burundi, Cameroun, Congo, Djibouti, Guinée équatoriale, Érythrée, Éthiopie, Gabon, Kenya, Ouganda, République centrafricaine, République démocratique du Congo, Rwanda, Sao Tomé-et-Principe, Somalie, Soudan, Soudan du Sud, Tanzanie</w:t>
      </w:r>
    </w:p>
    <w:p w14:paraId="516CAC3B" w14:textId="77777777" w:rsidR="000435C2" w:rsidRPr="0096534C" w:rsidRDefault="008B332B" w:rsidP="006008C4">
      <w:pPr>
        <w:keepNext/>
        <w:keepLines/>
        <w:numPr>
          <w:ilvl w:val="0"/>
          <w:numId w:val="18"/>
        </w:numPr>
        <w:tabs>
          <w:tab w:val="left" w:pos="1834"/>
        </w:tabs>
        <w:rPr>
          <w:b/>
          <w:bCs/>
        </w:rPr>
      </w:pPr>
      <w:bookmarkStart w:id="31" w:name="bookmark37"/>
      <w:r w:rsidRPr="0096534C">
        <w:rPr>
          <w:b/>
        </w:rPr>
        <w:t>Afrique australe et océan Indien</w:t>
      </w:r>
      <w:bookmarkEnd w:id="31"/>
    </w:p>
    <w:p w14:paraId="511845B3" w14:textId="77777777" w:rsidR="000435C2" w:rsidRPr="0096534C" w:rsidRDefault="008B332B">
      <w:pPr>
        <w:pStyle w:val="BodyText"/>
        <w:spacing w:after="100"/>
        <w:ind w:left="2180"/>
        <w:jc w:val="both"/>
      </w:pPr>
      <w:r w:rsidRPr="0096534C">
        <w:rPr>
          <w:rStyle w:val="BodyTextChar"/>
        </w:rPr>
        <w:t>Afrique du Sud, Angola, Botswana, Comores, Eswatini, Lesotho, Madagascar, Malawi, Maurice, Mozambique, Namibie, Seychelles, Zambie, Zimbabwe</w:t>
      </w:r>
    </w:p>
    <w:p w14:paraId="2B36BDF1" w14:textId="77777777" w:rsidR="000435C2" w:rsidRPr="0096534C" w:rsidRDefault="008B332B" w:rsidP="006008C4">
      <w:pPr>
        <w:keepNext/>
        <w:keepLines/>
        <w:numPr>
          <w:ilvl w:val="0"/>
          <w:numId w:val="18"/>
        </w:numPr>
        <w:tabs>
          <w:tab w:val="left" w:pos="1874"/>
        </w:tabs>
        <w:ind w:left="1500"/>
        <w:rPr>
          <w:b/>
          <w:bCs/>
        </w:rPr>
      </w:pPr>
      <w:bookmarkStart w:id="32" w:name="bookmark39"/>
      <w:r w:rsidRPr="0096534C">
        <w:rPr>
          <w:b/>
        </w:rPr>
        <w:t xml:space="preserve">Afrique de </w:t>
      </w:r>
      <w:proofErr w:type="gramStart"/>
      <w:r w:rsidRPr="0096534C">
        <w:rPr>
          <w:b/>
        </w:rPr>
        <w:t>l’Ouest:</w:t>
      </w:r>
      <w:bookmarkEnd w:id="32"/>
      <w:proofErr w:type="gramEnd"/>
    </w:p>
    <w:p w14:paraId="6E219F30" w14:textId="77777777" w:rsidR="000435C2" w:rsidRPr="0096534C" w:rsidRDefault="008B332B">
      <w:pPr>
        <w:pStyle w:val="BodyText"/>
        <w:spacing w:after="100"/>
        <w:ind w:left="2180"/>
        <w:jc w:val="both"/>
      </w:pPr>
      <w:r w:rsidRPr="0096534C">
        <w:rPr>
          <w:rStyle w:val="BodyTextChar"/>
        </w:rPr>
        <w:t>Bénin, Burkina Faso, Cabo Verde, Côte d’Ivoire, Gambie, Ghana, Guinée, Guinée-Bissau, Liberia, Mali, Mauritanie, Niger, Nigeria, Sénégal, Sierra Leone, Togo</w:t>
      </w:r>
    </w:p>
    <w:p w14:paraId="1AE4F012" w14:textId="47CF374F" w:rsidR="000435C2" w:rsidRPr="0096534C" w:rsidRDefault="008B332B" w:rsidP="006008C4">
      <w:pPr>
        <w:pStyle w:val="BodyText"/>
        <w:numPr>
          <w:ilvl w:val="0"/>
          <w:numId w:val="19"/>
        </w:numPr>
        <w:tabs>
          <w:tab w:val="left" w:pos="744"/>
          <w:tab w:val="left" w:pos="4354"/>
        </w:tabs>
        <w:spacing w:after="0"/>
        <w:ind w:left="720" w:hanging="360"/>
        <w:jc w:val="both"/>
      </w:pPr>
      <w:proofErr w:type="gramStart"/>
      <w:r w:rsidRPr="0096534C">
        <w:rPr>
          <w:rStyle w:val="BodyTextChar"/>
        </w:rPr>
        <w:t>être</w:t>
      </w:r>
      <w:proofErr w:type="gramEnd"/>
      <w:r w:rsidRPr="0096534C">
        <w:rPr>
          <w:rStyle w:val="BodyTextChar"/>
        </w:rPr>
        <w:t xml:space="preserve"> un établissement d’enseignement supérieur (EES) accrédité par les </w:t>
      </w:r>
      <w:r w:rsidRPr="0096534C">
        <w:rPr>
          <w:rStyle w:val="BodyTextChar"/>
        </w:rPr>
        <w:lastRenderedPageBreak/>
        <w:t>autorités nationales compétentes et proposant des cours de niveau post-universitaire (master et/ou doctorat) conduisant à une qualification reconnue par les autorités compétentes de leur pays (indépendamment de leur nom, «université»,</w:t>
      </w:r>
    </w:p>
    <w:p w14:paraId="5BDAB14A" w14:textId="77777777" w:rsidR="000435C2" w:rsidRPr="0096534C" w:rsidRDefault="008B332B">
      <w:pPr>
        <w:pStyle w:val="BodyText"/>
        <w:spacing w:after="100"/>
        <w:ind w:firstLine="720"/>
        <w:jc w:val="both"/>
      </w:pPr>
      <w:proofErr w:type="gramStart"/>
      <w:r w:rsidRPr="0096534C">
        <w:rPr>
          <w:rStyle w:val="BodyTextChar"/>
        </w:rPr>
        <w:t>«polytechnique</w:t>
      </w:r>
      <w:proofErr w:type="gramEnd"/>
      <w:r w:rsidRPr="0096534C">
        <w:rPr>
          <w:rStyle w:val="BodyTextChar"/>
        </w:rPr>
        <w:t>», «faculté», «institut» ou autre).</w:t>
      </w:r>
    </w:p>
    <w:p w14:paraId="6FD03A0C" w14:textId="77777777" w:rsidR="000435C2" w:rsidRPr="0096534C" w:rsidRDefault="008B332B" w:rsidP="004A65E7">
      <w:pPr>
        <w:pStyle w:val="Style7"/>
      </w:pPr>
      <w:r w:rsidRPr="0096534C">
        <w:rPr>
          <w:rStyle w:val="BodyTextChar"/>
        </w:rPr>
        <w:t>Les bénéficiaires et les entités affiliées doivent s’inscrire au</w:t>
      </w:r>
      <w:hyperlink r:id="rId26" w:history="1">
        <w:r w:rsidRPr="0096534C">
          <w:rPr>
            <w:rStyle w:val="BodyTextChar"/>
          </w:rPr>
          <w:t xml:space="preserve"> </w:t>
        </w:r>
        <w:r w:rsidRPr="0096534C">
          <w:rPr>
            <w:rStyle w:val="BodyTextChar"/>
            <w:color w:val="0088CC"/>
            <w:u w:val="single"/>
          </w:rPr>
          <w:t>registre des participants</w:t>
        </w:r>
        <w:r w:rsidRPr="0096534C">
          <w:rPr>
            <w:rStyle w:val="BodyTextChar"/>
          </w:rPr>
          <w:t xml:space="preserve"> </w:t>
        </w:r>
      </w:hyperlink>
      <w:r w:rsidRPr="0096534C">
        <w:rPr>
          <w:rStyle w:val="BodyTextChar"/>
        </w:rPr>
        <w:t>- avant de soumettre la proposition - et devront faire l’objet d’une validation par le Service central de validation (Validation de la REA). Aux fins de cette validation, il leur sera demandé de télécharger des documents attestant leur statut juridique et leur origine.</w:t>
      </w:r>
    </w:p>
    <w:p w14:paraId="224FDA38" w14:textId="77777777" w:rsidR="000435C2" w:rsidRPr="0096534C" w:rsidRDefault="008B332B">
      <w:pPr>
        <w:pStyle w:val="BodyText"/>
        <w:jc w:val="both"/>
      </w:pPr>
      <w:r w:rsidRPr="0096534C">
        <w:rPr>
          <w:rStyle w:val="BodyTextChar"/>
        </w:rPr>
        <w:t xml:space="preserve">D’autres entités peuvent participer à d’autres rôles du consortium, notamment en tant que partenaires associés, sous-traitants, tiers apportant des contributions en nature, etc. </w:t>
      </w:r>
      <w:r w:rsidRPr="0096534C">
        <w:rPr>
          <w:rStyle w:val="BodyTextChar"/>
          <w:i/>
        </w:rPr>
        <w:t>(voir section 13)</w:t>
      </w:r>
      <w:r w:rsidRPr="0096534C">
        <w:rPr>
          <w:rStyle w:val="BodyTextChar"/>
        </w:rPr>
        <w:t>.</w:t>
      </w:r>
    </w:p>
    <w:p w14:paraId="6C73538F" w14:textId="77777777" w:rsidR="000435C2" w:rsidRPr="0096534C" w:rsidRDefault="008B332B">
      <w:pPr>
        <w:pStyle w:val="BodyText"/>
        <w:jc w:val="both"/>
        <w:rPr>
          <w:rStyle w:val="BodyTextChar"/>
          <w:i/>
          <w:iCs/>
          <w:color w:val="A50021"/>
        </w:rPr>
      </w:pPr>
      <w:r w:rsidRPr="0096534C">
        <w:rPr>
          <w:rStyle w:val="BodyTextChar"/>
          <w:i/>
          <w:color w:val="A50021"/>
        </w:rPr>
        <w:t>Cas spécifiques</w:t>
      </w:r>
    </w:p>
    <w:p w14:paraId="1F597E27" w14:textId="77777777" w:rsidR="000435C2" w:rsidRPr="0096534C" w:rsidRDefault="008B332B">
      <w:pPr>
        <w:pStyle w:val="BodyText"/>
        <w:jc w:val="both"/>
      </w:pPr>
      <w:r w:rsidRPr="0096534C">
        <w:rPr>
          <w:rStyle w:val="BodyTextChar"/>
        </w:rPr>
        <w:t>Personnes physiques — les personnes physiques ne sont PAS éligibles.</w:t>
      </w:r>
    </w:p>
    <w:p w14:paraId="4749528B" w14:textId="77777777" w:rsidR="000435C2" w:rsidRPr="0096534C" w:rsidRDefault="008B332B">
      <w:pPr>
        <w:pStyle w:val="BodyText"/>
        <w:jc w:val="both"/>
      </w:pPr>
      <w:r w:rsidRPr="0096534C">
        <w:rPr>
          <w:rStyle w:val="BodyTextChar"/>
        </w:rPr>
        <w:t>Organisations internationales — les organisations internationales ne sont pas éligibles.</w:t>
      </w:r>
    </w:p>
    <w:p w14:paraId="62F0770F" w14:textId="77777777" w:rsidR="000435C2" w:rsidRPr="0096534C" w:rsidRDefault="008B332B">
      <w:pPr>
        <w:pStyle w:val="BodyText"/>
        <w:jc w:val="both"/>
      </w:pPr>
      <w:r w:rsidRPr="0096534C">
        <w:rPr>
          <w:rStyle w:val="BodyTextChar"/>
        </w:rPr>
        <w:t>Entités dépourvues de personnalité juridique — les entités qui ne sont pas dotées de la personnalité juridique en vertu de leur droit national peuvent participer à titre exceptionnel, à condition que leurs représentants aient la capacité de prendre des engagements juridiques en leur nom et offrent des garanties de protection des intérêts financiers de l’UE équivalentes à celles offertes par les personnes morales</w:t>
      </w:r>
      <w:r w:rsidRPr="0096534C">
        <w:rPr>
          <w:rStyle w:val="BodyTextChar"/>
          <w:vertAlign w:val="superscript"/>
        </w:rPr>
        <w:footnoteReference w:id="12"/>
      </w:r>
      <w:r w:rsidRPr="0096534C">
        <w:rPr>
          <w:rStyle w:val="BodyTextChar"/>
        </w:rPr>
        <w:t>.</w:t>
      </w:r>
    </w:p>
    <w:p w14:paraId="3E146F1D" w14:textId="77777777" w:rsidR="000435C2" w:rsidRPr="0096534C" w:rsidRDefault="008B332B">
      <w:pPr>
        <w:pStyle w:val="BodyText"/>
        <w:jc w:val="both"/>
      </w:pPr>
      <w:r w:rsidRPr="0096534C">
        <w:rPr>
          <w:rStyle w:val="BodyTextChar"/>
        </w:rPr>
        <w:t>Organes de l’UE – les organes de l’UE (à l’exception du Centre commun de recherche de la Commission européenne) ne peuvent PAS faire partie du consortium.</w:t>
      </w:r>
    </w:p>
    <w:p w14:paraId="30F77E42" w14:textId="24FAC598" w:rsidR="000435C2" w:rsidRPr="0096534C" w:rsidRDefault="008B332B">
      <w:pPr>
        <w:pStyle w:val="BodyText"/>
        <w:spacing w:line="266" w:lineRule="auto"/>
        <w:jc w:val="both"/>
      </w:pPr>
      <w:r w:rsidRPr="0096534C">
        <w:rPr>
          <w:rStyle w:val="BodyTextChar"/>
        </w:rPr>
        <w:t>Associations et groupements d’intérêt — les entités composées de membres peuvent participer en tant que</w:t>
      </w:r>
      <w:proofErr w:type="gramStart"/>
      <w:r w:rsidRPr="0096534C">
        <w:rPr>
          <w:rStyle w:val="BodyTextChar"/>
        </w:rPr>
        <w:t xml:space="preserve"> «bénéficiaires</w:t>
      </w:r>
      <w:proofErr w:type="gramEnd"/>
      <w:r w:rsidRPr="0096534C">
        <w:rPr>
          <w:rStyle w:val="BodyTextChar"/>
        </w:rPr>
        <w:t xml:space="preserve"> uniques» ou «bénéficiaires dépourvus de personnalité juridique»</w:t>
      </w:r>
      <w:r w:rsidRPr="0096534C">
        <w:rPr>
          <w:rStyle w:val="BodyTextChar"/>
          <w:vertAlign w:val="superscript"/>
        </w:rPr>
        <w:footnoteReference w:id="13"/>
      </w:r>
      <w:r w:rsidRPr="0096534C">
        <w:rPr>
          <w:rStyle w:val="BodyTextChar"/>
        </w:rPr>
        <w:t xml:space="preserve">. </w:t>
      </w:r>
      <w:r w:rsidRPr="0096534C">
        <w:rPr>
          <w:noProof/>
        </w:rPr>
        <w:drawing>
          <wp:inline distT="0" distB="0" distL="0" distR="0" wp14:anchorId="761ACA87" wp14:editId="7CD88FFB">
            <wp:extent cx="151130" cy="151130"/>
            <wp:effectExtent l="0" t="0" r="127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96534C">
        <w:rPr>
          <w:rStyle w:val="BodyTextChar"/>
        </w:rPr>
        <w:t xml:space="preserve"> Veuillez noter que si l’action est mise en œuvre par les membres, ceux-ci doivent également participer soit en tant que bénéficiaires, soit en tant qu’entités affiliées, faute de quoi leurs coûts NE seront PAS éligibles.</w:t>
      </w:r>
    </w:p>
    <w:p w14:paraId="21B371D6" w14:textId="74074E71" w:rsidR="000435C2" w:rsidRPr="0096534C" w:rsidRDefault="008B332B" w:rsidP="004A65E7">
      <w:pPr>
        <w:pStyle w:val="Style8"/>
      </w:pPr>
      <w:r w:rsidRPr="0096534C">
        <w:rPr>
          <w:rStyle w:val="BodyTextChar"/>
        </w:rPr>
        <w:t xml:space="preserve">Mesures restrictives de l’UE – Des règles spéciales s’appliquent à certaines entités </w:t>
      </w:r>
      <w:r w:rsidRPr="0096534C">
        <w:rPr>
          <w:rStyle w:val="BodyTextChar"/>
          <w:i/>
        </w:rPr>
        <w:t>[par exemple, les entités faisant l’objet de</w:t>
      </w:r>
      <w:r w:rsidRPr="0096534C">
        <w:t xml:space="preserve"> </w:t>
      </w:r>
      <w:hyperlink r:id="rId27" w:history="1">
        <w:r w:rsidRPr="0096534C">
          <w:rPr>
            <w:rStyle w:val="Hyperlink"/>
            <w:i/>
          </w:rPr>
          <w:t>mesures restrictives de l’UE</w:t>
        </w:r>
      </w:hyperlink>
      <w:r w:rsidRPr="0096534C">
        <w:t xml:space="preserve"> </w:t>
      </w:r>
      <w:r w:rsidRPr="0096534C">
        <w:rPr>
          <w:i/>
        </w:rPr>
        <w:t>en vertu de l’article 29 du traité sur l’Union européenne (TUE) et de l’article 215 du traité sur le fonctionnement de l’UE (TFUE)</w:t>
      </w:r>
      <w:r w:rsidRPr="0096534C">
        <w:rPr>
          <w:rStyle w:val="BodyTextChar"/>
          <w:i/>
          <w:iCs/>
          <w:vertAlign w:val="superscript"/>
        </w:rPr>
        <w:footnoteReference w:id="14"/>
      </w:r>
      <w:r w:rsidRPr="0096534C">
        <w:rPr>
          <w:i/>
        </w:rPr>
        <w:t>].</w:t>
      </w:r>
      <w:r w:rsidRPr="0096534C">
        <w:rPr>
          <w:rStyle w:val="BodyTextChar"/>
        </w:rPr>
        <w:t xml:space="preserve"> Ces entités ne sont pas autorisées à participer à quelque titre que ce soit, y compris en tant que bénéficiaires, entités affiliées, partenaires associés, sous-traitants ou bénéficiaires d’un soutien financier à des tiers (le cas échéant).</w:t>
      </w:r>
    </w:p>
    <w:p w14:paraId="7C22D9A2" w14:textId="62FC0CE2" w:rsidR="000435C2" w:rsidRPr="0096534C" w:rsidRDefault="00883A1D" w:rsidP="00F96019">
      <w:pPr>
        <w:pStyle w:val="BodyText"/>
        <w:jc w:val="both"/>
      </w:pPr>
      <w:r>
        <w:pict w14:anchorId="727A903B">
          <v:shape id="_x0000_i1026" type="#_x0000_t75" alt="https://lh5.googleusercontent.com/-n5VVWXljoCs/T8X1egaB-BI/AAAAAAAAC1I/fLBP4VIzxQM/s16/infoIcon_blue.png" style="width:12.75pt;height:12.75pt;visibility:visible;mso-wrap-style:square">
            <v:imagedata r:id="rId28" o:title="infoIcon_blue"/>
          </v:shape>
        </w:pict>
      </w:r>
      <w:r w:rsidR="004A65E7" w:rsidRPr="0096534C">
        <w:rPr>
          <w:rStyle w:val="BodyTextChar"/>
        </w:rPr>
        <w:t xml:space="preserve"> Pour de plus amples informations, </w:t>
      </w:r>
      <w:r w:rsidR="004A65E7" w:rsidRPr="0096534C">
        <w:rPr>
          <w:rStyle w:val="BodyTextChar"/>
          <w:i/>
        </w:rPr>
        <w:t>voir</w:t>
      </w:r>
      <w:hyperlink r:id="rId29" w:history="1">
        <w:r w:rsidR="004A65E7" w:rsidRPr="0096534C">
          <w:rPr>
            <w:rStyle w:val="BodyTextChar"/>
            <w:i/>
          </w:rPr>
          <w:t xml:space="preserve"> </w:t>
        </w:r>
        <w:r w:rsidR="004A65E7" w:rsidRPr="0096534C">
          <w:rPr>
            <w:rStyle w:val="BodyTextChar"/>
            <w:i/>
            <w:color w:val="0088CC"/>
            <w:u w:val="single"/>
          </w:rPr>
          <w:t xml:space="preserve">les règles relatives à la validation des entités juridiques, à la désignation du représentant de l’entité juridique et </w:t>
        </w:r>
      </w:hyperlink>
      <w:r w:rsidR="004A65E7" w:rsidRPr="0096534C">
        <w:rPr>
          <w:rStyle w:val="BodyTextChar"/>
          <w:i/>
          <w:color w:val="0088CC"/>
          <w:u w:val="single"/>
        </w:rPr>
        <w:t xml:space="preserve"> </w:t>
      </w:r>
      <w:hyperlink r:id="rId30" w:history="1">
        <w:r w:rsidR="004A65E7" w:rsidRPr="0096534C">
          <w:rPr>
            <w:rStyle w:val="BodyTextChar"/>
            <w:i/>
            <w:color w:val="0088CC"/>
            <w:u w:val="single"/>
          </w:rPr>
          <w:t>à l’évaluation de la capacité financière</w:t>
        </w:r>
        <w:r w:rsidR="004A65E7" w:rsidRPr="0096534C">
          <w:rPr>
            <w:rStyle w:val="BodyTextChar"/>
            <w:i/>
          </w:rPr>
          <w:t>.</w:t>
        </w:r>
      </w:hyperlink>
    </w:p>
    <w:p w14:paraId="60041336" w14:textId="77777777" w:rsidR="000435C2" w:rsidRPr="0096534C" w:rsidRDefault="008B332B" w:rsidP="00F96019">
      <w:pPr>
        <w:pStyle w:val="Heading2"/>
        <w:rPr>
          <w:b w:val="0"/>
          <w:bCs w:val="0"/>
        </w:rPr>
      </w:pPr>
      <w:bookmarkStart w:id="33" w:name="bookmark41"/>
      <w:bookmarkStart w:id="34" w:name="_Toc185511105"/>
      <w:r w:rsidRPr="0096534C">
        <w:rPr>
          <w:rStyle w:val="BodyTextChar"/>
          <w:b w:val="0"/>
          <w:i/>
          <w:u w:val="single"/>
        </w:rPr>
        <w:t>Composition du consortium</w:t>
      </w:r>
      <w:bookmarkEnd w:id="33"/>
      <w:bookmarkEnd w:id="34"/>
    </w:p>
    <w:p w14:paraId="1761E619" w14:textId="77777777" w:rsidR="000435C2" w:rsidRPr="0096534C" w:rsidRDefault="008B332B">
      <w:pPr>
        <w:pStyle w:val="BodyText"/>
        <w:jc w:val="both"/>
      </w:pPr>
      <w:r w:rsidRPr="0096534C">
        <w:rPr>
          <w:rStyle w:val="BodyTextChar"/>
        </w:rPr>
        <w:t xml:space="preserve">Les propositions doivent être soumises par un consortium composé d’au moins cinq </w:t>
      </w:r>
      <w:r w:rsidRPr="0096534C">
        <w:rPr>
          <w:rStyle w:val="BodyTextChar"/>
        </w:rPr>
        <w:lastRenderedPageBreak/>
        <w:t>et de pas plus de sept demandeurs (</w:t>
      </w:r>
      <w:proofErr w:type="gramStart"/>
      <w:r w:rsidRPr="0096534C">
        <w:rPr>
          <w:rStyle w:val="BodyTextChar"/>
        </w:rPr>
        <w:t>bénéficiaires;</w:t>
      </w:r>
      <w:proofErr w:type="gramEnd"/>
      <w:r w:rsidRPr="0096534C">
        <w:rPr>
          <w:rStyle w:val="BodyTextChar"/>
        </w:rPr>
        <w:t xml:space="preserve"> pas d’entités affiliées), qui remplit les conditions suivantes:</w:t>
      </w:r>
    </w:p>
    <w:p w14:paraId="21C4FAA4" w14:textId="77777777" w:rsidR="000435C2" w:rsidRPr="0096534C" w:rsidRDefault="008B332B" w:rsidP="006008C4">
      <w:pPr>
        <w:pStyle w:val="BodyText"/>
        <w:numPr>
          <w:ilvl w:val="0"/>
          <w:numId w:val="19"/>
        </w:numPr>
        <w:tabs>
          <w:tab w:val="left" w:pos="764"/>
        </w:tabs>
        <w:spacing w:after="120" w:line="233" w:lineRule="auto"/>
        <w:ind w:left="740" w:hanging="360"/>
        <w:jc w:val="both"/>
      </w:pPr>
      <w:r w:rsidRPr="0096534C">
        <w:rPr>
          <w:rStyle w:val="BodyTextChar"/>
        </w:rPr>
        <w:t xml:space="preserve">Au minimum 4 et au maximum 6 EES des pays éligibles des régions africaines </w:t>
      </w:r>
      <w:proofErr w:type="gramStart"/>
      <w:r w:rsidRPr="0096534C">
        <w:rPr>
          <w:rStyle w:val="BodyTextChar"/>
        </w:rPr>
        <w:t>suivantes:</w:t>
      </w:r>
      <w:proofErr w:type="gramEnd"/>
      <w:r w:rsidRPr="0096534C">
        <w:rPr>
          <w:rStyle w:val="BodyTextChar"/>
        </w:rPr>
        <w:t xml:space="preserve"> Afrique orientale et centrale, Afrique australe et océan Indien, Afrique de l’Ouest;</w:t>
      </w:r>
    </w:p>
    <w:p w14:paraId="1CD029D7" w14:textId="77777777" w:rsidR="000435C2" w:rsidRPr="0096534C" w:rsidRDefault="008B332B" w:rsidP="006008C4">
      <w:pPr>
        <w:pStyle w:val="BodyText"/>
        <w:numPr>
          <w:ilvl w:val="0"/>
          <w:numId w:val="19"/>
        </w:numPr>
        <w:tabs>
          <w:tab w:val="left" w:pos="764"/>
        </w:tabs>
        <w:spacing w:after="120" w:line="221" w:lineRule="auto"/>
        <w:ind w:firstLine="380"/>
        <w:jc w:val="both"/>
      </w:pPr>
      <w:proofErr w:type="gramStart"/>
      <w:r w:rsidRPr="0096534C">
        <w:rPr>
          <w:rStyle w:val="BodyTextChar"/>
        </w:rPr>
        <w:t>un</w:t>
      </w:r>
      <w:proofErr w:type="gramEnd"/>
      <w:r w:rsidRPr="0096534C">
        <w:rPr>
          <w:rStyle w:val="BodyTextChar"/>
        </w:rPr>
        <w:t xml:space="preserve"> EES d’un État membre de l’UE (partenaire technique de l’UE);</w:t>
      </w:r>
    </w:p>
    <w:p w14:paraId="78E1E2C9" w14:textId="77777777" w:rsidR="000435C2" w:rsidRPr="0096534C" w:rsidRDefault="008B332B" w:rsidP="006008C4">
      <w:pPr>
        <w:pStyle w:val="BodyText"/>
        <w:numPr>
          <w:ilvl w:val="0"/>
          <w:numId w:val="19"/>
        </w:numPr>
        <w:tabs>
          <w:tab w:val="left" w:pos="764"/>
        </w:tabs>
        <w:spacing w:after="120" w:line="221" w:lineRule="auto"/>
        <w:ind w:firstLine="380"/>
        <w:jc w:val="both"/>
      </w:pPr>
      <w:r w:rsidRPr="0096534C">
        <w:rPr>
          <w:rStyle w:val="BodyTextChar"/>
        </w:rPr>
        <w:t>Pas plus de 2 EES du même pays éligible en Afrique.</w:t>
      </w:r>
    </w:p>
    <w:p w14:paraId="0CC63661" w14:textId="77777777" w:rsidR="000435C2" w:rsidRPr="0096534C" w:rsidRDefault="008B332B" w:rsidP="006008C4">
      <w:pPr>
        <w:pStyle w:val="BodyText"/>
        <w:numPr>
          <w:ilvl w:val="0"/>
          <w:numId w:val="19"/>
        </w:numPr>
        <w:tabs>
          <w:tab w:val="left" w:pos="764"/>
        </w:tabs>
        <w:spacing w:after="120"/>
        <w:ind w:left="740" w:hanging="360"/>
        <w:jc w:val="both"/>
      </w:pPr>
      <w:r w:rsidRPr="0096534C">
        <w:rPr>
          <w:rStyle w:val="BodyTextChar"/>
        </w:rPr>
        <w:t xml:space="preserve">Au moins </w:t>
      </w:r>
      <w:r w:rsidRPr="0096534C">
        <w:rPr>
          <w:rStyle w:val="BodyTextChar"/>
          <w:b/>
        </w:rPr>
        <w:t xml:space="preserve">trois </w:t>
      </w:r>
      <w:r w:rsidRPr="0096534C">
        <w:rPr>
          <w:rStyle w:val="BodyTextChar"/>
        </w:rPr>
        <w:t xml:space="preserve">(3) pays éligibles différents en Afrique représentant au moins </w:t>
      </w:r>
      <w:r w:rsidRPr="0096534C">
        <w:rPr>
          <w:rStyle w:val="BodyTextChar"/>
          <w:b/>
        </w:rPr>
        <w:t>deux </w:t>
      </w:r>
      <w:r w:rsidRPr="0096534C">
        <w:rPr>
          <w:rStyle w:val="BodyTextChar"/>
        </w:rPr>
        <w:t xml:space="preserve">(2) des </w:t>
      </w:r>
      <w:r w:rsidRPr="0096534C">
        <w:rPr>
          <w:rStyle w:val="BodyTextChar"/>
          <w:b/>
        </w:rPr>
        <w:t>trois </w:t>
      </w:r>
      <w:r w:rsidRPr="0096534C">
        <w:rPr>
          <w:rStyle w:val="BodyTextChar"/>
        </w:rPr>
        <w:t xml:space="preserve">(3) régions africaines éligibles, à savoir l’Afrique orientale et </w:t>
      </w:r>
      <w:proofErr w:type="gramStart"/>
      <w:r w:rsidRPr="0096534C">
        <w:rPr>
          <w:rStyle w:val="BodyTextChar"/>
        </w:rPr>
        <w:t>centrale;</w:t>
      </w:r>
      <w:proofErr w:type="gramEnd"/>
      <w:r w:rsidRPr="0096534C">
        <w:rPr>
          <w:rStyle w:val="BodyTextChar"/>
        </w:rPr>
        <w:t xml:space="preserve"> l’Afrique australe et océan Indien; l’Afrique de l’Ouest.</w:t>
      </w:r>
    </w:p>
    <w:p w14:paraId="2B20D65F" w14:textId="77777777" w:rsidR="000435C2" w:rsidRPr="0096534C" w:rsidRDefault="008B332B">
      <w:pPr>
        <w:pStyle w:val="BodyText"/>
        <w:spacing w:after="120"/>
        <w:jc w:val="both"/>
      </w:pPr>
      <w:r w:rsidRPr="0096534C">
        <w:rPr>
          <w:rStyle w:val="BodyTextChar"/>
        </w:rPr>
        <w:t>Le demandeur agissant en qualité de coordinateur doit être un établissement d’enseignement supérieur établi en Afrique et ne peut agir en qualité de coordinateur que dans le cadre d’une seule proposition attribuée au titre du présent appel à propositions.</w:t>
      </w:r>
    </w:p>
    <w:p w14:paraId="25CCB7A8" w14:textId="77777777" w:rsidR="000435C2" w:rsidRPr="0096534C" w:rsidRDefault="008B332B">
      <w:pPr>
        <w:pStyle w:val="BodyText"/>
        <w:jc w:val="both"/>
      </w:pPr>
      <w:r w:rsidRPr="0096534C">
        <w:rPr>
          <w:rStyle w:val="BodyTextChar"/>
        </w:rPr>
        <w:t>Les autres entités qui participent au consortium en tant que partenaires associés doivent être établies en Afrique. Il s’agit notamment de l’Afrique du Nord (Algérie, Égypte, Libye, Maroc, Tunisie).</w:t>
      </w:r>
    </w:p>
    <w:p w14:paraId="39AE63E6" w14:textId="77777777" w:rsidR="000435C2" w:rsidRPr="0096534C" w:rsidRDefault="008B332B" w:rsidP="00F96019">
      <w:pPr>
        <w:pStyle w:val="Heading2"/>
        <w:rPr>
          <w:b w:val="0"/>
          <w:bCs w:val="0"/>
        </w:rPr>
      </w:pPr>
      <w:bookmarkStart w:id="35" w:name="bookmark42"/>
      <w:bookmarkStart w:id="36" w:name="_Toc185511106"/>
      <w:r w:rsidRPr="0096534C">
        <w:rPr>
          <w:rStyle w:val="BodyTextChar"/>
          <w:b w:val="0"/>
          <w:i/>
          <w:u w:val="single"/>
        </w:rPr>
        <w:t>Activités éligibles</w:t>
      </w:r>
      <w:bookmarkEnd w:id="35"/>
      <w:bookmarkEnd w:id="36"/>
    </w:p>
    <w:p w14:paraId="723B4D69" w14:textId="77777777" w:rsidR="000435C2" w:rsidRPr="0096534C" w:rsidRDefault="008B332B">
      <w:pPr>
        <w:pStyle w:val="BodyText"/>
        <w:jc w:val="both"/>
      </w:pPr>
      <w:r w:rsidRPr="0096534C">
        <w:rPr>
          <w:rStyle w:val="BodyTextChar"/>
        </w:rPr>
        <w:t>Les demandes ne seront considérées comme éligibles que si leur contenu correspond, en tout ou en partie, à la description du thème pour lequel elles sont soumises.</w:t>
      </w:r>
    </w:p>
    <w:p w14:paraId="6815B3B2" w14:textId="77777777" w:rsidR="000435C2" w:rsidRPr="0096534C" w:rsidRDefault="008B332B">
      <w:pPr>
        <w:pStyle w:val="BodyText"/>
        <w:jc w:val="both"/>
      </w:pPr>
      <w:r w:rsidRPr="0096534C">
        <w:rPr>
          <w:rStyle w:val="BodyTextChar"/>
        </w:rPr>
        <w:t>Les activités éligibles sont celles définies à la section 2 ci-dessus.</w:t>
      </w:r>
    </w:p>
    <w:p w14:paraId="239BABED" w14:textId="77777777" w:rsidR="000435C2" w:rsidRPr="0096534C" w:rsidRDefault="008B332B">
      <w:pPr>
        <w:pStyle w:val="BodyText"/>
        <w:jc w:val="both"/>
      </w:pPr>
      <w:r w:rsidRPr="0096534C">
        <w:rPr>
          <w:rStyle w:val="BodyTextChar"/>
        </w:rPr>
        <w:t>Les projets devraient tenir compte des résultats des projets soutenus par d’autres programmes de financement de l’UE. Les complémentarités doivent être décrites dans les propositions de projet (partie B du formulaire de demande).</w:t>
      </w:r>
    </w:p>
    <w:p w14:paraId="261F6B08" w14:textId="77777777" w:rsidR="000435C2" w:rsidRPr="0096534C" w:rsidRDefault="008B332B">
      <w:pPr>
        <w:pStyle w:val="BodyText"/>
        <w:jc w:val="both"/>
      </w:pPr>
      <w:r w:rsidRPr="0096534C">
        <w:rPr>
          <w:rStyle w:val="BodyTextChar"/>
        </w:rPr>
        <w:t xml:space="preserve">Les projets doivent être conformes aux intérêts et aux priorités politiques de l’UE </w:t>
      </w:r>
      <w:r w:rsidRPr="0096534C">
        <w:rPr>
          <w:rStyle w:val="BodyTextChar"/>
          <w:i/>
        </w:rPr>
        <w:t>(comme les politiques UE-Afrique, etc.)</w:t>
      </w:r>
    </w:p>
    <w:p w14:paraId="1E59D3C5" w14:textId="77777777" w:rsidR="000435C2" w:rsidRPr="0096534C" w:rsidRDefault="008B332B" w:rsidP="00F96019">
      <w:pPr>
        <w:pStyle w:val="Heading2"/>
        <w:rPr>
          <w:b w:val="0"/>
          <w:bCs w:val="0"/>
        </w:rPr>
      </w:pPr>
      <w:bookmarkStart w:id="37" w:name="bookmark43"/>
      <w:bookmarkStart w:id="38" w:name="_Toc185511107"/>
      <w:r w:rsidRPr="0096534C">
        <w:rPr>
          <w:rStyle w:val="BodyTextChar"/>
          <w:b w:val="0"/>
          <w:i/>
          <w:u w:val="single"/>
        </w:rPr>
        <w:t>Situation géographique (pays cibles)</w:t>
      </w:r>
      <w:bookmarkEnd w:id="37"/>
      <w:bookmarkEnd w:id="38"/>
    </w:p>
    <w:p w14:paraId="771DF971" w14:textId="77777777" w:rsidR="000435C2" w:rsidRPr="0096534C" w:rsidRDefault="008B332B">
      <w:pPr>
        <w:pStyle w:val="BodyText"/>
        <w:jc w:val="both"/>
      </w:pPr>
      <w:r w:rsidRPr="0096534C">
        <w:rPr>
          <w:rStyle w:val="BodyTextChar"/>
        </w:rPr>
        <w:t>Les propositions doivent porter sur des activités qui se déroulent dans les pays éligibles (</w:t>
      </w:r>
      <w:r w:rsidRPr="0096534C">
        <w:rPr>
          <w:rStyle w:val="BodyTextChar"/>
          <w:i/>
        </w:rPr>
        <w:t>voir ci-dessus</w:t>
      </w:r>
      <w:r w:rsidRPr="0096534C">
        <w:rPr>
          <w:rStyle w:val="BodyTextChar"/>
        </w:rPr>
        <w:t>). Les étudiants et les stagiaires doivent être ressortissants d’un pays africain et y résider. Il s’agit notamment de l’Afrique du Nord (Algérie, Égypte, Libye, Maroc, Tunisie).</w:t>
      </w:r>
    </w:p>
    <w:p w14:paraId="53F74BD3" w14:textId="77777777" w:rsidR="000435C2" w:rsidRPr="0096534C" w:rsidRDefault="008B332B" w:rsidP="00F96019">
      <w:pPr>
        <w:pStyle w:val="Heading2"/>
        <w:rPr>
          <w:b w:val="0"/>
          <w:bCs w:val="0"/>
        </w:rPr>
      </w:pPr>
      <w:bookmarkStart w:id="39" w:name="bookmark44"/>
      <w:bookmarkStart w:id="40" w:name="_Toc185511108"/>
      <w:r w:rsidRPr="0096534C">
        <w:rPr>
          <w:rStyle w:val="BodyTextChar"/>
          <w:b w:val="0"/>
          <w:i/>
          <w:u w:val="single"/>
        </w:rPr>
        <w:t>Durée</w:t>
      </w:r>
      <w:bookmarkEnd w:id="39"/>
      <w:bookmarkEnd w:id="40"/>
    </w:p>
    <w:p w14:paraId="5124CD85" w14:textId="77777777" w:rsidR="000435C2" w:rsidRPr="0096534C" w:rsidRDefault="008B332B">
      <w:pPr>
        <w:pStyle w:val="BodyText"/>
        <w:jc w:val="both"/>
      </w:pPr>
      <w:r w:rsidRPr="0096534C">
        <w:rPr>
          <w:rStyle w:val="BodyTextChar"/>
        </w:rPr>
        <w:t>Les projets devraient normalement durer 48 mois.</w:t>
      </w:r>
    </w:p>
    <w:p w14:paraId="0BED486D" w14:textId="77777777" w:rsidR="000435C2" w:rsidRPr="0096534C" w:rsidRDefault="008B332B">
      <w:pPr>
        <w:pStyle w:val="BodyText"/>
        <w:jc w:val="both"/>
      </w:pPr>
      <w:r w:rsidRPr="0096534C">
        <w:rPr>
          <w:rStyle w:val="BodyTextChar"/>
        </w:rPr>
        <w:t>Les prolongations sont possibles, pour des raisons dûment justifiées et au moyen d’un avenant.</w:t>
      </w:r>
    </w:p>
    <w:p w14:paraId="290040A9" w14:textId="77777777" w:rsidR="000435C2" w:rsidRPr="0096534C" w:rsidRDefault="008B332B" w:rsidP="00F96019">
      <w:pPr>
        <w:pStyle w:val="Heading2"/>
        <w:rPr>
          <w:b w:val="0"/>
          <w:bCs w:val="0"/>
        </w:rPr>
      </w:pPr>
      <w:bookmarkStart w:id="41" w:name="bookmark45"/>
      <w:bookmarkStart w:id="42" w:name="_Toc185511109"/>
      <w:r w:rsidRPr="0096534C">
        <w:rPr>
          <w:rStyle w:val="BodyTextChar"/>
          <w:b w:val="0"/>
          <w:i/>
          <w:u w:val="single"/>
        </w:rPr>
        <w:t>Éthique et valeurs</w:t>
      </w:r>
      <w:bookmarkEnd w:id="41"/>
      <w:bookmarkEnd w:id="42"/>
    </w:p>
    <w:p w14:paraId="09BD5CAE" w14:textId="77777777" w:rsidR="000435C2" w:rsidRPr="0096534C" w:rsidRDefault="008B332B">
      <w:pPr>
        <w:pStyle w:val="BodyText"/>
        <w:jc w:val="both"/>
      </w:pPr>
      <w:r w:rsidRPr="0096534C">
        <w:rPr>
          <w:rStyle w:val="BodyTextChar"/>
        </w:rPr>
        <w:t xml:space="preserve">Les projets doivent </w:t>
      </w:r>
      <w:proofErr w:type="gramStart"/>
      <w:r w:rsidRPr="0096534C">
        <w:rPr>
          <w:rStyle w:val="BodyTextChar"/>
        </w:rPr>
        <w:t>respecter:</w:t>
      </w:r>
      <w:proofErr w:type="gramEnd"/>
    </w:p>
    <w:p w14:paraId="4099250D" w14:textId="77777777" w:rsidR="000435C2" w:rsidRPr="0096534C" w:rsidRDefault="008B332B" w:rsidP="006008C4">
      <w:pPr>
        <w:pStyle w:val="BodyText"/>
        <w:numPr>
          <w:ilvl w:val="0"/>
          <w:numId w:val="19"/>
        </w:numPr>
        <w:tabs>
          <w:tab w:val="left" w:pos="741"/>
        </w:tabs>
        <w:spacing w:line="218" w:lineRule="auto"/>
        <w:ind w:firstLine="360"/>
        <w:jc w:val="both"/>
      </w:pPr>
      <w:proofErr w:type="gramStart"/>
      <w:r w:rsidRPr="0096534C">
        <w:rPr>
          <w:rStyle w:val="BodyTextChar"/>
        </w:rPr>
        <w:t>les</w:t>
      </w:r>
      <w:proofErr w:type="gramEnd"/>
      <w:r w:rsidRPr="0096534C">
        <w:rPr>
          <w:rStyle w:val="BodyTextChar"/>
        </w:rPr>
        <w:t xml:space="preserve"> normes éthiques les plus élevées;</w:t>
      </w:r>
    </w:p>
    <w:p w14:paraId="4E2F3325" w14:textId="77777777" w:rsidR="000435C2" w:rsidRPr="0096534C" w:rsidRDefault="008B332B" w:rsidP="006008C4">
      <w:pPr>
        <w:pStyle w:val="BodyText"/>
        <w:numPr>
          <w:ilvl w:val="0"/>
          <w:numId w:val="19"/>
        </w:numPr>
        <w:tabs>
          <w:tab w:val="left" w:pos="741"/>
        </w:tabs>
        <w:spacing w:line="218" w:lineRule="auto"/>
        <w:ind w:firstLine="360"/>
        <w:jc w:val="both"/>
      </w:pPr>
      <w:proofErr w:type="gramStart"/>
      <w:r w:rsidRPr="0096534C">
        <w:rPr>
          <w:rStyle w:val="BodyTextChar"/>
        </w:rPr>
        <w:t>le</w:t>
      </w:r>
      <w:proofErr w:type="gramEnd"/>
      <w:r w:rsidRPr="0096534C">
        <w:rPr>
          <w:rStyle w:val="BodyTextChar"/>
        </w:rPr>
        <w:t xml:space="preserve"> droit de l’Union, le droit international et le droit national applicables.</w:t>
      </w:r>
    </w:p>
    <w:p w14:paraId="03CA00F7" w14:textId="77777777" w:rsidR="000435C2" w:rsidRPr="0096534C" w:rsidRDefault="008B332B">
      <w:pPr>
        <w:pStyle w:val="BodyText"/>
        <w:jc w:val="both"/>
      </w:pPr>
      <w:r w:rsidRPr="0096534C">
        <w:rPr>
          <w:rStyle w:val="BodyTextChar"/>
        </w:rPr>
        <w:t xml:space="preserve">Les bénéficiaires doivent accorder une attention particulière au principe de proportionnalité, au droit au respect de la vie privée, au droit à la protection des </w:t>
      </w:r>
      <w:r w:rsidRPr="0096534C">
        <w:rPr>
          <w:rStyle w:val="BodyTextChar"/>
        </w:rPr>
        <w:lastRenderedPageBreak/>
        <w:t>données à caractère personnel, au droit à la non-discrimination, à la nécessité d’assurer la protection de l’environnement et des niveaux élevés de protection de la santé humaine.</w:t>
      </w:r>
    </w:p>
    <w:p w14:paraId="7793B422" w14:textId="77777777" w:rsidR="000435C2" w:rsidRPr="0096534C" w:rsidRDefault="008B332B">
      <w:pPr>
        <w:pStyle w:val="BodyText"/>
        <w:jc w:val="both"/>
      </w:pPr>
      <w:r w:rsidRPr="0096534C">
        <w:rPr>
          <w:rStyle w:val="BodyTextChar"/>
        </w:rPr>
        <w:t>Ils doivent respecter les droits de l’homme, la législation environnementale applicable dans les pays où l’action a lieu et les normes fondamentales du travail convenues au niveau international (par exemple, les normes fondamentales du travail de l’OIT, les conventions relatives à la liberté d’association et à la négociation collective, l’élimination du travail forcé et obligatoire, l’élimination de la discrimination en matière d’emploi et de travail et l’abolition du travail des enfants).</w:t>
      </w:r>
    </w:p>
    <w:p w14:paraId="7872633A" w14:textId="77777777" w:rsidR="000435C2" w:rsidRPr="0096534C" w:rsidRDefault="008B332B">
      <w:pPr>
        <w:pStyle w:val="BodyText"/>
        <w:jc w:val="both"/>
      </w:pPr>
      <w:r w:rsidRPr="0096534C">
        <w:rPr>
          <w:rStyle w:val="BodyTextChar"/>
        </w:rPr>
        <w:t>Ils doivent respecter le droit à l’intégrité physique et mentale d’une personne (y compris l’absence de violences physiques ou de châtiments corporels, de menaces de violences physiques, sexuelles ou d’exploitation, de harcèlement et de violences verbales, ainsi que d’autres formes d’intimidation). De tels incidents (le cas échéant) doivent être signalés à l’autorité qui accorde la subvention dans un délai de 30 jours à compter de la date à laquelle le bénéficiaire en a eu connaissance.</w:t>
      </w:r>
    </w:p>
    <w:p w14:paraId="5755910B" w14:textId="77777777" w:rsidR="000435C2" w:rsidRPr="0096534C" w:rsidRDefault="008B332B">
      <w:pPr>
        <w:pStyle w:val="BodyText"/>
        <w:spacing w:after="640"/>
        <w:jc w:val="both"/>
      </w:pPr>
      <w:r w:rsidRPr="0096534C">
        <w:rPr>
          <w:rStyle w:val="BodyTextChar"/>
        </w:rPr>
        <w:t>Toute forme de conflit d’intérêts, de corruption est interdite dans le cadre du présent accord. Les tâches du projet doivent être mises en œuvre de manière transparente et objective, dans le seul intérêt du projet et en évitant tout conflit d’intérêts. Les participants ne doivent ni donner, ni recevoir (ni promettre ou accepter) un don, une gratification, une commission ou une considération de quelque nature que ce soit en tant qu’incitation ou récompense pour avoir accompli ou s’abstenir d’accomplir un acte lié au projet ou pour avoir manifesté une faveur ou une défaveur à l’égard d’une personne en rapport avec le projet. Ils doivent respecter toutes les lois, réglementations et codes applicables en matière de lutte contre la corruption.</w:t>
      </w:r>
    </w:p>
    <w:p w14:paraId="08AA3F45" w14:textId="36AE4D91" w:rsidR="000435C2" w:rsidRPr="0096534C" w:rsidRDefault="008B332B" w:rsidP="00A45543">
      <w:pPr>
        <w:pStyle w:val="Heading1"/>
      </w:pPr>
      <w:bookmarkStart w:id="43" w:name="bookmark46"/>
      <w:bookmarkStart w:id="44" w:name="_Toc185511110"/>
      <w:r w:rsidRPr="0096534C">
        <w:rPr>
          <w:rStyle w:val="Heading3"/>
          <w:b/>
        </w:rPr>
        <w:t>Capacité financière et opérationnelle et exclusion</w:t>
      </w:r>
      <w:bookmarkEnd w:id="43"/>
      <w:bookmarkEnd w:id="44"/>
    </w:p>
    <w:p w14:paraId="0649FF9B" w14:textId="77777777" w:rsidR="000435C2" w:rsidRPr="0096534C" w:rsidRDefault="008B332B" w:rsidP="00BF0FEB">
      <w:pPr>
        <w:pStyle w:val="Heading2"/>
        <w:rPr>
          <w:b w:val="0"/>
          <w:bCs w:val="0"/>
        </w:rPr>
      </w:pPr>
      <w:bookmarkStart w:id="45" w:name="bookmark49"/>
      <w:bookmarkStart w:id="46" w:name="_Toc185511111"/>
      <w:r w:rsidRPr="0096534C">
        <w:rPr>
          <w:rStyle w:val="BodyTextChar"/>
          <w:b w:val="0"/>
          <w:i/>
          <w:u w:val="single"/>
        </w:rPr>
        <w:t>Capacité financière</w:t>
      </w:r>
      <w:bookmarkEnd w:id="45"/>
      <w:bookmarkEnd w:id="46"/>
    </w:p>
    <w:p w14:paraId="5FDF8000" w14:textId="77777777" w:rsidR="000435C2" w:rsidRPr="0096534C" w:rsidRDefault="008B332B">
      <w:pPr>
        <w:pStyle w:val="BodyText"/>
        <w:jc w:val="both"/>
      </w:pPr>
      <w:r w:rsidRPr="0096534C">
        <w:rPr>
          <w:rStyle w:val="BodyTextChar"/>
        </w:rPr>
        <w:t xml:space="preserve">Les demandeurs doivent disposer de </w:t>
      </w:r>
      <w:r w:rsidRPr="0096534C">
        <w:rPr>
          <w:rStyle w:val="BodyTextChar"/>
          <w:b/>
        </w:rPr>
        <w:t>ressources stables et suffisantes</w:t>
      </w:r>
      <w:r w:rsidRPr="0096534C">
        <w:rPr>
          <w:rStyle w:val="BodyTextChar"/>
        </w:rPr>
        <w:t xml:space="preserve"> pour mener à bien le projet et apporter leur contribution. Les organisations participant à plusieurs projets doivent disposer d’une capacité suffisante pour mettre en œuvre l’ensemble de ces projets.</w:t>
      </w:r>
    </w:p>
    <w:p w14:paraId="1C3E5DAA" w14:textId="77777777" w:rsidR="000435C2" w:rsidRPr="0096534C" w:rsidRDefault="008B332B">
      <w:pPr>
        <w:pStyle w:val="BodyText"/>
        <w:jc w:val="both"/>
      </w:pPr>
      <w:r w:rsidRPr="0096534C">
        <w:rPr>
          <w:rStyle w:val="BodyTextChar"/>
        </w:rPr>
        <w:t xml:space="preserve">La vérification de la capacité financière sera effectuée sur la base des documents qu’il vous sera demandé de télécharger dans le </w:t>
      </w:r>
      <w:hyperlink r:id="rId31" w:history="1">
        <w:r w:rsidRPr="0096534C">
          <w:rPr>
            <w:rStyle w:val="BodyTextChar"/>
            <w:color w:val="0088CC"/>
            <w:u w:val="single"/>
          </w:rPr>
          <w:t>registre des participants</w:t>
        </w:r>
        <w:r w:rsidRPr="0096534C">
          <w:rPr>
            <w:rStyle w:val="BodyTextChar"/>
            <w:color w:val="0088CC"/>
          </w:rPr>
          <w:t xml:space="preserve"> </w:t>
        </w:r>
      </w:hyperlink>
      <w:r w:rsidRPr="0096534C">
        <w:rPr>
          <w:rStyle w:val="BodyTextChar"/>
        </w:rPr>
        <w:t xml:space="preserve">lors de la préparation de la subvention </w:t>
      </w:r>
      <w:r w:rsidRPr="0096534C">
        <w:rPr>
          <w:rStyle w:val="BodyTextChar"/>
          <w:i/>
        </w:rPr>
        <w:t>(par exemple, compte de résultat et bilan, plan d’affaires, rapport d’audit établi par un auditeur externe agréé, certifiant les comptes du dernier exercice clos, etc.)</w:t>
      </w:r>
      <w:r w:rsidRPr="0096534C">
        <w:rPr>
          <w:rStyle w:val="BodyTextChar"/>
        </w:rPr>
        <w:t>. L’analyse se fondera sur des indicateurs financiers neutres, mais tiendra également compte d’autres aspects, tels que la dépendance à l’égard du financement de l’UE et le déficit et les recettes des années précédentes.</w:t>
      </w:r>
    </w:p>
    <w:p w14:paraId="1F9BF82F" w14:textId="77777777" w:rsidR="000435C2" w:rsidRPr="0096534C" w:rsidRDefault="008B332B">
      <w:pPr>
        <w:pStyle w:val="BodyText"/>
        <w:jc w:val="both"/>
      </w:pPr>
      <w:r w:rsidRPr="0096534C">
        <w:rPr>
          <w:rStyle w:val="BodyTextChar"/>
        </w:rPr>
        <w:t xml:space="preserve">Le contrôle sera normalement effectué pour tous les coordinateurs, </w:t>
      </w:r>
      <w:proofErr w:type="gramStart"/>
      <w:r w:rsidRPr="0096534C">
        <w:rPr>
          <w:rStyle w:val="BodyTextChar"/>
        </w:rPr>
        <w:t>sauf:</w:t>
      </w:r>
      <w:proofErr w:type="gramEnd"/>
    </w:p>
    <w:p w14:paraId="3D8CEA1B" w14:textId="77777777" w:rsidR="000435C2" w:rsidRPr="0096534C" w:rsidRDefault="008B332B" w:rsidP="006008C4">
      <w:pPr>
        <w:pStyle w:val="BodyText"/>
        <w:numPr>
          <w:ilvl w:val="0"/>
          <w:numId w:val="20"/>
        </w:numPr>
        <w:tabs>
          <w:tab w:val="left" w:pos="754"/>
        </w:tabs>
        <w:spacing w:line="226" w:lineRule="auto"/>
        <w:ind w:left="720" w:hanging="340"/>
        <w:jc w:val="both"/>
      </w:pPr>
      <w:proofErr w:type="gramStart"/>
      <w:r w:rsidRPr="0096534C">
        <w:rPr>
          <w:rStyle w:val="BodyTextChar"/>
        </w:rPr>
        <w:t>des</w:t>
      </w:r>
      <w:proofErr w:type="gramEnd"/>
      <w:r w:rsidRPr="0096534C">
        <w:rPr>
          <w:rStyle w:val="BodyTextChar"/>
        </w:rPr>
        <w:t xml:space="preserve"> organismes publics (entités établies en tant qu’organismes publics en vertu du droit national, y compris les autorités locales, régionales ou nationales) ou des organisations internationales;</w:t>
      </w:r>
    </w:p>
    <w:p w14:paraId="61FDEF24" w14:textId="77777777" w:rsidR="000435C2" w:rsidRPr="0096534C" w:rsidRDefault="008B332B" w:rsidP="006008C4">
      <w:pPr>
        <w:pStyle w:val="BodyText"/>
        <w:numPr>
          <w:ilvl w:val="0"/>
          <w:numId w:val="20"/>
        </w:numPr>
        <w:tabs>
          <w:tab w:val="left" w:pos="741"/>
        </w:tabs>
        <w:spacing w:line="218" w:lineRule="auto"/>
        <w:ind w:firstLine="360"/>
        <w:jc w:val="both"/>
      </w:pPr>
      <w:proofErr w:type="gramStart"/>
      <w:r w:rsidRPr="0096534C">
        <w:rPr>
          <w:rStyle w:val="BodyTextChar"/>
        </w:rPr>
        <w:t>si</w:t>
      </w:r>
      <w:proofErr w:type="gramEnd"/>
      <w:r w:rsidRPr="0096534C">
        <w:rPr>
          <w:rStyle w:val="BodyTextChar"/>
        </w:rPr>
        <w:t xml:space="preserve"> le montant de la subvention individuelle demandée n’excède pas 60 000 EUR.</w:t>
      </w:r>
    </w:p>
    <w:p w14:paraId="65CC100B" w14:textId="77777777" w:rsidR="000435C2" w:rsidRPr="0096534C" w:rsidRDefault="008B332B">
      <w:pPr>
        <w:pStyle w:val="BodyText"/>
        <w:jc w:val="both"/>
      </w:pPr>
      <w:r w:rsidRPr="0096534C">
        <w:rPr>
          <w:rStyle w:val="BodyTextChar"/>
        </w:rPr>
        <w:t>Si nécessaire, il peut également être effectué pour les entités affiliées.</w:t>
      </w:r>
    </w:p>
    <w:p w14:paraId="60905946" w14:textId="77777777" w:rsidR="000435C2" w:rsidRPr="0096534C" w:rsidRDefault="008B332B">
      <w:pPr>
        <w:pStyle w:val="BodyText"/>
        <w:spacing w:after="140"/>
        <w:jc w:val="both"/>
      </w:pPr>
      <w:r w:rsidRPr="0096534C">
        <w:rPr>
          <w:rStyle w:val="BodyTextChar"/>
        </w:rPr>
        <w:t xml:space="preserve">Si nous estimons que votre capacité financière n’est pas satisfaisante, nous </w:t>
      </w:r>
      <w:proofErr w:type="gramStart"/>
      <w:r w:rsidRPr="0096534C">
        <w:rPr>
          <w:rStyle w:val="BodyTextChar"/>
        </w:rPr>
        <w:t>pourrions:</w:t>
      </w:r>
      <w:proofErr w:type="gramEnd"/>
    </w:p>
    <w:p w14:paraId="1CBDC61F" w14:textId="77777777" w:rsidR="000435C2" w:rsidRPr="0096534C" w:rsidRDefault="008B332B" w:rsidP="006008C4">
      <w:pPr>
        <w:pStyle w:val="BodyText"/>
        <w:numPr>
          <w:ilvl w:val="0"/>
          <w:numId w:val="20"/>
        </w:numPr>
        <w:tabs>
          <w:tab w:val="left" w:pos="743"/>
        </w:tabs>
        <w:spacing w:after="140" w:line="218" w:lineRule="auto"/>
        <w:ind w:firstLine="360"/>
        <w:jc w:val="both"/>
      </w:pPr>
      <w:proofErr w:type="gramStart"/>
      <w:r w:rsidRPr="0096534C">
        <w:rPr>
          <w:rStyle w:val="BodyTextChar"/>
        </w:rPr>
        <w:lastRenderedPageBreak/>
        <w:t>demander</w:t>
      </w:r>
      <w:proofErr w:type="gramEnd"/>
      <w:r w:rsidRPr="0096534C">
        <w:rPr>
          <w:rStyle w:val="BodyTextChar"/>
        </w:rPr>
        <w:t xml:space="preserve"> des informations complémentaires;</w:t>
      </w:r>
    </w:p>
    <w:p w14:paraId="3766581F" w14:textId="77777777" w:rsidR="000435C2" w:rsidRPr="0096534C" w:rsidRDefault="008B332B" w:rsidP="006008C4">
      <w:pPr>
        <w:pStyle w:val="BodyText"/>
        <w:numPr>
          <w:ilvl w:val="0"/>
          <w:numId w:val="20"/>
        </w:numPr>
        <w:tabs>
          <w:tab w:val="left" w:pos="749"/>
        </w:tabs>
        <w:spacing w:after="140" w:line="233" w:lineRule="auto"/>
        <w:ind w:left="720" w:hanging="340"/>
        <w:jc w:val="both"/>
      </w:pPr>
      <w:proofErr w:type="gramStart"/>
      <w:r w:rsidRPr="0096534C">
        <w:rPr>
          <w:rStyle w:val="BodyTextChar"/>
        </w:rPr>
        <w:t>demander</w:t>
      </w:r>
      <w:proofErr w:type="gramEnd"/>
      <w:r w:rsidRPr="0096534C">
        <w:rPr>
          <w:rStyle w:val="BodyTextChar"/>
        </w:rPr>
        <w:t xml:space="preserve"> un régime renforcé de responsabilité financière, c’est-à-dire une responsabilité conjointe et solidaire pour tous les bénéficiaires ou une responsabilité conjointe et solidaire des entités affiliées </w:t>
      </w:r>
      <w:r w:rsidRPr="0096534C">
        <w:rPr>
          <w:rStyle w:val="BodyTextChar"/>
          <w:i/>
        </w:rPr>
        <w:t>(voir la section 10 ci-dessous);</w:t>
      </w:r>
    </w:p>
    <w:p w14:paraId="6C4F7453" w14:textId="77777777" w:rsidR="000435C2" w:rsidRPr="0096534C" w:rsidRDefault="008B332B" w:rsidP="006008C4">
      <w:pPr>
        <w:pStyle w:val="BodyText"/>
        <w:numPr>
          <w:ilvl w:val="0"/>
          <w:numId w:val="20"/>
        </w:numPr>
        <w:tabs>
          <w:tab w:val="left" w:pos="743"/>
        </w:tabs>
        <w:spacing w:after="140" w:line="218" w:lineRule="auto"/>
        <w:ind w:firstLine="360"/>
        <w:jc w:val="both"/>
      </w:pPr>
      <w:proofErr w:type="gramStart"/>
      <w:r w:rsidRPr="0096534C">
        <w:rPr>
          <w:rStyle w:val="BodyTextChar"/>
        </w:rPr>
        <w:t>un</w:t>
      </w:r>
      <w:proofErr w:type="gramEnd"/>
      <w:r w:rsidRPr="0096534C">
        <w:rPr>
          <w:rStyle w:val="BodyTextChar"/>
        </w:rPr>
        <w:t xml:space="preserve"> préfinancement de manière échelonnée;</w:t>
      </w:r>
    </w:p>
    <w:p w14:paraId="3F2E96E7" w14:textId="77777777" w:rsidR="000435C2" w:rsidRPr="0096534C" w:rsidRDefault="008B332B" w:rsidP="006008C4">
      <w:pPr>
        <w:pStyle w:val="BodyText"/>
        <w:numPr>
          <w:ilvl w:val="0"/>
          <w:numId w:val="20"/>
        </w:numPr>
        <w:tabs>
          <w:tab w:val="left" w:pos="749"/>
        </w:tabs>
        <w:spacing w:after="40" w:line="343" w:lineRule="auto"/>
        <w:ind w:left="360" w:firstLine="20"/>
        <w:jc w:val="both"/>
      </w:pPr>
      <w:r w:rsidRPr="0096534C">
        <w:rPr>
          <w:rStyle w:val="BodyTextChar"/>
        </w:rPr>
        <w:t>(</w:t>
      </w:r>
      <w:proofErr w:type="gramStart"/>
      <w:r w:rsidRPr="0096534C">
        <w:rPr>
          <w:rStyle w:val="BodyTextChar"/>
        </w:rPr>
        <w:t>une</w:t>
      </w:r>
      <w:proofErr w:type="gramEnd"/>
      <w:r w:rsidRPr="0096534C">
        <w:rPr>
          <w:rStyle w:val="BodyTextChar"/>
        </w:rPr>
        <w:t xml:space="preserve"> ou plusieurs) garanties de préfinancement (</w:t>
      </w:r>
      <w:r w:rsidRPr="0096534C">
        <w:rPr>
          <w:rStyle w:val="BodyTextChar"/>
          <w:i/>
        </w:rPr>
        <w:t>voir la section 10 ci-dessous</w:t>
      </w:r>
      <w:r w:rsidRPr="0096534C">
        <w:rPr>
          <w:rStyle w:val="BodyTextChar"/>
        </w:rPr>
        <w:t>) ou</w:t>
      </w:r>
    </w:p>
    <w:p w14:paraId="795FF468" w14:textId="77777777" w:rsidR="000435C2" w:rsidRPr="0096534C" w:rsidRDefault="008B332B" w:rsidP="006008C4">
      <w:pPr>
        <w:pStyle w:val="BodyText"/>
        <w:numPr>
          <w:ilvl w:val="0"/>
          <w:numId w:val="20"/>
        </w:numPr>
        <w:tabs>
          <w:tab w:val="left" w:pos="723"/>
        </w:tabs>
        <w:spacing w:after="140" w:line="218" w:lineRule="auto"/>
        <w:ind w:firstLine="380"/>
        <w:jc w:val="both"/>
      </w:pPr>
      <w:proofErr w:type="gramStart"/>
      <w:r w:rsidRPr="0096534C">
        <w:rPr>
          <w:rStyle w:val="BodyTextChar"/>
        </w:rPr>
        <w:t>ne</w:t>
      </w:r>
      <w:proofErr w:type="gramEnd"/>
      <w:r w:rsidRPr="0096534C">
        <w:rPr>
          <w:rStyle w:val="BodyTextChar"/>
        </w:rPr>
        <w:t xml:space="preserve"> proposer aucun préfinancement;</w:t>
      </w:r>
    </w:p>
    <w:p w14:paraId="71302779" w14:textId="77777777" w:rsidR="000435C2" w:rsidRPr="0096534C" w:rsidRDefault="008B332B" w:rsidP="006008C4">
      <w:pPr>
        <w:pStyle w:val="BodyText"/>
        <w:numPr>
          <w:ilvl w:val="0"/>
          <w:numId w:val="20"/>
        </w:numPr>
        <w:tabs>
          <w:tab w:val="left" w:pos="723"/>
        </w:tabs>
        <w:spacing w:after="280" w:line="218" w:lineRule="auto"/>
        <w:ind w:firstLine="380"/>
        <w:jc w:val="both"/>
      </w:pPr>
      <w:proofErr w:type="gramStart"/>
      <w:r w:rsidRPr="0096534C">
        <w:rPr>
          <w:rStyle w:val="BodyTextChar"/>
        </w:rPr>
        <w:t>demander</w:t>
      </w:r>
      <w:proofErr w:type="gramEnd"/>
      <w:r w:rsidRPr="0096534C">
        <w:rPr>
          <w:rStyle w:val="BodyTextChar"/>
        </w:rPr>
        <w:t xml:space="preserve"> que vous soyez remplacé ou, au besoin, rejeter l’intégralité de la proposition.</w:t>
      </w:r>
    </w:p>
    <w:p w14:paraId="5F674A29" w14:textId="6C804B33" w:rsidR="000435C2" w:rsidRPr="0096534C" w:rsidRDefault="00883A1D" w:rsidP="00BF0FEB">
      <w:pPr>
        <w:pStyle w:val="BodyText"/>
        <w:jc w:val="both"/>
      </w:pPr>
      <w:r>
        <w:pict w14:anchorId="368A237D">
          <v:shape id="_x0000_i1027" type="#_x0000_t75" alt="https://lh5.googleusercontent.com/-n5VVWXljoCs/T8X1egaB-BI/AAAAAAAAC1I/fLBP4VIzxQM/s16/infoIcon_blue.png" style="width:12.75pt;height:12.75pt;visibility:visible;mso-wrap-style:square">
            <v:imagedata r:id="rId28" o:title="infoIcon_blue"/>
          </v:shape>
        </w:pict>
      </w:r>
      <w:r w:rsidR="004A65E7" w:rsidRPr="0096534C">
        <w:rPr>
          <w:rStyle w:val="BodyTextChar"/>
        </w:rPr>
        <w:t xml:space="preserve"> Pour de plus amples informations, </w:t>
      </w:r>
      <w:r w:rsidR="004A65E7" w:rsidRPr="0096534C">
        <w:rPr>
          <w:rStyle w:val="BodyTextChar"/>
          <w:i/>
        </w:rPr>
        <w:t>voir</w:t>
      </w:r>
      <w:hyperlink r:id="rId32" w:history="1">
        <w:r w:rsidR="004A65E7" w:rsidRPr="0096534C">
          <w:rPr>
            <w:rStyle w:val="BodyTextChar"/>
            <w:i/>
          </w:rPr>
          <w:t xml:space="preserve"> </w:t>
        </w:r>
        <w:r w:rsidR="004A65E7" w:rsidRPr="0096534C">
          <w:rPr>
            <w:rStyle w:val="BodyTextChar"/>
            <w:i/>
            <w:color w:val="0088CC"/>
            <w:u w:val="single"/>
          </w:rPr>
          <w:t xml:space="preserve">les règles relatives à la validation des entités juridiques, à la désignation du représentant de l’entité juridique et </w:t>
        </w:r>
      </w:hyperlink>
      <w:r w:rsidR="004A65E7" w:rsidRPr="0096534C">
        <w:rPr>
          <w:rStyle w:val="BodyTextChar"/>
          <w:i/>
          <w:color w:val="0088CC"/>
          <w:u w:val="single"/>
        </w:rPr>
        <w:t xml:space="preserve"> </w:t>
      </w:r>
      <w:hyperlink r:id="rId33" w:history="1">
        <w:r w:rsidR="004A65E7" w:rsidRPr="0096534C">
          <w:rPr>
            <w:rStyle w:val="BodyTextChar"/>
            <w:i/>
            <w:color w:val="0088CC"/>
            <w:u w:val="single"/>
          </w:rPr>
          <w:t>à l’évaluation de la capacité financière</w:t>
        </w:r>
        <w:r w:rsidR="004A65E7" w:rsidRPr="0096534C">
          <w:rPr>
            <w:rStyle w:val="BodyTextChar"/>
            <w:i/>
          </w:rPr>
          <w:t>.</w:t>
        </w:r>
      </w:hyperlink>
    </w:p>
    <w:p w14:paraId="1894F4D1" w14:textId="77777777" w:rsidR="000435C2" w:rsidRPr="0096534C" w:rsidRDefault="008B332B" w:rsidP="00BF0FEB">
      <w:pPr>
        <w:pStyle w:val="Heading2"/>
        <w:keepNext/>
        <w:keepLines/>
        <w:rPr>
          <w:b w:val="0"/>
          <w:bCs w:val="0"/>
        </w:rPr>
      </w:pPr>
      <w:bookmarkStart w:id="47" w:name="bookmark50"/>
      <w:bookmarkStart w:id="48" w:name="_Toc185511112"/>
      <w:r w:rsidRPr="0096534C">
        <w:rPr>
          <w:rStyle w:val="BodyTextChar"/>
          <w:b w:val="0"/>
          <w:i/>
          <w:u w:val="single"/>
        </w:rPr>
        <w:t>Capacité opérationnelle</w:t>
      </w:r>
      <w:bookmarkEnd w:id="47"/>
      <w:bookmarkEnd w:id="48"/>
    </w:p>
    <w:p w14:paraId="2580BB50" w14:textId="77777777" w:rsidR="000435C2" w:rsidRPr="0096534C" w:rsidRDefault="008B332B">
      <w:pPr>
        <w:pStyle w:val="BodyText"/>
        <w:jc w:val="both"/>
      </w:pPr>
      <w:r w:rsidRPr="0096534C">
        <w:rPr>
          <w:rStyle w:val="BodyTextChar"/>
        </w:rPr>
        <w:t xml:space="preserve">Les candidats doivent disposer du </w:t>
      </w:r>
      <w:r w:rsidRPr="0096534C">
        <w:rPr>
          <w:rStyle w:val="BodyTextChar"/>
          <w:b/>
        </w:rPr>
        <w:t xml:space="preserve">savoir-faire, des qualifications </w:t>
      </w:r>
      <w:r w:rsidRPr="0096534C">
        <w:rPr>
          <w:rStyle w:val="BodyTextChar"/>
        </w:rPr>
        <w:t xml:space="preserve">et des </w:t>
      </w:r>
      <w:r w:rsidRPr="0096534C">
        <w:rPr>
          <w:rStyle w:val="BodyTextChar"/>
          <w:b/>
        </w:rPr>
        <w:t>ressources</w:t>
      </w:r>
      <w:r w:rsidRPr="0096534C">
        <w:rPr>
          <w:rStyle w:val="BodyTextChar"/>
        </w:rPr>
        <w:t xml:space="preserve"> nécessaires pour mener à bien les projets et apporter leur contribution (y compris une expérience suffisante dans des projets de taille et de nature comparables).</w:t>
      </w:r>
    </w:p>
    <w:p w14:paraId="569EA72E" w14:textId="77777777" w:rsidR="000435C2" w:rsidRPr="0096534C" w:rsidRDefault="008B332B">
      <w:pPr>
        <w:pStyle w:val="BodyText"/>
        <w:jc w:val="both"/>
      </w:pPr>
      <w:r w:rsidRPr="0096534C">
        <w:rPr>
          <w:rStyle w:val="BodyTextChar"/>
        </w:rPr>
        <w:t>Cette capacité sera évaluée conjointement avec le critère d’attribution</w:t>
      </w:r>
      <w:proofErr w:type="gramStart"/>
      <w:r w:rsidRPr="0096534C">
        <w:rPr>
          <w:rStyle w:val="BodyTextChar"/>
        </w:rPr>
        <w:t xml:space="preserve"> «Qualité</w:t>
      </w:r>
      <w:proofErr w:type="gramEnd"/>
      <w:r w:rsidRPr="0096534C">
        <w:rPr>
          <w:rStyle w:val="BodyTextChar"/>
        </w:rPr>
        <w:t>» sur la base des compétences et de l’expérience des demandeurs et de leurs équipes de projet, y compris les ressources opérationnelles (humaines, techniques et autres) ou, exceptionnellement, des mesures proposées pour l’obtenir avant le début de la mise en œuvre des tâches.</w:t>
      </w:r>
    </w:p>
    <w:p w14:paraId="1F80759E" w14:textId="77777777" w:rsidR="000435C2" w:rsidRPr="0096534C" w:rsidRDefault="008B332B">
      <w:pPr>
        <w:pStyle w:val="BodyText"/>
        <w:jc w:val="both"/>
      </w:pPr>
      <w:r w:rsidRPr="0096534C">
        <w:rPr>
          <w:rStyle w:val="BodyTextChar"/>
        </w:rPr>
        <w:t>Si l’évaluation du critère d’attribution est positive, les demandeurs sont considérés comme disposant d’une capacité opérationnelle suffisante.</w:t>
      </w:r>
    </w:p>
    <w:p w14:paraId="1E2CE313" w14:textId="77777777" w:rsidR="000435C2" w:rsidRPr="0096534C" w:rsidRDefault="008B332B">
      <w:pPr>
        <w:pStyle w:val="BodyText"/>
        <w:spacing w:after="140"/>
        <w:jc w:val="both"/>
      </w:pPr>
      <w:r w:rsidRPr="0096534C">
        <w:rPr>
          <w:rStyle w:val="BodyTextChar"/>
        </w:rPr>
        <w:t xml:space="preserve">Ils devront démontrer leur capacité en fournissant les informations </w:t>
      </w:r>
      <w:proofErr w:type="gramStart"/>
      <w:r w:rsidRPr="0096534C">
        <w:rPr>
          <w:rStyle w:val="BodyTextChar"/>
        </w:rPr>
        <w:t>suivantes:</w:t>
      </w:r>
      <w:proofErr w:type="gramEnd"/>
    </w:p>
    <w:p w14:paraId="3B101DFA" w14:textId="77777777" w:rsidR="000435C2" w:rsidRPr="0096534C" w:rsidRDefault="008B332B" w:rsidP="006008C4">
      <w:pPr>
        <w:pStyle w:val="BodyText"/>
        <w:numPr>
          <w:ilvl w:val="0"/>
          <w:numId w:val="20"/>
        </w:numPr>
        <w:tabs>
          <w:tab w:val="left" w:pos="749"/>
        </w:tabs>
        <w:spacing w:after="140" w:line="226" w:lineRule="auto"/>
        <w:ind w:left="720" w:hanging="340"/>
        <w:jc w:val="both"/>
      </w:pPr>
      <w:proofErr w:type="gramStart"/>
      <w:r w:rsidRPr="0096534C">
        <w:rPr>
          <w:rStyle w:val="BodyTextChar"/>
        </w:rPr>
        <w:t>profils</w:t>
      </w:r>
      <w:proofErr w:type="gramEnd"/>
      <w:r w:rsidRPr="0096534C">
        <w:rPr>
          <w:rStyle w:val="BodyTextChar"/>
        </w:rPr>
        <w:t xml:space="preserve"> généraux (qualifications et expérience) du personnel chargé de la gestion et de la mise en œuvre du projet;</w:t>
      </w:r>
    </w:p>
    <w:p w14:paraId="745AE3FF" w14:textId="77777777" w:rsidR="000435C2" w:rsidRPr="0096534C" w:rsidRDefault="008B332B" w:rsidP="006008C4">
      <w:pPr>
        <w:pStyle w:val="BodyText"/>
        <w:numPr>
          <w:ilvl w:val="0"/>
          <w:numId w:val="20"/>
        </w:numPr>
        <w:tabs>
          <w:tab w:val="left" w:pos="743"/>
        </w:tabs>
        <w:spacing w:after="140" w:line="218" w:lineRule="auto"/>
        <w:ind w:firstLine="360"/>
        <w:jc w:val="both"/>
      </w:pPr>
      <w:proofErr w:type="gramStart"/>
      <w:r w:rsidRPr="0096534C">
        <w:rPr>
          <w:rStyle w:val="BodyTextChar"/>
        </w:rPr>
        <w:t>description</w:t>
      </w:r>
      <w:proofErr w:type="gramEnd"/>
      <w:r w:rsidRPr="0096534C">
        <w:rPr>
          <w:rStyle w:val="BodyTextChar"/>
        </w:rPr>
        <w:t xml:space="preserve"> des participants au consortium;</w:t>
      </w:r>
    </w:p>
    <w:p w14:paraId="5DE9A838" w14:textId="77777777" w:rsidR="000435C2" w:rsidRPr="0096534C" w:rsidRDefault="008B332B" w:rsidP="006008C4">
      <w:pPr>
        <w:pStyle w:val="BodyText"/>
        <w:numPr>
          <w:ilvl w:val="0"/>
          <w:numId w:val="20"/>
        </w:numPr>
        <w:tabs>
          <w:tab w:val="left" w:pos="749"/>
        </w:tabs>
        <w:spacing w:line="230" w:lineRule="auto"/>
        <w:ind w:left="720" w:hanging="340"/>
        <w:jc w:val="both"/>
      </w:pPr>
      <w:proofErr w:type="gramStart"/>
      <w:r w:rsidRPr="0096534C">
        <w:rPr>
          <w:rStyle w:val="BodyTextChar"/>
        </w:rPr>
        <w:t>liste</w:t>
      </w:r>
      <w:proofErr w:type="gramEnd"/>
      <w:r w:rsidRPr="0096534C">
        <w:rPr>
          <w:rStyle w:val="BodyTextChar"/>
        </w:rPr>
        <w:t xml:space="preserve"> des projets antérieurs (projets clés des 4 dernières années) </w:t>
      </w:r>
      <w:r w:rsidRPr="0096534C">
        <w:rPr>
          <w:rStyle w:val="BodyTextChar"/>
          <w:i/>
          <w:color w:val="808080"/>
        </w:rPr>
        <w:t>(modèle disponible dans la partie B)</w:t>
      </w:r>
      <w:r w:rsidRPr="0096534C">
        <w:rPr>
          <w:rStyle w:val="BodyTextChar"/>
        </w:rPr>
        <w:t>;</w:t>
      </w:r>
    </w:p>
    <w:p w14:paraId="67E74C7A" w14:textId="77777777" w:rsidR="000435C2" w:rsidRPr="0096534C" w:rsidRDefault="008B332B">
      <w:pPr>
        <w:pStyle w:val="BodyText"/>
        <w:jc w:val="both"/>
      </w:pPr>
      <w:r w:rsidRPr="0096534C">
        <w:rPr>
          <w:rStyle w:val="BodyTextChar"/>
        </w:rPr>
        <w:t>D’autres pièces justificatives peuvent être demandées, si nécessaire, afin de confirmer la capacité opérationnelle d’un demandeur.</w:t>
      </w:r>
    </w:p>
    <w:p w14:paraId="2F6DBFE2" w14:textId="77777777" w:rsidR="000435C2" w:rsidRPr="0096534C" w:rsidRDefault="008B332B" w:rsidP="00BF0FEB">
      <w:pPr>
        <w:pStyle w:val="Heading2"/>
        <w:keepNext/>
        <w:keepLines/>
        <w:rPr>
          <w:rStyle w:val="BodyTextChar"/>
          <w:b w:val="0"/>
          <w:bCs w:val="0"/>
          <w:i/>
          <w:iCs/>
          <w:u w:val="single"/>
        </w:rPr>
      </w:pPr>
      <w:bookmarkStart w:id="49" w:name="bookmark51"/>
      <w:bookmarkStart w:id="50" w:name="_Toc185511113"/>
      <w:r w:rsidRPr="0096534C">
        <w:rPr>
          <w:rStyle w:val="BodyTextChar"/>
          <w:b w:val="0"/>
          <w:i/>
          <w:u w:val="single"/>
        </w:rPr>
        <w:t>Exclusion</w:t>
      </w:r>
      <w:bookmarkEnd w:id="49"/>
      <w:bookmarkEnd w:id="50"/>
    </w:p>
    <w:p w14:paraId="20671998" w14:textId="77777777" w:rsidR="000435C2" w:rsidRPr="0096534C" w:rsidRDefault="008B332B">
      <w:pPr>
        <w:pStyle w:val="BodyText"/>
        <w:spacing w:after="140"/>
        <w:jc w:val="both"/>
      </w:pPr>
      <w:r w:rsidRPr="0096534C">
        <w:rPr>
          <w:rStyle w:val="BodyTextChar"/>
        </w:rPr>
        <w:t xml:space="preserve">Les candidats qui font l’objet d’une </w:t>
      </w:r>
      <w:r w:rsidRPr="0096534C">
        <w:rPr>
          <w:rStyle w:val="BodyTextChar"/>
          <w:b/>
        </w:rPr>
        <w:t>décision d’exclusion prise par l’UE</w:t>
      </w:r>
      <w:r w:rsidRPr="0096534C">
        <w:rPr>
          <w:rStyle w:val="BodyTextChar"/>
        </w:rPr>
        <w:t xml:space="preserve"> ou qui se trouvent dans l’une des </w:t>
      </w:r>
      <w:r w:rsidRPr="0096534C">
        <w:rPr>
          <w:rStyle w:val="BodyTextChar"/>
          <w:b/>
        </w:rPr>
        <w:t>situations d’exclusion</w:t>
      </w:r>
      <w:r w:rsidRPr="0096534C">
        <w:rPr>
          <w:rStyle w:val="BodyTextChar"/>
        </w:rPr>
        <w:t xml:space="preserve"> suivantes qui les empêchent de recevoir un financement de l’UE ne peuvent PAS participer</w:t>
      </w:r>
      <w:r w:rsidRPr="0096534C">
        <w:rPr>
          <w:rStyle w:val="BodyTextChar"/>
          <w:vertAlign w:val="superscript"/>
        </w:rPr>
        <w:footnoteReference w:id="15"/>
      </w:r>
      <w:r w:rsidRPr="0096534C">
        <w:rPr>
          <w:rStyle w:val="BodyTextChar"/>
        </w:rPr>
        <w:t>:</w:t>
      </w:r>
    </w:p>
    <w:p w14:paraId="2E4DA38D" w14:textId="77777777" w:rsidR="000435C2" w:rsidRPr="0096534C" w:rsidRDefault="008B332B" w:rsidP="006008C4">
      <w:pPr>
        <w:pStyle w:val="BodyText"/>
        <w:numPr>
          <w:ilvl w:val="0"/>
          <w:numId w:val="20"/>
        </w:numPr>
        <w:tabs>
          <w:tab w:val="left" w:pos="743"/>
        </w:tabs>
        <w:spacing w:after="0" w:line="264" w:lineRule="auto"/>
        <w:ind w:firstLine="360"/>
        <w:jc w:val="both"/>
      </w:pPr>
      <w:proofErr w:type="gramStart"/>
      <w:r w:rsidRPr="0096534C">
        <w:rPr>
          <w:rStyle w:val="BodyTextChar"/>
        </w:rPr>
        <w:t>faillite</w:t>
      </w:r>
      <w:proofErr w:type="gramEnd"/>
      <w:r w:rsidRPr="0096534C">
        <w:rPr>
          <w:rStyle w:val="BodyTextChar"/>
        </w:rPr>
        <w:t>, liquidation, règlement judiciaire, concordat</w:t>
      </w:r>
    </w:p>
    <w:p w14:paraId="73882F10" w14:textId="77777777" w:rsidR="000435C2" w:rsidRPr="0096534C" w:rsidRDefault="008B332B">
      <w:pPr>
        <w:pStyle w:val="BodyText"/>
        <w:spacing w:after="160"/>
        <w:ind w:left="720" w:firstLine="20"/>
        <w:jc w:val="both"/>
      </w:pPr>
      <w:proofErr w:type="gramStart"/>
      <w:r w:rsidRPr="0096534C">
        <w:rPr>
          <w:rStyle w:val="BodyTextChar"/>
        </w:rPr>
        <w:t>préventif</w:t>
      </w:r>
      <w:proofErr w:type="gramEnd"/>
      <w:r w:rsidRPr="0096534C">
        <w:rPr>
          <w:rStyle w:val="BodyTextChar"/>
        </w:rPr>
        <w:t xml:space="preserve">, suspension d’activités ou autres procédures similaires (y compris les procédures relatives aux personnes indéfiniment responsables des dettes </w:t>
      </w:r>
      <w:r w:rsidRPr="0096534C">
        <w:rPr>
          <w:rStyle w:val="BodyTextChar"/>
        </w:rPr>
        <w:lastRenderedPageBreak/>
        <w:t>du candidat);</w:t>
      </w:r>
    </w:p>
    <w:p w14:paraId="4A8266A8" w14:textId="77777777" w:rsidR="000435C2" w:rsidRPr="0096534C" w:rsidRDefault="008B332B" w:rsidP="006008C4">
      <w:pPr>
        <w:pStyle w:val="BodyText"/>
        <w:numPr>
          <w:ilvl w:val="0"/>
          <w:numId w:val="20"/>
        </w:numPr>
        <w:tabs>
          <w:tab w:val="left" w:pos="754"/>
        </w:tabs>
        <w:spacing w:after="100"/>
        <w:ind w:left="720" w:hanging="340"/>
        <w:jc w:val="both"/>
      </w:pPr>
      <w:proofErr w:type="gramStart"/>
      <w:r w:rsidRPr="0096534C">
        <w:rPr>
          <w:rStyle w:val="BodyTextChar"/>
        </w:rPr>
        <w:t>violation</w:t>
      </w:r>
      <w:proofErr w:type="gramEnd"/>
      <w:r w:rsidRPr="0096534C">
        <w:rPr>
          <w:rStyle w:val="BodyTextChar"/>
        </w:rPr>
        <w:t xml:space="preserve"> des obligations en matière de sécurité sociale ou de fiscalité (y compris si elle est le fait de personnes étant indéfiniment responsables des dettes du demandeur);</w:t>
      </w:r>
    </w:p>
    <w:p w14:paraId="07A91FF7" w14:textId="77777777" w:rsidR="000435C2" w:rsidRPr="0096534C" w:rsidRDefault="008B332B" w:rsidP="006008C4">
      <w:pPr>
        <w:pStyle w:val="BodyText"/>
        <w:numPr>
          <w:ilvl w:val="0"/>
          <w:numId w:val="20"/>
        </w:numPr>
        <w:tabs>
          <w:tab w:val="left" w:pos="754"/>
        </w:tabs>
        <w:spacing w:after="100"/>
        <w:ind w:left="720" w:hanging="340"/>
        <w:jc w:val="both"/>
      </w:pPr>
      <w:proofErr w:type="gramStart"/>
      <w:r w:rsidRPr="0096534C">
        <w:rPr>
          <w:rStyle w:val="BodyTextChar"/>
        </w:rPr>
        <w:t>faute</w:t>
      </w:r>
      <w:proofErr w:type="gramEnd"/>
      <w:r w:rsidRPr="0096534C">
        <w:rPr>
          <w:rStyle w:val="BodyTextChar"/>
        </w:rPr>
        <w:t xml:space="preserve"> professionnelle grave</w:t>
      </w:r>
      <w:r w:rsidRPr="0096534C">
        <w:rPr>
          <w:rStyle w:val="BodyTextChar"/>
          <w:vertAlign w:val="superscript"/>
        </w:rPr>
        <w:footnoteReference w:id="16"/>
      </w:r>
      <w:r w:rsidRPr="0096534C">
        <w:rPr>
          <w:rStyle w:val="BodyTextChar"/>
        </w:rPr>
        <w:t xml:space="preserve"> (y compris si elle est le fait de personnes ayant un pouvoir de représentation, de décision ou de contrôle, de bénéficiaires effectifs ou de personnes physiques qui sont essentielles pour l’octroi/l’exécution de la subvention);</w:t>
      </w:r>
    </w:p>
    <w:p w14:paraId="7E3BED8A" w14:textId="77777777" w:rsidR="000435C2" w:rsidRPr="0096534C" w:rsidRDefault="008B332B" w:rsidP="006008C4">
      <w:pPr>
        <w:pStyle w:val="BodyText"/>
        <w:numPr>
          <w:ilvl w:val="0"/>
          <w:numId w:val="20"/>
        </w:numPr>
        <w:tabs>
          <w:tab w:val="left" w:pos="754"/>
        </w:tabs>
        <w:spacing w:after="100"/>
        <w:ind w:left="720" w:hanging="340"/>
        <w:jc w:val="both"/>
      </w:pPr>
      <w:proofErr w:type="gramStart"/>
      <w:r w:rsidRPr="0096534C">
        <w:rPr>
          <w:rStyle w:val="BodyTextChar"/>
        </w:rPr>
        <w:t>fraude</w:t>
      </w:r>
      <w:proofErr w:type="gramEnd"/>
      <w:r w:rsidRPr="0096534C">
        <w:rPr>
          <w:rStyle w:val="BodyTextChar"/>
        </w:rPr>
        <w:t xml:space="preserve"> avérée, corruption, liens avec une organisation criminelle, blanchiment de capitaux, crimes liés au terrorisme (y compris le financement du terrorisme), travail des enfants ou traite des êtres humains (y compris, si ces actions sont le fait de personnes ayant un pouvoir de représentation, de décision ou de contrôle, des bénéficiaires effectifs ou des personnes essentielles pour l’octroi/l’exécution de la subvention);</w:t>
      </w:r>
    </w:p>
    <w:p w14:paraId="5C14CAC8" w14:textId="77777777" w:rsidR="000435C2" w:rsidRPr="0096534C" w:rsidRDefault="008B332B" w:rsidP="006008C4">
      <w:pPr>
        <w:pStyle w:val="BodyText"/>
        <w:numPr>
          <w:ilvl w:val="0"/>
          <w:numId w:val="20"/>
        </w:numPr>
        <w:tabs>
          <w:tab w:val="left" w:pos="754"/>
        </w:tabs>
        <w:spacing w:after="100"/>
        <w:ind w:left="720" w:hanging="340"/>
        <w:jc w:val="both"/>
      </w:pPr>
      <w:proofErr w:type="gramStart"/>
      <w:r w:rsidRPr="0096534C">
        <w:rPr>
          <w:rStyle w:val="BodyTextChar"/>
        </w:rPr>
        <w:t>lacunes</w:t>
      </w:r>
      <w:proofErr w:type="gramEnd"/>
      <w:r w:rsidRPr="0096534C">
        <w:rPr>
          <w:rStyle w:val="BodyTextChar"/>
        </w:rPr>
        <w:t xml:space="preserve"> importantes en ce qui concerne le respect des principales obligations liées à un marché public, un prix, un contrat d’expert, ou similaire (y compris si elles sont le fait de personnes ayant un pouvoir de représentation, de décision ou de contrôle, de bénéficiaires effectifs ou de personnes physiques qui sont essentielles pour l’octroi/l’exécution de la subvention);</w:t>
      </w:r>
    </w:p>
    <w:p w14:paraId="24B43A0B" w14:textId="77777777" w:rsidR="000435C2" w:rsidRPr="0096534C" w:rsidRDefault="008B332B" w:rsidP="006008C4">
      <w:pPr>
        <w:pStyle w:val="BodyText"/>
        <w:numPr>
          <w:ilvl w:val="0"/>
          <w:numId w:val="20"/>
        </w:numPr>
        <w:tabs>
          <w:tab w:val="left" w:pos="754"/>
        </w:tabs>
        <w:spacing w:after="100"/>
        <w:ind w:left="720" w:hanging="340"/>
        <w:jc w:val="both"/>
      </w:pPr>
      <w:proofErr w:type="gramStart"/>
      <w:r w:rsidRPr="0096534C">
        <w:rPr>
          <w:rStyle w:val="BodyTextChar"/>
        </w:rPr>
        <w:t>irrégularités</w:t>
      </w:r>
      <w:proofErr w:type="gramEnd"/>
      <w:r w:rsidRPr="0096534C">
        <w:rPr>
          <w:rStyle w:val="BodyTextChar"/>
        </w:rPr>
        <w:t xml:space="preserve"> au sens de l’article 1</w:t>
      </w:r>
      <w:r w:rsidRPr="0096534C">
        <w:rPr>
          <w:rStyle w:val="BodyTextChar"/>
          <w:vertAlign w:val="superscript"/>
        </w:rPr>
        <w:t>er</w:t>
      </w:r>
      <w:r w:rsidRPr="0096534C">
        <w:rPr>
          <w:rStyle w:val="BodyTextChar"/>
        </w:rPr>
        <w:t>, paragraphe 2, du règlement nº </w:t>
      </w:r>
      <w:hyperlink r:id="rId34" w:history="1">
        <w:r w:rsidRPr="0096534C">
          <w:rPr>
            <w:rStyle w:val="BodyTextChar"/>
            <w:color w:val="0088CC"/>
          </w:rPr>
          <w:t>2988/95</w:t>
        </w:r>
      </w:hyperlink>
      <w:r w:rsidRPr="0096534C">
        <w:t xml:space="preserve"> </w:t>
      </w:r>
      <w:r w:rsidRPr="0096534C">
        <w:rPr>
          <w:rStyle w:val="BodyTextChar"/>
        </w:rPr>
        <w:t>(y compris si elles sont le fait de personnes ayant un pouvoir de représentation, de décision ou de contrôle, de bénéficiaires effectifs ou de personnes physiques qui sont essentielles pour l’octroi/l’exécution de la subvention);</w:t>
      </w:r>
    </w:p>
    <w:p w14:paraId="3123743D" w14:textId="77777777" w:rsidR="000435C2" w:rsidRPr="0096534C" w:rsidRDefault="008B332B" w:rsidP="006008C4">
      <w:pPr>
        <w:pStyle w:val="BodyText"/>
        <w:numPr>
          <w:ilvl w:val="0"/>
          <w:numId w:val="20"/>
        </w:numPr>
        <w:tabs>
          <w:tab w:val="left" w:pos="754"/>
        </w:tabs>
        <w:spacing w:after="200"/>
        <w:ind w:left="720" w:hanging="340"/>
        <w:jc w:val="both"/>
      </w:pPr>
      <w:proofErr w:type="gramStart"/>
      <w:r w:rsidRPr="0096534C">
        <w:rPr>
          <w:rStyle w:val="BodyTextChar"/>
        </w:rPr>
        <w:t>constitution</w:t>
      </w:r>
      <w:proofErr w:type="gramEnd"/>
      <w:r w:rsidRPr="0096534C">
        <w:rPr>
          <w:rStyle w:val="BodyTextChar"/>
        </w:rPr>
        <w:t xml:space="preserve"> dans une autre juridiction dans l’intention de se soustraire à des obligations fiscales, sociales ou autres engagements juridiques dans le pays d’origine ou constitution d’une autre entité à cette fin (y compris si elles sont le fait de personnes ayant un pouvoir de représentation, de décision ou de contrôle, de bénéficiaires effectifs ou de personnes physiques qui sont essentielles pour l’octroi/l’exécution de la subvention).</w:t>
      </w:r>
    </w:p>
    <w:p w14:paraId="382F2380" w14:textId="77777777" w:rsidR="000435C2" w:rsidRPr="0096534C" w:rsidRDefault="008B332B">
      <w:pPr>
        <w:pStyle w:val="BodyText"/>
        <w:spacing w:after="200"/>
        <w:jc w:val="both"/>
      </w:pPr>
      <w:r w:rsidRPr="0096534C">
        <w:rPr>
          <w:rStyle w:val="BodyTextChar"/>
        </w:rPr>
        <w:t>Les demandeurs essuieront également un refus s’il s’avère que</w:t>
      </w:r>
      <w:r w:rsidRPr="0096534C">
        <w:rPr>
          <w:rStyle w:val="BodyTextChar"/>
          <w:vertAlign w:val="superscript"/>
        </w:rPr>
        <w:footnoteReference w:id="17"/>
      </w:r>
      <w:r w:rsidRPr="0096534C">
        <w:rPr>
          <w:rStyle w:val="BodyTextChar"/>
        </w:rPr>
        <w:t>:</w:t>
      </w:r>
    </w:p>
    <w:p w14:paraId="0371A917" w14:textId="77777777" w:rsidR="000435C2" w:rsidRPr="0096534C" w:rsidRDefault="008B332B" w:rsidP="006008C4">
      <w:pPr>
        <w:pStyle w:val="BodyText"/>
        <w:numPr>
          <w:ilvl w:val="0"/>
          <w:numId w:val="20"/>
        </w:numPr>
        <w:tabs>
          <w:tab w:val="left" w:pos="754"/>
        </w:tabs>
        <w:spacing w:after="200"/>
        <w:ind w:left="720" w:hanging="340"/>
        <w:jc w:val="both"/>
      </w:pPr>
      <w:proofErr w:type="gramStart"/>
      <w:r w:rsidRPr="0096534C">
        <w:rPr>
          <w:rStyle w:val="BodyTextChar"/>
        </w:rPr>
        <w:t>qu’au</w:t>
      </w:r>
      <w:proofErr w:type="gramEnd"/>
      <w:r w:rsidRPr="0096534C">
        <w:rPr>
          <w:rStyle w:val="BodyTextChar"/>
        </w:rPr>
        <w:t xml:space="preserve"> cours de la procédure d’attribution, ils ont présenté de fausses déclarations en ce qui concerne les informations exigées pour participer à la procédure ou n’ont pas communiqué ces informations;</w:t>
      </w:r>
    </w:p>
    <w:p w14:paraId="3A7084B0" w14:textId="77777777" w:rsidR="000435C2" w:rsidRPr="0096534C" w:rsidRDefault="008B332B" w:rsidP="006008C4">
      <w:pPr>
        <w:pStyle w:val="BodyText"/>
        <w:numPr>
          <w:ilvl w:val="0"/>
          <w:numId w:val="20"/>
        </w:numPr>
        <w:tabs>
          <w:tab w:val="left" w:pos="754"/>
        </w:tabs>
        <w:spacing w:after="200"/>
        <w:ind w:left="720" w:hanging="340"/>
        <w:jc w:val="both"/>
      </w:pPr>
      <w:proofErr w:type="gramStart"/>
      <w:r w:rsidRPr="0096534C">
        <w:rPr>
          <w:rStyle w:val="BodyTextChar"/>
        </w:rPr>
        <w:t>qu’ils</w:t>
      </w:r>
      <w:proofErr w:type="gramEnd"/>
      <w:r w:rsidRPr="0096534C">
        <w:rPr>
          <w:rStyle w:val="BodyTextChar"/>
        </w:rPr>
        <w:t xml:space="preserve"> ont participé par le passé à la préparation de l’appel, ce qui entraîne une distorsion de concurrence qui ne peut être corrigée autrement (conflit d’intérêts).</w:t>
      </w:r>
    </w:p>
    <w:p w14:paraId="099F29A9" w14:textId="6F72DE28" w:rsidR="000435C2" w:rsidRPr="0096534C" w:rsidRDefault="008B332B" w:rsidP="00BF35B3">
      <w:pPr>
        <w:pStyle w:val="Heading1"/>
      </w:pPr>
      <w:bookmarkStart w:id="51" w:name="bookmark52"/>
      <w:bookmarkStart w:id="52" w:name="_Toc185511114"/>
      <w:r w:rsidRPr="0096534C">
        <w:rPr>
          <w:rStyle w:val="Heading3"/>
          <w:b/>
        </w:rPr>
        <w:t>Procédure d’évaluation et d’attribution</w:t>
      </w:r>
      <w:bookmarkEnd w:id="51"/>
      <w:bookmarkEnd w:id="52"/>
    </w:p>
    <w:p w14:paraId="3A0DE414" w14:textId="77777777" w:rsidR="000435C2" w:rsidRPr="0096534C" w:rsidRDefault="008B332B">
      <w:pPr>
        <w:pStyle w:val="BodyText"/>
        <w:spacing w:after="200"/>
        <w:jc w:val="both"/>
      </w:pPr>
      <w:r w:rsidRPr="0096534C">
        <w:rPr>
          <w:rStyle w:val="BodyTextChar"/>
        </w:rPr>
        <w:t xml:space="preserve">Les propositions devront suivre la </w:t>
      </w:r>
      <w:r w:rsidRPr="0096534C">
        <w:rPr>
          <w:rStyle w:val="BodyTextChar"/>
          <w:b/>
        </w:rPr>
        <w:t>procédure standard de soumission et d’évaluation</w:t>
      </w:r>
      <w:r w:rsidRPr="0096534C">
        <w:rPr>
          <w:rStyle w:val="BodyTextChar"/>
        </w:rPr>
        <w:t xml:space="preserve"> (soumission en une étape + évaluation en une étape).</w:t>
      </w:r>
    </w:p>
    <w:p w14:paraId="41F3A922" w14:textId="77777777" w:rsidR="000435C2" w:rsidRPr="0096534C" w:rsidRDefault="008B332B">
      <w:pPr>
        <w:pStyle w:val="BodyText"/>
        <w:spacing w:after="200"/>
        <w:jc w:val="both"/>
      </w:pPr>
      <w:r w:rsidRPr="0096534C">
        <w:rPr>
          <w:rStyle w:val="BodyTextChar"/>
        </w:rPr>
        <w:t xml:space="preserve">Un </w:t>
      </w:r>
      <w:r w:rsidRPr="0096534C">
        <w:rPr>
          <w:rStyle w:val="BodyTextChar"/>
          <w:b/>
        </w:rPr>
        <w:t>comité d’évaluation</w:t>
      </w:r>
      <w:r w:rsidRPr="0096534C">
        <w:rPr>
          <w:rStyle w:val="BodyTextChar"/>
        </w:rPr>
        <w:t xml:space="preserve"> (assisté d’experts externes indépendants) évaluera toutes les candidatures. Les propositions seront d’abord contrôlées sous l’angle des </w:t>
      </w:r>
      <w:r w:rsidRPr="0096534C">
        <w:rPr>
          <w:rStyle w:val="BodyTextChar"/>
        </w:rPr>
        <w:lastRenderedPageBreak/>
        <w:t xml:space="preserve">exigences formelles (admissibilité et éligibilité, </w:t>
      </w:r>
      <w:r w:rsidRPr="0096534C">
        <w:rPr>
          <w:rStyle w:val="BodyTextChar"/>
          <w:i/>
        </w:rPr>
        <w:t>voir sections 5 et 6</w:t>
      </w:r>
      <w:r w:rsidRPr="0096534C">
        <w:rPr>
          <w:rStyle w:val="BodyTextChar"/>
        </w:rPr>
        <w:t xml:space="preserve">). Les propositions jugées admissibles et éligibles seront évaluées sur le plan de la capacité opérationnelle et des critères d’attribution </w:t>
      </w:r>
      <w:r w:rsidRPr="0096534C">
        <w:rPr>
          <w:rStyle w:val="BodyTextChar"/>
          <w:i/>
        </w:rPr>
        <w:t>(voir sections 7 et 9)</w:t>
      </w:r>
      <w:r w:rsidRPr="0096534C">
        <w:rPr>
          <w:rStyle w:val="BodyTextChar"/>
        </w:rPr>
        <w:t xml:space="preserve"> puis classées en fonction de leurs notes.</w:t>
      </w:r>
    </w:p>
    <w:p w14:paraId="3BAC5D56" w14:textId="77777777" w:rsidR="000435C2" w:rsidRPr="0096534C" w:rsidRDefault="008B332B">
      <w:pPr>
        <w:pStyle w:val="BodyText"/>
        <w:jc w:val="both"/>
      </w:pPr>
      <w:r w:rsidRPr="0096534C">
        <w:rPr>
          <w:rStyle w:val="BodyTextChar"/>
        </w:rPr>
        <w:t xml:space="preserve">Pour les propositions ayant obtenu la même note, un </w:t>
      </w:r>
      <w:r w:rsidRPr="0096534C">
        <w:rPr>
          <w:rStyle w:val="BodyTextChar"/>
          <w:b/>
        </w:rPr>
        <w:t>ordre de priorité</w:t>
      </w:r>
      <w:r w:rsidRPr="0096534C">
        <w:rPr>
          <w:rStyle w:val="BodyTextChar"/>
        </w:rPr>
        <w:t xml:space="preserve"> sera déterminé selon l’approche </w:t>
      </w:r>
      <w:proofErr w:type="gramStart"/>
      <w:r w:rsidRPr="0096534C">
        <w:rPr>
          <w:rStyle w:val="BodyTextChar"/>
        </w:rPr>
        <w:t>suivante:</w:t>
      </w:r>
      <w:proofErr w:type="gramEnd"/>
    </w:p>
    <w:p w14:paraId="5E8579DE" w14:textId="77777777" w:rsidR="000435C2" w:rsidRPr="0096534C" w:rsidRDefault="008B332B">
      <w:pPr>
        <w:pStyle w:val="BodyText"/>
        <w:ind w:left="300"/>
        <w:jc w:val="both"/>
      </w:pPr>
      <w:proofErr w:type="gramStart"/>
      <w:r w:rsidRPr="0096534C">
        <w:rPr>
          <w:rStyle w:val="BodyTextChar"/>
        </w:rPr>
        <w:t>successivement</w:t>
      </w:r>
      <w:proofErr w:type="gramEnd"/>
      <w:r w:rsidRPr="0096534C">
        <w:rPr>
          <w:rStyle w:val="BodyTextChar"/>
        </w:rPr>
        <w:t xml:space="preserve"> pour chaque groupe de propositions ex æquo, en commençant par le groupe ayant obtenu les meilleures notes et en poursuivant par ordre décroissant:</w:t>
      </w:r>
    </w:p>
    <w:p w14:paraId="41A11A62" w14:textId="77777777" w:rsidR="000435C2" w:rsidRPr="0096534C" w:rsidRDefault="008B332B" w:rsidP="006008C4">
      <w:pPr>
        <w:pStyle w:val="BodyText"/>
        <w:numPr>
          <w:ilvl w:val="0"/>
          <w:numId w:val="21"/>
        </w:numPr>
        <w:tabs>
          <w:tab w:val="left" w:pos="730"/>
        </w:tabs>
        <w:ind w:left="740" w:hanging="360"/>
        <w:jc w:val="both"/>
      </w:pPr>
      <w:r w:rsidRPr="0096534C">
        <w:rPr>
          <w:rStyle w:val="BodyTextChar"/>
        </w:rPr>
        <w:t>Les projets portant sur un thème qui n’est pas couvert par d’autres projets classés seront considérés comme ayant la plus haute priorité.</w:t>
      </w:r>
    </w:p>
    <w:p w14:paraId="5C7DE82F" w14:textId="77777777" w:rsidR="000435C2" w:rsidRPr="0096534C" w:rsidRDefault="008B332B" w:rsidP="006008C4">
      <w:pPr>
        <w:pStyle w:val="BodyText"/>
        <w:numPr>
          <w:ilvl w:val="0"/>
          <w:numId w:val="21"/>
        </w:numPr>
        <w:tabs>
          <w:tab w:val="left" w:pos="730"/>
        </w:tabs>
        <w:ind w:left="740" w:hanging="360"/>
        <w:jc w:val="both"/>
      </w:pPr>
      <w:r w:rsidRPr="0096534C">
        <w:rPr>
          <w:rStyle w:val="BodyTextChar"/>
        </w:rPr>
        <w:t>Les propositions ex æquo dans un même thème seront classées par ordre de priorité en fonction des notes attribuées au critère</w:t>
      </w:r>
      <w:proofErr w:type="gramStart"/>
      <w:r w:rsidRPr="0096534C">
        <w:rPr>
          <w:rStyle w:val="BodyTextChar"/>
        </w:rPr>
        <w:t xml:space="preserve"> «Pertinence</w:t>
      </w:r>
      <w:proofErr w:type="gramEnd"/>
      <w:r w:rsidRPr="0096534C">
        <w:rPr>
          <w:rStyle w:val="BodyTextChar"/>
        </w:rPr>
        <w:t>». Lorsque ces notes sont égales, la priorité sera fondée sur leurs notes au critère</w:t>
      </w:r>
      <w:proofErr w:type="gramStart"/>
      <w:r w:rsidRPr="0096534C">
        <w:rPr>
          <w:rStyle w:val="BodyTextChar"/>
        </w:rPr>
        <w:t xml:space="preserve"> «Pertinence</w:t>
      </w:r>
      <w:proofErr w:type="gramEnd"/>
      <w:r w:rsidRPr="0096534C">
        <w:rPr>
          <w:rStyle w:val="BodyTextChar"/>
        </w:rPr>
        <w:t>». Lorsque ces notes sont égales, la priorité sera fondée sur leurs notes au critère</w:t>
      </w:r>
      <w:proofErr w:type="gramStart"/>
      <w:r w:rsidRPr="0096534C">
        <w:rPr>
          <w:rStyle w:val="BodyTextChar"/>
        </w:rPr>
        <w:t xml:space="preserve"> «Durabilité</w:t>
      </w:r>
      <w:proofErr w:type="gramEnd"/>
      <w:r w:rsidRPr="0096534C">
        <w:rPr>
          <w:rStyle w:val="BodyTextChar"/>
        </w:rPr>
        <w:t>».</w:t>
      </w:r>
    </w:p>
    <w:p w14:paraId="654130F5" w14:textId="77777777" w:rsidR="000435C2" w:rsidRPr="0096534C" w:rsidRDefault="008B332B" w:rsidP="006008C4">
      <w:pPr>
        <w:pStyle w:val="BodyText"/>
        <w:numPr>
          <w:ilvl w:val="0"/>
          <w:numId w:val="21"/>
        </w:numPr>
        <w:tabs>
          <w:tab w:val="left" w:pos="730"/>
        </w:tabs>
        <w:ind w:left="740" w:hanging="360"/>
        <w:jc w:val="both"/>
      </w:pPr>
      <w:r w:rsidRPr="0096534C">
        <w:rPr>
          <w:rStyle w:val="BodyTextChar"/>
        </w:rPr>
        <w:t>Si cela ne permet pas de déterminer la priorité, il est possible d’établir des priorités supplémentaires en tenant compte du portefeuille global du projet et de la création de synergies positives entre projets, ou d’autres facteurs liés aux objectifs de l’appel. Ces facteurs seront documentés dans le rapport émis par l’instance.</w:t>
      </w:r>
    </w:p>
    <w:p w14:paraId="110017B3" w14:textId="77777777" w:rsidR="000435C2" w:rsidRPr="0096534C" w:rsidRDefault="008B332B" w:rsidP="006008C4">
      <w:pPr>
        <w:pStyle w:val="BodyText"/>
        <w:numPr>
          <w:ilvl w:val="0"/>
          <w:numId w:val="21"/>
        </w:numPr>
        <w:tabs>
          <w:tab w:val="left" w:pos="730"/>
        </w:tabs>
        <w:ind w:left="740" w:hanging="360"/>
        <w:jc w:val="both"/>
      </w:pPr>
      <w:r w:rsidRPr="0096534C">
        <w:rPr>
          <w:rStyle w:val="BodyTextChar"/>
        </w:rPr>
        <w:t>Ensuite, le reste du budget disponible pour l’appel sera utilisé pour financer des projets dans les différents thèmes afin de garantir une répartition équilibrée de la couverture géographique et thématique tout en respectant autant que possible l’ordre de mérite basé sur l’évaluation des critères d’attribution.</w:t>
      </w:r>
    </w:p>
    <w:p w14:paraId="4B99E8B2" w14:textId="77777777" w:rsidR="000435C2" w:rsidRPr="0096534C" w:rsidRDefault="008B332B">
      <w:pPr>
        <w:pStyle w:val="BodyText"/>
        <w:spacing w:after="260"/>
        <w:jc w:val="both"/>
      </w:pPr>
      <w:r w:rsidRPr="0096534C">
        <w:rPr>
          <w:rStyle w:val="BodyTextChar"/>
        </w:rPr>
        <w:t>Les candidats de toutes les propositions seront informés du résultat de l’évaluation (</w:t>
      </w:r>
      <w:r w:rsidRPr="0096534C">
        <w:rPr>
          <w:rStyle w:val="BodyTextChar"/>
          <w:b/>
        </w:rPr>
        <w:t>lettre de résultat de l’évaluation</w:t>
      </w:r>
      <w:r w:rsidRPr="0096534C">
        <w:rPr>
          <w:rStyle w:val="BodyTextChar"/>
        </w:rPr>
        <w:t xml:space="preserve">). Si leurs propositions ont été retenues, les candidats seront invités à passer à la préparation de la demande de </w:t>
      </w:r>
      <w:proofErr w:type="gramStart"/>
      <w:r w:rsidRPr="0096534C">
        <w:rPr>
          <w:rStyle w:val="BodyTextChar"/>
        </w:rPr>
        <w:t>subvention;</w:t>
      </w:r>
      <w:proofErr w:type="gramEnd"/>
      <w:r w:rsidRPr="0096534C">
        <w:rPr>
          <w:rStyle w:val="BodyTextChar"/>
        </w:rPr>
        <w:t xml:space="preserve"> les propositions non retenues seront placées sur la liste de réserve ou rejetées.</w:t>
      </w:r>
    </w:p>
    <w:p w14:paraId="6A80D71E" w14:textId="75CE117D" w:rsidR="000435C2" w:rsidRPr="0096534C" w:rsidRDefault="00B219F9">
      <w:pPr>
        <w:pStyle w:val="BodyText"/>
        <w:jc w:val="both"/>
      </w:pPr>
      <w:r w:rsidRPr="0096534C">
        <w:rPr>
          <w:noProof/>
        </w:rPr>
        <w:drawing>
          <wp:inline distT="0" distB="0" distL="0" distR="0" wp14:anchorId="3BD308D5" wp14:editId="2A069CE3">
            <wp:extent cx="151130" cy="151130"/>
            <wp:effectExtent l="0" t="0" r="127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96534C">
        <w:t xml:space="preserve"> </w:t>
      </w:r>
      <w:r w:rsidRPr="0096534C">
        <w:rPr>
          <w:rStyle w:val="BodyTextChar"/>
        </w:rPr>
        <w:t xml:space="preserve">Un engagement de financement/une invitation à préparer la demande de subvention ne constitue PAS un engagement formel de financement. Il nous faudra encore procéder à différents contrôles légaux avant l’octroi de la </w:t>
      </w:r>
      <w:proofErr w:type="gramStart"/>
      <w:r w:rsidRPr="0096534C">
        <w:rPr>
          <w:rStyle w:val="BodyTextChar"/>
        </w:rPr>
        <w:t>subvention:</w:t>
      </w:r>
      <w:proofErr w:type="gramEnd"/>
      <w:r w:rsidRPr="0096534C">
        <w:rPr>
          <w:rStyle w:val="BodyTextChar"/>
        </w:rPr>
        <w:t xml:space="preserve"> </w:t>
      </w:r>
      <w:r w:rsidRPr="0096534C">
        <w:rPr>
          <w:rStyle w:val="BodyTextChar"/>
          <w:i/>
        </w:rPr>
        <w:t>validation de l’entité légale, capacité financière, contrôle d’exclusion, etc.</w:t>
      </w:r>
    </w:p>
    <w:p w14:paraId="6BC98DA9" w14:textId="77777777" w:rsidR="000435C2" w:rsidRPr="0096534C" w:rsidRDefault="008B332B">
      <w:pPr>
        <w:pStyle w:val="BodyText"/>
        <w:jc w:val="both"/>
      </w:pPr>
      <w:r w:rsidRPr="0096534C">
        <w:rPr>
          <w:rStyle w:val="BodyTextChar"/>
        </w:rPr>
        <w:t xml:space="preserve">La </w:t>
      </w:r>
      <w:r w:rsidRPr="0096534C">
        <w:rPr>
          <w:rStyle w:val="BodyTextChar"/>
          <w:b/>
        </w:rPr>
        <w:t>préparation de la demande de subvention</w:t>
      </w:r>
      <w:r w:rsidRPr="0096534C">
        <w:rPr>
          <w:rStyle w:val="BodyTextChar"/>
        </w:rPr>
        <w:t xml:space="preserve"> impliquera un dialogue qui aura pour but d’affiner les aspects techniques ou financiers du projet et pourrait exiger des informations complémentaires de votre part. Elle pourra également inclure des adaptations de la proposition visant à répondre aux recommandations du comité d’évaluation ou à d’autres préoccupations. La conformité constituera une condition préalable à la signature de la subvention.</w:t>
      </w:r>
    </w:p>
    <w:p w14:paraId="2E4C7E96" w14:textId="77777777" w:rsidR="000435C2" w:rsidRPr="0096534C" w:rsidRDefault="008B332B" w:rsidP="004A65E7">
      <w:pPr>
        <w:pStyle w:val="Style9"/>
      </w:pPr>
      <w:r w:rsidRPr="0096534C">
        <w:rPr>
          <w:rStyle w:val="BodyTextChar"/>
        </w:rPr>
        <w:t xml:space="preserve">Si vous estimez que la procédure d’évaluation est entachée d’irrégularité, vous pouvez introduire une </w:t>
      </w:r>
      <w:r w:rsidRPr="0096534C">
        <w:rPr>
          <w:rStyle w:val="BodyTextChar"/>
          <w:b/>
        </w:rPr>
        <w:t>réclamation</w:t>
      </w:r>
      <w:r w:rsidRPr="0096534C">
        <w:rPr>
          <w:rStyle w:val="BodyTextChar"/>
        </w:rPr>
        <w:t xml:space="preserve"> (en respectant les délais et les procédures définis dans la lettre du résultat de l’évaluation). Veuillez noter que les notifications qui n’ont pas été ouvertes dans les 10 jours suivant leur envoi seront considérées comme ayant été consultées et que les délais seront calculés à partir de l’ouverture/la consultation </w:t>
      </w:r>
      <w:r w:rsidRPr="0096534C">
        <w:rPr>
          <w:rStyle w:val="BodyTextChar"/>
          <w:i/>
        </w:rPr>
        <w:t>(voir aussi</w:t>
      </w:r>
      <w:hyperlink r:id="rId35" w:history="1">
        <w:r w:rsidRPr="0096534C">
          <w:rPr>
            <w:rStyle w:val="BodyTextChar"/>
            <w:i/>
          </w:rPr>
          <w:t xml:space="preserve"> </w:t>
        </w:r>
        <w:r w:rsidRPr="0096534C">
          <w:rPr>
            <w:rStyle w:val="BodyTextChar"/>
            <w:i/>
            <w:color w:val="0088CC"/>
            <w:u w:val="single"/>
          </w:rPr>
          <w:t>les Conditions générales du portail</w:t>
        </w:r>
        <w:proofErr w:type="gramStart"/>
        <w:r w:rsidRPr="0096534C">
          <w:rPr>
            <w:rStyle w:val="BodyTextChar"/>
            <w:i/>
            <w:color w:val="0088CC"/>
            <w:u w:val="single"/>
          </w:rPr>
          <w:t xml:space="preserve"> «Funding</w:t>
        </w:r>
        <w:proofErr w:type="gramEnd"/>
        <w:r w:rsidRPr="0096534C">
          <w:rPr>
            <w:rStyle w:val="BodyTextChar"/>
            <w:i/>
            <w:color w:val="0088CC"/>
            <w:u w:val="single"/>
          </w:rPr>
          <w:t xml:space="preserve"> &amp; Tenders»</w:t>
        </w:r>
        <w:r w:rsidRPr="0096534C">
          <w:rPr>
            <w:rStyle w:val="BodyTextChar"/>
            <w:i/>
            <w:u w:val="single"/>
          </w:rPr>
          <w:t>)</w:t>
        </w:r>
      </w:hyperlink>
      <w:r w:rsidRPr="0096534C">
        <w:rPr>
          <w:rStyle w:val="BodyTextChar"/>
        </w:rPr>
        <w:t xml:space="preserve">. Veuillez également noter que pour les réclamations introduites par voie électronique, des </w:t>
      </w:r>
      <w:r w:rsidRPr="0096534C">
        <w:rPr>
          <w:rStyle w:val="BodyTextChar"/>
        </w:rPr>
        <w:lastRenderedPageBreak/>
        <w:t>limitations de caractères peuvent s’appliquer.</w:t>
      </w:r>
    </w:p>
    <w:p w14:paraId="47A11370" w14:textId="28DEFB80" w:rsidR="000435C2" w:rsidRPr="0096534C" w:rsidRDefault="008B332B" w:rsidP="00BF35B3">
      <w:pPr>
        <w:pStyle w:val="Heading1"/>
      </w:pPr>
      <w:bookmarkStart w:id="53" w:name="bookmark55"/>
      <w:bookmarkStart w:id="54" w:name="_Toc185511115"/>
      <w:r w:rsidRPr="0096534C">
        <w:rPr>
          <w:rStyle w:val="Heading3"/>
          <w:b/>
        </w:rPr>
        <w:t>Critères d’attribution</w:t>
      </w:r>
      <w:bookmarkEnd w:id="53"/>
      <w:bookmarkEnd w:id="54"/>
    </w:p>
    <w:p w14:paraId="09738C74" w14:textId="77777777" w:rsidR="000435C2" w:rsidRPr="0096534C" w:rsidRDefault="008B332B">
      <w:pPr>
        <w:pStyle w:val="BodyText"/>
        <w:jc w:val="both"/>
      </w:pPr>
      <w:r w:rsidRPr="0096534C">
        <w:rPr>
          <w:rStyle w:val="BodyTextChar"/>
        </w:rPr>
        <w:t xml:space="preserve">Les </w:t>
      </w:r>
      <w:r w:rsidRPr="0096534C">
        <w:rPr>
          <w:rStyle w:val="BodyTextChar"/>
          <w:b/>
        </w:rPr>
        <w:t xml:space="preserve">critères d’attribution </w:t>
      </w:r>
      <w:r w:rsidRPr="0096534C">
        <w:rPr>
          <w:rStyle w:val="BodyTextChar"/>
        </w:rPr>
        <w:t xml:space="preserve">pour le présent appel sont les </w:t>
      </w:r>
      <w:proofErr w:type="gramStart"/>
      <w:r w:rsidRPr="0096534C">
        <w:rPr>
          <w:rStyle w:val="BodyTextChar"/>
        </w:rPr>
        <w:t>suivants:</w:t>
      </w:r>
      <w:proofErr w:type="gramEnd"/>
    </w:p>
    <w:p w14:paraId="30DFECAC" w14:textId="77777777" w:rsidR="000435C2" w:rsidRPr="0096534C" w:rsidRDefault="008B332B" w:rsidP="006008C4">
      <w:pPr>
        <w:keepNext/>
        <w:keepLines/>
        <w:numPr>
          <w:ilvl w:val="0"/>
          <w:numId w:val="22"/>
        </w:numPr>
        <w:tabs>
          <w:tab w:val="left" w:pos="668"/>
        </w:tabs>
        <w:spacing w:after="120"/>
        <w:ind w:firstLine="360"/>
        <w:jc w:val="both"/>
        <w:rPr>
          <w:b/>
          <w:bCs/>
        </w:rPr>
      </w:pPr>
      <w:bookmarkStart w:id="55" w:name="bookmark58"/>
      <w:r w:rsidRPr="0096534C">
        <w:rPr>
          <w:b/>
          <w:color w:val="A50021"/>
        </w:rPr>
        <w:t>Pertinence (20 points</w:t>
      </w:r>
      <w:proofErr w:type="gramStart"/>
      <w:r w:rsidRPr="0096534C">
        <w:rPr>
          <w:b/>
          <w:color w:val="A50021"/>
        </w:rPr>
        <w:t>):</w:t>
      </w:r>
      <w:bookmarkEnd w:id="55"/>
      <w:proofErr w:type="gramEnd"/>
    </w:p>
    <w:p w14:paraId="1987549C" w14:textId="5A2EF96F" w:rsidR="000435C2" w:rsidRPr="0096534C" w:rsidRDefault="008B332B" w:rsidP="006008C4">
      <w:pPr>
        <w:pStyle w:val="BodyText"/>
        <w:numPr>
          <w:ilvl w:val="0"/>
          <w:numId w:val="20"/>
        </w:numPr>
        <w:spacing w:after="200"/>
        <w:ind w:left="1020" w:hanging="360"/>
        <w:jc w:val="both"/>
      </w:pPr>
      <w:r w:rsidRPr="0096534C">
        <w:rPr>
          <w:rStyle w:val="BodyTextChar"/>
        </w:rPr>
        <w:t xml:space="preserve">Dans quelle mesure la proposition est-elle pertinente par rapport aux objectifs et aux priorités de l’appel à propositions et aux thèmes/secteurs/domaines spécifiques ou à toute autre exigence spécifique qui y est </w:t>
      </w:r>
      <w:proofErr w:type="gramStart"/>
      <w:r w:rsidRPr="0096534C">
        <w:rPr>
          <w:rStyle w:val="BodyTextChar"/>
        </w:rPr>
        <w:t>mentionnée?</w:t>
      </w:r>
      <w:proofErr w:type="gramEnd"/>
      <w:r w:rsidRPr="0096534C">
        <w:rPr>
          <w:rStyle w:val="BodyTextChar"/>
        </w:rPr>
        <w:t xml:space="preserve"> Les résultats attendus de l’action sont-ils alignés sur les priorités définies à la section </w:t>
      </w:r>
      <w:proofErr w:type="gramStart"/>
      <w:r w:rsidRPr="0096534C">
        <w:rPr>
          <w:rStyle w:val="BodyTextChar"/>
        </w:rPr>
        <w:t>2?</w:t>
      </w:r>
      <w:proofErr w:type="gramEnd"/>
    </w:p>
    <w:p w14:paraId="77C59B24" w14:textId="5723FFB3" w:rsidR="000435C2" w:rsidRPr="0096534C" w:rsidRDefault="008B332B" w:rsidP="006008C4">
      <w:pPr>
        <w:pStyle w:val="BodyText"/>
        <w:numPr>
          <w:ilvl w:val="0"/>
          <w:numId w:val="20"/>
        </w:numPr>
        <w:spacing w:after="200"/>
        <w:ind w:left="1020" w:hanging="360"/>
        <w:jc w:val="both"/>
      </w:pPr>
      <w:r w:rsidRPr="0096534C">
        <w:rPr>
          <w:rStyle w:val="BodyTextChar"/>
        </w:rPr>
        <w:t>Dans quelle mesure la proposition est-elle pertinente par rapport aux besoins et contraintes particuliers du ou des pays cibles, de la région ou des secteurs concernés (y compris les synergies avec d’autres initiatives de développement et la prévention des doubles emplois</w:t>
      </w:r>
      <w:proofErr w:type="gramStart"/>
      <w:r w:rsidRPr="0096534C">
        <w:rPr>
          <w:rStyle w:val="BodyTextChar"/>
        </w:rPr>
        <w:t>)?</w:t>
      </w:r>
      <w:proofErr w:type="gramEnd"/>
    </w:p>
    <w:p w14:paraId="72DDB64D" w14:textId="1B1550D8" w:rsidR="000435C2" w:rsidRPr="0096534C" w:rsidRDefault="008B332B" w:rsidP="006008C4">
      <w:pPr>
        <w:pStyle w:val="BodyText"/>
        <w:numPr>
          <w:ilvl w:val="0"/>
          <w:numId w:val="20"/>
        </w:numPr>
        <w:spacing w:after="200"/>
        <w:ind w:left="1020" w:hanging="360"/>
        <w:jc w:val="both"/>
      </w:pPr>
      <w:r w:rsidRPr="0096534C">
        <w:rPr>
          <w:rStyle w:val="BodyTextChar"/>
        </w:rPr>
        <w:t>Dans quelle mesure les acteurs concernés sont-ils clairement définis et choisis d’un point de vue stratégique (bénéficiaires finaux, groupes cibles</w:t>
      </w:r>
      <w:proofErr w:type="gramStart"/>
      <w:r w:rsidRPr="0096534C">
        <w:rPr>
          <w:rStyle w:val="BodyTextChar"/>
        </w:rPr>
        <w:t>)?</w:t>
      </w:r>
      <w:proofErr w:type="gramEnd"/>
      <w:r w:rsidRPr="0096534C">
        <w:rPr>
          <w:rStyle w:val="BodyTextChar"/>
        </w:rPr>
        <w:t xml:space="preserve"> Leurs besoins (en tant que titulaires de droits et/ou sujets d’obligations) et leurs contraintes ont-ils été clairement définis et la proposition y répond-elle de manière </w:t>
      </w:r>
      <w:proofErr w:type="gramStart"/>
      <w:r w:rsidRPr="0096534C">
        <w:rPr>
          <w:rStyle w:val="BodyTextChar"/>
        </w:rPr>
        <w:t>appropriée?</w:t>
      </w:r>
      <w:proofErr w:type="gramEnd"/>
    </w:p>
    <w:p w14:paraId="3EA79C7D" w14:textId="1BCB27A4" w:rsidR="000435C2" w:rsidRPr="0096534C" w:rsidRDefault="008B332B" w:rsidP="006008C4">
      <w:pPr>
        <w:pStyle w:val="BodyText"/>
        <w:numPr>
          <w:ilvl w:val="0"/>
          <w:numId w:val="20"/>
        </w:numPr>
        <w:spacing w:after="200" w:line="254" w:lineRule="auto"/>
        <w:ind w:left="1020" w:hanging="360"/>
        <w:jc w:val="both"/>
      </w:pPr>
      <w:r w:rsidRPr="0096534C">
        <w:rPr>
          <w:rStyle w:val="BodyTextChar"/>
        </w:rPr>
        <w:t>La proposition contient-elle des éléments de valeur ajoutée particuliers (par exemple, innovation, meilleures pratiques</w:t>
      </w:r>
      <w:proofErr w:type="gramStart"/>
      <w:r w:rsidRPr="0096534C">
        <w:rPr>
          <w:rStyle w:val="BodyTextChar"/>
        </w:rPr>
        <w:t>)?</w:t>
      </w:r>
      <w:proofErr w:type="gramEnd"/>
    </w:p>
    <w:p w14:paraId="3F2B2C45" w14:textId="77777777" w:rsidR="000435C2" w:rsidRPr="0096534C" w:rsidRDefault="008B332B" w:rsidP="006008C4">
      <w:pPr>
        <w:keepNext/>
        <w:keepLines/>
        <w:numPr>
          <w:ilvl w:val="0"/>
          <w:numId w:val="22"/>
        </w:numPr>
        <w:tabs>
          <w:tab w:val="left" w:pos="678"/>
        </w:tabs>
        <w:spacing w:after="120"/>
        <w:ind w:firstLine="360"/>
        <w:jc w:val="both"/>
        <w:rPr>
          <w:b/>
          <w:bCs/>
          <w:color w:val="A50021"/>
        </w:rPr>
      </w:pPr>
      <w:bookmarkStart w:id="56" w:name="bookmark60"/>
      <w:r w:rsidRPr="0096534C">
        <w:rPr>
          <w:b/>
          <w:color w:val="A50021"/>
        </w:rPr>
        <w:t>Conception (30 points</w:t>
      </w:r>
      <w:proofErr w:type="gramStart"/>
      <w:r w:rsidRPr="0096534C">
        <w:rPr>
          <w:b/>
          <w:color w:val="A50021"/>
        </w:rPr>
        <w:t>):</w:t>
      </w:r>
      <w:bookmarkEnd w:id="56"/>
      <w:proofErr w:type="gramEnd"/>
    </w:p>
    <w:p w14:paraId="764E2A21" w14:textId="30B09CB3" w:rsidR="000435C2" w:rsidRPr="0096534C" w:rsidRDefault="008B332B" w:rsidP="006008C4">
      <w:pPr>
        <w:pStyle w:val="BodyText"/>
        <w:numPr>
          <w:ilvl w:val="0"/>
          <w:numId w:val="20"/>
        </w:numPr>
        <w:spacing w:after="200"/>
        <w:ind w:left="1020" w:hanging="360"/>
        <w:jc w:val="both"/>
      </w:pPr>
      <w:r w:rsidRPr="0096534C">
        <w:rPr>
          <w:rStyle w:val="BodyTextChar"/>
        </w:rPr>
        <w:t xml:space="preserve">À quel point la conception de l’action est-elle </w:t>
      </w:r>
      <w:proofErr w:type="gramStart"/>
      <w:r w:rsidRPr="0096534C">
        <w:rPr>
          <w:rStyle w:val="BodyTextChar"/>
        </w:rPr>
        <w:t>cohérente?</w:t>
      </w:r>
      <w:proofErr w:type="gramEnd"/>
      <w:r w:rsidRPr="0096534C">
        <w:rPr>
          <w:rStyle w:val="BodyTextChar"/>
        </w:rPr>
        <w:t xml:space="preserve"> La proposition indique-t-elle les résultats attendus de </w:t>
      </w:r>
      <w:proofErr w:type="gramStart"/>
      <w:r w:rsidRPr="0096534C">
        <w:rPr>
          <w:rStyle w:val="BodyTextChar"/>
        </w:rPr>
        <w:t>l’action?</w:t>
      </w:r>
      <w:proofErr w:type="gramEnd"/>
      <w:r w:rsidRPr="0096534C">
        <w:rPr>
          <w:rStyle w:val="BodyTextChar"/>
        </w:rPr>
        <w:t xml:space="preserve"> Les résultats (produits, effets et incidence) sont-ils </w:t>
      </w:r>
      <w:proofErr w:type="gramStart"/>
      <w:r w:rsidRPr="0096534C">
        <w:rPr>
          <w:rStyle w:val="BodyTextChar"/>
        </w:rPr>
        <w:t>réalistes?</w:t>
      </w:r>
      <w:proofErr w:type="gramEnd"/>
    </w:p>
    <w:p w14:paraId="2FB336BD" w14:textId="0278574C" w:rsidR="000435C2" w:rsidRPr="0096534C" w:rsidRDefault="008B332B" w:rsidP="006008C4">
      <w:pPr>
        <w:pStyle w:val="BodyText"/>
        <w:numPr>
          <w:ilvl w:val="0"/>
          <w:numId w:val="20"/>
        </w:numPr>
        <w:spacing w:after="200"/>
        <w:ind w:left="1020" w:hanging="360"/>
        <w:jc w:val="both"/>
      </w:pPr>
      <w:r w:rsidRPr="0096534C">
        <w:rPr>
          <w:rStyle w:val="BodyTextChar"/>
        </w:rPr>
        <w:t xml:space="preserve">La logique d’intervention explique-t-elle la raison d’être de l’obtention des résultats </w:t>
      </w:r>
      <w:proofErr w:type="gramStart"/>
      <w:r w:rsidRPr="0096534C">
        <w:rPr>
          <w:rStyle w:val="BodyTextChar"/>
        </w:rPr>
        <w:t>attendus?</w:t>
      </w:r>
      <w:proofErr w:type="gramEnd"/>
      <w:r w:rsidRPr="0096534C">
        <w:rPr>
          <w:rStyle w:val="BodyTextChar"/>
        </w:rPr>
        <w:t xml:space="preserve"> Les activités proposées sont-elles appropriées, pratiques et cohérentes avec les produits et le(s) résultat(s) envisagés et conformes à la section </w:t>
      </w:r>
      <w:proofErr w:type="gramStart"/>
      <w:r w:rsidRPr="0096534C">
        <w:rPr>
          <w:rStyle w:val="BodyTextChar"/>
        </w:rPr>
        <w:t>2?</w:t>
      </w:r>
      <w:proofErr w:type="gramEnd"/>
    </w:p>
    <w:p w14:paraId="0947C927" w14:textId="5DB9B109" w:rsidR="000435C2" w:rsidRPr="0096534C" w:rsidRDefault="008B332B" w:rsidP="006008C4">
      <w:pPr>
        <w:pStyle w:val="BodyText"/>
        <w:numPr>
          <w:ilvl w:val="0"/>
          <w:numId w:val="20"/>
        </w:numPr>
        <w:spacing w:after="200" w:line="259" w:lineRule="auto"/>
        <w:ind w:left="1020" w:hanging="360"/>
        <w:jc w:val="both"/>
      </w:pPr>
      <w:r w:rsidRPr="0096534C">
        <w:rPr>
          <w:rStyle w:val="BodyTextChar"/>
        </w:rPr>
        <w:t xml:space="preserve">La conception reflète-t-elle une analyse solide des problèmes en cause et des capacités des parties prenantes </w:t>
      </w:r>
      <w:proofErr w:type="gramStart"/>
      <w:r w:rsidRPr="0096534C">
        <w:rPr>
          <w:rStyle w:val="BodyTextChar"/>
        </w:rPr>
        <w:t>concernées?</w:t>
      </w:r>
      <w:proofErr w:type="gramEnd"/>
    </w:p>
    <w:p w14:paraId="21FCA480" w14:textId="37C9897A" w:rsidR="000435C2" w:rsidRPr="0096534C" w:rsidRDefault="008B332B" w:rsidP="006008C4">
      <w:pPr>
        <w:pStyle w:val="BodyText"/>
        <w:numPr>
          <w:ilvl w:val="0"/>
          <w:numId w:val="20"/>
        </w:numPr>
        <w:spacing w:after="200"/>
        <w:ind w:firstLine="660"/>
        <w:jc w:val="both"/>
      </w:pPr>
      <w:r w:rsidRPr="0096534C">
        <w:rPr>
          <w:rStyle w:val="BodyTextChar"/>
        </w:rPr>
        <w:t>La conception prend-elle en compte des facteurs externes (risques et hypothèses</w:t>
      </w:r>
      <w:proofErr w:type="gramStart"/>
      <w:r w:rsidRPr="0096534C">
        <w:rPr>
          <w:rStyle w:val="BodyTextChar"/>
        </w:rPr>
        <w:t>)?</w:t>
      </w:r>
      <w:proofErr w:type="gramEnd"/>
    </w:p>
    <w:p w14:paraId="743F9957" w14:textId="49ABEAAE" w:rsidR="000435C2" w:rsidRPr="0096534C" w:rsidRDefault="008B332B" w:rsidP="006008C4">
      <w:pPr>
        <w:pStyle w:val="BodyText"/>
        <w:numPr>
          <w:ilvl w:val="0"/>
          <w:numId w:val="20"/>
        </w:numPr>
        <w:spacing w:after="200"/>
        <w:ind w:left="1020" w:hanging="360"/>
        <w:jc w:val="both"/>
      </w:pPr>
      <w:r w:rsidRPr="0096534C">
        <w:rPr>
          <w:rStyle w:val="BodyTextChar"/>
        </w:rPr>
        <w:t xml:space="preserve">Les programmes universitaires proposés pour la mobilité des étudiants et les activités de mobilité des stagiaires et du personnel sont-ils appropriés pour atteindre les objectifs du </w:t>
      </w:r>
      <w:proofErr w:type="gramStart"/>
      <w:r w:rsidRPr="0096534C">
        <w:rPr>
          <w:rStyle w:val="BodyTextChar"/>
        </w:rPr>
        <w:t>projet?</w:t>
      </w:r>
      <w:proofErr w:type="gramEnd"/>
    </w:p>
    <w:p w14:paraId="46EA8C73" w14:textId="6356FB7C" w:rsidR="000435C2" w:rsidRPr="0096534C" w:rsidRDefault="008B332B" w:rsidP="006008C4">
      <w:pPr>
        <w:pStyle w:val="BodyText"/>
        <w:numPr>
          <w:ilvl w:val="0"/>
          <w:numId w:val="20"/>
        </w:numPr>
        <w:spacing w:after="200"/>
        <w:ind w:left="1020" w:hanging="360"/>
        <w:jc w:val="both"/>
      </w:pPr>
      <w:r w:rsidRPr="0096534C">
        <w:rPr>
          <w:rStyle w:val="BodyTextChar"/>
        </w:rPr>
        <w:t xml:space="preserve">Dans quelle mesure la proposition intègre-t-elle des éléments transversaux pertinents tels que les questions liées à l’environnement et au changement climatique, la promotion de l’égalité des sexes et de l’égalité des chances, les besoins des personnes </w:t>
      </w:r>
      <w:proofErr w:type="gramStart"/>
      <w:r w:rsidRPr="0096534C">
        <w:rPr>
          <w:rStyle w:val="BodyTextChar"/>
        </w:rPr>
        <w:t>vulnérables?</w:t>
      </w:r>
      <w:proofErr w:type="gramEnd"/>
    </w:p>
    <w:p w14:paraId="2F1AFCB5" w14:textId="1AFAC1EE" w:rsidR="000435C2" w:rsidRPr="0096534C" w:rsidRDefault="008B332B" w:rsidP="006008C4">
      <w:pPr>
        <w:pStyle w:val="BodyText"/>
        <w:numPr>
          <w:ilvl w:val="0"/>
          <w:numId w:val="20"/>
        </w:numPr>
        <w:spacing w:after="200"/>
        <w:ind w:left="1020" w:hanging="360"/>
        <w:jc w:val="both"/>
      </w:pPr>
      <w:r w:rsidRPr="0096534C">
        <w:rPr>
          <w:rStyle w:val="BodyTextChar"/>
        </w:rPr>
        <w:t xml:space="preserve">Dans quelle mesure la proposition inclut-elle des pays et des demandeurs ayant des niveaux d’expérience différents dans le programme (c’est-à-dire un équilibre entre des universités ayant des capacités et une expérience différentes) et un plan visant à associer et à renforcer les capacités des demandeurs moins </w:t>
      </w:r>
      <w:proofErr w:type="gramStart"/>
      <w:r w:rsidRPr="0096534C">
        <w:rPr>
          <w:rStyle w:val="BodyTextChar"/>
        </w:rPr>
        <w:t>expérimentés?</w:t>
      </w:r>
      <w:proofErr w:type="gramEnd"/>
    </w:p>
    <w:p w14:paraId="395D78EE" w14:textId="77777777" w:rsidR="000435C2" w:rsidRPr="0096534C" w:rsidRDefault="008B332B" w:rsidP="006008C4">
      <w:pPr>
        <w:keepNext/>
        <w:keepLines/>
        <w:numPr>
          <w:ilvl w:val="0"/>
          <w:numId w:val="22"/>
        </w:numPr>
        <w:tabs>
          <w:tab w:val="left" w:pos="678"/>
        </w:tabs>
        <w:spacing w:after="120"/>
        <w:jc w:val="both"/>
        <w:rPr>
          <w:b/>
          <w:bCs/>
          <w:color w:val="A50021"/>
        </w:rPr>
      </w:pPr>
      <w:bookmarkStart w:id="57" w:name="bookmark62"/>
      <w:r w:rsidRPr="0096534C">
        <w:rPr>
          <w:b/>
          <w:color w:val="A50021"/>
        </w:rPr>
        <w:lastRenderedPageBreak/>
        <w:t>Mise en œuvre (35 points</w:t>
      </w:r>
      <w:proofErr w:type="gramStart"/>
      <w:r w:rsidRPr="0096534C">
        <w:rPr>
          <w:b/>
          <w:color w:val="A50021"/>
        </w:rPr>
        <w:t>):</w:t>
      </w:r>
      <w:bookmarkEnd w:id="57"/>
      <w:proofErr w:type="gramEnd"/>
    </w:p>
    <w:p w14:paraId="51F51FBF" w14:textId="046C993C" w:rsidR="000435C2" w:rsidRPr="0096534C" w:rsidRDefault="008B332B" w:rsidP="006008C4">
      <w:pPr>
        <w:pStyle w:val="BodyText"/>
        <w:numPr>
          <w:ilvl w:val="0"/>
          <w:numId w:val="20"/>
        </w:numPr>
        <w:spacing w:after="200" w:line="254" w:lineRule="auto"/>
        <w:ind w:left="1020" w:hanging="360"/>
        <w:jc w:val="both"/>
        <w:rPr>
          <w:rStyle w:val="BodyTextChar"/>
        </w:rPr>
      </w:pPr>
      <w:r w:rsidRPr="0096534C">
        <w:rPr>
          <w:rStyle w:val="BodyTextChar"/>
        </w:rPr>
        <w:t xml:space="preserve">Le plan de travail pour la mise en œuvre de l’action est-il clair et </w:t>
      </w:r>
      <w:proofErr w:type="gramStart"/>
      <w:r w:rsidRPr="0096534C">
        <w:rPr>
          <w:rStyle w:val="BodyTextChar"/>
        </w:rPr>
        <w:t>réalisable?</w:t>
      </w:r>
      <w:proofErr w:type="gramEnd"/>
      <w:r w:rsidRPr="0096534C">
        <w:rPr>
          <w:rStyle w:val="BodyTextChar"/>
        </w:rPr>
        <w:t xml:space="preserve"> Le calendrier est-elle </w:t>
      </w:r>
      <w:proofErr w:type="gramStart"/>
      <w:r w:rsidRPr="0096534C">
        <w:rPr>
          <w:rStyle w:val="BodyTextChar"/>
        </w:rPr>
        <w:t>réaliste?</w:t>
      </w:r>
      <w:proofErr w:type="gramEnd"/>
    </w:p>
    <w:p w14:paraId="43CFC1B2" w14:textId="553F3D0E" w:rsidR="000435C2" w:rsidRPr="0096534C" w:rsidRDefault="008B332B" w:rsidP="006008C4">
      <w:pPr>
        <w:pStyle w:val="BodyText"/>
        <w:numPr>
          <w:ilvl w:val="0"/>
          <w:numId w:val="20"/>
        </w:numPr>
        <w:spacing w:after="200" w:line="254" w:lineRule="auto"/>
        <w:ind w:left="1020" w:hanging="360"/>
        <w:jc w:val="both"/>
        <w:rPr>
          <w:rStyle w:val="BodyTextChar"/>
        </w:rPr>
      </w:pPr>
      <w:r w:rsidRPr="0096534C">
        <w:rPr>
          <w:rStyle w:val="BodyTextChar"/>
        </w:rPr>
        <w:t xml:space="preserve">Les modalités de coopération, les organes de direction et les outils de gestion proposés sont-ils appropriés pour garantir une gestion de projet et une mise en œuvre efficaces du programme de </w:t>
      </w:r>
      <w:proofErr w:type="gramStart"/>
      <w:r w:rsidRPr="0096534C">
        <w:rPr>
          <w:rStyle w:val="BodyTextChar"/>
        </w:rPr>
        <w:t>mobilité?</w:t>
      </w:r>
      <w:proofErr w:type="gramEnd"/>
    </w:p>
    <w:p w14:paraId="1446A54E" w14:textId="76162D01" w:rsidR="000435C2" w:rsidRPr="0096534C" w:rsidRDefault="008B332B" w:rsidP="006008C4">
      <w:pPr>
        <w:pStyle w:val="BodyText"/>
        <w:numPr>
          <w:ilvl w:val="0"/>
          <w:numId w:val="20"/>
        </w:numPr>
        <w:spacing w:after="200" w:line="254" w:lineRule="auto"/>
        <w:ind w:left="1020" w:hanging="360"/>
        <w:jc w:val="both"/>
        <w:rPr>
          <w:rStyle w:val="BodyTextChar"/>
        </w:rPr>
      </w:pPr>
      <w:r w:rsidRPr="0096534C">
        <w:rPr>
          <w:rStyle w:val="BodyTextChar"/>
        </w:rPr>
        <w:t xml:space="preserve">La proposition prévoit-elle un système de suivi efficace et </w:t>
      </w:r>
      <w:proofErr w:type="gramStart"/>
      <w:r w:rsidRPr="0096534C">
        <w:rPr>
          <w:rStyle w:val="BodyTextChar"/>
        </w:rPr>
        <w:t>efficient?</w:t>
      </w:r>
      <w:proofErr w:type="gramEnd"/>
      <w:r w:rsidRPr="0096534C">
        <w:rPr>
          <w:rStyle w:val="BodyTextChar"/>
        </w:rPr>
        <w:t xml:space="preserve"> Une évaluation est-elle prévue (interne ou externe, pendant et/ou à la fin de la mise en œuvre</w:t>
      </w:r>
      <w:proofErr w:type="gramStart"/>
      <w:r w:rsidRPr="0096534C">
        <w:rPr>
          <w:rStyle w:val="BodyTextChar"/>
        </w:rPr>
        <w:t>)?</w:t>
      </w:r>
      <w:proofErr w:type="gramEnd"/>
      <w:r w:rsidRPr="0096534C">
        <w:rPr>
          <w:rStyle w:val="BodyTextChar"/>
        </w:rPr>
        <w:t xml:space="preserve"> Inclut-elle des outils/indicateurs pour mesurer l’impact du projet sur les plans individuel, institutionnel et national/</w:t>
      </w:r>
      <w:proofErr w:type="gramStart"/>
      <w:r w:rsidRPr="0096534C">
        <w:rPr>
          <w:rStyle w:val="BodyTextChar"/>
        </w:rPr>
        <w:t>régional?</w:t>
      </w:r>
      <w:proofErr w:type="gramEnd"/>
    </w:p>
    <w:p w14:paraId="75405A6E" w14:textId="4BC98748" w:rsidR="000435C2" w:rsidRPr="0096534C" w:rsidRDefault="008B332B" w:rsidP="006008C4">
      <w:pPr>
        <w:pStyle w:val="BodyText"/>
        <w:numPr>
          <w:ilvl w:val="0"/>
          <w:numId w:val="20"/>
        </w:numPr>
        <w:spacing w:after="200" w:line="254" w:lineRule="auto"/>
        <w:ind w:left="720" w:hanging="360"/>
        <w:jc w:val="both"/>
        <w:rPr>
          <w:rStyle w:val="BodyTextChar"/>
        </w:rPr>
      </w:pPr>
      <w:r w:rsidRPr="0096534C">
        <w:rPr>
          <w:rStyle w:val="BodyTextChar"/>
        </w:rPr>
        <w:t xml:space="preserve">La proposition prévoit-elle des mesures appropriées pour évaluer l’offre universitaire et l’offre de stages et pour assurer le suivi des activités des </w:t>
      </w:r>
      <w:proofErr w:type="gramStart"/>
      <w:r w:rsidRPr="0096534C">
        <w:rPr>
          <w:rStyle w:val="BodyTextChar"/>
        </w:rPr>
        <w:t>boursiers?</w:t>
      </w:r>
      <w:proofErr w:type="gramEnd"/>
    </w:p>
    <w:p w14:paraId="09C5BA11" w14:textId="0C5D002C" w:rsidR="000435C2" w:rsidRPr="0096534C" w:rsidRDefault="008B332B" w:rsidP="006008C4">
      <w:pPr>
        <w:pStyle w:val="BodyText"/>
        <w:numPr>
          <w:ilvl w:val="0"/>
          <w:numId w:val="20"/>
        </w:numPr>
        <w:spacing w:after="200" w:line="254" w:lineRule="auto"/>
        <w:ind w:firstLine="720"/>
        <w:jc w:val="both"/>
        <w:rPr>
          <w:rStyle w:val="BodyTextChar"/>
        </w:rPr>
      </w:pPr>
      <w:r w:rsidRPr="0096534C">
        <w:rPr>
          <w:rStyle w:val="BodyTextChar"/>
        </w:rPr>
        <w:t xml:space="preserve">Le niveau d’implication et de participation des demandeurs dans l’action est-il </w:t>
      </w:r>
      <w:proofErr w:type="gramStart"/>
      <w:r w:rsidRPr="0096534C">
        <w:rPr>
          <w:rStyle w:val="BodyTextChar"/>
        </w:rPr>
        <w:t>satisfaisant?</w:t>
      </w:r>
      <w:proofErr w:type="gramEnd"/>
    </w:p>
    <w:p w14:paraId="1D5EBF14" w14:textId="7C492A24" w:rsidR="000435C2" w:rsidRPr="0096534C" w:rsidRDefault="008B332B" w:rsidP="006008C4">
      <w:pPr>
        <w:pStyle w:val="BodyText"/>
        <w:numPr>
          <w:ilvl w:val="0"/>
          <w:numId w:val="20"/>
        </w:numPr>
        <w:spacing w:after="200" w:line="254" w:lineRule="auto"/>
        <w:ind w:left="720"/>
        <w:jc w:val="both"/>
        <w:rPr>
          <w:rStyle w:val="BodyTextChar"/>
        </w:rPr>
      </w:pPr>
      <w:r w:rsidRPr="0096534C">
        <w:rPr>
          <w:rStyle w:val="BodyTextChar"/>
        </w:rPr>
        <w:t xml:space="preserve">Existe-t-il des plans adéquats pour intégrer les organisations qui accueillent la mobilité des stagiaires dans le projet ainsi que d’autres organisations pertinentes susceptibles de contribuer à la réalisation des résultats du </w:t>
      </w:r>
      <w:proofErr w:type="gramStart"/>
      <w:r w:rsidRPr="0096534C">
        <w:rPr>
          <w:rStyle w:val="BodyTextChar"/>
        </w:rPr>
        <w:t>projet?</w:t>
      </w:r>
      <w:proofErr w:type="gramEnd"/>
    </w:p>
    <w:p w14:paraId="56D523C1" w14:textId="7AC11D33" w:rsidR="000435C2" w:rsidRPr="0096534C" w:rsidRDefault="008B332B" w:rsidP="006008C4">
      <w:pPr>
        <w:pStyle w:val="BodyText"/>
        <w:numPr>
          <w:ilvl w:val="0"/>
          <w:numId w:val="20"/>
        </w:numPr>
        <w:spacing w:after="200" w:line="254" w:lineRule="auto"/>
        <w:ind w:left="720" w:hanging="360"/>
        <w:jc w:val="both"/>
        <w:rPr>
          <w:rStyle w:val="BodyTextChar"/>
        </w:rPr>
      </w:pPr>
      <w:r w:rsidRPr="0096534C">
        <w:rPr>
          <w:rStyle w:val="BodyTextChar"/>
        </w:rPr>
        <w:t xml:space="preserve">La proposition comprend-elle une stratégie de communication et de diffusion </w:t>
      </w:r>
      <w:proofErr w:type="gramStart"/>
      <w:r w:rsidRPr="0096534C">
        <w:rPr>
          <w:rStyle w:val="BodyTextChar"/>
        </w:rPr>
        <w:t>appropriée?</w:t>
      </w:r>
      <w:proofErr w:type="gramEnd"/>
    </w:p>
    <w:p w14:paraId="49C97F03" w14:textId="77777777" w:rsidR="000435C2" w:rsidRPr="0096534C" w:rsidRDefault="008B332B" w:rsidP="006008C4">
      <w:pPr>
        <w:keepNext/>
        <w:keepLines/>
        <w:numPr>
          <w:ilvl w:val="0"/>
          <w:numId w:val="22"/>
        </w:numPr>
        <w:tabs>
          <w:tab w:val="left" w:pos="678"/>
        </w:tabs>
        <w:spacing w:after="120"/>
        <w:jc w:val="both"/>
        <w:rPr>
          <w:b/>
          <w:bCs/>
          <w:color w:val="A50021"/>
        </w:rPr>
      </w:pPr>
      <w:bookmarkStart w:id="58" w:name="bookmark64"/>
      <w:r w:rsidRPr="0096534C">
        <w:rPr>
          <w:b/>
          <w:color w:val="A50021"/>
        </w:rPr>
        <w:t>Durabilité (15 points</w:t>
      </w:r>
      <w:proofErr w:type="gramStart"/>
      <w:r w:rsidRPr="0096534C">
        <w:rPr>
          <w:b/>
          <w:color w:val="A50021"/>
        </w:rPr>
        <w:t>):</w:t>
      </w:r>
      <w:bookmarkEnd w:id="58"/>
      <w:proofErr w:type="gramEnd"/>
    </w:p>
    <w:p w14:paraId="521A7ACB" w14:textId="77777777" w:rsidR="000435C2" w:rsidRPr="0096534C" w:rsidRDefault="008B332B" w:rsidP="006008C4">
      <w:pPr>
        <w:pStyle w:val="BodyText"/>
        <w:numPr>
          <w:ilvl w:val="0"/>
          <w:numId w:val="23"/>
        </w:numPr>
        <w:tabs>
          <w:tab w:val="left" w:pos="728"/>
        </w:tabs>
        <w:spacing w:after="200"/>
        <w:ind w:firstLine="360"/>
        <w:jc w:val="both"/>
      </w:pPr>
      <w:r w:rsidRPr="0096534C">
        <w:rPr>
          <w:rStyle w:val="BodyTextChar"/>
        </w:rPr>
        <w:t xml:space="preserve">L’action est-elle susceptible de garantir des avantages durables aux groupes </w:t>
      </w:r>
      <w:proofErr w:type="gramStart"/>
      <w:r w:rsidRPr="0096534C">
        <w:rPr>
          <w:rStyle w:val="BodyTextChar"/>
        </w:rPr>
        <w:t>cibles?</w:t>
      </w:r>
      <w:proofErr w:type="gramEnd"/>
    </w:p>
    <w:p w14:paraId="5CE59C61" w14:textId="77777777" w:rsidR="000435C2" w:rsidRPr="0096534C" w:rsidRDefault="008B332B">
      <w:pPr>
        <w:pStyle w:val="BodyText"/>
        <w:tabs>
          <w:tab w:val="left" w:pos="728"/>
        </w:tabs>
        <w:spacing w:after="0"/>
        <w:ind w:firstLine="360"/>
        <w:jc w:val="both"/>
      </w:pPr>
      <w:r w:rsidRPr="0096534C">
        <w:rPr>
          <w:rStyle w:val="BodyTextChar"/>
        </w:rPr>
        <w:t>-</w:t>
      </w:r>
      <w:r w:rsidRPr="0096534C">
        <w:rPr>
          <w:rStyle w:val="BodyTextChar"/>
        </w:rPr>
        <w:tab/>
        <w:t>L’action est-elle susceptible d’avoir des effets multiplicateurs, y compris des possibilités de reproduction,</w:t>
      </w:r>
    </w:p>
    <w:p w14:paraId="6FAD1EE2" w14:textId="77777777" w:rsidR="000435C2" w:rsidRPr="0096534C" w:rsidRDefault="008B332B">
      <w:pPr>
        <w:pStyle w:val="BodyText"/>
        <w:spacing w:after="200"/>
        <w:ind w:firstLine="720"/>
      </w:pPr>
      <w:proofErr w:type="gramStart"/>
      <w:r w:rsidRPr="0096534C">
        <w:rPr>
          <w:rStyle w:val="BodyTextChar"/>
        </w:rPr>
        <w:t>de</w:t>
      </w:r>
      <w:proofErr w:type="gramEnd"/>
      <w:r w:rsidRPr="0096534C">
        <w:rPr>
          <w:rStyle w:val="BodyTextChar"/>
        </w:rPr>
        <w:t xml:space="preserve"> capitalisation sur la base de l’expérience et de partage des connaissances?</w:t>
      </w:r>
    </w:p>
    <w:p w14:paraId="5F86C8A6" w14:textId="77777777" w:rsidR="000435C2" w:rsidRPr="0096534C" w:rsidRDefault="008B332B" w:rsidP="006008C4">
      <w:pPr>
        <w:pStyle w:val="BodyText"/>
        <w:numPr>
          <w:ilvl w:val="0"/>
          <w:numId w:val="23"/>
        </w:numPr>
        <w:tabs>
          <w:tab w:val="left" w:pos="728"/>
        </w:tabs>
        <w:spacing w:after="200"/>
        <w:ind w:firstLine="360"/>
      </w:pPr>
      <w:r w:rsidRPr="0096534C">
        <w:rPr>
          <w:rStyle w:val="BodyTextChar"/>
        </w:rPr>
        <w:t xml:space="preserve">Les résultats attendus de l’action proposée sont-ils </w:t>
      </w:r>
      <w:proofErr w:type="gramStart"/>
      <w:r w:rsidRPr="0096534C">
        <w:rPr>
          <w:rStyle w:val="BodyTextChar"/>
        </w:rPr>
        <w:t>durables?</w:t>
      </w:r>
      <w:proofErr w:type="gramEnd"/>
    </w:p>
    <w:p w14:paraId="50CC6E95" w14:textId="77777777" w:rsidR="000435C2" w:rsidRPr="0096534C" w:rsidRDefault="008B332B" w:rsidP="006008C4">
      <w:pPr>
        <w:pStyle w:val="BodyText"/>
        <w:numPr>
          <w:ilvl w:val="0"/>
          <w:numId w:val="24"/>
        </w:numPr>
        <w:tabs>
          <w:tab w:val="left" w:pos="1095"/>
        </w:tabs>
        <w:spacing w:after="200"/>
        <w:ind w:left="1140" w:hanging="360"/>
        <w:jc w:val="both"/>
      </w:pPr>
      <w:proofErr w:type="gramStart"/>
      <w:r w:rsidRPr="0096534C">
        <w:rPr>
          <w:rStyle w:val="BodyTextChar"/>
        </w:rPr>
        <w:t>sur</w:t>
      </w:r>
      <w:proofErr w:type="gramEnd"/>
      <w:r w:rsidRPr="0096534C">
        <w:rPr>
          <w:rStyle w:val="BodyTextChar"/>
        </w:rPr>
        <w:t xml:space="preserve"> le plan financier (par exemple, financement des activités de suivi, sources de revenus pour couvrir tous les coûts d’exploitation et d’entretien futurs)</w:t>
      </w:r>
    </w:p>
    <w:p w14:paraId="4DBB21A5" w14:textId="77777777" w:rsidR="000435C2" w:rsidRPr="0096534C" w:rsidRDefault="008B332B" w:rsidP="006008C4">
      <w:pPr>
        <w:pStyle w:val="BodyText"/>
        <w:numPr>
          <w:ilvl w:val="0"/>
          <w:numId w:val="24"/>
        </w:numPr>
        <w:tabs>
          <w:tab w:val="left" w:pos="1095"/>
        </w:tabs>
        <w:spacing w:after="200"/>
        <w:ind w:left="1140" w:hanging="360"/>
        <w:jc w:val="both"/>
      </w:pPr>
      <w:proofErr w:type="gramStart"/>
      <w:r w:rsidRPr="0096534C">
        <w:rPr>
          <w:rStyle w:val="BodyTextChar"/>
        </w:rPr>
        <w:t>sur</w:t>
      </w:r>
      <w:proofErr w:type="gramEnd"/>
      <w:r w:rsidRPr="0096534C">
        <w:rPr>
          <w:rStyle w:val="BodyTextChar"/>
        </w:rPr>
        <w:t xml:space="preserve"> le plan institutionnel (les structures permettront-elles de maintenir les résultats de l’action au terme de celle-ci? y aura-t-il une «appropriation» locale des résultats de l’action?)</w:t>
      </w:r>
    </w:p>
    <w:p w14:paraId="5AD30FFB" w14:textId="40903C65" w:rsidR="000435C2" w:rsidRPr="0096534C" w:rsidRDefault="008B332B" w:rsidP="006008C4">
      <w:pPr>
        <w:pStyle w:val="BodyText"/>
        <w:numPr>
          <w:ilvl w:val="0"/>
          <w:numId w:val="24"/>
        </w:numPr>
        <w:tabs>
          <w:tab w:val="left" w:pos="1106"/>
        </w:tabs>
        <w:spacing w:after="200"/>
        <w:ind w:left="1140"/>
        <w:jc w:val="both"/>
      </w:pPr>
      <w:proofErr w:type="gramStart"/>
      <w:r w:rsidRPr="0096534C">
        <w:rPr>
          <w:rStyle w:val="BodyTextChar"/>
        </w:rPr>
        <w:t>au</w:t>
      </w:r>
      <w:proofErr w:type="gramEnd"/>
      <w:r w:rsidRPr="0096534C">
        <w:rPr>
          <w:rStyle w:val="BodyTextChar"/>
        </w:rPr>
        <w:t xml:space="preserve"> niveau politique (le cas échéant) (quelle sera l’incidence structurelle de l’action, par exemple l’amélioration de la législation, des codes de conduite, des méthodes)</w:t>
      </w:r>
    </w:p>
    <w:p w14:paraId="4F1B5FBA" w14:textId="28857646" w:rsidR="000435C2" w:rsidRPr="0096534C" w:rsidRDefault="008B332B" w:rsidP="006008C4">
      <w:pPr>
        <w:pStyle w:val="BodyText"/>
        <w:numPr>
          <w:ilvl w:val="0"/>
          <w:numId w:val="24"/>
        </w:numPr>
        <w:tabs>
          <w:tab w:val="left" w:pos="1106"/>
        </w:tabs>
        <w:spacing w:after="660"/>
        <w:ind w:left="1140"/>
        <w:jc w:val="both"/>
      </w:pPr>
      <w:proofErr w:type="gramStart"/>
      <w:r w:rsidRPr="0096534C">
        <w:rPr>
          <w:rStyle w:val="BodyTextChar"/>
        </w:rPr>
        <w:t>sur</w:t>
      </w:r>
      <w:proofErr w:type="gramEnd"/>
      <w:r w:rsidRPr="0096534C">
        <w:rPr>
          <w:rStyle w:val="BodyTextChar"/>
        </w:rPr>
        <w:t xml:space="preserve"> le plan environnemental (le cas échéant) (l’action aura-t-elle une incidence positive/négative sur l’environnement?)</w:t>
      </w:r>
    </w:p>
    <w:tbl>
      <w:tblPr>
        <w:tblOverlap w:val="never"/>
        <w:tblW w:w="4841" w:type="pct"/>
        <w:jc w:val="right"/>
        <w:tblBorders>
          <w:top w:val="single" w:sz="24" w:space="0" w:color="D0CECE" w:themeColor="background2" w:themeShade="E6"/>
          <w:left w:val="single" w:sz="24" w:space="0" w:color="D0CECE" w:themeColor="background2" w:themeShade="E6"/>
          <w:bottom w:val="single" w:sz="24" w:space="0" w:color="D0CECE" w:themeColor="background2" w:themeShade="E6"/>
          <w:right w:val="single" w:sz="24" w:space="0" w:color="D0CECE" w:themeColor="background2" w:themeShade="E6"/>
          <w:insideH w:val="single" w:sz="24" w:space="0" w:color="D0CECE" w:themeColor="background2" w:themeShade="E6"/>
          <w:insideV w:val="single" w:sz="24" w:space="0" w:color="D0CECE" w:themeColor="background2" w:themeShade="E6"/>
        </w:tblBorders>
        <w:tblCellMar>
          <w:top w:w="28" w:type="dxa"/>
          <w:left w:w="57" w:type="dxa"/>
          <w:bottom w:w="28" w:type="dxa"/>
          <w:right w:w="57" w:type="dxa"/>
        </w:tblCellMar>
        <w:tblLook w:val="0000" w:firstRow="0" w:lastRow="0" w:firstColumn="0" w:lastColumn="0" w:noHBand="0" w:noVBand="0"/>
      </w:tblPr>
      <w:tblGrid>
        <w:gridCol w:w="5660"/>
        <w:gridCol w:w="1240"/>
        <w:gridCol w:w="1314"/>
      </w:tblGrid>
      <w:tr w:rsidR="000435C2" w:rsidRPr="0096534C" w14:paraId="4D0DCFA9" w14:textId="77777777" w:rsidTr="00BF0FEB">
        <w:trPr>
          <w:trHeight w:val="20"/>
          <w:jc w:val="right"/>
        </w:trPr>
        <w:tc>
          <w:tcPr>
            <w:tcW w:w="3445" w:type="pct"/>
            <w:shd w:val="clear" w:color="auto" w:fill="D9D9D9"/>
            <w:vAlign w:val="center"/>
          </w:tcPr>
          <w:p w14:paraId="6834477F" w14:textId="77777777" w:rsidR="000435C2" w:rsidRPr="0096534C" w:rsidRDefault="008B332B" w:rsidP="00BF0FEB">
            <w:pPr>
              <w:pStyle w:val="Other0"/>
              <w:spacing w:before="120" w:after="120"/>
              <w:rPr>
                <w:sz w:val="16"/>
                <w:szCs w:val="16"/>
              </w:rPr>
            </w:pPr>
            <w:r w:rsidRPr="0096534C">
              <w:rPr>
                <w:rStyle w:val="Other"/>
                <w:b/>
                <w:color w:val="595959"/>
                <w:sz w:val="16"/>
              </w:rPr>
              <w:lastRenderedPageBreak/>
              <w:t>Critères d’attribution</w:t>
            </w:r>
          </w:p>
        </w:tc>
        <w:tc>
          <w:tcPr>
            <w:tcW w:w="755" w:type="pct"/>
            <w:shd w:val="clear" w:color="auto" w:fill="D9D9D9"/>
            <w:vAlign w:val="center"/>
          </w:tcPr>
          <w:p w14:paraId="38A7C6AD" w14:textId="77777777" w:rsidR="000435C2" w:rsidRPr="0096534C" w:rsidRDefault="008B332B" w:rsidP="00BF0FEB">
            <w:pPr>
              <w:pStyle w:val="Other0"/>
              <w:spacing w:before="120" w:after="120"/>
              <w:jc w:val="center"/>
              <w:rPr>
                <w:sz w:val="16"/>
                <w:szCs w:val="16"/>
              </w:rPr>
            </w:pPr>
            <w:r w:rsidRPr="0096534C">
              <w:rPr>
                <w:rStyle w:val="Other"/>
                <w:b/>
                <w:color w:val="595959"/>
                <w:sz w:val="16"/>
              </w:rPr>
              <w:t>Note minimale requise</w:t>
            </w:r>
          </w:p>
        </w:tc>
        <w:tc>
          <w:tcPr>
            <w:tcW w:w="800" w:type="pct"/>
            <w:shd w:val="clear" w:color="auto" w:fill="D9D9D9"/>
            <w:vAlign w:val="center"/>
          </w:tcPr>
          <w:p w14:paraId="177DB823" w14:textId="77777777" w:rsidR="000435C2" w:rsidRPr="0096534C" w:rsidRDefault="008B332B" w:rsidP="00BF0FEB">
            <w:pPr>
              <w:pStyle w:val="Other0"/>
              <w:spacing w:before="120" w:after="120"/>
              <w:jc w:val="center"/>
              <w:rPr>
                <w:sz w:val="16"/>
                <w:szCs w:val="16"/>
              </w:rPr>
            </w:pPr>
            <w:r w:rsidRPr="0096534C">
              <w:rPr>
                <w:rStyle w:val="Other"/>
                <w:b/>
                <w:color w:val="595959"/>
                <w:sz w:val="16"/>
              </w:rPr>
              <w:t>Note maximale</w:t>
            </w:r>
          </w:p>
        </w:tc>
      </w:tr>
      <w:tr w:rsidR="000435C2" w:rsidRPr="0096534C" w14:paraId="6F6D81A3" w14:textId="77777777" w:rsidTr="00BF0FEB">
        <w:trPr>
          <w:trHeight w:val="20"/>
          <w:jc w:val="right"/>
        </w:trPr>
        <w:tc>
          <w:tcPr>
            <w:tcW w:w="3445" w:type="pct"/>
            <w:tcBorders>
              <w:bottom w:val="single" w:sz="18" w:space="0" w:color="D0CECE" w:themeColor="background2" w:themeShade="E6"/>
            </w:tcBorders>
            <w:shd w:val="clear" w:color="auto" w:fill="F2F2F2" w:themeFill="background1" w:themeFillShade="F2"/>
            <w:vAlign w:val="center"/>
          </w:tcPr>
          <w:p w14:paraId="25E46209" w14:textId="77777777" w:rsidR="000435C2" w:rsidRPr="0096534C" w:rsidRDefault="008B332B" w:rsidP="00BF0FEB">
            <w:pPr>
              <w:pStyle w:val="Other0"/>
              <w:spacing w:before="120" w:after="120"/>
              <w:rPr>
                <w:sz w:val="16"/>
                <w:szCs w:val="16"/>
              </w:rPr>
            </w:pPr>
            <w:r w:rsidRPr="0096534C">
              <w:rPr>
                <w:rStyle w:val="Other"/>
                <w:color w:val="595959"/>
                <w:sz w:val="16"/>
              </w:rPr>
              <w:t>Pertinence</w:t>
            </w:r>
          </w:p>
        </w:tc>
        <w:tc>
          <w:tcPr>
            <w:tcW w:w="755" w:type="pct"/>
            <w:tcBorders>
              <w:bottom w:val="single" w:sz="18" w:space="0" w:color="D0CECE" w:themeColor="background2" w:themeShade="E6"/>
            </w:tcBorders>
            <w:shd w:val="clear" w:color="auto" w:fill="F2F2F2" w:themeFill="background1" w:themeFillShade="F2"/>
            <w:vAlign w:val="center"/>
          </w:tcPr>
          <w:p w14:paraId="4591AC5D" w14:textId="77777777" w:rsidR="000435C2" w:rsidRPr="0096534C" w:rsidRDefault="008B332B" w:rsidP="00BF0FEB">
            <w:pPr>
              <w:pStyle w:val="Other0"/>
              <w:spacing w:before="120" w:after="120"/>
              <w:jc w:val="center"/>
              <w:rPr>
                <w:sz w:val="16"/>
                <w:szCs w:val="16"/>
              </w:rPr>
            </w:pPr>
            <w:r w:rsidRPr="0096534C">
              <w:rPr>
                <w:rStyle w:val="Other"/>
                <w:color w:val="595959"/>
                <w:sz w:val="16"/>
              </w:rPr>
              <w:t>s.o.</w:t>
            </w:r>
          </w:p>
        </w:tc>
        <w:tc>
          <w:tcPr>
            <w:tcW w:w="800" w:type="pct"/>
            <w:tcBorders>
              <w:bottom w:val="single" w:sz="18" w:space="0" w:color="D0CECE" w:themeColor="background2" w:themeShade="E6"/>
            </w:tcBorders>
            <w:shd w:val="clear" w:color="auto" w:fill="F2F2F2" w:themeFill="background1" w:themeFillShade="F2"/>
            <w:vAlign w:val="center"/>
          </w:tcPr>
          <w:p w14:paraId="008E555D" w14:textId="77777777" w:rsidR="000435C2" w:rsidRPr="0096534C" w:rsidRDefault="008B332B" w:rsidP="00BF0FEB">
            <w:pPr>
              <w:pStyle w:val="Other0"/>
              <w:spacing w:before="120" w:after="120"/>
              <w:ind w:firstLine="540"/>
              <w:rPr>
                <w:sz w:val="16"/>
                <w:szCs w:val="16"/>
              </w:rPr>
            </w:pPr>
            <w:r w:rsidRPr="0096534C">
              <w:rPr>
                <w:rStyle w:val="Other"/>
                <w:sz w:val="16"/>
              </w:rPr>
              <w:t>2</w:t>
            </w:r>
            <w:r w:rsidRPr="0096534C">
              <w:rPr>
                <w:rStyle w:val="Other"/>
                <w:color w:val="595959"/>
                <w:sz w:val="16"/>
              </w:rPr>
              <w:t>0</w:t>
            </w:r>
          </w:p>
        </w:tc>
      </w:tr>
      <w:tr w:rsidR="000435C2" w:rsidRPr="0096534C" w14:paraId="7778E988" w14:textId="77777777" w:rsidTr="00BF0FEB">
        <w:trPr>
          <w:trHeight w:val="20"/>
          <w:jc w:val="right"/>
        </w:trPr>
        <w:tc>
          <w:tcPr>
            <w:tcW w:w="3445" w:type="pct"/>
            <w:tcBorders>
              <w:top w:val="single" w:sz="18" w:space="0" w:color="D0CECE" w:themeColor="background2" w:themeShade="E6"/>
              <w:bottom w:val="single" w:sz="18" w:space="0" w:color="D0CECE" w:themeColor="background2" w:themeShade="E6"/>
            </w:tcBorders>
            <w:shd w:val="clear" w:color="auto" w:fill="F2F2F2" w:themeFill="background1" w:themeFillShade="F2"/>
            <w:vAlign w:val="center"/>
          </w:tcPr>
          <w:p w14:paraId="5713348A" w14:textId="77777777" w:rsidR="000435C2" w:rsidRPr="0096534C" w:rsidRDefault="008B332B" w:rsidP="00BF0FEB">
            <w:pPr>
              <w:pStyle w:val="Other0"/>
              <w:spacing w:before="120" w:after="120"/>
              <w:rPr>
                <w:sz w:val="16"/>
                <w:szCs w:val="16"/>
              </w:rPr>
            </w:pPr>
            <w:r w:rsidRPr="0096534C">
              <w:rPr>
                <w:rStyle w:val="Other"/>
                <w:color w:val="595959"/>
                <w:sz w:val="16"/>
              </w:rPr>
              <w:t>Conception</w:t>
            </w:r>
          </w:p>
        </w:tc>
        <w:tc>
          <w:tcPr>
            <w:tcW w:w="755" w:type="pct"/>
            <w:tcBorders>
              <w:top w:val="single" w:sz="18" w:space="0" w:color="D0CECE" w:themeColor="background2" w:themeShade="E6"/>
              <w:bottom w:val="single" w:sz="18" w:space="0" w:color="D0CECE" w:themeColor="background2" w:themeShade="E6"/>
            </w:tcBorders>
            <w:shd w:val="clear" w:color="auto" w:fill="F2F2F2" w:themeFill="background1" w:themeFillShade="F2"/>
            <w:vAlign w:val="center"/>
          </w:tcPr>
          <w:p w14:paraId="16D36DEC" w14:textId="77777777" w:rsidR="000435C2" w:rsidRPr="0096534C" w:rsidRDefault="008B332B" w:rsidP="00BF0FEB">
            <w:pPr>
              <w:pStyle w:val="Other0"/>
              <w:spacing w:before="120" w:after="120"/>
              <w:jc w:val="center"/>
              <w:rPr>
                <w:sz w:val="16"/>
                <w:szCs w:val="16"/>
              </w:rPr>
            </w:pPr>
            <w:r w:rsidRPr="0096534C">
              <w:rPr>
                <w:rStyle w:val="Other"/>
                <w:sz w:val="16"/>
              </w:rPr>
              <w:t>s.o.</w:t>
            </w:r>
          </w:p>
        </w:tc>
        <w:tc>
          <w:tcPr>
            <w:tcW w:w="800" w:type="pct"/>
            <w:tcBorders>
              <w:top w:val="single" w:sz="18" w:space="0" w:color="D0CECE" w:themeColor="background2" w:themeShade="E6"/>
              <w:bottom w:val="single" w:sz="18" w:space="0" w:color="D0CECE" w:themeColor="background2" w:themeShade="E6"/>
            </w:tcBorders>
            <w:shd w:val="clear" w:color="auto" w:fill="F2F2F2" w:themeFill="background1" w:themeFillShade="F2"/>
            <w:vAlign w:val="center"/>
          </w:tcPr>
          <w:p w14:paraId="482CBDC4" w14:textId="77777777" w:rsidR="000435C2" w:rsidRPr="0096534C" w:rsidRDefault="008B332B" w:rsidP="00BF0FEB">
            <w:pPr>
              <w:pStyle w:val="Other0"/>
              <w:spacing w:before="120" w:after="120"/>
              <w:ind w:firstLine="540"/>
              <w:rPr>
                <w:sz w:val="16"/>
                <w:szCs w:val="16"/>
              </w:rPr>
            </w:pPr>
            <w:r w:rsidRPr="0096534C">
              <w:rPr>
                <w:rStyle w:val="Other"/>
                <w:color w:val="595959"/>
                <w:sz w:val="16"/>
              </w:rPr>
              <w:t>30</w:t>
            </w:r>
          </w:p>
        </w:tc>
      </w:tr>
      <w:tr w:rsidR="000435C2" w:rsidRPr="0096534C" w14:paraId="0F3B1B3C" w14:textId="77777777" w:rsidTr="00BF0FEB">
        <w:trPr>
          <w:trHeight w:val="20"/>
          <w:jc w:val="right"/>
        </w:trPr>
        <w:tc>
          <w:tcPr>
            <w:tcW w:w="3445" w:type="pct"/>
            <w:tcBorders>
              <w:top w:val="single" w:sz="18" w:space="0" w:color="D0CECE" w:themeColor="background2" w:themeShade="E6"/>
              <w:bottom w:val="single" w:sz="12" w:space="0" w:color="D0CECE" w:themeColor="background2" w:themeShade="E6"/>
            </w:tcBorders>
            <w:shd w:val="clear" w:color="auto" w:fill="F2F2F2" w:themeFill="background1" w:themeFillShade="F2"/>
            <w:vAlign w:val="center"/>
          </w:tcPr>
          <w:p w14:paraId="74A404BC" w14:textId="77777777" w:rsidR="000435C2" w:rsidRPr="0096534C" w:rsidRDefault="008B332B" w:rsidP="00BF0FEB">
            <w:pPr>
              <w:pStyle w:val="Other0"/>
              <w:spacing w:before="120" w:after="120"/>
              <w:rPr>
                <w:sz w:val="16"/>
                <w:szCs w:val="16"/>
              </w:rPr>
            </w:pPr>
            <w:r w:rsidRPr="0096534C">
              <w:rPr>
                <w:rStyle w:val="Other"/>
                <w:color w:val="595959"/>
                <w:sz w:val="16"/>
              </w:rPr>
              <w:t>Mise en œuvre</w:t>
            </w:r>
          </w:p>
        </w:tc>
        <w:tc>
          <w:tcPr>
            <w:tcW w:w="755" w:type="pct"/>
            <w:tcBorders>
              <w:top w:val="single" w:sz="18" w:space="0" w:color="D0CECE" w:themeColor="background2" w:themeShade="E6"/>
              <w:bottom w:val="single" w:sz="12" w:space="0" w:color="D0CECE" w:themeColor="background2" w:themeShade="E6"/>
            </w:tcBorders>
            <w:shd w:val="clear" w:color="auto" w:fill="F2F2F2" w:themeFill="background1" w:themeFillShade="F2"/>
            <w:vAlign w:val="center"/>
          </w:tcPr>
          <w:p w14:paraId="535683BA" w14:textId="77777777" w:rsidR="000435C2" w:rsidRPr="0096534C" w:rsidRDefault="008B332B" w:rsidP="00BF0FEB">
            <w:pPr>
              <w:pStyle w:val="Other0"/>
              <w:spacing w:before="120" w:after="120"/>
              <w:jc w:val="center"/>
              <w:rPr>
                <w:sz w:val="16"/>
                <w:szCs w:val="16"/>
              </w:rPr>
            </w:pPr>
            <w:r w:rsidRPr="0096534C">
              <w:rPr>
                <w:rStyle w:val="Other"/>
                <w:sz w:val="16"/>
              </w:rPr>
              <w:t>s.o.</w:t>
            </w:r>
          </w:p>
        </w:tc>
        <w:tc>
          <w:tcPr>
            <w:tcW w:w="800" w:type="pct"/>
            <w:tcBorders>
              <w:top w:val="single" w:sz="18" w:space="0" w:color="D0CECE" w:themeColor="background2" w:themeShade="E6"/>
              <w:bottom w:val="single" w:sz="12" w:space="0" w:color="D0CECE" w:themeColor="background2" w:themeShade="E6"/>
            </w:tcBorders>
            <w:shd w:val="clear" w:color="auto" w:fill="F2F2F2" w:themeFill="background1" w:themeFillShade="F2"/>
            <w:vAlign w:val="center"/>
          </w:tcPr>
          <w:p w14:paraId="390851E9" w14:textId="77777777" w:rsidR="000435C2" w:rsidRPr="0096534C" w:rsidRDefault="008B332B" w:rsidP="00BF0FEB">
            <w:pPr>
              <w:pStyle w:val="Other0"/>
              <w:spacing w:before="120" w:after="120"/>
              <w:ind w:firstLine="540"/>
              <w:rPr>
                <w:sz w:val="16"/>
                <w:szCs w:val="16"/>
              </w:rPr>
            </w:pPr>
            <w:r w:rsidRPr="0096534C">
              <w:rPr>
                <w:rStyle w:val="Other"/>
                <w:sz w:val="16"/>
              </w:rPr>
              <w:t>35</w:t>
            </w:r>
          </w:p>
        </w:tc>
      </w:tr>
      <w:tr w:rsidR="000435C2" w:rsidRPr="0096534C" w14:paraId="3D76BC57" w14:textId="77777777" w:rsidTr="00BF0FEB">
        <w:trPr>
          <w:trHeight w:val="20"/>
          <w:jc w:val="right"/>
        </w:trPr>
        <w:tc>
          <w:tcPr>
            <w:tcW w:w="3445" w:type="pct"/>
            <w:tcBorders>
              <w:top w:val="single" w:sz="12" w:space="0" w:color="D0CECE" w:themeColor="background2" w:themeShade="E6"/>
            </w:tcBorders>
            <w:shd w:val="clear" w:color="auto" w:fill="F2F2F2" w:themeFill="background1" w:themeFillShade="F2"/>
            <w:vAlign w:val="center"/>
          </w:tcPr>
          <w:p w14:paraId="69907A20" w14:textId="77777777" w:rsidR="000435C2" w:rsidRPr="0096534C" w:rsidRDefault="008B332B" w:rsidP="00BF0FEB">
            <w:pPr>
              <w:pStyle w:val="Other0"/>
              <w:spacing w:before="120" w:after="120"/>
              <w:rPr>
                <w:sz w:val="16"/>
                <w:szCs w:val="16"/>
              </w:rPr>
            </w:pPr>
            <w:r w:rsidRPr="0096534C">
              <w:rPr>
                <w:rStyle w:val="Other"/>
                <w:color w:val="595959"/>
                <w:sz w:val="16"/>
              </w:rPr>
              <w:t>Durabilité</w:t>
            </w:r>
          </w:p>
        </w:tc>
        <w:tc>
          <w:tcPr>
            <w:tcW w:w="755" w:type="pct"/>
            <w:tcBorders>
              <w:top w:val="single" w:sz="12" w:space="0" w:color="D0CECE" w:themeColor="background2" w:themeShade="E6"/>
            </w:tcBorders>
            <w:shd w:val="clear" w:color="auto" w:fill="F2F2F2" w:themeFill="background1" w:themeFillShade="F2"/>
            <w:vAlign w:val="center"/>
          </w:tcPr>
          <w:p w14:paraId="66AA19B4" w14:textId="77777777" w:rsidR="000435C2" w:rsidRPr="0096534C" w:rsidRDefault="008B332B" w:rsidP="00BF0FEB">
            <w:pPr>
              <w:pStyle w:val="Other0"/>
              <w:spacing w:before="120" w:after="120"/>
              <w:jc w:val="center"/>
              <w:rPr>
                <w:sz w:val="16"/>
                <w:szCs w:val="16"/>
              </w:rPr>
            </w:pPr>
            <w:r w:rsidRPr="0096534C">
              <w:rPr>
                <w:rStyle w:val="Other"/>
                <w:color w:val="595959"/>
                <w:sz w:val="16"/>
              </w:rPr>
              <w:t>s.o.</w:t>
            </w:r>
          </w:p>
        </w:tc>
        <w:tc>
          <w:tcPr>
            <w:tcW w:w="800" w:type="pct"/>
            <w:tcBorders>
              <w:top w:val="single" w:sz="12" w:space="0" w:color="D0CECE" w:themeColor="background2" w:themeShade="E6"/>
            </w:tcBorders>
            <w:shd w:val="clear" w:color="auto" w:fill="F2F2F2" w:themeFill="background1" w:themeFillShade="F2"/>
            <w:vAlign w:val="center"/>
          </w:tcPr>
          <w:p w14:paraId="26A906CD" w14:textId="77777777" w:rsidR="000435C2" w:rsidRPr="0096534C" w:rsidRDefault="008B332B" w:rsidP="00BF0FEB">
            <w:pPr>
              <w:pStyle w:val="Other0"/>
              <w:spacing w:before="120" w:after="120"/>
              <w:ind w:firstLine="540"/>
              <w:rPr>
                <w:sz w:val="16"/>
                <w:szCs w:val="16"/>
              </w:rPr>
            </w:pPr>
            <w:r w:rsidRPr="0096534C">
              <w:rPr>
                <w:rStyle w:val="Other"/>
                <w:color w:val="595959"/>
                <w:sz w:val="16"/>
              </w:rPr>
              <w:t>15</w:t>
            </w:r>
          </w:p>
        </w:tc>
      </w:tr>
      <w:tr w:rsidR="000435C2" w:rsidRPr="0096534C" w14:paraId="685AE987" w14:textId="77777777" w:rsidTr="00BF0FEB">
        <w:trPr>
          <w:trHeight w:val="20"/>
          <w:jc w:val="right"/>
        </w:trPr>
        <w:tc>
          <w:tcPr>
            <w:tcW w:w="3445" w:type="pct"/>
            <w:shd w:val="clear" w:color="auto" w:fill="D9D9D9"/>
            <w:vAlign w:val="center"/>
          </w:tcPr>
          <w:p w14:paraId="0F243598" w14:textId="77777777" w:rsidR="000435C2" w:rsidRPr="0096534C" w:rsidRDefault="008B332B" w:rsidP="00BF0FEB">
            <w:pPr>
              <w:pStyle w:val="Other0"/>
              <w:spacing w:before="120" w:after="120"/>
              <w:rPr>
                <w:sz w:val="16"/>
                <w:szCs w:val="16"/>
              </w:rPr>
            </w:pPr>
            <w:r w:rsidRPr="0096534C">
              <w:rPr>
                <w:rStyle w:val="Other"/>
                <w:b/>
                <w:color w:val="595959"/>
                <w:sz w:val="16"/>
              </w:rPr>
              <w:t>Notes globales (minimales) requises</w:t>
            </w:r>
          </w:p>
        </w:tc>
        <w:tc>
          <w:tcPr>
            <w:tcW w:w="755" w:type="pct"/>
            <w:shd w:val="clear" w:color="auto" w:fill="D9D9D9"/>
            <w:vAlign w:val="center"/>
          </w:tcPr>
          <w:p w14:paraId="7B28AF7A" w14:textId="77777777" w:rsidR="000435C2" w:rsidRPr="0096534C" w:rsidRDefault="008B332B" w:rsidP="00BF0FEB">
            <w:pPr>
              <w:pStyle w:val="Other0"/>
              <w:spacing w:before="120" w:after="120"/>
              <w:jc w:val="center"/>
              <w:rPr>
                <w:sz w:val="16"/>
                <w:szCs w:val="16"/>
              </w:rPr>
            </w:pPr>
            <w:r w:rsidRPr="0096534C">
              <w:rPr>
                <w:rStyle w:val="Other"/>
                <w:b/>
                <w:color w:val="595959"/>
                <w:sz w:val="16"/>
              </w:rPr>
              <w:t>50</w:t>
            </w:r>
          </w:p>
        </w:tc>
        <w:tc>
          <w:tcPr>
            <w:tcW w:w="800" w:type="pct"/>
            <w:shd w:val="clear" w:color="auto" w:fill="D9D9D9"/>
            <w:vAlign w:val="center"/>
          </w:tcPr>
          <w:p w14:paraId="62E0E26A" w14:textId="77777777" w:rsidR="000435C2" w:rsidRPr="0096534C" w:rsidRDefault="008B332B" w:rsidP="00BF0FEB">
            <w:pPr>
              <w:pStyle w:val="Other0"/>
              <w:spacing w:before="120" w:after="120"/>
              <w:ind w:firstLine="460"/>
              <w:rPr>
                <w:sz w:val="16"/>
                <w:szCs w:val="16"/>
              </w:rPr>
            </w:pPr>
            <w:r w:rsidRPr="0096534C">
              <w:rPr>
                <w:rStyle w:val="Other"/>
                <w:b/>
                <w:color w:val="595959"/>
                <w:sz w:val="16"/>
              </w:rPr>
              <w:t>100</w:t>
            </w:r>
          </w:p>
        </w:tc>
      </w:tr>
    </w:tbl>
    <w:p w14:paraId="02BDC4E7" w14:textId="77777777" w:rsidR="000435C2" w:rsidRPr="0096534C" w:rsidRDefault="000435C2">
      <w:pPr>
        <w:spacing w:after="439" w:line="1" w:lineRule="exact"/>
      </w:pPr>
    </w:p>
    <w:p w14:paraId="453771C3" w14:textId="77777777" w:rsidR="000435C2" w:rsidRPr="0096534C" w:rsidRDefault="008B332B" w:rsidP="00BF0FEB">
      <w:pPr>
        <w:pStyle w:val="BodyText"/>
        <w:spacing w:after="200"/>
      </w:pPr>
      <w:r w:rsidRPr="0096534C">
        <w:rPr>
          <w:rStyle w:val="BodyTextChar"/>
        </w:rPr>
        <w:t xml:space="preserve">Maximum de </w:t>
      </w:r>
      <w:proofErr w:type="gramStart"/>
      <w:r w:rsidRPr="0096534C">
        <w:rPr>
          <w:rStyle w:val="BodyTextChar"/>
        </w:rPr>
        <w:t>points:</w:t>
      </w:r>
      <w:proofErr w:type="gramEnd"/>
      <w:r w:rsidRPr="0096534C">
        <w:rPr>
          <w:rStyle w:val="BodyTextChar"/>
        </w:rPr>
        <w:t xml:space="preserve"> 100 points.</w:t>
      </w:r>
    </w:p>
    <w:p w14:paraId="7B14273F" w14:textId="77777777" w:rsidR="000435C2" w:rsidRPr="0096534C" w:rsidRDefault="008B332B" w:rsidP="00BF0FEB">
      <w:pPr>
        <w:pStyle w:val="BodyText"/>
        <w:spacing w:after="200"/>
      </w:pPr>
      <w:r w:rsidRPr="0096534C">
        <w:rPr>
          <w:rStyle w:val="BodyTextChar"/>
        </w:rPr>
        <w:t xml:space="preserve">Seuils individuels par </w:t>
      </w:r>
      <w:proofErr w:type="gramStart"/>
      <w:r w:rsidRPr="0096534C">
        <w:rPr>
          <w:rStyle w:val="BodyTextChar"/>
        </w:rPr>
        <w:t>critère:</w:t>
      </w:r>
      <w:proofErr w:type="gramEnd"/>
      <w:r w:rsidRPr="0096534C">
        <w:rPr>
          <w:rStyle w:val="BodyTextChar"/>
        </w:rPr>
        <w:t xml:space="preserve"> s.o.</w:t>
      </w:r>
    </w:p>
    <w:p w14:paraId="494471D7" w14:textId="3C4540BC" w:rsidR="00BF0FEB" w:rsidRPr="0096534C" w:rsidRDefault="008B332B" w:rsidP="00BF0FEB">
      <w:pPr>
        <w:pStyle w:val="BodyText"/>
        <w:spacing w:after="200"/>
      </w:pPr>
      <w:r w:rsidRPr="0096534C">
        <w:rPr>
          <w:rStyle w:val="BodyTextChar"/>
        </w:rPr>
        <w:t xml:space="preserve">Seuil </w:t>
      </w:r>
      <w:proofErr w:type="gramStart"/>
      <w:r w:rsidRPr="0096534C">
        <w:rPr>
          <w:rStyle w:val="BodyTextChar"/>
        </w:rPr>
        <w:t>global:</w:t>
      </w:r>
      <w:proofErr w:type="gramEnd"/>
      <w:r w:rsidRPr="0096534C">
        <w:rPr>
          <w:rStyle w:val="BodyTextChar"/>
        </w:rPr>
        <w:t> 50 points</w:t>
      </w:r>
    </w:p>
    <w:p w14:paraId="621121E5" w14:textId="26D80BAB" w:rsidR="000435C2" w:rsidRPr="0096534C" w:rsidRDefault="008B332B" w:rsidP="00BF0FEB">
      <w:pPr>
        <w:pStyle w:val="BodyText"/>
        <w:spacing w:after="200"/>
      </w:pPr>
      <w:r w:rsidRPr="0096534C">
        <w:rPr>
          <w:rStyle w:val="BodyTextChar"/>
        </w:rPr>
        <w:t>Les propositions qui dépassent le seuil global seront prises en considération pour un financement, dans les limites du budget disponible (c’est-à-dire jusqu’à concurrence du plafond budgétaire). Les autres propositions seront rejetées.</w:t>
      </w:r>
    </w:p>
    <w:p w14:paraId="464E2AA7" w14:textId="452BADE0" w:rsidR="000435C2" w:rsidRPr="0096534C" w:rsidRDefault="008B332B" w:rsidP="00BF35B3">
      <w:pPr>
        <w:pStyle w:val="Heading1"/>
      </w:pPr>
      <w:bookmarkStart w:id="59" w:name="bookmark66"/>
      <w:bookmarkStart w:id="60" w:name="_Toc185511116"/>
      <w:r w:rsidRPr="0096534C">
        <w:rPr>
          <w:rStyle w:val="Heading3"/>
          <w:b/>
        </w:rPr>
        <w:t>Structure juridique et financière des conventions de subvention</w:t>
      </w:r>
      <w:bookmarkEnd w:id="59"/>
      <w:bookmarkEnd w:id="60"/>
    </w:p>
    <w:p w14:paraId="3FC7280D" w14:textId="77777777" w:rsidR="000435C2" w:rsidRPr="0096534C" w:rsidRDefault="008B332B">
      <w:pPr>
        <w:pStyle w:val="BodyText"/>
        <w:spacing w:after="200"/>
        <w:jc w:val="both"/>
      </w:pPr>
      <w:r w:rsidRPr="0096534C">
        <w:rPr>
          <w:rStyle w:val="BodyTextChar"/>
        </w:rPr>
        <w:t>Si vous réussissez l’évaluation, vous serez invité à préparer une demande de subvention pour votre projet, et donc à préparer la convention de subvention avec le chargé de projet de l’UE.</w:t>
      </w:r>
    </w:p>
    <w:p w14:paraId="56585D54" w14:textId="77777777" w:rsidR="000435C2" w:rsidRPr="0096534C" w:rsidRDefault="008B332B">
      <w:pPr>
        <w:pStyle w:val="BodyText"/>
        <w:spacing w:after="200"/>
        <w:jc w:val="both"/>
      </w:pPr>
      <w:r w:rsidRPr="0096534C">
        <w:rPr>
          <w:rStyle w:val="BodyTextChar"/>
        </w:rPr>
        <w:t>Cette convention de subvention fixera le cadre de votre subvention et précisera ses modalités et conditions, en ce qui concerne notamment les éléments livrables, les rapports et les paiements.</w:t>
      </w:r>
    </w:p>
    <w:p w14:paraId="17013ADB" w14:textId="77777777" w:rsidR="000435C2" w:rsidRPr="0096534C" w:rsidRDefault="008B332B" w:rsidP="004A65E7">
      <w:pPr>
        <w:pStyle w:val="Style10"/>
      </w:pPr>
      <w:r w:rsidRPr="0096534C">
        <w:rPr>
          <w:rStyle w:val="BodyTextChar"/>
        </w:rPr>
        <w:t>Le modèle de convention de subvention qui sera utilisé (ainsi que tous les autres modèles et documents d’orientation pertinents) sont disponibles dans les</w:t>
      </w:r>
      <w:hyperlink r:id="rId36" w:history="1">
        <w:r w:rsidRPr="0096534C">
          <w:rPr>
            <w:rStyle w:val="BodyTextChar"/>
          </w:rPr>
          <w:t xml:space="preserve"> </w:t>
        </w:r>
        <w:r w:rsidRPr="0096534C">
          <w:rPr>
            <w:rStyle w:val="BodyTextChar"/>
            <w:color w:val="0088CC"/>
            <w:u w:val="single"/>
          </w:rPr>
          <w:t>documents de référence du portail</w:t>
        </w:r>
        <w:r w:rsidRPr="0096534C">
          <w:rPr>
            <w:rStyle w:val="BodyTextChar"/>
          </w:rPr>
          <w:t>.</w:t>
        </w:r>
      </w:hyperlink>
    </w:p>
    <w:p w14:paraId="253BA725" w14:textId="77777777" w:rsidR="000435C2" w:rsidRPr="0096534C" w:rsidRDefault="008B332B" w:rsidP="00BF0FEB">
      <w:pPr>
        <w:pStyle w:val="Heading2"/>
        <w:rPr>
          <w:b w:val="0"/>
          <w:bCs w:val="0"/>
        </w:rPr>
      </w:pPr>
      <w:bookmarkStart w:id="61" w:name="bookmark69"/>
      <w:bookmarkStart w:id="62" w:name="_Toc185511117"/>
      <w:r w:rsidRPr="0096534C">
        <w:rPr>
          <w:rStyle w:val="BodyTextChar"/>
          <w:b w:val="0"/>
          <w:i/>
          <w:u w:val="single"/>
        </w:rPr>
        <w:t>Date de lancement et durée du projet</w:t>
      </w:r>
      <w:bookmarkEnd w:id="61"/>
      <w:bookmarkEnd w:id="62"/>
    </w:p>
    <w:p w14:paraId="7C880A22" w14:textId="77777777" w:rsidR="000435C2" w:rsidRPr="0096534C" w:rsidRDefault="008B332B">
      <w:pPr>
        <w:pStyle w:val="BodyText"/>
        <w:spacing w:after="200"/>
        <w:jc w:val="both"/>
      </w:pPr>
      <w:r w:rsidRPr="0096534C">
        <w:rPr>
          <w:rStyle w:val="BodyTextChar"/>
        </w:rPr>
        <w:t xml:space="preserve">La date de lancement et la durée du projet seront déterminées dans la convention de subvention </w:t>
      </w:r>
      <w:r w:rsidRPr="0096534C">
        <w:rPr>
          <w:rStyle w:val="BodyTextChar"/>
          <w:i/>
        </w:rPr>
        <w:t>(fiche de données, point 1).</w:t>
      </w:r>
      <w:r w:rsidRPr="0096534C">
        <w:rPr>
          <w:rStyle w:val="BodyTextChar"/>
        </w:rPr>
        <w:t xml:space="preserve"> Normalement, la date de lancement est postérieure à la signature de la subvention. Une date de lancement rétroactive peut être accordée à titre exceptionnel pour des raisons dûment justifiées, mais jamais avant la date de soumission de la proposition.</w:t>
      </w:r>
    </w:p>
    <w:p w14:paraId="09F9B670" w14:textId="77777777" w:rsidR="000435C2" w:rsidRPr="0096534C" w:rsidRDefault="008B332B">
      <w:pPr>
        <w:pStyle w:val="BodyText"/>
        <w:spacing w:after="200"/>
        <w:jc w:val="both"/>
      </w:pPr>
      <w:r w:rsidRPr="0096534C">
        <w:rPr>
          <w:rStyle w:val="BodyTextChar"/>
        </w:rPr>
        <w:t xml:space="preserve">Durée du </w:t>
      </w:r>
      <w:proofErr w:type="gramStart"/>
      <w:r w:rsidRPr="0096534C">
        <w:rPr>
          <w:rStyle w:val="BodyTextChar"/>
        </w:rPr>
        <w:t>projet:</w:t>
      </w:r>
      <w:proofErr w:type="gramEnd"/>
      <w:r w:rsidRPr="0096534C">
        <w:rPr>
          <w:rStyle w:val="BodyTextChar"/>
        </w:rPr>
        <w:t xml:space="preserve"> </w:t>
      </w:r>
      <w:r w:rsidRPr="0096534C">
        <w:rPr>
          <w:rStyle w:val="BodyTextChar"/>
          <w:i/>
        </w:rPr>
        <w:t>voir section 6 ci-dessus</w:t>
      </w:r>
      <w:r w:rsidRPr="0096534C">
        <w:rPr>
          <w:rStyle w:val="BodyTextChar"/>
        </w:rPr>
        <w:t>.</w:t>
      </w:r>
    </w:p>
    <w:p w14:paraId="4BD8925F" w14:textId="77777777" w:rsidR="000435C2" w:rsidRPr="0096534C" w:rsidRDefault="008B332B">
      <w:pPr>
        <w:pStyle w:val="BodyText"/>
        <w:spacing w:after="200"/>
        <w:jc w:val="both"/>
      </w:pPr>
      <w:r w:rsidRPr="0096534C">
        <w:rPr>
          <w:rStyle w:val="BodyTextChar"/>
        </w:rPr>
        <w:t>Les projets d’une durée plus longue peuvent être acceptés dans des cas dûment justifiés. Les prolongations sont possibles, pour des raisons dûment justifiées et au moyen d’un avenant.</w:t>
      </w:r>
    </w:p>
    <w:p w14:paraId="4E741C61" w14:textId="77777777" w:rsidR="000435C2" w:rsidRPr="0096534C" w:rsidRDefault="008B332B" w:rsidP="00BF0FEB">
      <w:pPr>
        <w:pStyle w:val="Heading2"/>
        <w:rPr>
          <w:b w:val="0"/>
          <w:bCs w:val="0"/>
        </w:rPr>
      </w:pPr>
      <w:bookmarkStart w:id="63" w:name="bookmark70"/>
      <w:bookmarkStart w:id="64" w:name="_Toc185511118"/>
      <w:r w:rsidRPr="0096534C">
        <w:rPr>
          <w:rStyle w:val="BodyTextChar"/>
          <w:b w:val="0"/>
          <w:i/>
          <w:u w:val="single"/>
        </w:rPr>
        <w:t>Étapes et éléments livrables</w:t>
      </w:r>
      <w:bookmarkEnd w:id="63"/>
      <w:bookmarkEnd w:id="64"/>
    </w:p>
    <w:p w14:paraId="57719538" w14:textId="77777777" w:rsidR="000435C2" w:rsidRPr="0096534C" w:rsidRDefault="008B332B">
      <w:pPr>
        <w:pStyle w:val="BodyText"/>
        <w:spacing w:after="200"/>
        <w:jc w:val="both"/>
      </w:pPr>
      <w:r w:rsidRPr="0096534C">
        <w:rPr>
          <w:rStyle w:val="BodyTextChar"/>
        </w:rPr>
        <w:t xml:space="preserve">Les étapes et les éléments livrables de chaque projet seront gérés par l’intermédiaire </w:t>
      </w:r>
      <w:r w:rsidRPr="0096534C">
        <w:rPr>
          <w:rStyle w:val="BodyTextChar"/>
        </w:rPr>
        <w:lastRenderedPageBreak/>
        <w:t>du système de gestion des subventions du portail et seront repris à l’annexe 1 de la convention de subvention.</w:t>
      </w:r>
    </w:p>
    <w:p w14:paraId="3B767955" w14:textId="77777777" w:rsidR="000435C2" w:rsidRPr="0096534C" w:rsidRDefault="008B332B">
      <w:pPr>
        <w:pStyle w:val="BodyText"/>
        <w:spacing w:after="200"/>
        <w:jc w:val="both"/>
      </w:pPr>
      <w:r w:rsidRPr="0096534C">
        <w:rPr>
          <w:rStyle w:val="BodyTextChar"/>
        </w:rPr>
        <w:t xml:space="preserve">Les éléments suivants doivent être inclus dans la demande comme </w:t>
      </w:r>
      <w:r w:rsidRPr="0096534C">
        <w:rPr>
          <w:rStyle w:val="BodyTextChar"/>
          <w:b/>
        </w:rPr>
        <w:t>principaux résultats attendus</w:t>
      </w:r>
      <w:r w:rsidRPr="0096534C">
        <w:rPr>
          <w:rStyle w:val="BodyTextChar"/>
        </w:rPr>
        <w:t xml:space="preserve"> au cours de la mise en œuvre du </w:t>
      </w:r>
      <w:proofErr w:type="gramStart"/>
      <w:r w:rsidRPr="0096534C">
        <w:rPr>
          <w:rStyle w:val="BodyTextChar"/>
        </w:rPr>
        <w:t>projet:</w:t>
      </w:r>
      <w:proofErr w:type="gramEnd"/>
    </w:p>
    <w:p w14:paraId="4B19929C" w14:textId="77777777" w:rsidR="000435C2" w:rsidRPr="0096534C" w:rsidRDefault="008B332B" w:rsidP="006008C4">
      <w:pPr>
        <w:pStyle w:val="BodyText"/>
        <w:numPr>
          <w:ilvl w:val="0"/>
          <w:numId w:val="25"/>
        </w:numPr>
        <w:spacing w:after="120" w:line="254" w:lineRule="auto"/>
        <w:jc w:val="both"/>
      </w:pPr>
      <w:proofErr w:type="gramStart"/>
      <w:r w:rsidRPr="0096534C">
        <w:rPr>
          <w:rStyle w:val="BodyTextChar"/>
        </w:rPr>
        <w:t>site</w:t>
      </w:r>
      <w:proofErr w:type="gramEnd"/>
      <w:r w:rsidRPr="0096534C">
        <w:rPr>
          <w:rStyle w:val="BodyTextChar"/>
        </w:rPr>
        <w:t xml:space="preserve"> web du projet (exigible au moment où les premières possibilités de bourses doivent être annoncées aux demandeurs);</w:t>
      </w:r>
    </w:p>
    <w:p w14:paraId="2F1A579E" w14:textId="77777777" w:rsidR="000435C2" w:rsidRPr="0096534C" w:rsidRDefault="008B332B" w:rsidP="006008C4">
      <w:pPr>
        <w:pStyle w:val="BodyText"/>
        <w:numPr>
          <w:ilvl w:val="0"/>
          <w:numId w:val="25"/>
        </w:numPr>
        <w:tabs>
          <w:tab w:val="left" w:pos="733"/>
        </w:tabs>
        <w:spacing w:after="120" w:line="269" w:lineRule="auto"/>
        <w:jc w:val="both"/>
      </w:pPr>
      <w:proofErr w:type="gramStart"/>
      <w:r w:rsidRPr="0096534C">
        <w:rPr>
          <w:rStyle w:val="BodyTextChar"/>
        </w:rPr>
        <w:t>matériel</w:t>
      </w:r>
      <w:proofErr w:type="gramEnd"/>
      <w:r w:rsidRPr="0096534C">
        <w:rPr>
          <w:rStyle w:val="BodyTextChar"/>
        </w:rPr>
        <w:t xml:space="preserve"> promotionnel;</w:t>
      </w:r>
    </w:p>
    <w:p w14:paraId="20A02649" w14:textId="77777777" w:rsidR="000435C2" w:rsidRPr="0096534C" w:rsidRDefault="008B332B" w:rsidP="006008C4">
      <w:pPr>
        <w:pStyle w:val="BodyText"/>
        <w:numPr>
          <w:ilvl w:val="0"/>
          <w:numId w:val="25"/>
        </w:numPr>
        <w:spacing w:after="120"/>
        <w:jc w:val="both"/>
      </w:pPr>
      <w:proofErr w:type="gramStart"/>
      <w:r w:rsidRPr="0096534C">
        <w:rPr>
          <w:rStyle w:val="BodyTextChar"/>
        </w:rPr>
        <w:t>modèles</w:t>
      </w:r>
      <w:proofErr w:type="gramEnd"/>
      <w:r w:rsidRPr="0096534C">
        <w:rPr>
          <w:rStyle w:val="BodyTextChar"/>
        </w:rPr>
        <w:t xml:space="preserve"> de convention de bourse, de convention d’apprentissage, de convention de mobilité, de relevé de notes, de supplément au diplôme et de convention de stage;</w:t>
      </w:r>
    </w:p>
    <w:p w14:paraId="3AE988D9" w14:textId="77777777" w:rsidR="000435C2" w:rsidRPr="0096534C" w:rsidRDefault="008B332B" w:rsidP="006008C4">
      <w:pPr>
        <w:pStyle w:val="BodyText"/>
        <w:numPr>
          <w:ilvl w:val="0"/>
          <w:numId w:val="25"/>
        </w:numPr>
        <w:spacing w:after="120" w:line="269" w:lineRule="auto"/>
        <w:jc w:val="both"/>
      </w:pPr>
      <w:proofErr w:type="gramStart"/>
      <w:r w:rsidRPr="0096534C">
        <w:rPr>
          <w:rStyle w:val="BodyTextChar"/>
        </w:rPr>
        <w:t>comptes</w:t>
      </w:r>
      <w:proofErr w:type="gramEnd"/>
      <w:r w:rsidRPr="0096534C">
        <w:rPr>
          <w:rStyle w:val="BodyTextChar"/>
        </w:rPr>
        <w:t xml:space="preserve"> rendus signés des réunions de sélection;</w:t>
      </w:r>
    </w:p>
    <w:p w14:paraId="5A6D79BD" w14:textId="06867FC5" w:rsidR="000435C2" w:rsidRPr="0096534C" w:rsidRDefault="008B332B" w:rsidP="006008C4">
      <w:pPr>
        <w:pStyle w:val="BodyText"/>
        <w:numPr>
          <w:ilvl w:val="0"/>
          <w:numId w:val="25"/>
        </w:numPr>
        <w:tabs>
          <w:tab w:val="left" w:pos="733"/>
          <w:tab w:val="left" w:pos="3385"/>
          <w:tab w:val="center" w:pos="4345"/>
          <w:tab w:val="right" w:pos="8737"/>
        </w:tabs>
        <w:spacing w:after="120" w:line="269" w:lineRule="auto"/>
        <w:ind w:firstLine="740"/>
        <w:jc w:val="both"/>
      </w:pPr>
      <w:proofErr w:type="gramStart"/>
      <w:r w:rsidRPr="0096534C">
        <w:rPr>
          <w:rStyle w:val="BodyTextChar"/>
        </w:rPr>
        <w:t>rapports</w:t>
      </w:r>
      <w:proofErr w:type="gramEnd"/>
      <w:r w:rsidRPr="0096534C">
        <w:rPr>
          <w:rStyle w:val="BodyTextChar"/>
        </w:rPr>
        <w:t xml:space="preserve"> internes/externes d’examen de la qualité (périodiques le cas échéant) sur l’offre académique et de stage et pour le suivi des activités des boursiers;</w:t>
      </w:r>
    </w:p>
    <w:p w14:paraId="34E43B6D" w14:textId="77777777" w:rsidR="000435C2" w:rsidRPr="0096534C" w:rsidRDefault="008B332B" w:rsidP="006008C4">
      <w:pPr>
        <w:pStyle w:val="BodyText"/>
        <w:numPr>
          <w:ilvl w:val="0"/>
          <w:numId w:val="25"/>
        </w:numPr>
        <w:spacing w:after="120"/>
        <w:jc w:val="both"/>
      </w:pPr>
      <w:proofErr w:type="gramStart"/>
      <w:r w:rsidRPr="0096534C">
        <w:rPr>
          <w:rStyle w:val="BodyTextChar"/>
        </w:rPr>
        <w:t>indicateurs</w:t>
      </w:r>
      <w:proofErr w:type="gramEnd"/>
      <w:r w:rsidRPr="0096534C">
        <w:rPr>
          <w:rStyle w:val="BodyTextChar"/>
        </w:rPr>
        <w:t xml:space="preserve"> de réussite concernant l’incidence du projet sur les plans individuel, institutionnel et politique;</w:t>
      </w:r>
    </w:p>
    <w:p w14:paraId="32C8906D" w14:textId="77777777" w:rsidR="000435C2" w:rsidRPr="0096534C" w:rsidRDefault="008B332B" w:rsidP="006008C4">
      <w:pPr>
        <w:pStyle w:val="BodyText"/>
        <w:numPr>
          <w:ilvl w:val="0"/>
          <w:numId w:val="25"/>
        </w:numPr>
        <w:tabs>
          <w:tab w:val="left" w:pos="733"/>
        </w:tabs>
        <w:spacing w:after="120" w:line="269" w:lineRule="auto"/>
        <w:jc w:val="both"/>
      </w:pPr>
      <w:proofErr w:type="gramStart"/>
      <w:r w:rsidRPr="0096534C">
        <w:rPr>
          <w:rStyle w:val="BodyTextChar"/>
        </w:rPr>
        <w:t>stratégie</w:t>
      </w:r>
      <w:proofErr w:type="gramEnd"/>
      <w:r w:rsidRPr="0096534C">
        <w:rPr>
          <w:rStyle w:val="BodyTextChar"/>
        </w:rPr>
        <w:t xml:space="preserve"> de diffusion;</w:t>
      </w:r>
    </w:p>
    <w:p w14:paraId="5359788B" w14:textId="34A90A52" w:rsidR="000435C2" w:rsidRPr="0096534C" w:rsidRDefault="008B332B" w:rsidP="006008C4">
      <w:pPr>
        <w:pStyle w:val="BodyText"/>
        <w:numPr>
          <w:ilvl w:val="0"/>
          <w:numId w:val="25"/>
        </w:numPr>
        <w:tabs>
          <w:tab w:val="left" w:pos="733"/>
          <w:tab w:val="left" w:pos="3399"/>
          <w:tab w:val="center" w:pos="4815"/>
        </w:tabs>
        <w:spacing w:after="200" w:line="269" w:lineRule="auto"/>
        <w:jc w:val="both"/>
      </w:pPr>
      <w:proofErr w:type="gramStart"/>
      <w:r w:rsidRPr="0096534C">
        <w:rPr>
          <w:rStyle w:val="BodyTextChar"/>
        </w:rPr>
        <w:t>plan</w:t>
      </w:r>
      <w:proofErr w:type="gramEnd"/>
      <w:r w:rsidRPr="0096534C">
        <w:rPr>
          <w:rStyle w:val="BodyTextChar"/>
        </w:rPr>
        <w:t xml:space="preserve"> de viabilité opérationnelle et financière.</w:t>
      </w:r>
    </w:p>
    <w:p w14:paraId="2A724942" w14:textId="77777777" w:rsidR="000435C2" w:rsidRPr="0096534C" w:rsidRDefault="008B332B">
      <w:pPr>
        <w:pStyle w:val="BodyText"/>
        <w:spacing w:after="200"/>
        <w:jc w:val="both"/>
      </w:pPr>
      <w:r w:rsidRPr="0096534C">
        <w:rPr>
          <w:rStyle w:val="BodyTextChar"/>
        </w:rPr>
        <w:t>Il est recommandé aux demandeurs de limiter le nombre de catégories d’éléments livrables à un maximum de 15 au total.</w:t>
      </w:r>
    </w:p>
    <w:p w14:paraId="7D713DDE" w14:textId="77777777" w:rsidR="000435C2" w:rsidRPr="0096534C" w:rsidRDefault="008B332B" w:rsidP="00BF0FEB">
      <w:pPr>
        <w:pStyle w:val="Heading2"/>
        <w:rPr>
          <w:b w:val="0"/>
          <w:bCs w:val="0"/>
        </w:rPr>
      </w:pPr>
      <w:bookmarkStart w:id="65" w:name="bookmark71"/>
      <w:bookmarkStart w:id="66" w:name="_Toc185511119"/>
      <w:r w:rsidRPr="0096534C">
        <w:rPr>
          <w:rStyle w:val="BodyTextChar"/>
          <w:b w:val="0"/>
          <w:i/>
          <w:u w:val="single"/>
        </w:rPr>
        <w:t>Formulaire de subvention, taux de financement et montant maximal de la subvention</w:t>
      </w:r>
      <w:bookmarkEnd w:id="65"/>
      <w:bookmarkEnd w:id="66"/>
    </w:p>
    <w:p w14:paraId="7C5F6621" w14:textId="77777777" w:rsidR="000435C2" w:rsidRPr="0096534C" w:rsidRDefault="008B332B">
      <w:pPr>
        <w:pStyle w:val="BodyText"/>
        <w:jc w:val="both"/>
      </w:pPr>
      <w:r w:rsidRPr="0096534C">
        <w:rPr>
          <w:rStyle w:val="BodyTextChar"/>
        </w:rPr>
        <w:t>Les paramètres de la subvention</w:t>
      </w:r>
      <w:r w:rsidRPr="0096534C">
        <w:rPr>
          <w:rStyle w:val="BodyTextChar"/>
          <w:i/>
        </w:rPr>
        <w:t xml:space="preserve"> (montant maximal de la subvention, taux de financement, total des coûts éligibles, etc.)</w:t>
      </w:r>
      <w:r w:rsidRPr="0096534C">
        <w:rPr>
          <w:rStyle w:val="BodyTextChar"/>
        </w:rPr>
        <w:t xml:space="preserve"> seront énoncés dans la convention de subvention </w:t>
      </w:r>
      <w:r w:rsidRPr="0096534C">
        <w:rPr>
          <w:rStyle w:val="BodyTextChar"/>
          <w:i/>
        </w:rPr>
        <w:t>(fiche de données, point 3 et article 5)</w:t>
      </w:r>
      <w:r w:rsidRPr="0096534C">
        <w:rPr>
          <w:rStyle w:val="BodyTextChar"/>
        </w:rPr>
        <w:t>.</w:t>
      </w:r>
    </w:p>
    <w:p w14:paraId="72DE032F" w14:textId="77777777" w:rsidR="000435C2" w:rsidRPr="0096534C" w:rsidRDefault="008B332B">
      <w:pPr>
        <w:pStyle w:val="BodyText"/>
        <w:jc w:val="both"/>
      </w:pPr>
      <w:r w:rsidRPr="0096534C">
        <w:rPr>
          <w:rStyle w:val="BodyTextChar"/>
        </w:rPr>
        <w:t>Budget du projet (montant maximal de la subvention</w:t>
      </w:r>
      <w:proofErr w:type="gramStart"/>
      <w:r w:rsidRPr="0096534C">
        <w:rPr>
          <w:rStyle w:val="BodyTextChar"/>
        </w:rPr>
        <w:t>):</w:t>
      </w:r>
      <w:proofErr w:type="gramEnd"/>
      <w:r w:rsidRPr="0096534C">
        <w:rPr>
          <w:rStyle w:val="BodyTextChar"/>
        </w:rPr>
        <w:t xml:space="preserve"> 1 450 000 EUR par projet.</w:t>
      </w:r>
    </w:p>
    <w:p w14:paraId="4A2D2460" w14:textId="77777777" w:rsidR="000435C2" w:rsidRPr="0096534C" w:rsidRDefault="008B332B">
      <w:pPr>
        <w:pStyle w:val="BodyText"/>
        <w:jc w:val="both"/>
      </w:pPr>
      <w:r w:rsidRPr="0096534C">
        <w:rPr>
          <w:rStyle w:val="BodyTextChar"/>
        </w:rPr>
        <w:t>La subvention allouée peut être inférieure au montant demandé.</w:t>
      </w:r>
    </w:p>
    <w:p w14:paraId="40D94BEB" w14:textId="77777777" w:rsidR="000435C2" w:rsidRPr="0096534C" w:rsidRDefault="008B332B">
      <w:pPr>
        <w:pStyle w:val="BodyText"/>
        <w:jc w:val="both"/>
      </w:pPr>
      <w:r w:rsidRPr="0096534C">
        <w:rPr>
          <w:rStyle w:val="BodyTextChar"/>
        </w:rPr>
        <w:t>Le budget des projets sélectionnés sera financé à partir de trois enveloppes budgétaires régionales différentes, proportionnellement aux montants disponibles pour chaque région.</w:t>
      </w:r>
    </w:p>
    <w:p w14:paraId="6B42566D" w14:textId="77777777" w:rsidR="000435C2" w:rsidRPr="0096534C" w:rsidRDefault="008B332B">
      <w:pPr>
        <w:pStyle w:val="BodyText"/>
        <w:jc w:val="both"/>
      </w:pPr>
      <w:r w:rsidRPr="0096534C">
        <w:rPr>
          <w:rStyle w:val="BodyTextChar"/>
        </w:rPr>
        <w:t xml:space="preserve">La subvention sera de type </w:t>
      </w:r>
      <w:proofErr w:type="gramStart"/>
      <w:r w:rsidRPr="0096534C">
        <w:rPr>
          <w:rStyle w:val="BodyTextChar"/>
        </w:rPr>
        <w:t>forfaitaire:</w:t>
      </w:r>
      <w:proofErr w:type="gramEnd"/>
      <w:r w:rsidRPr="0096534C">
        <w:rPr>
          <w:rStyle w:val="BodyTextChar"/>
        </w:rPr>
        <w:t xml:space="preserve"> cela signifie qu’elle remboursera un montant fixe par unité, basé sur des coûts unitaires, des contributions unitaires ou un financement non lié aux coûts.</w:t>
      </w:r>
    </w:p>
    <w:p w14:paraId="6AFA8E8D" w14:textId="77777777" w:rsidR="000435C2" w:rsidRPr="0096534C" w:rsidRDefault="008B332B" w:rsidP="00BF0FEB">
      <w:pPr>
        <w:pStyle w:val="Heading2"/>
        <w:rPr>
          <w:rStyle w:val="BodyTextChar"/>
          <w:i/>
          <w:iCs/>
          <w:u w:val="single"/>
        </w:rPr>
      </w:pPr>
      <w:bookmarkStart w:id="67" w:name="bookmark72"/>
      <w:bookmarkStart w:id="68" w:name="_Toc185511120"/>
      <w:r w:rsidRPr="0096534C">
        <w:rPr>
          <w:rStyle w:val="BodyTextChar"/>
          <w:b w:val="0"/>
          <w:i/>
          <w:u w:val="single"/>
        </w:rPr>
        <w:t>Catégories budgétaires et règles d’éligibilité des coûts</w:t>
      </w:r>
      <w:bookmarkEnd w:id="67"/>
      <w:bookmarkEnd w:id="68"/>
    </w:p>
    <w:p w14:paraId="293BBA46" w14:textId="77777777" w:rsidR="000435C2" w:rsidRPr="0096534C" w:rsidRDefault="008B332B">
      <w:pPr>
        <w:pStyle w:val="BodyText"/>
        <w:jc w:val="both"/>
      </w:pPr>
      <w:r w:rsidRPr="0096534C">
        <w:rPr>
          <w:rStyle w:val="BodyTextChar"/>
        </w:rPr>
        <w:t xml:space="preserve">Les catégories budgétaires et les règles d’éligibilité des coûts sont établies dans la convention de subvention </w:t>
      </w:r>
      <w:r w:rsidRPr="0096534C">
        <w:rPr>
          <w:rStyle w:val="BodyTextChar"/>
          <w:i/>
        </w:rPr>
        <w:t>(fiche de données, point 3, article 6 et annexe 2)</w:t>
      </w:r>
      <w:r w:rsidRPr="0096534C">
        <w:rPr>
          <w:rStyle w:val="BodyTextChar"/>
        </w:rPr>
        <w:t>.</w:t>
      </w:r>
    </w:p>
    <w:p w14:paraId="7365DD6D" w14:textId="77777777" w:rsidR="000435C2" w:rsidRPr="0096534C" w:rsidRDefault="008B332B">
      <w:pPr>
        <w:pStyle w:val="BodyText"/>
        <w:spacing w:after="120"/>
        <w:jc w:val="both"/>
      </w:pPr>
      <w:r w:rsidRPr="0096534C">
        <w:rPr>
          <w:rStyle w:val="BodyTextChar"/>
          <w:i/>
        </w:rPr>
        <w:t>Catégories budgétaires pour le présent appel</w:t>
      </w:r>
      <w:r w:rsidRPr="0096534C">
        <w:rPr>
          <w:rStyle w:val="BodyTextChar"/>
          <w:i/>
          <w:iCs/>
          <w:vertAlign w:val="superscript"/>
        </w:rPr>
        <w:footnoteReference w:id="18"/>
      </w:r>
      <w:r w:rsidRPr="0096534C">
        <w:rPr>
          <w:rStyle w:val="BodyTextChar"/>
          <w:i/>
        </w:rPr>
        <w:t>:</w:t>
      </w:r>
    </w:p>
    <w:p w14:paraId="25ECA22C" w14:textId="77777777" w:rsidR="000435C2" w:rsidRPr="0096534C" w:rsidRDefault="008B332B" w:rsidP="006008C4">
      <w:pPr>
        <w:pStyle w:val="BodyText"/>
        <w:numPr>
          <w:ilvl w:val="0"/>
          <w:numId w:val="25"/>
        </w:numPr>
        <w:tabs>
          <w:tab w:val="left" w:pos="702"/>
          <w:tab w:val="left" w:pos="1102"/>
        </w:tabs>
        <w:spacing w:after="120" w:line="221" w:lineRule="auto"/>
        <w:jc w:val="both"/>
      </w:pPr>
      <w:r w:rsidRPr="0096534C">
        <w:rPr>
          <w:rStyle w:val="BodyTextChar"/>
        </w:rPr>
        <w:lastRenderedPageBreak/>
        <w:t>A.</w:t>
      </w:r>
      <w:r w:rsidRPr="0096534C">
        <w:rPr>
          <w:rStyle w:val="BodyTextChar"/>
        </w:rPr>
        <w:tab/>
        <w:t>Contributions pour les bourses d’études</w:t>
      </w:r>
    </w:p>
    <w:p w14:paraId="02164A54" w14:textId="77777777" w:rsidR="000435C2" w:rsidRPr="0096534C" w:rsidRDefault="008B332B" w:rsidP="006008C4">
      <w:pPr>
        <w:pStyle w:val="BodyText"/>
        <w:numPr>
          <w:ilvl w:val="0"/>
          <w:numId w:val="25"/>
        </w:numPr>
        <w:tabs>
          <w:tab w:val="left" w:pos="702"/>
          <w:tab w:val="left" w:pos="1102"/>
        </w:tabs>
        <w:spacing w:after="120" w:line="221" w:lineRule="auto"/>
        <w:jc w:val="both"/>
      </w:pPr>
      <w:r w:rsidRPr="0096534C">
        <w:rPr>
          <w:rStyle w:val="BodyTextChar"/>
        </w:rPr>
        <w:t>B.</w:t>
      </w:r>
      <w:r w:rsidRPr="0096534C">
        <w:rPr>
          <w:rStyle w:val="BodyTextChar"/>
        </w:rPr>
        <w:tab/>
        <w:t>Contributions institutionnelles</w:t>
      </w:r>
    </w:p>
    <w:p w14:paraId="2C2E31EA" w14:textId="77777777" w:rsidR="000435C2" w:rsidRPr="0096534C" w:rsidRDefault="008B332B" w:rsidP="006008C4">
      <w:pPr>
        <w:pStyle w:val="BodyText"/>
        <w:numPr>
          <w:ilvl w:val="0"/>
          <w:numId w:val="25"/>
        </w:numPr>
        <w:tabs>
          <w:tab w:val="left" w:pos="702"/>
          <w:tab w:val="left" w:pos="1107"/>
        </w:tabs>
        <w:spacing w:after="120" w:line="221" w:lineRule="auto"/>
        <w:jc w:val="both"/>
      </w:pPr>
      <w:r w:rsidRPr="0096534C">
        <w:rPr>
          <w:rStyle w:val="BodyTextChar"/>
        </w:rPr>
        <w:t>C.</w:t>
      </w:r>
      <w:r w:rsidRPr="0096534C">
        <w:rPr>
          <w:rStyle w:val="BodyTextChar"/>
        </w:rPr>
        <w:tab/>
        <w:t>Contributions pour les besoins particuliers</w:t>
      </w:r>
    </w:p>
    <w:p w14:paraId="033D96BC" w14:textId="77777777" w:rsidR="000435C2" w:rsidRPr="0096534C" w:rsidRDefault="008B332B">
      <w:pPr>
        <w:pStyle w:val="BodyText"/>
        <w:spacing w:after="120"/>
        <w:jc w:val="both"/>
      </w:pPr>
      <w:r w:rsidRPr="0096534C">
        <w:rPr>
          <w:rStyle w:val="BodyTextChar"/>
          <w:i/>
        </w:rPr>
        <w:t xml:space="preserve">Règles spécifiques d’éligibilité des coûts pour le présent </w:t>
      </w:r>
      <w:proofErr w:type="gramStart"/>
      <w:r w:rsidRPr="0096534C">
        <w:rPr>
          <w:rStyle w:val="BodyTextChar"/>
          <w:i/>
        </w:rPr>
        <w:t>appel:</w:t>
      </w:r>
      <w:proofErr w:type="gramEnd"/>
    </w:p>
    <w:p w14:paraId="6CCC61AB" w14:textId="77777777" w:rsidR="000435C2" w:rsidRPr="0096534C" w:rsidRDefault="008B332B" w:rsidP="006008C4">
      <w:pPr>
        <w:pStyle w:val="BodyText"/>
        <w:numPr>
          <w:ilvl w:val="0"/>
          <w:numId w:val="25"/>
        </w:numPr>
        <w:tabs>
          <w:tab w:val="left" w:pos="759"/>
        </w:tabs>
        <w:spacing w:after="240" w:line="233" w:lineRule="auto"/>
        <w:jc w:val="both"/>
      </w:pPr>
      <w:proofErr w:type="gramStart"/>
      <w:r w:rsidRPr="0096534C">
        <w:rPr>
          <w:rStyle w:val="BodyTextChar"/>
        </w:rPr>
        <w:t>le</w:t>
      </w:r>
      <w:proofErr w:type="gramEnd"/>
      <w:r w:rsidRPr="0096534C">
        <w:rPr>
          <w:rStyle w:val="BodyTextChar"/>
        </w:rPr>
        <w:t xml:space="preserve"> montant unitaire de la subvention doit être calculé conformément à la méthodologie énoncée dans la décision autorisant l’utilisation de contributions unitaires, et à l’aide du calculateur fourni (le cas échéant).</w:t>
      </w:r>
    </w:p>
    <w:p w14:paraId="77CBBFE0" w14:textId="77777777" w:rsidR="000435C2" w:rsidRPr="0096534C" w:rsidRDefault="008B332B" w:rsidP="006008C4">
      <w:pPr>
        <w:keepNext/>
        <w:keepLines/>
        <w:numPr>
          <w:ilvl w:val="0"/>
          <w:numId w:val="26"/>
        </w:numPr>
        <w:tabs>
          <w:tab w:val="left" w:pos="766"/>
        </w:tabs>
        <w:spacing w:after="120"/>
        <w:ind w:firstLine="360"/>
        <w:jc w:val="both"/>
        <w:rPr>
          <w:b/>
          <w:bCs/>
        </w:rPr>
      </w:pPr>
      <w:bookmarkStart w:id="69" w:name="bookmark73"/>
      <w:r w:rsidRPr="0096534C">
        <w:rPr>
          <w:b/>
        </w:rPr>
        <w:t>Contribution à une bourse d’études</w:t>
      </w:r>
      <w:bookmarkEnd w:id="69"/>
    </w:p>
    <w:p w14:paraId="5E8CF4BA" w14:textId="77777777" w:rsidR="000435C2" w:rsidRPr="0096534C" w:rsidRDefault="008B332B">
      <w:pPr>
        <w:pStyle w:val="BodyText"/>
        <w:jc w:val="both"/>
      </w:pPr>
      <w:r w:rsidRPr="0096534C">
        <w:rPr>
          <w:rStyle w:val="BodyTextChar"/>
        </w:rPr>
        <w:t>La bourse accordée aux particuliers (étudiants, stagiaires et membres du personnel) couvre les frais de déplacement, d’installation et de séjour.</w:t>
      </w:r>
    </w:p>
    <w:p w14:paraId="60956341" w14:textId="77777777" w:rsidR="000435C2" w:rsidRPr="0096534C" w:rsidRDefault="008B332B">
      <w:pPr>
        <w:pStyle w:val="BodyText"/>
        <w:jc w:val="both"/>
      </w:pPr>
      <w:r w:rsidRPr="0096534C">
        <w:rPr>
          <w:rStyle w:val="BodyTextChar"/>
        </w:rPr>
        <w:t xml:space="preserve">La bourse est calculée sur la base d’une contribution unitaire mensuelle (au prorata du nombre réel de jours), comme </w:t>
      </w:r>
      <w:proofErr w:type="gramStart"/>
      <w:r w:rsidRPr="0096534C">
        <w:rPr>
          <w:rStyle w:val="BodyTextChar"/>
        </w:rPr>
        <w:t>suit:</w:t>
      </w:r>
      <w:proofErr w:type="gramEnd"/>
    </w:p>
    <w:p w14:paraId="5E0D8CBA" w14:textId="77777777" w:rsidR="000435C2" w:rsidRPr="0096534C" w:rsidRDefault="008B332B" w:rsidP="006008C4">
      <w:pPr>
        <w:pStyle w:val="BodyText"/>
        <w:numPr>
          <w:ilvl w:val="0"/>
          <w:numId w:val="27"/>
        </w:numPr>
        <w:tabs>
          <w:tab w:val="left" w:pos="1058"/>
        </w:tabs>
        <w:spacing w:after="120"/>
        <w:ind w:firstLine="720"/>
        <w:jc w:val="both"/>
      </w:pPr>
      <w:r w:rsidRPr="0096534C">
        <w:rPr>
          <w:rStyle w:val="BodyTextChar"/>
        </w:rPr>
        <w:t xml:space="preserve">Étudiants en </w:t>
      </w:r>
      <w:proofErr w:type="gramStart"/>
      <w:r w:rsidRPr="0096534C">
        <w:rPr>
          <w:rStyle w:val="BodyTextChar"/>
        </w:rPr>
        <w:t>master:</w:t>
      </w:r>
      <w:proofErr w:type="gramEnd"/>
      <w:r w:rsidRPr="0096534C">
        <w:rPr>
          <w:rStyle w:val="BodyTextChar"/>
        </w:rPr>
        <w:t xml:space="preserve"> 890 EUR/mois x durée en mois de la mobilité</w:t>
      </w:r>
    </w:p>
    <w:p w14:paraId="48DCACC9" w14:textId="77777777" w:rsidR="000435C2" w:rsidRPr="0096534C" w:rsidRDefault="008B332B" w:rsidP="006008C4">
      <w:pPr>
        <w:pStyle w:val="BodyText"/>
        <w:numPr>
          <w:ilvl w:val="0"/>
          <w:numId w:val="27"/>
        </w:numPr>
        <w:tabs>
          <w:tab w:val="left" w:pos="1058"/>
        </w:tabs>
        <w:spacing w:after="0"/>
        <w:ind w:firstLine="720"/>
        <w:jc w:val="both"/>
      </w:pPr>
      <w:r w:rsidRPr="0096534C">
        <w:rPr>
          <w:rStyle w:val="BodyTextChar"/>
        </w:rPr>
        <w:t>Doctorants/</w:t>
      </w:r>
      <w:proofErr w:type="gramStart"/>
      <w:r w:rsidRPr="0096534C">
        <w:rPr>
          <w:rStyle w:val="BodyTextChar"/>
        </w:rPr>
        <w:t>stagiaires:</w:t>
      </w:r>
      <w:proofErr w:type="gramEnd"/>
      <w:r w:rsidRPr="0096534C">
        <w:rPr>
          <w:rStyle w:val="BodyTextChar"/>
        </w:rPr>
        <w:t xml:space="preserve"> 1 230 EUR/mois x durée en mois de</w:t>
      </w:r>
    </w:p>
    <w:p w14:paraId="54DD8677" w14:textId="77777777" w:rsidR="000435C2" w:rsidRPr="0096534C" w:rsidRDefault="008B332B">
      <w:pPr>
        <w:pStyle w:val="BodyText"/>
        <w:spacing w:after="120"/>
        <w:ind w:left="1100"/>
        <w:jc w:val="both"/>
      </w:pPr>
      <w:proofErr w:type="gramStart"/>
      <w:r w:rsidRPr="0096534C">
        <w:rPr>
          <w:rStyle w:val="BodyTextChar"/>
        </w:rPr>
        <w:t>la</w:t>
      </w:r>
      <w:proofErr w:type="gramEnd"/>
      <w:r w:rsidRPr="0096534C">
        <w:rPr>
          <w:rStyle w:val="BodyTextChar"/>
        </w:rPr>
        <w:t xml:space="preserve"> mobilité</w:t>
      </w:r>
    </w:p>
    <w:p w14:paraId="517C6F34" w14:textId="77777777" w:rsidR="000435C2" w:rsidRPr="0096534C" w:rsidRDefault="008B332B" w:rsidP="006008C4">
      <w:pPr>
        <w:pStyle w:val="BodyText"/>
        <w:numPr>
          <w:ilvl w:val="0"/>
          <w:numId w:val="27"/>
        </w:numPr>
        <w:tabs>
          <w:tab w:val="left" w:pos="1058"/>
        </w:tabs>
        <w:spacing w:after="240"/>
        <w:ind w:firstLine="720"/>
        <w:jc w:val="both"/>
      </w:pPr>
      <w:r w:rsidRPr="0096534C">
        <w:rPr>
          <w:rStyle w:val="BodyTextChar"/>
        </w:rPr>
        <w:t xml:space="preserve">Membre du </w:t>
      </w:r>
      <w:proofErr w:type="gramStart"/>
      <w:r w:rsidRPr="0096534C">
        <w:rPr>
          <w:rStyle w:val="BodyTextChar"/>
        </w:rPr>
        <w:t>personnel:</w:t>
      </w:r>
      <w:proofErr w:type="gramEnd"/>
      <w:r w:rsidRPr="0096534C">
        <w:rPr>
          <w:rStyle w:val="BodyTextChar"/>
        </w:rPr>
        <w:t xml:space="preserve"> 2 370 EUR/mois x durée en mois de la mobilité</w:t>
      </w:r>
    </w:p>
    <w:p w14:paraId="2DC2EDEA" w14:textId="77777777" w:rsidR="000435C2" w:rsidRPr="0096534C" w:rsidRDefault="008B332B" w:rsidP="006008C4">
      <w:pPr>
        <w:keepNext/>
        <w:keepLines/>
        <w:numPr>
          <w:ilvl w:val="0"/>
          <w:numId w:val="26"/>
        </w:numPr>
        <w:tabs>
          <w:tab w:val="left" w:pos="747"/>
        </w:tabs>
        <w:spacing w:after="120"/>
        <w:ind w:firstLine="360"/>
        <w:jc w:val="both"/>
        <w:rPr>
          <w:b/>
          <w:bCs/>
        </w:rPr>
      </w:pPr>
      <w:bookmarkStart w:id="70" w:name="bookmark75"/>
      <w:r w:rsidRPr="0096534C">
        <w:rPr>
          <w:b/>
        </w:rPr>
        <w:t>Contribution institutionnelle</w:t>
      </w:r>
      <w:bookmarkEnd w:id="70"/>
    </w:p>
    <w:p w14:paraId="2A2E038C" w14:textId="77777777" w:rsidR="000435C2" w:rsidRPr="0096534C" w:rsidRDefault="008B332B">
      <w:pPr>
        <w:pStyle w:val="BodyText"/>
        <w:jc w:val="both"/>
      </w:pPr>
      <w:r w:rsidRPr="0096534C">
        <w:rPr>
          <w:rStyle w:val="BodyTextChar"/>
        </w:rPr>
        <w:t>La contribution de l’unité institutionnelle vise à couvrir une partie des coûts liés à la mise en œuvre du programme de mobilité, tels que la gestion du projet, la coordination, la communication et la diffusion, les services aux étudiants, y compris la couverture d’assurance, les frais de participation, y compris les droits d’inscription, les activités de recherche et tous les autres coûts nécessaires à la bonne mise en œuvre du plan de mobilité.</w:t>
      </w:r>
    </w:p>
    <w:p w14:paraId="424AEE05" w14:textId="77777777" w:rsidR="000435C2" w:rsidRPr="0096534C" w:rsidRDefault="008B332B">
      <w:pPr>
        <w:pStyle w:val="BodyText"/>
        <w:jc w:val="both"/>
      </w:pPr>
      <w:r w:rsidRPr="0096534C">
        <w:rPr>
          <w:rStyle w:val="BodyTextChar"/>
        </w:rPr>
        <w:t xml:space="preserve">La contribution maximale aux coûts institutionnels pour la durée de la convention de subvention est calculée comme </w:t>
      </w:r>
      <w:proofErr w:type="gramStart"/>
      <w:r w:rsidRPr="0096534C">
        <w:rPr>
          <w:rStyle w:val="BodyTextChar"/>
        </w:rPr>
        <w:t>suit:</w:t>
      </w:r>
      <w:proofErr w:type="gramEnd"/>
    </w:p>
    <w:p w14:paraId="4F9A1FB1" w14:textId="77777777" w:rsidR="000435C2" w:rsidRPr="0096534C" w:rsidRDefault="008B332B">
      <w:pPr>
        <w:pStyle w:val="BodyText"/>
        <w:jc w:val="both"/>
      </w:pPr>
      <w:r w:rsidRPr="0096534C">
        <w:rPr>
          <w:rStyle w:val="BodyTextChar"/>
        </w:rPr>
        <w:t>900 EUR/mois x durée en mois de toute la mobilité mise en œuvre (au prorata du nombre réel de jours)</w:t>
      </w:r>
    </w:p>
    <w:p w14:paraId="66BE9606" w14:textId="77777777" w:rsidR="000435C2" w:rsidRPr="0096534C" w:rsidRDefault="008B332B" w:rsidP="006008C4">
      <w:pPr>
        <w:keepNext/>
        <w:keepLines/>
        <w:numPr>
          <w:ilvl w:val="0"/>
          <w:numId w:val="26"/>
        </w:numPr>
        <w:tabs>
          <w:tab w:val="left" w:pos="741"/>
        </w:tabs>
        <w:spacing w:after="120"/>
        <w:ind w:firstLine="380"/>
        <w:jc w:val="both"/>
        <w:rPr>
          <w:b/>
          <w:bCs/>
        </w:rPr>
      </w:pPr>
      <w:bookmarkStart w:id="71" w:name="bookmark77"/>
      <w:r w:rsidRPr="0096534C">
        <w:rPr>
          <w:b/>
        </w:rPr>
        <w:t>Contribution pour les besoins particuliers</w:t>
      </w:r>
      <w:bookmarkEnd w:id="71"/>
    </w:p>
    <w:p w14:paraId="388E6462" w14:textId="77777777" w:rsidR="000435C2" w:rsidRPr="0096534C" w:rsidRDefault="008B332B">
      <w:pPr>
        <w:pStyle w:val="BodyText"/>
        <w:spacing w:after="0"/>
        <w:jc w:val="both"/>
      </w:pPr>
      <w:r w:rsidRPr="0096534C">
        <w:rPr>
          <w:rStyle w:val="BodyTextChar"/>
          <w:color w:val="0D0D0D"/>
        </w:rPr>
        <w:t>La contribution pour les besoins particuliers est éligible pour la mobilité d’un boursier handicapé dont les déficiences physiques, mentales, intellectuelles ou sensorielles à long terme sont certifiées par une autorité nationale compétente et sont d’une nature telle que sa participation à l’action ne serait pas possible sans les articles ou services répondant aux besoins particuliers. Elle contribuera à couvrir des coûts tels que ceux liés à l’acquisition d’articles ou de services spéciaux (par exemple, l’assistance de tierces personnes, l’adaptation de l’environnement de travail, les frais de voyage/transport supplémentaires).</w:t>
      </w:r>
    </w:p>
    <w:p w14:paraId="49ADD546" w14:textId="77777777" w:rsidR="000435C2" w:rsidRPr="0096534C" w:rsidRDefault="008B332B">
      <w:pPr>
        <w:pStyle w:val="BodyText"/>
        <w:spacing w:after="120"/>
        <w:jc w:val="both"/>
      </w:pPr>
      <w:r w:rsidRPr="0096534C">
        <w:rPr>
          <w:rStyle w:val="BodyTextChar"/>
          <w:color w:val="0D0D0D"/>
        </w:rPr>
        <w:t xml:space="preserve">Le soutien destiné à couvrir ces besoins individuels des étudiants inscrits prendra la forme des contributions unitaires aux besoins particuliers </w:t>
      </w:r>
      <w:proofErr w:type="gramStart"/>
      <w:r w:rsidRPr="0096534C">
        <w:rPr>
          <w:rStyle w:val="BodyTextChar"/>
          <w:color w:val="0D0D0D"/>
        </w:rPr>
        <w:t>suivantes:</w:t>
      </w:r>
      <w:proofErr w:type="gramEnd"/>
    </w:p>
    <w:p w14:paraId="50E169FF" w14:textId="77777777" w:rsidR="008F31DC" w:rsidRPr="0096534C" w:rsidRDefault="008B332B" w:rsidP="008F31DC">
      <w:pPr>
        <w:pStyle w:val="BodyText"/>
        <w:numPr>
          <w:ilvl w:val="0"/>
          <w:numId w:val="29"/>
        </w:numPr>
        <w:tabs>
          <w:tab w:val="left" w:pos="835"/>
        </w:tabs>
        <w:spacing w:after="0"/>
        <w:ind w:firstLine="426"/>
        <w:jc w:val="both"/>
        <w:rPr>
          <w:rStyle w:val="BodyTextChar"/>
        </w:rPr>
      </w:pPr>
      <w:r w:rsidRPr="0096534C">
        <w:rPr>
          <w:rStyle w:val="BodyTextChar"/>
        </w:rPr>
        <w:t>3 000 EUR</w:t>
      </w:r>
    </w:p>
    <w:p w14:paraId="6DD71143" w14:textId="77777777" w:rsidR="008F31DC" w:rsidRPr="0096534C" w:rsidRDefault="008B332B" w:rsidP="008F31DC">
      <w:pPr>
        <w:pStyle w:val="BodyText"/>
        <w:numPr>
          <w:ilvl w:val="0"/>
          <w:numId w:val="29"/>
        </w:numPr>
        <w:tabs>
          <w:tab w:val="left" w:pos="821"/>
        </w:tabs>
        <w:spacing w:after="0"/>
        <w:ind w:firstLine="426"/>
        <w:jc w:val="both"/>
        <w:rPr>
          <w:rStyle w:val="BodyTextChar"/>
        </w:rPr>
      </w:pPr>
      <w:r w:rsidRPr="0096534C">
        <w:rPr>
          <w:rStyle w:val="BodyTextChar"/>
        </w:rPr>
        <w:t>4 500 EUR</w:t>
      </w:r>
    </w:p>
    <w:p w14:paraId="598E5087" w14:textId="77777777" w:rsidR="008F31DC" w:rsidRPr="0096534C" w:rsidRDefault="008B332B" w:rsidP="008F31DC">
      <w:pPr>
        <w:pStyle w:val="BodyText"/>
        <w:numPr>
          <w:ilvl w:val="0"/>
          <w:numId w:val="29"/>
        </w:numPr>
        <w:tabs>
          <w:tab w:val="left" w:pos="821"/>
        </w:tabs>
        <w:spacing w:after="0"/>
        <w:ind w:firstLine="426"/>
        <w:jc w:val="both"/>
        <w:rPr>
          <w:rStyle w:val="BodyTextChar"/>
        </w:rPr>
      </w:pPr>
      <w:r w:rsidRPr="0096534C">
        <w:rPr>
          <w:rStyle w:val="BodyTextChar"/>
        </w:rPr>
        <w:t>6 000 EUR</w:t>
      </w:r>
    </w:p>
    <w:p w14:paraId="016809EC" w14:textId="77777777" w:rsidR="008F31DC" w:rsidRPr="0096534C" w:rsidRDefault="008B332B" w:rsidP="008F31DC">
      <w:pPr>
        <w:pStyle w:val="BodyText"/>
        <w:numPr>
          <w:ilvl w:val="0"/>
          <w:numId w:val="29"/>
        </w:numPr>
        <w:tabs>
          <w:tab w:val="left" w:pos="835"/>
        </w:tabs>
        <w:spacing w:after="0"/>
        <w:ind w:firstLine="426"/>
        <w:jc w:val="both"/>
        <w:rPr>
          <w:rStyle w:val="BodyTextChar"/>
        </w:rPr>
      </w:pPr>
      <w:r w:rsidRPr="0096534C">
        <w:rPr>
          <w:rStyle w:val="BodyTextChar"/>
        </w:rPr>
        <w:t>9 500 EUR</w:t>
      </w:r>
    </w:p>
    <w:p w14:paraId="223475D1" w14:textId="1B14A0C3" w:rsidR="000435C2" w:rsidRPr="0096534C" w:rsidRDefault="008B332B" w:rsidP="008F31DC">
      <w:pPr>
        <w:pStyle w:val="BodyText"/>
        <w:numPr>
          <w:ilvl w:val="0"/>
          <w:numId w:val="29"/>
        </w:numPr>
        <w:tabs>
          <w:tab w:val="left" w:pos="835"/>
        </w:tabs>
        <w:spacing w:after="0"/>
        <w:ind w:firstLine="426"/>
        <w:jc w:val="both"/>
        <w:rPr>
          <w:rStyle w:val="BodyTextChar"/>
        </w:rPr>
      </w:pPr>
      <w:r w:rsidRPr="0096534C">
        <w:rPr>
          <w:rStyle w:val="BodyTextChar"/>
        </w:rPr>
        <w:t>13 000 EUR</w:t>
      </w:r>
    </w:p>
    <w:p w14:paraId="5198A772" w14:textId="2FF2707D" w:rsidR="000435C2" w:rsidRPr="0096534C" w:rsidRDefault="008B332B" w:rsidP="008F31DC">
      <w:pPr>
        <w:pStyle w:val="BodyText"/>
        <w:numPr>
          <w:ilvl w:val="0"/>
          <w:numId w:val="29"/>
        </w:numPr>
        <w:tabs>
          <w:tab w:val="left" w:pos="821"/>
        </w:tabs>
        <w:spacing w:after="0"/>
        <w:ind w:firstLine="426"/>
        <w:jc w:val="both"/>
        <w:rPr>
          <w:rStyle w:val="BodyTextChar"/>
        </w:rPr>
      </w:pPr>
      <w:r w:rsidRPr="0096534C">
        <w:rPr>
          <w:rStyle w:val="BodyTextChar"/>
        </w:rPr>
        <w:t>18 500 EUR</w:t>
      </w:r>
    </w:p>
    <w:p w14:paraId="685C960E" w14:textId="77777777" w:rsidR="000435C2" w:rsidRPr="0096534C" w:rsidRDefault="008B332B" w:rsidP="008F31DC">
      <w:pPr>
        <w:pStyle w:val="BodyText"/>
        <w:numPr>
          <w:ilvl w:val="0"/>
          <w:numId w:val="29"/>
        </w:numPr>
        <w:tabs>
          <w:tab w:val="left" w:pos="821"/>
        </w:tabs>
        <w:spacing w:after="0"/>
        <w:ind w:firstLine="426"/>
        <w:jc w:val="both"/>
        <w:rPr>
          <w:rStyle w:val="BodyTextChar"/>
        </w:rPr>
      </w:pPr>
      <w:r w:rsidRPr="0096534C">
        <w:rPr>
          <w:rStyle w:val="BodyTextChar"/>
        </w:rPr>
        <w:t>g) 27 500 EUR</w:t>
      </w:r>
    </w:p>
    <w:p w14:paraId="42F58887" w14:textId="77777777" w:rsidR="000435C2" w:rsidRPr="0096534C" w:rsidRDefault="008B332B" w:rsidP="008F31DC">
      <w:pPr>
        <w:pStyle w:val="BodyText"/>
        <w:numPr>
          <w:ilvl w:val="0"/>
          <w:numId w:val="29"/>
        </w:numPr>
        <w:tabs>
          <w:tab w:val="left" w:pos="821"/>
        </w:tabs>
        <w:spacing w:after="0"/>
        <w:ind w:firstLine="426"/>
        <w:jc w:val="both"/>
        <w:rPr>
          <w:rStyle w:val="BodyTextChar"/>
        </w:rPr>
      </w:pPr>
      <w:r w:rsidRPr="0096534C">
        <w:rPr>
          <w:rStyle w:val="BodyTextChar"/>
        </w:rPr>
        <w:lastRenderedPageBreak/>
        <w:t>h) 35 000 EUR</w:t>
      </w:r>
    </w:p>
    <w:p w14:paraId="60837D08" w14:textId="77777777" w:rsidR="000435C2" w:rsidRPr="0096534C" w:rsidRDefault="008B332B" w:rsidP="008F31DC">
      <w:pPr>
        <w:pStyle w:val="BodyText"/>
        <w:numPr>
          <w:ilvl w:val="0"/>
          <w:numId w:val="29"/>
        </w:numPr>
        <w:tabs>
          <w:tab w:val="left" w:pos="821"/>
        </w:tabs>
        <w:spacing w:after="0"/>
        <w:ind w:firstLine="426"/>
        <w:jc w:val="both"/>
        <w:rPr>
          <w:rStyle w:val="BodyTextChar"/>
        </w:rPr>
      </w:pPr>
      <w:r w:rsidRPr="0096534C">
        <w:rPr>
          <w:rStyle w:val="BodyTextChar"/>
        </w:rPr>
        <w:t>47 500 EUR</w:t>
      </w:r>
    </w:p>
    <w:p w14:paraId="2F607B84" w14:textId="77777777" w:rsidR="000435C2" w:rsidRPr="0096534C" w:rsidRDefault="008B332B" w:rsidP="008F31DC">
      <w:pPr>
        <w:pStyle w:val="BodyText"/>
        <w:numPr>
          <w:ilvl w:val="0"/>
          <w:numId w:val="29"/>
        </w:numPr>
        <w:tabs>
          <w:tab w:val="left" w:pos="821"/>
        </w:tabs>
        <w:spacing w:after="240"/>
        <w:ind w:firstLine="426"/>
        <w:jc w:val="both"/>
        <w:rPr>
          <w:rStyle w:val="BodyTextChar"/>
        </w:rPr>
      </w:pPr>
      <w:r w:rsidRPr="0096534C">
        <w:rPr>
          <w:rStyle w:val="BodyTextChar"/>
        </w:rPr>
        <w:t>60 000 EUR</w:t>
      </w:r>
    </w:p>
    <w:p w14:paraId="236F481A" w14:textId="77777777" w:rsidR="000435C2" w:rsidRPr="0096534C" w:rsidRDefault="008B332B">
      <w:pPr>
        <w:pStyle w:val="BodyText"/>
        <w:spacing w:after="120"/>
        <w:jc w:val="both"/>
      </w:pPr>
      <w:r w:rsidRPr="0096534C">
        <w:rPr>
          <w:rStyle w:val="BodyTextChar"/>
        </w:rPr>
        <w:t xml:space="preserve">Calcul de la contribution unitaire par </w:t>
      </w:r>
      <w:proofErr w:type="gramStart"/>
      <w:r w:rsidRPr="0096534C">
        <w:rPr>
          <w:rStyle w:val="BodyTextChar"/>
        </w:rPr>
        <w:t>étudiant:</w:t>
      </w:r>
      <w:proofErr w:type="gramEnd"/>
    </w:p>
    <w:p w14:paraId="7F2DDC6B" w14:textId="77777777" w:rsidR="000435C2" w:rsidRPr="0096534C" w:rsidRDefault="008B332B">
      <w:pPr>
        <w:pStyle w:val="BodyText"/>
        <w:spacing w:after="120"/>
        <w:jc w:val="both"/>
      </w:pPr>
      <w:r w:rsidRPr="0096534C">
        <w:rPr>
          <w:rStyle w:val="BodyTextChar"/>
        </w:rPr>
        <w:t>Les boursiers déclareront le type d’articles/de services nécessaires et leur coût. Les bénéficiaires réclameront le taux le plus faible par étudiant par rapport aux coûts réels estimés de leurs besoins particuliers. La contribution aux besoins particuliers peut être évaluée au cas par cas, afin de mieux garantir le respect du principe de bonne gestion financière. Lorsque cette évaluation montre que les besoins décrits ne correspondent pas à la catégorie d’allocation proposée, l’Agence peut adapter la catégorie de besoins pour tenir compte de la description. Les coûts inférieurs à 3 000 euros et supérieurs à 60 000 euros ne sont pas remboursés par l’allocation pour besoins particuliers.</w:t>
      </w:r>
    </w:p>
    <w:p w14:paraId="1D6DDFF2" w14:textId="77777777" w:rsidR="000435C2" w:rsidRPr="0096534C" w:rsidRDefault="008B332B">
      <w:pPr>
        <w:pStyle w:val="BodyText"/>
        <w:spacing w:after="120"/>
        <w:jc w:val="both"/>
      </w:pPr>
      <w:r w:rsidRPr="0096534C">
        <w:rPr>
          <w:rStyle w:val="BodyTextChar"/>
        </w:rPr>
        <w:t xml:space="preserve">Calcul de la contribution maximale allouée au consortium pour la durée de la convention de </w:t>
      </w:r>
      <w:proofErr w:type="gramStart"/>
      <w:r w:rsidRPr="0096534C">
        <w:rPr>
          <w:rStyle w:val="BodyTextChar"/>
        </w:rPr>
        <w:t>subvention:</w:t>
      </w:r>
      <w:proofErr w:type="gramEnd"/>
    </w:p>
    <w:p w14:paraId="1B35101F" w14:textId="77777777" w:rsidR="000435C2" w:rsidRPr="0096534C" w:rsidRDefault="008B332B" w:rsidP="006008C4">
      <w:pPr>
        <w:pStyle w:val="BodyText"/>
        <w:numPr>
          <w:ilvl w:val="0"/>
          <w:numId w:val="32"/>
        </w:numPr>
        <w:tabs>
          <w:tab w:val="left" w:pos="735"/>
        </w:tabs>
        <w:spacing w:after="120"/>
        <w:ind w:left="740" w:hanging="360"/>
        <w:jc w:val="both"/>
      </w:pPr>
      <w:r w:rsidRPr="0096534C">
        <w:rPr>
          <w:rStyle w:val="BodyTextChar"/>
        </w:rPr>
        <w:t>Au stade de la demande, sur la base de leur estimation, les demandeurs demanderont un maximum de deux coûts unitaires, correspondant aux coûts unitaires disponibles les plus élevés, soit un maximum de 2 x 60 000 EUR. Ce montant sera utilisé pour répartir les coûts unitaires entre les boursiers concernés.</w:t>
      </w:r>
    </w:p>
    <w:p w14:paraId="5DB83A7E" w14:textId="77777777" w:rsidR="000435C2" w:rsidRPr="0096534C" w:rsidRDefault="008B332B" w:rsidP="006008C4">
      <w:pPr>
        <w:pStyle w:val="BodyText"/>
        <w:numPr>
          <w:ilvl w:val="0"/>
          <w:numId w:val="32"/>
        </w:numPr>
        <w:tabs>
          <w:tab w:val="left" w:pos="735"/>
        </w:tabs>
        <w:spacing w:after="120"/>
        <w:ind w:left="740" w:hanging="360"/>
        <w:jc w:val="both"/>
      </w:pPr>
      <w:r w:rsidRPr="0096534C">
        <w:rPr>
          <w:rStyle w:val="BodyTextChar"/>
        </w:rPr>
        <w:t xml:space="preserve">Au stade de la mise en œuvre, la contribution unitaire mensuelle est calculée comme </w:t>
      </w:r>
      <w:proofErr w:type="gramStart"/>
      <w:r w:rsidRPr="0096534C">
        <w:rPr>
          <w:rStyle w:val="BodyTextChar"/>
        </w:rPr>
        <w:t>suit:</w:t>
      </w:r>
      <w:proofErr w:type="gramEnd"/>
    </w:p>
    <w:p w14:paraId="7FA8EDAE" w14:textId="77777777" w:rsidR="000435C2" w:rsidRPr="0096534C" w:rsidRDefault="008B332B">
      <w:pPr>
        <w:pStyle w:val="BodyText"/>
        <w:spacing w:after="120"/>
        <w:jc w:val="center"/>
      </w:pPr>
      <w:r w:rsidRPr="0096534C">
        <w:rPr>
          <w:rStyle w:val="BodyTextChar"/>
        </w:rPr>
        <w:t>{</w:t>
      </w:r>
      <w:proofErr w:type="gramStart"/>
      <w:r w:rsidRPr="0096534C">
        <w:rPr>
          <w:rStyle w:val="BodyTextChar"/>
        </w:rPr>
        <w:t>unité</w:t>
      </w:r>
      <w:proofErr w:type="gramEnd"/>
      <w:r w:rsidRPr="0096534C">
        <w:rPr>
          <w:rStyle w:val="BodyTextChar"/>
        </w:rPr>
        <w:t xml:space="preserve"> des besoins particuliers x (1/nombre de mois)}</w:t>
      </w:r>
    </w:p>
    <w:p w14:paraId="0EB31A5C" w14:textId="77777777" w:rsidR="000435C2" w:rsidRPr="0096534C" w:rsidRDefault="008B332B">
      <w:pPr>
        <w:pStyle w:val="BodyText"/>
        <w:spacing w:after="120"/>
        <w:jc w:val="both"/>
      </w:pPr>
      <w:r w:rsidRPr="0096534C">
        <w:rPr>
          <w:rStyle w:val="BodyTextChar"/>
        </w:rPr>
        <w:t>Le nombre de mois dans la formule ci-dessus correspond au nombre de mois pendant lesquels les articles ou services répondant à des besoins particuliers ont été utilisés ou produits pour la mise en œuvre de l’action, en fonction de la nature des articles ou services. Pour les coûts ponctuels, le nombre de mois doit correspondre à 1.</w:t>
      </w:r>
    </w:p>
    <w:p w14:paraId="0806EF80" w14:textId="77777777" w:rsidR="000435C2" w:rsidRPr="0096534C" w:rsidRDefault="008B332B" w:rsidP="008F31DC">
      <w:pPr>
        <w:pStyle w:val="Heading2"/>
        <w:rPr>
          <w:b w:val="0"/>
          <w:bCs w:val="0"/>
        </w:rPr>
      </w:pPr>
      <w:bookmarkStart w:id="72" w:name="bookmark79"/>
      <w:bookmarkStart w:id="73" w:name="_Toc185511121"/>
      <w:r w:rsidRPr="0096534C">
        <w:rPr>
          <w:rStyle w:val="BodyTextChar"/>
          <w:b w:val="0"/>
          <w:i/>
          <w:u w:val="single"/>
        </w:rPr>
        <w:t>Modalités de remise des rapports et de paiement</w:t>
      </w:r>
      <w:bookmarkEnd w:id="72"/>
      <w:bookmarkEnd w:id="73"/>
    </w:p>
    <w:p w14:paraId="0D1EBE32" w14:textId="77777777" w:rsidR="000435C2" w:rsidRPr="0096534C" w:rsidRDefault="008B332B">
      <w:pPr>
        <w:pStyle w:val="BodyText"/>
        <w:jc w:val="both"/>
      </w:pPr>
      <w:r w:rsidRPr="0096534C">
        <w:rPr>
          <w:rStyle w:val="BodyTextChar"/>
        </w:rPr>
        <w:t>Les modalités de remise des rapports et de paiement sont fixées dans la convention de subvention (</w:t>
      </w:r>
      <w:r w:rsidRPr="0096534C">
        <w:rPr>
          <w:rStyle w:val="BodyTextChar"/>
          <w:i/>
        </w:rPr>
        <w:t>fiche de données, point 4 et articles 21 et 22</w:t>
      </w:r>
      <w:r w:rsidRPr="0096534C">
        <w:rPr>
          <w:rStyle w:val="BodyTextChar"/>
        </w:rPr>
        <w:t>).</w:t>
      </w:r>
    </w:p>
    <w:p w14:paraId="32E817B7" w14:textId="5321721E" w:rsidR="000435C2" w:rsidRPr="0096534C" w:rsidRDefault="008B332B" w:rsidP="008F31DC">
      <w:pPr>
        <w:pStyle w:val="BodyText"/>
        <w:jc w:val="both"/>
        <w:rPr>
          <w:rStyle w:val="BodyTextChar"/>
        </w:rPr>
      </w:pPr>
      <w:r w:rsidRPr="0096534C">
        <w:rPr>
          <w:rStyle w:val="BodyTextChar"/>
        </w:rPr>
        <w:t xml:space="preserve">Une fois la subvention signée, vous recevrez normalement un </w:t>
      </w:r>
      <w:r w:rsidRPr="0096534C">
        <w:rPr>
          <w:rStyle w:val="BodyTextChar"/>
          <w:b/>
        </w:rPr>
        <w:t>préfinancement</w:t>
      </w:r>
      <w:r w:rsidRPr="0096534C">
        <w:rPr>
          <w:rStyle w:val="BodyTextChar"/>
        </w:rPr>
        <w:t xml:space="preserve"> pour commencer à travailler sur le projet (versement équivalant normalement à </w:t>
      </w:r>
      <w:r w:rsidRPr="0096534C">
        <w:rPr>
          <w:rStyle w:val="BodyTextChar"/>
          <w:b/>
        </w:rPr>
        <w:t>50 %</w:t>
      </w:r>
      <w:r w:rsidRPr="0096534C">
        <w:rPr>
          <w:rStyle w:val="BodyTextChar"/>
        </w:rPr>
        <w:t xml:space="preserve"> du montant maximal de la </w:t>
      </w:r>
      <w:proofErr w:type="gramStart"/>
      <w:r w:rsidRPr="0096534C">
        <w:rPr>
          <w:rStyle w:val="BodyTextChar"/>
        </w:rPr>
        <w:t>subvention;</w:t>
      </w:r>
      <w:proofErr w:type="gramEnd"/>
      <w:r w:rsidRPr="0096534C">
        <w:rPr>
          <w:rStyle w:val="BodyTextChar"/>
        </w:rPr>
        <w:t xml:space="preserve"> exceptionnellement inférieur ou aucun préfinancement). Le préfinancement sera versé 30 jours après l’entrée en vigueur/la garantie financière (le cas échéant), la date la plus tardive étant retenue.</w:t>
      </w:r>
    </w:p>
    <w:p w14:paraId="6CBE1F2F" w14:textId="0524470E" w:rsidR="000435C2" w:rsidRPr="0096534C" w:rsidRDefault="008B332B" w:rsidP="008F31DC">
      <w:pPr>
        <w:pStyle w:val="BodyText"/>
        <w:jc w:val="both"/>
      </w:pPr>
      <w:r w:rsidRPr="0096534C">
        <w:rPr>
          <w:rStyle w:val="BodyTextChar"/>
        </w:rPr>
        <w:t xml:space="preserve">Il n’y aura pas de paiements intermédiaires. Il y aura un ou plusieurs </w:t>
      </w:r>
      <w:r w:rsidRPr="0096534C">
        <w:rPr>
          <w:rStyle w:val="BodyTextChar"/>
          <w:b/>
        </w:rPr>
        <w:t>paiements de préfinancement supplémentaires</w:t>
      </w:r>
      <w:r w:rsidRPr="0096534C">
        <w:rPr>
          <w:rStyle w:val="BodyTextChar"/>
        </w:rPr>
        <w:t xml:space="preserve"> liés à un rapport de préfinancement.</w:t>
      </w:r>
    </w:p>
    <w:p w14:paraId="54BF3DF1" w14:textId="77777777" w:rsidR="000435C2" w:rsidRPr="0096534C" w:rsidRDefault="008B332B">
      <w:pPr>
        <w:pStyle w:val="BodyText"/>
        <w:jc w:val="both"/>
      </w:pPr>
      <w:r w:rsidRPr="0096534C">
        <w:rPr>
          <w:rStyle w:val="BodyTextChar"/>
        </w:rPr>
        <w:t>En outre, vous devrez soumettre un ou plusieurs rapports de suivi non liés au paiement.</w:t>
      </w:r>
    </w:p>
    <w:p w14:paraId="47B827BC" w14:textId="77777777" w:rsidR="000435C2" w:rsidRPr="0096534C" w:rsidRDefault="008B332B">
      <w:pPr>
        <w:pStyle w:val="BodyText"/>
        <w:jc w:val="both"/>
      </w:pPr>
      <w:r w:rsidRPr="0096534C">
        <w:rPr>
          <w:rStyle w:val="BodyTextChar"/>
          <w:b/>
        </w:rPr>
        <w:t xml:space="preserve">Paiement du </w:t>
      </w:r>
      <w:proofErr w:type="gramStart"/>
      <w:r w:rsidRPr="0096534C">
        <w:rPr>
          <w:rStyle w:val="BodyTextChar"/>
          <w:b/>
        </w:rPr>
        <w:t>solde:</w:t>
      </w:r>
      <w:proofErr w:type="gramEnd"/>
      <w:r w:rsidRPr="0096534C">
        <w:rPr>
          <w:rStyle w:val="BodyTextChar"/>
        </w:rPr>
        <w:t xml:space="preserve"> au terme du projet, nous calculerons le montant final de votre subvention. Si le total des paiements antérieurs est supérieur au montant final de la subvention, nous vous demanderons (à votre coordinateur) de rembourser la différence (recouvrement).</w:t>
      </w:r>
    </w:p>
    <w:p w14:paraId="7ED92153" w14:textId="77777777" w:rsidR="000435C2" w:rsidRPr="0096534C" w:rsidRDefault="008B332B">
      <w:pPr>
        <w:pStyle w:val="BodyText"/>
        <w:spacing w:after="280"/>
        <w:jc w:val="both"/>
      </w:pPr>
      <w:r w:rsidRPr="0096534C">
        <w:rPr>
          <w:rStyle w:val="BodyTextChar"/>
        </w:rPr>
        <w:t>Tous les paiements seront exécutés à l’attention du coordinateur.</w:t>
      </w:r>
    </w:p>
    <w:p w14:paraId="6AE058AC" w14:textId="0B470DA3" w:rsidR="000435C2" w:rsidRPr="0096534C" w:rsidRDefault="00DA7766">
      <w:pPr>
        <w:pStyle w:val="BodyText"/>
        <w:jc w:val="both"/>
      </w:pPr>
      <w:r w:rsidRPr="0096534C">
        <w:rPr>
          <w:noProof/>
        </w:rPr>
        <w:drawing>
          <wp:inline distT="0" distB="0" distL="0" distR="0" wp14:anchorId="001B61AF" wp14:editId="357F2A47">
            <wp:extent cx="151130" cy="151130"/>
            <wp:effectExtent l="0" t="0" r="127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96534C">
        <w:rPr>
          <w:rStyle w:val="BodyTextChar"/>
          <w:color w:val="5E586D"/>
        </w:rPr>
        <w:t xml:space="preserve"> </w:t>
      </w:r>
      <w:r w:rsidRPr="0096534C">
        <w:rPr>
          <w:rStyle w:val="BodyTextChar"/>
        </w:rPr>
        <w:t xml:space="preserve">Veuillez noter que les paiements seront automatiquement réduits si l’un des </w:t>
      </w:r>
      <w:r w:rsidRPr="0096534C">
        <w:rPr>
          <w:rStyle w:val="BodyTextChar"/>
        </w:rPr>
        <w:lastRenderedPageBreak/>
        <w:t xml:space="preserve">membres de votre consortium a des dettes impayées envers l’UE (autorité chargée de l’attribution de la subvention ou autres organes de l’UE). Ces dettes seront compensées par nous, conformément aux conditions énoncées dans la convention de subvention </w:t>
      </w:r>
      <w:r w:rsidRPr="0096534C">
        <w:rPr>
          <w:rStyle w:val="BodyTextChar"/>
          <w:i/>
        </w:rPr>
        <w:t>(voir article 22)</w:t>
      </w:r>
      <w:r w:rsidRPr="0096534C">
        <w:rPr>
          <w:rStyle w:val="BodyTextChar"/>
        </w:rPr>
        <w:t>.</w:t>
      </w:r>
    </w:p>
    <w:p w14:paraId="3BB6B180" w14:textId="77777777" w:rsidR="000435C2" w:rsidRPr="0096534C" w:rsidRDefault="008B332B">
      <w:pPr>
        <w:pStyle w:val="BodyText"/>
        <w:jc w:val="both"/>
      </w:pPr>
      <w:r w:rsidRPr="0096534C">
        <w:rPr>
          <w:rStyle w:val="BodyTextChar"/>
        </w:rPr>
        <w:t>Veuillez également noter que vous êtes responsable de la tenue de registres de tous les travaux effectués et des unités déclarées.</w:t>
      </w:r>
    </w:p>
    <w:p w14:paraId="6AC44E71" w14:textId="77777777" w:rsidR="000435C2" w:rsidRPr="0096534C" w:rsidRDefault="008B332B" w:rsidP="008F31DC">
      <w:pPr>
        <w:pStyle w:val="Heading2"/>
        <w:rPr>
          <w:rStyle w:val="BodyTextChar"/>
          <w:b w:val="0"/>
          <w:bCs w:val="0"/>
          <w:i/>
          <w:iCs/>
          <w:u w:val="single"/>
        </w:rPr>
      </w:pPr>
      <w:bookmarkStart w:id="74" w:name="bookmark80"/>
      <w:bookmarkStart w:id="75" w:name="_Toc185511122"/>
      <w:r w:rsidRPr="0096534C">
        <w:rPr>
          <w:rStyle w:val="BodyTextChar"/>
          <w:b w:val="0"/>
          <w:i/>
          <w:u w:val="single"/>
        </w:rPr>
        <w:t>Garanties de préfinancement</w:t>
      </w:r>
      <w:bookmarkEnd w:id="74"/>
      <w:bookmarkEnd w:id="75"/>
    </w:p>
    <w:p w14:paraId="0802482E" w14:textId="77777777" w:rsidR="000435C2" w:rsidRPr="0096534C" w:rsidRDefault="008B332B">
      <w:pPr>
        <w:pStyle w:val="BodyText"/>
        <w:jc w:val="both"/>
      </w:pPr>
      <w:r w:rsidRPr="0096534C">
        <w:rPr>
          <w:rStyle w:val="BodyTextChar"/>
        </w:rPr>
        <w:t xml:space="preserve">Si une garantie de préfinancement est exigée, elle sera définie dans la convention de subvention </w:t>
      </w:r>
      <w:r w:rsidRPr="0096534C">
        <w:rPr>
          <w:rStyle w:val="BodyTextChar"/>
          <w:i/>
        </w:rPr>
        <w:t>(fiche de données, point 4</w:t>
      </w:r>
      <w:r w:rsidRPr="0096534C">
        <w:rPr>
          <w:rStyle w:val="BodyTextChar"/>
        </w:rPr>
        <w:t>). Le montant sera fixé à l’occasion de la préparation de la demande de subvention et il sera normalement égal ou inférieur au préfinancement de votre subvention.</w:t>
      </w:r>
    </w:p>
    <w:p w14:paraId="5A97BB3D" w14:textId="77777777" w:rsidR="000435C2" w:rsidRPr="0096534C" w:rsidRDefault="008B332B">
      <w:pPr>
        <w:pStyle w:val="BodyText"/>
        <w:jc w:val="both"/>
      </w:pPr>
      <w:r w:rsidRPr="0096534C">
        <w:rPr>
          <w:rStyle w:val="BodyTextChar"/>
        </w:rPr>
        <w:t>La garantie devrait être libellée en euros et émise par un établissement bancaire/financier agréé établi dans un État membre de l’UE. Si vous êtes établi dans un pays tiers et que vous souhaitez fournir une garantie émanant d’une banque ou d’un établissement financier de votre pays, veuillez nous contacter (ce qui peut être accepté à titre exceptionnel, si cette banque ou cet établissement financier offre une sécurité équivalente).</w:t>
      </w:r>
    </w:p>
    <w:p w14:paraId="09F70BA6" w14:textId="77777777" w:rsidR="000435C2" w:rsidRPr="0096534C" w:rsidRDefault="008B332B">
      <w:pPr>
        <w:pStyle w:val="BodyText"/>
        <w:jc w:val="both"/>
      </w:pPr>
      <w:r w:rsidRPr="0096534C">
        <w:rPr>
          <w:rStyle w:val="BodyTextChar"/>
        </w:rPr>
        <w:t>Les montants bloqués sur des comptes bancaires ne seront PAS acceptés comme garanties financières.</w:t>
      </w:r>
    </w:p>
    <w:p w14:paraId="658695C7" w14:textId="77777777" w:rsidR="000435C2" w:rsidRPr="0096534C" w:rsidRDefault="008B332B">
      <w:pPr>
        <w:pStyle w:val="BodyText"/>
        <w:jc w:val="both"/>
      </w:pPr>
      <w:r w:rsidRPr="0096534C">
        <w:rPr>
          <w:rStyle w:val="BodyTextChar"/>
        </w:rPr>
        <w:t>Des garanties de préfinancement sont normalement demandées au coordinateur, pour le consortium. Elles doivent être fournies pendant la préparation de la subvention, à temps pour effectuer le préfinancement (copie scannée via le portail ET original par voie postale).</w:t>
      </w:r>
    </w:p>
    <w:p w14:paraId="772CCF27" w14:textId="77777777" w:rsidR="000435C2" w:rsidRPr="0096534C" w:rsidRDefault="008B332B">
      <w:pPr>
        <w:pStyle w:val="BodyText"/>
        <w:jc w:val="both"/>
      </w:pPr>
      <w:r w:rsidRPr="0096534C">
        <w:rPr>
          <w:rStyle w:val="BodyTextChar"/>
        </w:rPr>
        <w:t>Dans le cas où nous en convenons ensemble, la garantie bancaire peut être remplacée par une garantie d’un tiers.</w:t>
      </w:r>
    </w:p>
    <w:p w14:paraId="0D13FF89" w14:textId="77777777" w:rsidR="000435C2" w:rsidRPr="0096534C" w:rsidRDefault="008B332B">
      <w:pPr>
        <w:pStyle w:val="BodyText"/>
        <w:jc w:val="both"/>
      </w:pPr>
      <w:r w:rsidRPr="0096534C">
        <w:rPr>
          <w:rStyle w:val="BodyTextChar"/>
        </w:rPr>
        <w:t xml:space="preserve">La garantie sera libérée à la fin de la subvention, conformément aux conditions énoncées dans la convention de subvention </w:t>
      </w:r>
      <w:r w:rsidRPr="0096534C">
        <w:rPr>
          <w:rStyle w:val="BodyTextChar"/>
          <w:i/>
        </w:rPr>
        <w:t>(article 23)</w:t>
      </w:r>
      <w:r w:rsidRPr="0096534C">
        <w:rPr>
          <w:rStyle w:val="BodyTextChar"/>
        </w:rPr>
        <w:t>.</w:t>
      </w:r>
    </w:p>
    <w:p w14:paraId="533EE1B1" w14:textId="77777777" w:rsidR="000435C2" w:rsidRPr="0096534C" w:rsidRDefault="008B332B" w:rsidP="008F31DC">
      <w:pPr>
        <w:pStyle w:val="Heading2"/>
        <w:rPr>
          <w:rStyle w:val="BodyTextChar"/>
          <w:b w:val="0"/>
          <w:bCs w:val="0"/>
          <w:i/>
          <w:iCs/>
          <w:u w:val="single"/>
        </w:rPr>
      </w:pPr>
      <w:bookmarkStart w:id="76" w:name="bookmark81"/>
      <w:bookmarkStart w:id="77" w:name="_Toc185511123"/>
      <w:r w:rsidRPr="0096534C">
        <w:rPr>
          <w:rStyle w:val="BodyTextChar"/>
          <w:b w:val="0"/>
          <w:i/>
          <w:u w:val="single"/>
        </w:rPr>
        <w:t>Certificats</w:t>
      </w:r>
      <w:bookmarkEnd w:id="76"/>
      <w:bookmarkEnd w:id="77"/>
    </w:p>
    <w:p w14:paraId="2E65229C" w14:textId="77777777" w:rsidR="000435C2" w:rsidRPr="0096534C" w:rsidRDefault="008B332B">
      <w:pPr>
        <w:pStyle w:val="BodyText"/>
        <w:spacing w:after="120"/>
        <w:jc w:val="both"/>
      </w:pPr>
      <w:r w:rsidRPr="0096534C">
        <w:rPr>
          <w:rStyle w:val="BodyTextChar"/>
        </w:rPr>
        <w:t xml:space="preserve">En fonction du type d’action, du montant de la subvention et du type de bénéficiaires, il peut vous être demandé de produire différents certificats. Les types, les calendriers et les seuils de chaque certificat sont définis dans la convention de subvention </w:t>
      </w:r>
      <w:r w:rsidRPr="0096534C">
        <w:rPr>
          <w:rStyle w:val="BodyTextChar"/>
          <w:i/>
        </w:rPr>
        <w:t>(fiche de données, point 4, et article 24)</w:t>
      </w:r>
      <w:r w:rsidRPr="0096534C">
        <w:rPr>
          <w:rStyle w:val="BodyTextChar"/>
        </w:rPr>
        <w:t>.</w:t>
      </w:r>
    </w:p>
    <w:p w14:paraId="78ED964E" w14:textId="77777777" w:rsidR="000435C2" w:rsidRPr="0096534C" w:rsidRDefault="008B332B" w:rsidP="008F31DC">
      <w:pPr>
        <w:pStyle w:val="Heading2"/>
        <w:rPr>
          <w:rStyle w:val="BodyTextChar"/>
          <w:b w:val="0"/>
          <w:bCs w:val="0"/>
          <w:i/>
          <w:iCs/>
          <w:u w:val="single"/>
        </w:rPr>
      </w:pPr>
      <w:bookmarkStart w:id="78" w:name="bookmark82"/>
      <w:bookmarkStart w:id="79" w:name="_Toc185511124"/>
      <w:r w:rsidRPr="0096534C">
        <w:rPr>
          <w:rStyle w:val="BodyTextChar"/>
          <w:b w:val="0"/>
          <w:i/>
          <w:u w:val="single"/>
        </w:rPr>
        <w:t>Régime de responsabilité pour les recouvrements</w:t>
      </w:r>
      <w:bookmarkEnd w:id="78"/>
      <w:bookmarkEnd w:id="79"/>
    </w:p>
    <w:p w14:paraId="4DAC3428" w14:textId="77777777" w:rsidR="000435C2" w:rsidRPr="0096534C" w:rsidRDefault="008B332B">
      <w:pPr>
        <w:pStyle w:val="BodyText"/>
        <w:spacing w:after="120"/>
      </w:pPr>
      <w:r w:rsidRPr="0096534C">
        <w:rPr>
          <w:rStyle w:val="BodyTextChar"/>
        </w:rPr>
        <w:t xml:space="preserve">Le régime de responsabilité pour les recouvrements sera défini dans la convention de subvention </w:t>
      </w:r>
      <w:r w:rsidRPr="0096534C">
        <w:rPr>
          <w:rStyle w:val="BodyTextChar"/>
          <w:i/>
        </w:rPr>
        <w:t>(fiche de données, point 4.4, et article 22)</w:t>
      </w:r>
      <w:r w:rsidRPr="0096534C">
        <w:rPr>
          <w:rStyle w:val="BodyTextChar"/>
        </w:rPr>
        <w:t>.</w:t>
      </w:r>
    </w:p>
    <w:p w14:paraId="6259CC41" w14:textId="77777777" w:rsidR="000435C2" w:rsidRPr="0096534C" w:rsidRDefault="008B332B">
      <w:pPr>
        <w:pStyle w:val="BodyText"/>
        <w:spacing w:after="120"/>
      </w:pPr>
      <w:r w:rsidRPr="0096534C">
        <w:rPr>
          <w:rStyle w:val="BodyTextChar"/>
        </w:rPr>
        <w:t xml:space="preserve">Pour les bénéficiaires, il s’agira de l’un des régimes </w:t>
      </w:r>
      <w:proofErr w:type="gramStart"/>
      <w:r w:rsidRPr="0096534C">
        <w:rPr>
          <w:rStyle w:val="BodyTextChar"/>
        </w:rPr>
        <w:t>suivants:</w:t>
      </w:r>
      <w:proofErr w:type="gramEnd"/>
    </w:p>
    <w:p w14:paraId="29FDBEC5" w14:textId="77777777" w:rsidR="000435C2" w:rsidRPr="0096534C" w:rsidRDefault="008B332B" w:rsidP="008F31DC">
      <w:pPr>
        <w:pStyle w:val="BodyText"/>
        <w:numPr>
          <w:ilvl w:val="0"/>
          <w:numId w:val="33"/>
        </w:numPr>
        <w:spacing w:after="120" w:line="230" w:lineRule="auto"/>
        <w:ind w:left="709" w:hanging="329"/>
        <w:jc w:val="both"/>
      </w:pPr>
      <w:proofErr w:type="gramStart"/>
      <w:r w:rsidRPr="0096534C">
        <w:rPr>
          <w:rStyle w:val="BodyTextChar"/>
        </w:rPr>
        <w:t>responsabilité</w:t>
      </w:r>
      <w:proofErr w:type="gramEnd"/>
      <w:r w:rsidRPr="0096534C">
        <w:rPr>
          <w:rStyle w:val="BodyTextChar"/>
        </w:rPr>
        <w:t xml:space="preserve"> solidaire limitée avec plafonds individuels: </w:t>
      </w:r>
      <w:r w:rsidRPr="0096534C">
        <w:rPr>
          <w:rStyle w:val="BodyTextChar"/>
          <w:i/>
        </w:rPr>
        <w:t>chaque bénéficiaire jusqu’à concurrence du montant maximal de la subvention</w:t>
      </w:r>
      <w:r w:rsidRPr="0096534C">
        <w:rPr>
          <w:rStyle w:val="BodyTextChar"/>
        </w:rPr>
        <w:t>;</w:t>
      </w:r>
    </w:p>
    <w:p w14:paraId="068C474A" w14:textId="77777777" w:rsidR="000435C2" w:rsidRPr="0096534C" w:rsidRDefault="008B332B" w:rsidP="008F31DC">
      <w:pPr>
        <w:pStyle w:val="BodyText"/>
        <w:numPr>
          <w:ilvl w:val="0"/>
          <w:numId w:val="33"/>
        </w:numPr>
        <w:spacing w:after="120" w:line="230" w:lineRule="auto"/>
        <w:ind w:left="709" w:hanging="329"/>
        <w:jc w:val="both"/>
      </w:pPr>
      <w:proofErr w:type="gramStart"/>
      <w:r w:rsidRPr="0096534C">
        <w:rPr>
          <w:rStyle w:val="BodyTextChar"/>
        </w:rPr>
        <w:t>responsabilité</w:t>
      </w:r>
      <w:proofErr w:type="gramEnd"/>
      <w:r w:rsidRPr="0096534C">
        <w:rPr>
          <w:rStyle w:val="BodyTextChar"/>
        </w:rPr>
        <w:t xml:space="preserve"> solidaire inconditionnelle: </w:t>
      </w:r>
      <w:r w:rsidRPr="0096534C">
        <w:rPr>
          <w:rStyle w:val="BodyTextChar"/>
          <w:i/>
        </w:rPr>
        <w:t>chaque bénéficiaire dans la limite du montant maximal de la subvention pour l’action</w:t>
      </w:r>
      <w:r w:rsidRPr="0096534C">
        <w:rPr>
          <w:rStyle w:val="BodyTextChar"/>
        </w:rPr>
        <w:t>;</w:t>
      </w:r>
    </w:p>
    <w:p w14:paraId="4E978C71" w14:textId="77777777" w:rsidR="000435C2" w:rsidRPr="0096534C" w:rsidRDefault="008B332B">
      <w:pPr>
        <w:pStyle w:val="BodyText"/>
        <w:spacing w:after="120"/>
        <w:ind w:firstLine="460"/>
        <w:jc w:val="both"/>
      </w:pPr>
      <w:proofErr w:type="gramStart"/>
      <w:r w:rsidRPr="0096534C">
        <w:rPr>
          <w:rStyle w:val="BodyTextChar"/>
        </w:rPr>
        <w:t>ou</w:t>
      </w:r>
      <w:proofErr w:type="gramEnd"/>
    </w:p>
    <w:p w14:paraId="26F3AB7C" w14:textId="77777777" w:rsidR="000435C2" w:rsidRPr="0096534C" w:rsidRDefault="008B332B" w:rsidP="008F31DC">
      <w:pPr>
        <w:pStyle w:val="BodyText"/>
        <w:numPr>
          <w:ilvl w:val="0"/>
          <w:numId w:val="33"/>
        </w:numPr>
        <w:spacing w:line="230" w:lineRule="auto"/>
        <w:ind w:left="709" w:hanging="329"/>
        <w:jc w:val="both"/>
      </w:pPr>
      <w:proofErr w:type="gramStart"/>
      <w:r w:rsidRPr="0096534C">
        <w:rPr>
          <w:rStyle w:val="BodyTextChar"/>
        </w:rPr>
        <w:t>responsabilité</w:t>
      </w:r>
      <w:proofErr w:type="gramEnd"/>
      <w:r w:rsidRPr="0096534C">
        <w:rPr>
          <w:rStyle w:val="BodyTextChar"/>
        </w:rPr>
        <w:t xml:space="preserve"> financière individuelle: </w:t>
      </w:r>
      <w:r w:rsidRPr="0096534C">
        <w:rPr>
          <w:rStyle w:val="BodyTextChar"/>
          <w:i/>
        </w:rPr>
        <w:t>chaque bénéficiaire n’est responsable que de ses propres dettes</w:t>
      </w:r>
      <w:r w:rsidRPr="0096534C">
        <w:rPr>
          <w:rStyle w:val="BodyTextChar"/>
        </w:rPr>
        <w:t>.</w:t>
      </w:r>
    </w:p>
    <w:p w14:paraId="6D06851E" w14:textId="77777777" w:rsidR="000435C2" w:rsidRPr="0096534C" w:rsidRDefault="008B332B">
      <w:pPr>
        <w:pStyle w:val="BodyText"/>
        <w:spacing w:after="200"/>
        <w:jc w:val="both"/>
      </w:pPr>
      <w:r w:rsidRPr="0096534C">
        <w:rPr>
          <w:rStyle w:val="BodyTextChar"/>
        </w:rPr>
        <w:lastRenderedPageBreak/>
        <w:t>En outre, l’autorité chargée de l’attribution de la subvention peut exiger une responsabilité conjointe et solidaire des entités affiliées (avec leur bénéficiaire).</w:t>
      </w:r>
    </w:p>
    <w:p w14:paraId="2E2DBE45" w14:textId="77777777" w:rsidR="000435C2" w:rsidRPr="0096534C" w:rsidRDefault="008B332B" w:rsidP="008F31DC">
      <w:pPr>
        <w:pStyle w:val="Heading2"/>
        <w:rPr>
          <w:b w:val="0"/>
          <w:bCs w:val="0"/>
        </w:rPr>
      </w:pPr>
      <w:bookmarkStart w:id="80" w:name="bookmark83"/>
      <w:bookmarkStart w:id="81" w:name="_Toc185511125"/>
      <w:r w:rsidRPr="0096534C">
        <w:rPr>
          <w:rStyle w:val="BodyTextChar"/>
          <w:b w:val="0"/>
          <w:i/>
          <w:u w:val="single"/>
        </w:rPr>
        <w:t>Dispositions relatives à la mise en œuvre du projet</w:t>
      </w:r>
      <w:bookmarkEnd w:id="80"/>
      <w:bookmarkEnd w:id="81"/>
    </w:p>
    <w:p w14:paraId="2BE925F9" w14:textId="77777777" w:rsidR="000435C2" w:rsidRPr="0096534C" w:rsidRDefault="008B332B">
      <w:pPr>
        <w:pStyle w:val="BodyText"/>
        <w:spacing w:after="200"/>
        <w:jc w:val="both"/>
      </w:pPr>
      <w:r w:rsidRPr="0096534C">
        <w:rPr>
          <w:rStyle w:val="BodyTextChar"/>
        </w:rPr>
        <w:t xml:space="preserve">Règles </w:t>
      </w:r>
      <w:proofErr w:type="gramStart"/>
      <w:r w:rsidRPr="0096534C">
        <w:rPr>
          <w:rStyle w:val="BodyTextChar"/>
        </w:rPr>
        <w:t>d’éthique:</w:t>
      </w:r>
      <w:proofErr w:type="gramEnd"/>
      <w:r w:rsidRPr="0096534C">
        <w:rPr>
          <w:rStyle w:val="BodyTextChar"/>
        </w:rPr>
        <w:t xml:space="preserve"> </w:t>
      </w:r>
      <w:r w:rsidRPr="0096534C">
        <w:rPr>
          <w:rStyle w:val="BodyTextChar"/>
          <w:i/>
        </w:rPr>
        <w:t>voir le Modèle de convention de subvention (article 14 et annexe 5)</w:t>
      </w:r>
    </w:p>
    <w:p w14:paraId="2A62912F" w14:textId="77777777" w:rsidR="000435C2" w:rsidRPr="0096534C" w:rsidRDefault="008B332B">
      <w:pPr>
        <w:pStyle w:val="BodyText"/>
        <w:spacing w:after="200"/>
        <w:jc w:val="both"/>
      </w:pPr>
      <w:r w:rsidRPr="0096534C">
        <w:rPr>
          <w:rStyle w:val="BodyTextChar"/>
        </w:rPr>
        <w:t xml:space="preserve">Règles relatives aux </w:t>
      </w:r>
      <w:proofErr w:type="gramStart"/>
      <w:r w:rsidRPr="0096534C">
        <w:rPr>
          <w:rStyle w:val="BodyTextChar"/>
        </w:rPr>
        <w:t>DPI:</w:t>
      </w:r>
      <w:proofErr w:type="gramEnd"/>
      <w:r w:rsidRPr="0096534C">
        <w:rPr>
          <w:rStyle w:val="BodyTextChar"/>
        </w:rPr>
        <w:t xml:space="preserve"> </w:t>
      </w:r>
      <w:r w:rsidRPr="0096534C">
        <w:rPr>
          <w:rStyle w:val="BodyTextChar"/>
          <w:i/>
        </w:rPr>
        <w:t>voir le Modèle de convention de subvention (article 16 et annexe 5)</w:t>
      </w:r>
      <w:r w:rsidRPr="0096534C">
        <w:rPr>
          <w:rStyle w:val="BodyTextChar"/>
        </w:rPr>
        <w:t>:</w:t>
      </w:r>
    </w:p>
    <w:p w14:paraId="226875BE" w14:textId="77777777" w:rsidR="000435C2" w:rsidRPr="0096534C" w:rsidRDefault="008B332B" w:rsidP="008F31DC">
      <w:pPr>
        <w:pStyle w:val="BodyText"/>
        <w:numPr>
          <w:ilvl w:val="0"/>
          <w:numId w:val="33"/>
        </w:numPr>
        <w:tabs>
          <w:tab w:val="left" w:pos="750"/>
        </w:tabs>
        <w:spacing w:after="200" w:line="221" w:lineRule="auto"/>
        <w:ind w:left="851" w:hanging="471"/>
        <w:jc w:val="both"/>
      </w:pPr>
      <w:proofErr w:type="gramStart"/>
      <w:r w:rsidRPr="0096534C">
        <w:rPr>
          <w:rStyle w:val="BodyTextChar"/>
        </w:rPr>
        <w:t>droits</w:t>
      </w:r>
      <w:proofErr w:type="gramEnd"/>
      <w:r w:rsidRPr="0096534C">
        <w:rPr>
          <w:rStyle w:val="BodyTextChar"/>
        </w:rPr>
        <w:t xml:space="preserve"> d’utilisation sur les résultats: oui</w:t>
      </w:r>
    </w:p>
    <w:p w14:paraId="1C79C04F" w14:textId="77777777" w:rsidR="000435C2" w:rsidRPr="0096534C" w:rsidRDefault="008B332B" w:rsidP="008F31DC">
      <w:pPr>
        <w:pStyle w:val="BodyText"/>
        <w:numPr>
          <w:ilvl w:val="0"/>
          <w:numId w:val="33"/>
        </w:numPr>
        <w:tabs>
          <w:tab w:val="left" w:pos="750"/>
        </w:tabs>
        <w:spacing w:after="200" w:line="221" w:lineRule="auto"/>
        <w:ind w:left="851" w:hanging="471"/>
        <w:jc w:val="both"/>
      </w:pPr>
      <w:proofErr w:type="gramStart"/>
      <w:r w:rsidRPr="0096534C">
        <w:rPr>
          <w:rStyle w:val="BodyTextChar"/>
        </w:rPr>
        <w:t>accès</w:t>
      </w:r>
      <w:proofErr w:type="gramEnd"/>
      <w:r w:rsidRPr="0096534C">
        <w:rPr>
          <w:rStyle w:val="BodyTextChar"/>
        </w:rPr>
        <w:t xml:space="preserve"> aux résultats à des fins politiques: oui</w:t>
      </w:r>
    </w:p>
    <w:p w14:paraId="05D358B7" w14:textId="77777777" w:rsidR="000435C2" w:rsidRPr="0096534C" w:rsidRDefault="008B332B" w:rsidP="008F31DC">
      <w:pPr>
        <w:pStyle w:val="BodyText"/>
        <w:numPr>
          <w:ilvl w:val="0"/>
          <w:numId w:val="33"/>
        </w:numPr>
        <w:tabs>
          <w:tab w:val="left" w:pos="750"/>
        </w:tabs>
        <w:spacing w:after="200" w:line="221" w:lineRule="auto"/>
        <w:ind w:left="851" w:hanging="471"/>
        <w:jc w:val="both"/>
      </w:pPr>
      <w:proofErr w:type="gramStart"/>
      <w:r w:rsidRPr="0096534C">
        <w:rPr>
          <w:rStyle w:val="BodyTextChar"/>
        </w:rPr>
        <w:t>droits</w:t>
      </w:r>
      <w:proofErr w:type="gramEnd"/>
      <w:r w:rsidRPr="0096534C">
        <w:rPr>
          <w:rStyle w:val="BodyTextChar"/>
        </w:rPr>
        <w:t xml:space="preserve"> supplémentaires pour les pays partenaires et les organisations régionales: oui</w:t>
      </w:r>
    </w:p>
    <w:p w14:paraId="17FF18EF" w14:textId="77777777" w:rsidR="000435C2" w:rsidRPr="0096534C" w:rsidRDefault="008B332B">
      <w:pPr>
        <w:pStyle w:val="BodyText"/>
        <w:spacing w:after="200"/>
        <w:jc w:val="both"/>
      </w:pPr>
      <w:r w:rsidRPr="0096534C">
        <w:rPr>
          <w:rStyle w:val="BodyTextChar"/>
        </w:rPr>
        <w:t xml:space="preserve">Communication, diffusion et visibilité du </w:t>
      </w:r>
      <w:proofErr w:type="gramStart"/>
      <w:r w:rsidRPr="0096534C">
        <w:rPr>
          <w:rStyle w:val="BodyTextChar"/>
        </w:rPr>
        <w:t>financement:</w:t>
      </w:r>
      <w:proofErr w:type="gramEnd"/>
      <w:r w:rsidRPr="0096534C">
        <w:rPr>
          <w:rStyle w:val="BodyTextChar"/>
        </w:rPr>
        <w:t xml:space="preserve"> </w:t>
      </w:r>
      <w:r w:rsidRPr="0096534C">
        <w:rPr>
          <w:rStyle w:val="BodyTextChar"/>
          <w:i/>
        </w:rPr>
        <w:t>voir le Modèle de convention de subvention (article 17 et annexe 5)</w:t>
      </w:r>
      <w:r w:rsidRPr="0096534C">
        <w:rPr>
          <w:rStyle w:val="BodyTextChar"/>
        </w:rPr>
        <w:t>:</w:t>
      </w:r>
    </w:p>
    <w:p w14:paraId="306C41FF" w14:textId="77777777" w:rsidR="000435C2" w:rsidRPr="0096534C" w:rsidRDefault="008B332B" w:rsidP="008F31DC">
      <w:pPr>
        <w:pStyle w:val="BodyText"/>
        <w:numPr>
          <w:ilvl w:val="0"/>
          <w:numId w:val="33"/>
        </w:numPr>
        <w:tabs>
          <w:tab w:val="left" w:pos="750"/>
        </w:tabs>
        <w:spacing w:after="200" w:line="221" w:lineRule="auto"/>
        <w:ind w:left="709" w:hanging="329"/>
        <w:jc w:val="both"/>
      </w:pPr>
      <w:proofErr w:type="gramStart"/>
      <w:r w:rsidRPr="0096534C">
        <w:rPr>
          <w:rStyle w:val="BodyTextChar"/>
        </w:rPr>
        <w:t>plan</w:t>
      </w:r>
      <w:proofErr w:type="gramEnd"/>
      <w:r w:rsidRPr="0096534C">
        <w:rPr>
          <w:rStyle w:val="BodyTextChar"/>
        </w:rPr>
        <w:t xml:space="preserve"> de communication et de diffusion: non</w:t>
      </w:r>
    </w:p>
    <w:p w14:paraId="442C9DD1" w14:textId="77777777" w:rsidR="000435C2" w:rsidRPr="0096534C" w:rsidRDefault="008B332B" w:rsidP="008F31DC">
      <w:pPr>
        <w:pStyle w:val="BodyText"/>
        <w:numPr>
          <w:ilvl w:val="0"/>
          <w:numId w:val="33"/>
        </w:numPr>
        <w:tabs>
          <w:tab w:val="left" w:pos="750"/>
        </w:tabs>
        <w:spacing w:after="200" w:line="221" w:lineRule="auto"/>
        <w:ind w:left="709" w:hanging="329"/>
        <w:jc w:val="both"/>
      </w:pPr>
      <w:proofErr w:type="gramStart"/>
      <w:r w:rsidRPr="0096534C">
        <w:rPr>
          <w:rStyle w:val="BodyTextChar"/>
        </w:rPr>
        <w:t>activités</w:t>
      </w:r>
      <w:proofErr w:type="gramEnd"/>
      <w:r w:rsidRPr="0096534C">
        <w:rPr>
          <w:rStyle w:val="BodyTextChar"/>
        </w:rPr>
        <w:t xml:space="preserve"> complémentaires de communication et de diffusion: oui</w:t>
      </w:r>
    </w:p>
    <w:p w14:paraId="7EAF2E05" w14:textId="77777777" w:rsidR="000435C2" w:rsidRPr="0096534C" w:rsidRDefault="008B332B" w:rsidP="008F31DC">
      <w:pPr>
        <w:pStyle w:val="BodyText"/>
        <w:numPr>
          <w:ilvl w:val="0"/>
          <w:numId w:val="33"/>
        </w:numPr>
        <w:tabs>
          <w:tab w:val="left" w:pos="750"/>
        </w:tabs>
        <w:spacing w:after="200" w:line="221" w:lineRule="auto"/>
        <w:ind w:left="709" w:hanging="329"/>
        <w:jc w:val="both"/>
      </w:pPr>
      <w:proofErr w:type="gramStart"/>
      <w:r w:rsidRPr="0096534C">
        <w:rPr>
          <w:rStyle w:val="BodyTextChar"/>
        </w:rPr>
        <w:t>logos</w:t>
      </w:r>
      <w:proofErr w:type="gramEnd"/>
      <w:r w:rsidRPr="0096534C">
        <w:rPr>
          <w:rStyle w:val="BodyTextChar"/>
        </w:rPr>
        <w:t xml:space="preserve"> spéciaux: oui</w:t>
      </w:r>
    </w:p>
    <w:p w14:paraId="21856084" w14:textId="77777777" w:rsidR="000435C2" w:rsidRPr="0096534C" w:rsidRDefault="008B332B">
      <w:pPr>
        <w:pStyle w:val="BodyText"/>
        <w:spacing w:after="200"/>
      </w:pPr>
      <w:r w:rsidRPr="0096534C">
        <w:rPr>
          <w:rStyle w:val="BodyTextChar"/>
        </w:rPr>
        <w:t xml:space="preserve">Règles particulières pour l’exécution de </w:t>
      </w:r>
      <w:proofErr w:type="gramStart"/>
      <w:r w:rsidRPr="0096534C">
        <w:rPr>
          <w:rStyle w:val="BodyTextChar"/>
        </w:rPr>
        <w:t>l’action:</w:t>
      </w:r>
      <w:proofErr w:type="gramEnd"/>
      <w:r w:rsidRPr="0096534C">
        <w:rPr>
          <w:rStyle w:val="BodyTextChar"/>
        </w:rPr>
        <w:t xml:space="preserve"> </w:t>
      </w:r>
      <w:r w:rsidRPr="0096534C">
        <w:rPr>
          <w:rStyle w:val="BodyTextChar"/>
          <w:i/>
        </w:rPr>
        <w:t>voir le Modèle de convention de subvention (article 18 et annexe 5)</w:t>
      </w:r>
      <w:r w:rsidRPr="0096534C">
        <w:rPr>
          <w:rStyle w:val="BodyTextChar"/>
        </w:rPr>
        <w:t>:</w:t>
      </w:r>
    </w:p>
    <w:p w14:paraId="14D4749C" w14:textId="77777777" w:rsidR="000435C2" w:rsidRPr="0096534C" w:rsidRDefault="008B332B" w:rsidP="006008C4">
      <w:pPr>
        <w:pStyle w:val="BodyText"/>
        <w:numPr>
          <w:ilvl w:val="0"/>
          <w:numId w:val="33"/>
        </w:numPr>
        <w:tabs>
          <w:tab w:val="left" w:pos="750"/>
        </w:tabs>
        <w:spacing w:after="200" w:line="221" w:lineRule="auto"/>
        <w:ind w:firstLine="380"/>
        <w:jc w:val="both"/>
      </w:pPr>
      <w:r w:rsidRPr="0096534C">
        <w:rPr>
          <w:rStyle w:val="BodyTextChar"/>
        </w:rPr>
        <w:t xml:space="preserve">Règles particulières pour les actions de mobilité du programme </w:t>
      </w:r>
      <w:proofErr w:type="gramStart"/>
      <w:r w:rsidRPr="0096534C">
        <w:rPr>
          <w:rStyle w:val="BodyTextChar"/>
        </w:rPr>
        <w:t>MOBAF:</w:t>
      </w:r>
      <w:proofErr w:type="gramEnd"/>
      <w:r w:rsidRPr="0096534C">
        <w:rPr>
          <w:rStyle w:val="BodyTextChar"/>
        </w:rPr>
        <w:t xml:space="preserve"> oui</w:t>
      </w:r>
    </w:p>
    <w:p w14:paraId="358A312E" w14:textId="77777777" w:rsidR="000435C2" w:rsidRPr="0096534C" w:rsidRDefault="008B332B" w:rsidP="006008C4">
      <w:pPr>
        <w:pStyle w:val="BodyText"/>
        <w:numPr>
          <w:ilvl w:val="0"/>
          <w:numId w:val="33"/>
        </w:numPr>
        <w:tabs>
          <w:tab w:val="left" w:pos="750"/>
        </w:tabs>
        <w:spacing w:after="280" w:line="221" w:lineRule="auto"/>
        <w:ind w:firstLine="380"/>
        <w:jc w:val="both"/>
      </w:pPr>
      <w:r w:rsidRPr="0096534C">
        <w:rPr>
          <w:rStyle w:val="BodyTextChar"/>
        </w:rPr>
        <w:t xml:space="preserve">Mesures restrictives de </w:t>
      </w:r>
      <w:proofErr w:type="gramStart"/>
      <w:r w:rsidRPr="0096534C">
        <w:rPr>
          <w:rStyle w:val="BodyTextChar"/>
        </w:rPr>
        <w:t>l’UE:</w:t>
      </w:r>
      <w:proofErr w:type="gramEnd"/>
      <w:r w:rsidRPr="0096534C">
        <w:rPr>
          <w:rStyle w:val="BodyTextChar"/>
        </w:rPr>
        <w:t xml:space="preserve"> oui</w:t>
      </w:r>
    </w:p>
    <w:p w14:paraId="118D8782" w14:textId="502728D5" w:rsidR="000435C2" w:rsidRPr="0096534C" w:rsidRDefault="00EF0639">
      <w:pPr>
        <w:pStyle w:val="BodyText"/>
        <w:spacing w:after="200"/>
        <w:jc w:val="both"/>
      </w:pPr>
      <w:bookmarkStart w:id="82" w:name="bookmark84"/>
      <w:r w:rsidRPr="0096534C">
        <w:rPr>
          <w:noProof/>
        </w:rPr>
        <w:drawing>
          <wp:inline distT="0" distB="0" distL="0" distR="0" wp14:anchorId="0956552A" wp14:editId="500DE14E">
            <wp:extent cx="151130" cy="151130"/>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96534C">
        <w:rPr>
          <w:rStyle w:val="BodyTextChar"/>
          <w:color w:val="5E586D"/>
        </w:rPr>
        <w:t xml:space="preserve"> </w:t>
      </w:r>
      <w:r w:rsidRPr="0096534C">
        <w:rPr>
          <w:rStyle w:val="BodyTextChar"/>
        </w:rPr>
        <w:t xml:space="preserve">Les activités de communication et de diffusion prévues à l’article 17, paragraphe 1, et à l’annexe 5 de la convention de subvention ne sont autorisées QUE si elles sont explicitement convenues avec l’autorité chargée de l’attribution de la </w:t>
      </w:r>
      <w:proofErr w:type="gramStart"/>
      <w:r w:rsidRPr="0096534C">
        <w:rPr>
          <w:rStyle w:val="BodyTextChar"/>
        </w:rPr>
        <w:t>subvention;</w:t>
      </w:r>
      <w:proofErr w:type="gramEnd"/>
      <w:r w:rsidRPr="0096534C">
        <w:rPr>
          <w:rStyle w:val="BodyTextChar"/>
        </w:rPr>
        <w:t xml:space="preserve"> la visibilité du financement de l’UE au titre de l’article 17, paragraphe 2, et de l’annexe 5 de la convention de subvention est TOUJOURS obligatoire.</w:t>
      </w:r>
      <w:bookmarkEnd w:id="82"/>
    </w:p>
    <w:p w14:paraId="7D9438E0" w14:textId="77777777" w:rsidR="000435C2" w:rsidRPr="0096534C" w:rsidRDefault="008B332B" w:rsidP="008F31DC">
      <w:pPr>
        <w:pStyle w:val="Heading2"/>
        <w:rPr>
          <w:rStyle w:val="BodyTextChar"/>
          <w:b w:val="0"/>
          <w:bCs w:val="0"/>
          <w:i/>
          <w:iCs/>
          <w:u w:val="single"/>
        </w:rPr>
      </w:pPr>
      <w:bookmarkStart w:id="83" w:name="_Toc185511126"/>
      <w:r w:rsidRPr="0096534C">
        <w:rPr>
          <w:rStyle w:val="BodyTextChar"/>
          <w:b w:val="0"/>
          <w:i/>
          <w:u w:val="single"/>
        </w:rPr>
        <w:t>Autres particularités</w:t>
      </w:r>
      <w:bookmarkEnd w:id="83"/>
    </w:p>
    <w:p w14:paraId="3A56E17C" w14:textId="77777777" w:rsidR="000435C2" w:rsidRPr="0096534C" w:rsidRDefault="008B332B">
      <w:pPr>
        <w:pStyle w:val="BodyText"/>
        <w:jc w:val="both"/>
      </w:pPr>
      <w:r w:rsidRPr="0096534C">
        <w:rPr>
          <w:rStyle w:val="BodyTextChar"/>
        </w:rPr>
        <w:t>s.o.</w:t>
      </w:r>
    </w:p>
    <w:p w14:paraId="3215327B" w14:textId="77777777" w:rsidR="000435C2" w:rsidRPr="0096534C" w:rsidRDefault="008B332B" w:rsidP="008F31DC">
      <w:pPr>
        <w:pStyle w:val="Heading2"/>
        <w:rPr>
          <w:rStyle w:val="BodyTextChar"/>
          <w:b w:val="0"/>
          <w:bCs w:val="0"/>
          <w:i/>
          <w:iCs/>
          <w:u w:val="single"/>
        </w:rPr>
      </w:pPr>
      <w:bookmarkStart w:id="84" w:name="bookmark85"/>
      <w:bookmarkStart w:id="85" w:name="_Toc185511127"/>
      <w:r w:rsidRPr="0096534C">
        <w:rPr>
          <w:rStyle w:val="BodyTextChar"/>
          <w:b w:val="0"/>
          <w:i/>
          <w:u w:val="single"/>
        </w:rPr>
        <w:t>Non-conformité et rupture de contrat</w:t>
      </w:r>
      <w:bookmarkEnd w:id="84"/>
      <w:bookmarkEnd w:id="85"/>
    </w:p>
    <w:p w14:paraId="723E69C1" w14:textId="77777777" w:rsidR="000435C2" w:rsidRPr="0096534C" w:rsidRDefault="008B332B">
      <w:pPr>
        <w:pStyle w:val="BodyText"/>
        <w:spacing w:after="260"/>
        <w:jc w:val="both"/>
      </w:pPr>
      <w:r w:rsidRPr="0096534C">
        <w:rPr>
          <w:rStyle w:val="BodyTextChar"/>
        </w:rPr>
        <w:t>La convention de subvention (chapitre 5) prévoit les mesures à prendre en cas de rupture de contrat (et d’autres questions relatives à la non-conformité).</w:t>
      </w:r>
    </w:p>
    <w:p w14:paraId="5F6BFF7B" w14:textId="77777777" w:rsidR="000435C2" w:rsidRPr="0096534C" w:rsidRDefault="008B332B">
      <w:pPr>
        <w:pStyle w:val="BodyText"/>
        <w:ind w:firstLine="380"/>
        <w:jc w:val="both"/>
      </w:pPr>
      <w:r w:rsidRPr="0096534C">
        <w:rPr>
          <w:rStyle w:val="BodyTextChar"/>
        </w:rPr>
        <w:t xml:space="preserve">Pour de plus amples informations, </w:t>
      </w:r>
      <w:r w:rsidRPr="0096534C">
        <w:rPr>
          <w:rStyle w:val="BodyTextChar"/>
          <w:i/>
        </w:rPr>
        <w:t>voir</w:t>
      </w:r>
      <w:hyperlink r:id="rId37" w:history="1">
        <w:r w:rsidRPr="0096534C">
          <w:rPr>
            <w:rStyle w:val="BodyTextChar"/>
            <w:i/>
          </w:rPr>
          <w:t xml:space="preserve"> </w:t>
        </w:r>
        <w:r w:rsidRPr="0096534C">
          <w:rPr>
            <w:rStyle w:val="BodyTextChar"/>
            <w:i/>
            <w:color w:val="0088CC"/>
            <w:u w:val="single"/>
          </w:rPr>
          <w:t>l’AGA – convention de subvention annotée</w:t>
        </w:r>
        <w:r w:rsidRPr="0096534C">
          <w:rPr>
            <w:rStyle w:val="BodyTextChar"/>
            <w:i/>
          </w:rPr>
          <w:t>.</w:t>
        </w:r>
      </w:hyperlink>
    </w:p>
    <w:p w14:paraId="4D3500F4" w14:textId="2800E8B7" w:rsidR="000435C2" w:rsidRPr="0096534C" w:rsidRDefault="008B332B" w:rsidP="00BF35B3">
      <w:pPr>
        <w:pStyle w:val="Heading1"/>
      </w:pPr>
      <w:bookmarkStart w:id="86" w:name="bookmark86"/>
      <w:bookmarkStart w:id="87" w:name="_Toc185511128"/>
      <w:r w:rsidRPr="0096534C">
        <w:rPr>
          <w:rStyle w:val="Heading3"/>
          <w:b/>
        </w:rPr>
        <w:t xml:space="preserve">Comment présenter la </w:t>
      </w:r>
      <w:proofErr w:type="gramStart"/>
      <w:r w:rsidRPr="0096534C">
        <w:rPr>
          <w:rStyle w:val="Heading3"/>
          <w:b/>
        </w:rPr>
        <w:t>candidature?</w:t>
      </w:r>
      <w:bookmarkEnd w:id="86"/>
      <w:bookmarkEnd w:id="87"/>
      <w:proofErr w:type="gramEnd"/>
    </w:p>
    <w:p w14:paraId="0572605E" w14:textId="77777777" w:rsidR="000435C2" w:rsidRPr="0096534C" w:rsidRDefault="008B332B">
      <w:pPr>
        <w:pStyle w:val="BodyText"/>
        <w:jc w:val="both"/>
      </w:pPr>
      <w:r w:rsidRPr="0096534C">
        <w:rPr>
          <w:rStyle w:val="BodyTextChar"/>
        </w:rPr>
        <w:t>Toutes les propositions doivent être déposées directement en ligne via le système de dépôt électronique du portail</w:t>
      </w:r>
      <w:proofErr w:type="gramStart"/>
      <w:r w:rsidRPr="0096534C">
        <w:rPr>
          <w:rStyle w:val="BodyTextChar"/>
        </w:rPr>
        <w:t xml:space="preserve"> «Funding</w:t>
      </w:r>
      <w:proofErr w:type="gramEnd"/>
      <w:r w:rsidRPr="0096534C">
        <w:rPr>
          <w:rStyle w:val="BodyTextChar"/>
        </w:rPr>
        <w:t xml:space="preserve"> &amp; Tenders» (Financements et appels d’offres). Les demandes sur papier NE sont PAS acceptées.</w:t>
      </w:r>
    </w:p>
    <w:p w14:paraId="0FE7B3D1" w14:textId="77777777" w:rsidR="000435C2" w:rsidRPr="0096534C" w:rsidRDefault="008B332B">
      <w:pPr>
        <w:pStyle w:val="BodyText"/>
        <w:jc w:val="both"/>
      </w:pPr>
      <w:r w:rsidRPr="0096534C">
        <w:rPr>
          <w:rStyle w:val="BodyTextChar"/>
        </w:rPr>
        <w:t xml:space="preserve">Le dépôt est une </w:t>
      </w:r>
      <w:r w:rsidRPr="0096534C">
        <w:rPr>
          <w:rStyle w:val="BodyTextChar"/>
          <w:b/>
        </w:rPr>
        <w:t>procédure en 2 </w:t>
      </w:r>
      <w:proofErr w:type="gramStart"/>
      <w:r w:rsidRPr="0096534C">
        <w:rPr>
          <w:rStyle w:val="BodyTextChar"/>
          <w:b/>
        </w:rPr>
        <w:t>étapes</w:t>
      </w:r>
      <w:r w:rsidRPr="0096534C">
        <w:rPr>
          <w:rStyle w:val="BodyTextChar"/>
        </w:rPr>
        <w:t>:</w:t>
      </w:r>
      <w:proofErr w:type="gramEnd"/>
    </w:p>
    <w:p w14:paraId="46EA1F35" w14:textId="77777777" w:rsidR="000435C2" w:rsidRPr="0096534C" w:rsidRDefault="008B332B" w:rsidP="00BA0CA3">
      <w:pPr>
        <w:keepNext/>
        <w:keepLines/>
        <w:numPr>
          <w:ilvl w:val="0"/>
          <w:numId w:val="34"/>
        </w:numPr>
        <w:tabs>
          <w:tab w:val="left" w:pos="358"/>
        </w:tabs>
        <w:spacing w:after="180"/>
        <w:jc w:val="both"/>
        <w:rPr>
          <w:b/>
          <w:bCs/>
        </w:rPr>
      </w:pPr>
      <w:bookmarkStart w:id="88" w:name="bookmark89"/>
      <w:proofErr w:type="gramStart"/>
      <w:r w:rsidRPr="0096534C">
        <w:rPr>
          <w:b/>
        </w:rPr>
        <w:lastRenderedPageBreak/>
        <w:t>création</w:t>
      </w:r>
      <w:proofErr w:type="gramEnd"/>
      <w:r w:rsidRPr="0096534C">
        <w:rPr>
          <w:b/>
        </w:rPr>
        <w:t xml:space="preserve"> d’un compte utilisateur et enregistrement de votre organisation</w:t>
      </w:r>
      <w:bookmarkEnd w:id="88"/>
    </w:p>
    <w:p w14:paraId="1EBC1CA2" w14:textId="4907C4DA" w:rsidR="000435C2" w:rsidRPr="0096534C" w:rsidRDefault="008B332B" w:rsidP="008538D7">
      <w:pPr>
        <w:pStyle w:val="Style12"/>
      </w:pPr>
      <w:r w:rsidRPr="0096534C">
        <w:rPr>
          <w:rStyle w:val="BodyTextChar"/>
        </w:rPr>
        <w:t xml:space="preserve">Pour utiliser le système de dépôt (le seul moyen de déposer une demande), tous les participants doivent </w:t>
      </w:r>
      <w:hyperlink r:id="rId38" w:history="1">
        <w:r w:rsidRPr="0096534C">
          <w:rPr>
            <w:rStyle w:val="BodyTextChar"/>
            <w:color w:val="0088CC"/>
            <w:u w:val="single"/>
          </w:rPr>
          <w:t>créer un compte utilisateur EU Login</w:t>
        </w:r>
      </w:hyperlink>
      <w:r w:rsidRPr="0096534C">
        <w:rPr>
          <w:rStyle w:val="BodyTextChar"/>
        </w:rPr>
        <w:t>.</w:t>
      </w:r>
    </w:p>
    <w:p w14:paraId="31A3274D" w14:textId="5D3B93A0" w:rsidR="000435C2" w:rsidRPr="0096534C" w:rsidRDefault="008B332B" w:rsidP="008538D7">
      <w:pPr>
        <w:pStyle w:val="Style12"/>
      </w:pPr>
      <w:r w:rsidRPr="0096534C">
        <w:rPr>
          <w:rStyle w:val="BodyTextChar"/>
        </w:rPr>
        <w:t xml:space="preserve">Lorsque votre compte EU Login est créé, vous pouvez </w:t>
      </w:r>
      <w:hyperlink r:id="rId39" w:history="1">
        <w:r w:rsidRPr="0096534C">
          <w:rPr>
            <w:rStyle w:val="BodyTextChar"/>
            <w:color w:val="0088CC"/>
          </w:rPr>
          <w:t>enregistrer votre organisation</w:t>
        </w:r>
      </w:hyperlink>
      <w:r w:rsidRPr="0096534C">
        <w:rPr>
          <w:rStyle w:val="BodyTextChar"/>
        </w:rPr>
        <w:t xml:space="preserve"> dans le registre des participants. Une fois votre organisation enregistrée, vous recevrez un code identifiant du participant (PIC) à 9 chiffres.</w:t>
      </w:r>
    </w:p>
    <w:p w14:paraId="5B279481" w14:textId="77777777" w:rsidR="000435C2" w:rsidRPr="0096534C" w:rsidRDefault="008B332B" w:rsidP="00BA0CA3">
      <w:pPr>
        <w:keepNext/>
        <w:keepLines/>
        <w:numPr>
          <w:ilvl w:val="0"/>
          <w:numId w:val="34"/>
        </w:numPr>
        <w:tabs>
          <w:tab w:val="left" w:pos="358"/>
        </w:tabs>
        <w:spacing w:after="180"/>
        <w:jc w:val="both"/>
        <w:rPr>
          <w:b/>
          <w:bCs/>
        </w:rPr>
      </w:pPr>
      <w:bookmarkStart w:id="89" w:name="bookmark91"/>
      <w:proofErr w:type="gramStart"/>
      <w:r w:rsidRPr="0096534C">
        <w:rPr>
          <w:b/>
        </w:rPr>
        <w:t>soumettre</w:t>
      </w:r>
      <w:proofErr w:type="gramEnd"/>
      <w:r w:rsidRPr="0096534C">
        <w:rPr>
          <w:b/>
        </w:rPr>
        <w:t xml:space="preserve"> la proposition</w:t>
      </w:r>
      <w:bookmarkEnd w:id="89"/>
    </w:p>
    <w:p w14:paraId="18790969" w14:textId="71FB1593" w:rsidR="000435C2" w:rsidRPr="0096534C" w:rsidRDefault="008B332B" w:rsidP="008538D7">
      <w:pPr>
        <w:pStyle w:val="Style13"/>
      </w:pPr>
      <w:r w:rsidRPr="0096534C">
        <w:rPr>
          <w:rStyle w:val="BodyTextChar"/>
        </w:rPr>
        <w:t xml:space="preserve">Accédez au système de dépôt électronique via la page thématique du site web de la Commission européenne dans la section </w:t>
      </w:r>
      <w:r w:rsidRPr="0096534C">
        <w:rPr>
          <w:rStyle w:val="BodyTextChar"/>
          <w:color w:val="0088CC"/>
          <w:u w:val="single"/>
        </w:rPr>
        <w:t>Search Funding &amp; Tenders</w:t>
      </w:r>
      <w:r w:rsidRPr="0096534C">
        <w:rPr>
          <w:rStyle w:val="BodyTextChar"/>
        </w:rPr>
        <w:t xml:space="preserve"> (ou, pour les appels envoyés par une invitation à déposer une proposition, via le lien fourni dans la lettre d’invitation).</w:t>
      </w:r>
    </w:p>
    <w:p w14:paraId="766AADE0" w14:textId="77777777" w:rsidR="000435C2" w:rsidRPr="0096534C" w:rsidRDefault="008B332B">
      <w:pPr>
        <w:pStyle w:val="BodyText"/>
        <w:jc w:val="both"/>
      </w:pPr>
      <w:r w:rsidRPr="0096534C">
        <w:rPr>
          <w:rStyle w:val="BodyTextChar"/>
        </w:rPr>
        <w:t xml:space="preserve">Soumettez votre proposition en 3 parties, comme </w:t>
      </w:r>
      <w:proofErr w:type="gramStart"/>
      <w:r w:rsidRPr="0096534C">
        <w:rPr>
          <w:rStyle w:val="BodyTextChar"/>
        </w:rPr>
        <w:t>suit:</w:t>
      </w:r>
      <w:proofErr w:type="gramEnd"/>
    </w:p>
    <w:p w14:paraId="759D5512" w14:textId="77777777" w:rsidR="000435C2" w:rsidRPr="0096534C" w:rsidRDefault="008B332B" w:rsidP="008F31DC">
      <w:pPr>
        <w:pStyle w:val="BodyText"/>
        <w:numPr>
          <w:ilvl w:val="0"/>
          <w:numId w:val="35"/>
        </w:numPr>
        <w:ind w:left="851" w:hanging="431"/>
        <w:jc w:val="both"/>
      </w:pPr>
      <w:proofErr w:type="gramStart"/>
      <w:r w:rsidRPr="0096534C">
        <w:rPr>
          <w:rStyle w:val="BodyTextChar"/>
        </w:rPr>
        <w:t>la</w:t>
      </w:r>
      <w:proofErr w:type="gramEnd"/>
      <w:r w:rsidRPr="0096534C">
        <w:rPr>
          <w:rStyle w:val="BodyTextChar"/>
        </w:rPr>
        <w:t xml:space="preserve"> partie A contient des informations administratives sur les organisations ayant soumis des demandes (futur coordinateur, bénéficiaires, entités affiliées et partenaires associés) et le budget récapitulatif de la proposition; Remplissez-la directement en ligne;</w:t>
      </w:r>
    </w:p>
    <w:p w14:paraId="2FD5868E" w14:textId="77777777" w:rsidR="000435C2" w:rsidRPr="0096534C" w:rsidRDefault="008B332B" w:rsidP="008F31DC">
      <w:pPr>
        <w:pStyle w:val="BodyText"/>
        <w:numPr>
          <w:ilvl w:val="0"/>
          <w:numId w:val="35"/>
        </w:numPr>
        <w:ind w:left="851" w:hanging="431"/>
        <w:jc w:val="both"/>
      </w:pPr>
      <w:proofErr w:type="gramStart"/>
      <w:r w:rsidRPr="0096534C">
        <w:rPr>
          <w:rStyle w:val="BodyTextChar"/>
        </w:rPr>
        <w:t>la</w:t>
      </w:r>
      <w:proofErr w:type="gramEnd"/>
      <w:r w:rsidRPr="0096534C">
        <w:rPr>
          <w:rStyle w:val="BodyTextChar"/>
        </w:rPr>
        <w:t xml:space="preserve"> partie B (description de l’action) concerne le contenu technique de la proposition. </w:t>
      </w:r>
      <w:proofErr w:type="gramStart"/>
      <w:r w:rsidRPr="0096534C">
        <w:rPr>
          <w:rStyle w:val="BodyTextChar"/>
        </w:rPr>
        <w:t>téléchargez</w:t>
      </w:r>
      <w:proofErr w:type="gramEnd"/>
      <w:r w:rsidRPr="0096534C">
        <w:rPr>
          <w:rStyle w:val="BodyTextChar"/>
        </w:rPr>
        <w:t xml:space="preserve"> le modèle Word obligatoire à partir du système de soumission, remplissez-le et téléchargez-le sous forme de fichier PDF;</w:t>
      </w:r>
    </w:p>
    <w:p w14:paraId="32F4E62B" w14:textId="006FB0F2" w:rsidR="000435C2" w:rsidRPr="0096534C" w:rsidRDefault="008B332B" w:rsidP="008F31DC">
      <w:pPr>
        <w:pStyle w:val="BodyText"/>
        <w:numPr>
          <w:ilvl w:val="0"/>
          <w:numId w:val="35"/>
        </w:numPr>
        <w:ind w:left="780" w:hanging="431"/>
        <w:jc w:val="both"/>
      </w:pPr>
      <w:r w:rsidRPr="0096534C">
        <w:rPr>
          <w:rStyle w:val="BodyTextChar"/>
        </w:rPr>
        <w:t>Les annexes (</w:t>
      </w:r>
      <w:r w:rsidRPr="0096534C">
        <w:rPr>
          <w:rStyle w:val="BodyTextChar"/>
          <w:i/>
        </w:rPr>
        <w:t>voir section 5</w:t>
      </w:r>
      <w:r w:rsidRPr="0096534C">
        <w:rPr>
          <w:rStyle w:val="BodyTextChar"/>
        </w:rPr>
        <w:t>). Chargez-les dans le portail sous la forme d’un ou de plusieurs fichiers PDF. Un téléchargement de fichier Excel est parfois possible selon le type de fichier.</w:t>
      </w:r>
    </w:p>
    <w:p w14:paraId="782ED483" w14:textId="77777777" w:rsidR="000435C2" w:rsidRPr="0096534C" w:rsidRDefault="008B332B">
      <w:pPr>
        <w:pStyle w:val="BodyText"/>
        <w:jc w:val="both"/>
      </w:pPr>
      <w:r w:rsidRPr="0096534C">
        <w:rPr>
          <w:rStyle w:val="BodyTextChar"/>
        </w:rPr>
        <w:t xml:space="preserve">La proposition doit respecter le </w:t>
      </w:r>
      <w:r w:rsidRPr="0096534C">
        <w:rPr>
          <w:rStyle w:val="BodyTextChar"/>
          <w:b/>
        </w:rPr>
        <w:t>nombre limite de pages</w:t>
      </w:r>
      <w:r w:rsidRPr="0096534C">
        <w:rPr>
          <w:rStyle w:val="BodyTextChar"/>
        </w:rPr>
        <w:t xml:space="preserve"> (</w:t>
      </w:r>
      <w:r w:rsidRPr="0096534C">
        <w:rPr>
          <w:rStyle w:val="BodyTextChar"/>
          <w:i/>
        </w:rPr>
        <w:t>voir section 5</w:t>
      </w:r>
      <w:proofErr w:type="gramStart"/>
      <w:r w:rsidRPr="0096534C">
        <w:rPr>
          <w:rStyle w:val="BodyTextChar"/>
        </w:rPr>
        <w:t>);</w:t>
      </w:r>
      <w:proofErr w:type="gramEnd"/>
      <w:r w:rsidRPr="0096534C">
        <w:rPr>
          <w:rStyle w:val="BodyTextChar"/>
        </w:rPr>
        <w:t xml:space="preserve"> les pages supplémentaires ne seront pas prises en compte.</w:t>
      </w:r>
    </w:p>
    <w:p w14:paraId="379B9E13" w14:textId="77777777" w:rsidR="000435C2" w:rsidRPr="0096534C" w:rsidRDefault="008B332B">
      <w:pPr>
        <w:pStyle w:val="BodyText"/>
        <w:jc w:val="both"/>
      </w:pPr>
      <w:r w:rsidRPr="0096534C">
        <w:rPr>
          <w:rStyle w:val="BodyTextChar"/>
        </w:rPr>
        <w:t xml:space="preserve">Les documents doivent être téléchargés dans la </w:t>
      </w:r>
      <w:r w:rsidRPr="0096534C">
        <w:rPr>
          <w:rStyle w:val="BodyTextChar"/>
          <w:b/>
        </w:rPr>
        <w:t>bonne catégorie</w:t>
      </w:r>
      <w:r w:rsidRPr="0096534C">
        <w:rPr>
          <w:rStyle w:val="BodyTextChar"/>
        </w:rPr>
        <w:t xml:space="preserve"> dans le système de soumission, sinon la proposition pourrait être considérée comme incomplète et donc non admissible.</w:t>
      </w:r>
    </w:p>
    <w:p w14:paraId="680C1BBD" w14:textId="77777777" w:rsidR="000435C2" w:rsidRPr="0096534C" w:rsidRDefault="008B332B">
      <w:pPr>
        <w:pStyle w:val="BodyText"/>
        <w:jc w:val="both"/>
      </w:pPr>
      <w:r w:rsidRPr="0096534C">
        <w:rPr>
          <w:rStyle w:val="BodyTextChar"/>
        </w:rPr>
        <w:t xml:space="preserve">La proposition doit être soumise </w:t>
      </w:r>
      <w:r w:rsidRPr="0096534C">
        <w:rPr>
          <w:rStyle w:val="BodyTextChar"/>
          <w:b/>
        </w:rPr>
        <w:t>avant la date de clôture de l’appel</w:t>
      </w:r>
      <w:r w:rsidRPr="0096534C">
        <w:rPr>
          <w:rStyle w:val="BodyTextChar"/>
        </w:rPr>
        <w:t xml:space="preserve"> (</w:t>
      </w:r>
      <w:r w:rsidRPr="0096534C">
        <w:rPr>
          <w:rStyle w:val="BodyTextChar"/>
          <w:i/>
        </w:rPr>
        <w:t>voir section 4</w:t>
      </w:r>
      <w:r w:rsidRPr="0096534C">
        <w:rPr>
          <w:rStyle w:val="BodyTextChar"/>
        </w:rPr>
        <w:t>). Après cette date, le système sera fermé et les propositions ne pourront plus être soumises.</w:t>
      </w:r>
    </w:p>
    <w:p w14:paraId="3390FD86" w14:textId="5F0B6432" w:rsidR="000435C2" w:rsidRPr="0096534C" w:rsidRDefault="008B332B" w:rsidP="00141542">
      <w:pPr>
        <w:pStyle w:val="Style14"/>
      </w:pPr>
      <w:r w:rsidRPr="0096534C">
        <w:rPr>
          <w:rStyle w:val="BodyTextChar"/>
        </w:rPr>
        <w:t xml:space="preserve">Une fois la proposition soumise, vous recevrez un </w:t>
      </w:r>
      <w:r w:rsidRPr="0096534C">
        <w:rPr>
          <w:rStyle w:val="BodyTextChar"/>
          <w:b/>
        </w:rPr>
        <w:t>courriel de confirmation</w:t>
      </w:r>
      <w:r w:rsidRPr="0096534C">
        <w:rPr>
          <w:rStyle w:val="BodyTextChar"/>
        </w:rPr>
        <w:t xml:space="preserve"> (avec la date et l’heure de votre demande). La non-réception d’un courriel de confirmation signifie que votre proposition n’a PAS été soumise. Si vous pensez que cela est dû à un défaut du système de soumission, vous devez immédiatement déposer une réclamation via le </w:t>
      </w:r>
      <w:hyperlink r:id="rId40" w:history="1">
        <w:r w:rsidRPr="0096534C">
          <w:rPr>
            <w:rStyle w:val="BodyTextChar"/>
            <w:color w:val="0088CC"/>
            <w:u w:val="single"/>
          </w:rPr>
          <w:t>formulaire en ligne du service d’assistance informatique</w:t>
        </w:r>
      </w:hyperlink>
      <w:r w:rsidRPr="0096534C">
        <w:t xml:space="preserve">, </w:t>
      </w:r>
      <w:r w:rsidRPr="0096534C">
        <w:rPr>
          <w:rStyle w:val="BodyTextChar"/>
        </w:rPr>
        <w:t>en expliquant les circonstances et en joignant une copie de la proposition (et, si possible, des captures d’écran pour montrer ce qui s’est produit).</w:t>
      </w:r>
    </w:p>
    <w:p w14:paraId="5C5ACBAE" w14:textId="77777777" w:rsidR="000435C2" w:rsidRPr="0096534C" w:rsidRDefault="008B332B" w:rsidP="00141542">
      <w:pPr>
        <w:pStyle w:val="Style14"/>
      </w:pPr>
      <w:r w:rsidRPr="0096534C">
        <w:rPr>
          <w:rStyle w:val="BodyTextChar"/>
        </w:rPr>
        <w:t>Les détails sur les processus et les procédures sont décrits dans le</w:t>
      </w:r>
      <w:hyperlink r:id="rId41" w:history="1">
        <w:r w:rsidRPr="0096534C">
          <w:rPr>
            <w:rStyle w:val="BodyTextChar"/>
          </w:rPr>
          <w:t xml:space="preserve"> </w:t>
        </w:r>
        <w:r w:rsidRPr="0096534C">
          <w:rPr>
            <w:rStyle w:val="BodyTextChar"/>
            <w:color w:val="0088CC"/>
            <w:u w:val="single"/>
          </w:rPr>
          <w:t>manuel en ligne</w:t>
        </w:r>
        <w:r w:rsidRPr="0096534C">
          <w:rPr>
            <w:rStyle w:val="BodyTextChar"/>
          </w:rPr>
          <w:t>.</w:t>
        </w:r>
      </w:hyperlink>
      <w:r w:rsidRPr="0096534C">
        <w:rPr>
          <w:rStyle w:val="BodyTextChar"/>
        </w:rPr>
        <w:t xml:space="preserve"> Le manuel en ligne contient également les liens vers les FAQ et des instructions détaillées concernant le système d’échange électronique du portail.</w:t>
      </w:r>
    </w:p>
    <w:p w14:paraId="400A9A93" w14:textId="357AD1B0" w:rsidR="000435C2" w:rsidRPr="0096534C" w:rsidRDefault="008B332B" w:rsidP="008F31DC">
      <w:pPr>
        <w:keepNext/>
        <w:keepLines/>
        <w:tabs>
          <w:tab w:val="left" w:pos="7950"/>
        </w:tabs>
        <w:jc w:val="both"/>
        <w:rPr>
          <w:b/>
          <w:bCs/>
        </w:rPr>
      </w:pPr>
      <w:bookmarkStart w:id="90" w:name="bookmark93"/>
      <w:r w:rsidRPr="0096534C">
        <w:rPr>
          <w:b/>
        </w:rPr>
        <w:t>Orientations sur l’utilisation d’outils d’IA générative pour la préparation de la</w:t>
      </w:r>
      <w:bookmarkEnd w:id="90"/>
      <w:r w:rsidRPr="0096534C">
        <w:rPr>
          <w:b/>
        </w:rPr>
        <w:t xml:space="preserve"> proposition</w:t>
      </w:r>
    </w:p>
    <w:p w14:paraId="71D8D928" w14:textId="77777777" w:rsidR="000435C2" w:rsidRPr="0096534C" w:rsidRDefault="008B332B">
      <w:pPr>
        <w:pStyle w:val="BodyText"/>
        <w:jc w:val="both"/>
      </w:pPr>
      <w:r w:rsidRPr="0096534C">
        <w:rPr>
          <w:rStyle w:val="BodyTextChar"/>
        </w:rPr>
        <w:t xml:space="preserve">Lorsque l’utilisation d’outils d’intelligence artificielle (IA) générative pour la préparation de la proposition est envisagé, il est impératif de faire preuve de prudence et d’une réflexion approfondie. Le contenu généré par l’IA doit être examiné </w:t>
      </w:r>
      <w:r w:rsidRPr="0096534C">
        <w:rPr>
          <w:rStyle w:val="BodyTextChar"/>
        </w:rPr>
        <w:lastRenderedPageBreak/>
        <w:t>minutieusement et validé par les candidats afin de s’assurer de sa pertinence et de son exactitude, ainsi que de sa conformité avec la réglementation en matière de propriété intellectuelle. Les candidats sont pleinement responsables du contenu de la proposition (même des parties produites par l’outil d’IA) et doivent indiquer de manière transparente quels outils d’IA ont été employés et de quelle manière ils ont été utilisés.</w:t>
      </w:r>
    </w:p>
    <w:p w14:paraId="270FD8FB" w14:textId="77777777" w:rsidR="000435C2" w:rsidRPr="0096534C" w:rsidRDefault="008B332B">
      <w:pPr>
        <w:pStyle w:val="BodyText"/>
        <w:jc w:val="both"/>
      </w:pPr>
      <w:r w:rsidRPr="0096534C">
        <w:rPr>
          <w:rStyle w:val="BodyTextChar"/>
        </w:rPr>
        <w:t xml:space="preserve">Plus précisément, les candidats sont </w:t>
      </w:r>
      <w:proofErr w:type="gramStart"/>
      <w:r w:rsidRPr="0096534C">
        <w:rPr>
          <w:rStyle w:val="BodyTextChar"/>
        </w:rPr>
        <w:t>tenus:</w:t>
      </w:r>
      <w:proofErr w:type="gramEnd"/>
    </w:p>
    <w:p w14:paraId="2603DBFE" w14:textId="77777777" w:rsidR="000435C2" w:rsidRPr="0096534C" w:rsidRDefault="008B332B" w:rsidP="006008C4">
      <w:pPr>
        <w:pStyle w:val="BodyText"/>
        <w:numPr>
          <w:ilvl w:val="0"/>
          <w:numId w:val="36"/>
        </w:numPr>
        <w:tabs>
          <w:tab w:val="left" w:pos="217"/>
        </w:tabs>
        <w:jc w:val="both"/>
      </w:pPr>
      <w:proofErr w:type="gramStart"/>
      <w:r w:rsidRPr="0096534C">
        <w:rPr>
          <w:rStyle w:val="BodyTextChar"/>
        </w:rPr>
        <w:t>de</w:t>
      </w:r>
      <w:proofErr w:type="gramEnd"/>
      <w:r w:rsidRPr="0096534C">
        <w:rPr>
          <w:rStyle w:val="BodyTextChar"/>
        </w:rPr>
        <w:t xml:space="preserve"> vérifier l’exactitude, la validité et la pertinence du contenu et des éventuelles citations générées par l’outil d’IA et corriger toute erreur ou incohérence;</w:t>
      </w:r>
    </w:p>
    <w:p w14:paraId="7D1B6BB2" w14:textId="77777777" w:rsidR="000435C2" w:rsidRPr="0096534C" w:rsidRDefault="008B332B" w:rsidP="006008C4">
      <w:pPr>
        <w:pStyle w:val="BodyText"/>
        <w:numPr>
          <w:ilvl w:val="0"/>
          <w:numId w:val="36"/>
        </w:numPr>
        <w:tabs>
          <w:tab w:val="left" w:pos="217"/>
        </w:tabs>
        <w:jc w:val="both"/>
      </w:pPr>
      <w:proofErr w:type="gramStart"/>
      <w:r w:rsidRPr="0096534C">
        <w:rPr>
          <w:rStyle w:val="BodyTextChar"/>
        </w:rPr>
        <w:t>de</w:t>
      </w:r>
      <w:proofErr w:type="gramEnd"/>
      <w:r w:rsidRPr="0096534C">
        <w:rPr>
          <w:rStyle w:val="BodyTextChar"/>
        </w:rPr>
        <w:t xml:space="preserve"> fournir une liste des sources utilisées pour générer des contenus et des citations, y compris celles générées par l’outil d’IA, et de vérifier attentivement les citations afin de s’assurer qu’elles sont exactes et correctement référencées;</w:t>
      </w:r>
    </w:p>
    <w:p w14:paraId="1FFF965C" w14:textId="77777777" w:rsidR="000435C2" w:rsidRPr="0096534C" w:rsidRDefault="008B332B" w:rsidP="006008C4">
      <w:pPr>
        <w:pStyle w:val="BodyText"/>
        <w:numPr>
          <w:ilvl w:val="0"/>
          <w:numId w:val="36"/>
        </w:numPr>
        <w:tabs>
          <w:tab w:val="left" w:pos="222"/>
        </w:tabs>
        <w:jc w:val="both"/>
      </w:pPr>
      <w:proofErr w:type="gramStart"/>
      <w:r w:rsidRPr="0096534C">
        <w:rPr>
          <w:rStyle w:val="BodyTextChar"/>
        </w:rPr>
        <w:t>d’être</w:t>
      </w:r>
      <w:proofErr w:type="gramEnd"/>
      <w:r w:rsidRPr="0096534C">
        <w:rPr>
          <w:rStyle w:val="BodyTextChar"/>
        </w:rPr>
        <w:t xml:space="preserve"> conscient de l’éventualité d’un plagiat lorsque l’outil d’IA peut avoir reproduit un texte provenant en grande partie d’autres sources, et de vérifier les sources originales pour s’assurer de ne pas plagier le travail de quelqu’un d’autre;</w:t>
      </w:r>
    </w:p>
    <w:p w14:paraId="2B38034B" w14:textId="77777777" w:rsidR="000435C2" w:rsidRPr="0096534C" w:rsidRDefault="008B332B" w:rsidP="006008C4">
      <w:pPr>
        <w:pStyle w:val="BodyText"/>
        <w:numPr>
          <w:ilvl w:val="0"/>
          <w:numId w:val="36"/>
        </w:numPr>
        <w:tabs>
          <w:tab w:val="left" w:pos="212"/>
        </w:tabs>
        <w:jc w:val="both"/>
      </w:pPr>
      <w:proofErr w:type="gramStart"/>
      <w:r w:rsidRPr="0096534C">
        <w:rPr>
          <w:rStyle w:val="BodyTextChar"/>
        </w:rPr>
        <w:t>de</w:t>
      </w:r>
      <w:proofErr w:type="gramEnd"/>
      <w:r w:rsidRPr="0096534C">
        <w:rPr>
          <w:rStyle w:val="BodyTextChar"/>
        </w:rPr>
        <w:t xml:space="preserve"> reconnaître les limites de l’outil d’IA dans la préparation de la proposition, y compris le risque de biais, d’erreurs et de lacunes dans les connaissances.</w:t>
      </w:r>
    </w:p>
    <w:p w14:paraId="1EE30CBF" w14:textId="77777777" w:rsidR="000435C2" w:rsidRPr="0096534C" w:rsidRDefault="008B332B" w:rsidP="00BA0CA3">
      <w:pPr>
        <w:pStyle w:val="Heading1"/>
        <w:rPr>
          <w:rStyle w:val="Heading3"/>
          <w:b/>
          <w:bCs/>
        </w:rPr>
      </w:pPr>
      <w:bookmarkStart w:id="91" w:name="bookmark96"/>
      <w:bookmarkStart w:id="92" w:name="_Toc185511129"/>
      <w:r w:rsidRPr="0096534C">
        <w:rPr>
          <w:rStyle w:val="Heading3"/>
          <w:b/>
        </w:rPr>
        <w:t>Aide</w:t>
      </w:r>
      <w:bookmarkEnd w:id="91"/>
      <w:bookmarkEnd w:id="92"/>
    </w:p>
    <w:p w14:paraId="076CAD38" w14:textId="77777777" w:rsidR="000435C2" w:rsidRPr="0096534C" w:rsidRDefault="008B332B">
      <w:pPr>
        <w:pStyle w:val="BodyText"/>
        <w:jc w:val="both"/>
      </w:pPr>
      <w:r w:rsidRPr="0096534C">
        <w:rPr>
          <w:rStyle w:val="BodyTextChar"/>
        </w:rPr>
        <w:t xml:space="preserve">Autant que faire se peut, </w:t>
      </w:r>
      <w:r w:rsidRPr="0096534C">
        <w:rPr>
          <w:rStyle w:val="BodyTextChar"/>
          <w:b/>
          <w:i/>
        </w:rPr>
        <w:t>essayez de trouver les réponses à vos questions par vous-même</w:t>
      </w:r>
      <w:r w:rsidRPr="0096534C">
        <w:rPr>
          <w:rStyle w:val="BodyTextChar"/>
        </w:rPr>
        <w:t>, que ce soit dans le présent document ou dans les autres documents (nos ressources pour traiter les demandes directes sont limitées</w:t>
      </w:r>
      <w:proofErr w:type="gramStart"/>
      <w:r w:rsidRPr="0096534C">
        <w:rPr>
          <w:rStyle w:val="BodyTextChar"/>
        </w:rPr>
        <w:t>):</w:t>
      </w:r>
      <w:proofErr w:type="gramEnd"/>
    </w:p>
    <w:p w14:paraId="6F3DE8CD" w14:textId="77777777" w:rsidR="000435C2" w:rsidRPr="0096534C" w:rsidRDefault="00883A1D" w:rsidP="006008C4">
      <w:pPr>
        <w:pStyle w:val="BodyText"/>
        <w:numPr>
          <w:ilvl w:val="0"/>
          <w:numId w:val="38"/>
        </w:numPr>
        <w:tabs>
          <w:tab w:val="left" w:pos="730"/>
        </w:tabs>
        <w:spacing w:line="218" w:lineRule="auto"/>
        <w:ind w:firstLine="360"/>
        <w:jc w:val="both"/>
      </w:pPr>
      <w:hyperlink r:id="rId42" w:history="1">
        <w:proofErr w:type="gramStart"/>
        <w:r w:rsidR="008049F0" w:rsidRPr="0096534C">
          <w:rPr>
            <w:rStyle w:val="BodyTextChar"/>
            <w:color w:val="0088CC"/>
            <w:u w:val="single"/>
          </w:rPr>
          <w:t>manuel</w:t>
        </w:r>
        <w:proofErr w:type="gramEnd"/>
        <w:r w:rsidR="008049F0" w:rsidRPr="0096534C">
          <w:rPr>
            <w:rStyle w:val="BodyTextChar"/>
            <w:color w:val="0088CC"/>
            <w:u w:val="single"/>
          </w:rPr>
          <w:t xml:space="preserve"> en ligne</w:t>
        </w:r>
      </w:hyperlink>
      <w:r w:rsidR="008049F0" w:rsidRPr="0096534C">
        <w:t>,</w:t>
      </w:r>
    </w:p>
    <w:p w14:paraId="3518E7CD" w14:textId="77777777" w:rsidR="000435C2" w:rsidRPr="0096534C" w:rsidRDefault="008B332B" w:rsidP="006008C4">
      <w:pPr>
        <w:pStyle w:val="BodyText"/>
        <w:numPr>
          <w:ilvl w:val="0"/>
          <w:numId w:val="38"/>
        </w:numPr>
        <w:tabs>
          <w:tab w:val="left" w:pos="750"/>
        </w:tabs>
        <w:spacing w:line="226" w:lineRule="auto"/>
        <w:ind w:left="720" w:hanging="340"/>
        <w:jc w:val="both"/>
      </w:pPr>
      <w:r w:rsidRPr="0096534C">
        <w:rPr>
          <w:rStyle w:val="BodyTextChar"/>
        </w:rPr>
        <w:t xml:space="preserve">Questions/réponses relatives au thème sur la page thématique (pour les questions spécifiques à l’appel dans les appels </w:t>
      </w:r>
      <w:proofErr w:type="gramStart"/>
      <w:r w:rsidRPr="0096534C">
        <w:rPr>
          <w:rStyle w:val="BodyTextChar"/>
        </w:rPr>
        <w:t>ouverts;</w:t>
      </w:r>
      <w:proofErr w:type="gramEnd"/>
      <w:r w:rsidRPr="0096534C">
        <w:rPr>
          <w:rStyle w:val="BodyTextChar"/>
        </w:rPr>
        <w:t xml:space="preserve"> sans objet pour les actions faisant l’objet d’une invitation);</w:t>
      </w:r>
    </w:p>
    <w:p w14:paraId="17816989" w14:textId="77777777" w:rsidR="000435C2" w:rsidRPr="0096534C" w:rsidRDefault="008B332B" w:rsidP="006008C4">
      <w:pPr>
        <w:pStyle w:val="BodyText"/>
        <w:numPr>
          <w:ilvl w:val="0"/>
          <w:numId w:val="38"/>
        </w:numPr>
        <w:tabs>
          <w:tab w:val="left" w:pos="730"/>
        </w:tabs>
        <w:spacing w:line="218" w:lineRule="auto"/>
        <w:ind w:firstLine="360"/>
        <w:jc w:val="both"/>
      </w:pPr>
      <w:proofErr w:type="gramStart"/>
      <w:r w:rsidRPr="0096534C">
        <w:rPr>
          <w:rStyle w:val="BodyTextChar"/>
          <w:color w:val="0088CC"/>
          <w:u w:val="single"/>
        </w:rPr>
        <w:t>questions</w:t>
      </w:r>
      <w:proofErr w:type="gramEnd"/>
      <w:r w:rsidRPr="0096534C">
        <w:rPr>
          <w:rStyle w:val="BodyTextChar"/>
          <w:color w:val="0088CC"/>
          <w:u w:val="single"/>
        </w:rPr>
        <w:t xml:space="preserve"> fréquemment posées sur le portail</w:t>
      </w:r>
      <w:r w:rsidRPr="0096534C">
        <w:rPr>
          <w:rStyle w:val="BodyTextChar"/>
          <w:color w:val="0088CC"/>
        </w:rPr>
        <w:t xml:space="preserve"> </w:t>
      </w:r>
      <w:r w:rsidRPr="0096534C">
        <w:rPr>
          <w:rStyle w:val="BodyTextChar"/>
        </w:rPr>
        <w:t>(questions générales).</w:t>
      </w:r>
    </w:p>
    <w:p w14:paraId="5ABA59E0" w14:textId="77777777" w:rsidR="000435C2" w:rsidRPr="0096534C" w:rsidRDefault="008B332B">
      <w:pPr>
        <w:pStyle w:val="BodyText"/>
        <w:jc w:val="both"/>
      </w:pPr>
      <w:r w:rsidRPr="0096534C">
        <w:rPr>
          <w:rStyle w:val="BodyTextChar"/>
        </w:rPr>
        <w:t>Veuillez également consulter régulièrement la page thématique car nous y publierons des mises à jour de l’appel. (Pour les invitations, nous vous contacterons directement en cas de mise à jour d’un appel).</w:t>
      </w:r>
    </w:p>
    <w:p w14:paraId="3A16CD8D" w14:textId="77777777" w:rsidR="000435C2" w:rsidRPr="0096534C" w:rsidRDefault="008B332B">
      <w:pPr>
        <w:pStyle w:val="BodyText"/>
        <w:jc w:val="both"/>
      </w:pPr>
      <w:r w:rsidRPr="0096534C">
        <w:rPr>
          <w:rStyle w:val="BodyTextChar"/>
          <w:i/>
        </w:rPr>
        <w:t>Contact</w:t>
      </w:r>
    </w:p>
    <w:p w14:paraId="17D878A3" w14:textId="2C9E0E42" w:rsidR="000435C2" w:rsidRPr="0096534C" w:rsidRDefault="008B332B">
      <w:pPr>
        <w:pStyle w:val="BodyText"/>
        <w:jc w:val="both"/>
      </w:pPr>
      <w:r w:rsidRPr="0096534C">
        <w:rPr>
          <w:rStyle w:val="BodyTextChar"/>
        </w:rPr>
        <w:t xml:space="preserve">Pour toute question individuelle sur le système de soumission du portail, veuillez contacter le </w:t>
      </w:r>
      <w:hyperlink r:id="rId43" w:history="1">
        <w:r w:rsidRPr="0096534C">
          <w:rPr>
            <w:rStyle w:val="BodyTextChar"/>
            <w:color w:val="0088CC"/>
          </w:rPr>
          <w:t>service d’assistance informatique</w:t>
        </w:r>
      </w:hyperlink>
      <w:r w:rsidRPr="0096534C">
        <w:rPr>
          <w:rStyle w:val="BodyTextChar"/>
        </w:rPr>
        <w:t>.</w:t>
      </w:r>
    </w:p>
    <w:p w14:paraId="6698B398" w14:textId="67D57CFA" w:rsidR="000435C2" w:rsidRPr="0096534C" w:rsidRDefault="008B332B">
      <w:pPr>
        <w:pStyle w:val="BodyText"/>
        <w:spacing w:after="100"/>
        <w:jc w:val="both"/>
      </w:pPr>
      <w:r w:rsidRPr="0096534C">
        <w:rPr>
          <w:rStyle w:val="BodyTextChar"/>
        </w:rPr>
        <w:t xml:space="preserve">Les questions ne relevant pas de l’informatique doivent être envoyées à l’adresse électronique </w:t>
      </w:r>
      <w:proofErr w:type="gramStart"/>
      <w:r w:rsidRPr="0096534C">
        <w:rPr>
          <w:rStyle w:val="BodyTextChar"/>
        </w:rPr>
        <w:t>suivante:</w:t>
      </w:r>
      <w:proofErr w:type="gramEnd"/>
      <w:r w:rsidRPr="0096534C">
        <w:rPr>
          <w:rStyle w:val="BodyTextChar"/>
        </w:rPr>
        <w:t xml:space="preserve"> </w:t>
      </w:r>
      <w:hyperlink r:id="rId44" w:history="1">
        <w:r w:rsidRPr="0096534C">
          <w:rPr>
            <w:rStyle w:val="Hyperlink"/>
          </w:rPr>
          <w:t>EACEA-IntraAfrica-IntraACP@ec.europa.eu</w:t>
        </w:r>
      </w:hyperlink>
      <w:hyperlink r:id="rId45" w:history="1">
        <w:r w:rsidRPr="0096534C">
          <w:rPr>
            <w:rStyle w:val="BodyTextChar"/>
          </w:rPr>
          <w:t>.</w:t>
        </w:r>
      </w:hyperlink>
    </w:p>
    <w:p w14:paraId="2E8ED556" w14:textId="77777777" w:rsidR="000435C2" w:rsidRPr="0096534C" w:rsidRDefault="008B332B">
      <w:pPr>
        <w:pStyle w:val="BodyText"/>
        <w:spacing w:after="0"/>
        <w:jc w:val="both"/>
        <w:rPr>
          <w:rStyle w:val="BodyTextChar"/>
        </w:rPr>
      </w:pPr>
      <w:r w:rsidRPr="0096534C">
        <w:rPr>
          <w:rStyle w:val="BodyTextChar"/>
        </w:rPr>
        <w:t>Veuillez mentionner clairement la référence de l’appel ainsi que le thème sur lequel porte votre question (</w:t>
      </w:r>
      <w:r w:rsidRPr="0096534C">
        <w:rPr>
          <w:rStyle w:val="BodyTextChar"/>
          <w:i/>
        </w:rPr>
        <w:t>voir page de couverture</w:t>
      </w:r>
      <w:r w:rsidRPr="0096534C">
        <w:rPr>
          <w:rStyle w:val="BodyTextChar"/>
        </w:rPr>
        <w:t>).</w:t>
      </w:r>
    </w:p>
    <w:p w14:paraId="21A1BD4A" w14:textId="77777777" w:rsidR="000E41C6" w:rsidRPr="0096534C" w:rsidRDefault="000E41C6">
      <w:pPr>
        <w:pStyle w:val="BodyText"/>
        <w:spacing w:after="0"/>
        <w:jc w:val="both"/>
        <w:rPr>
          <w:rStyle w:val="BodyTextChar"/>
        </w:rPr>
      </w:pPr>
    </w:p>
    <w:p w14:paraId="1A731C49" w14:textId="7C5D0D5D" w:rsidR="000435C2" w:rsidRPr="0096534C" w:rsidRDefault="008B332B" w:rsidP="008F31DC">
      <w:pPr>
        <w:pStyle w:val="BodyText"/>
        <w:pageBreakBefore/>
        <w:numPr>
          <w:ilvl w:val="0"/>
          <w:numId w:val="37"/>
        </w:numPr>
        <w:tabs>
          <w:tab w:val="left" w:pos="452"/>
        </w:tabs>
        <w:spacing w:after="127" w:line="216" w:lineRule="auto"/>
        <w:jc w:val="both"/>
        <w:rPr>
          <w:rStyle w:val="BodyTextChar"/>
        </w:rPr>
      </w:pPr>
      <w:bookmarkStart w:id="93" w:name="bookmark99"/>
      <w:r w:rsidRPr="0096534C">
        <w:rPr>
          <w:rStyle w:val="BodyTextChar"/>
          <w:b/>
          <w:color w:val="A50021"/>
        </w:rPr>
        <w:lastRenderedPageBreak/>
        <w:t>Important</w:t>
      </w:r>
      <w:bookmarkEnd w:id="93"/>
    </w:p>
    <w:tbl>
      <w:tblPr>
        <w:tblStyle w:val="TableGrid"/>
        <w:tblW w:w="5000" w:type="pct"/>
        <w:tblCellMar>
          <w:top w:w="113" w:type="dxa"/>
          <w:bottom w:w="113" w:type="dxa"/>
        </w:tblCellMar>
        <w:tblLook w:val="04A0" w:firstRow="1" w:lastRow="0" w:firstColumn="1" w:lastColumn="0" w:noHBand="0" w:noVBand="1"/>
      </w:tblPr>
      <w:tblGrid>
        <w:gridCol w:w="8498"/>
      </w:tblGrid>
      <w:tr w:rsidR="008F31DC" w:rsidRPr="0096534C" w14:paraId="1A357EFC" w14:textId="77777777" w:rsidTr="0032042B">
        <w:tc>
          <w:tcPr>
            <w:tcW w:w="5000" w:type="pct"/>
            <w:tcBorders>
              <w:top w:val="single" w:sz="18" w:space="0" w:color="D0CECE" w:themeColor="background2" w:themeShade="E6"/>
              <w:left w:val="single" w:sz="18" w:space="0" w:color="D0CECE" w:themeColor="background2" w:themeShade="E6"/>
              <w:bottom w:val="single" w:sz="18" w:space="0" w:color="D0CECE" w:themeColor="background2" w:themeShade="E6"/>
              <w:right w:val="single" w:sz="18" w:space="0" w:color="D0CECE" w:themeColor="background2" w:themeShade="E6"/>
            </w:tcBorders>
            <w:shd w:val="clear" w:color="auto" w:fill="E7E6E6" w:themeFill="background2"/>
          </w:tcPr>
          <w:p w14:paraId="1AAA68C3" w14:textId="2D67B051" w:rsidR="00D229E3" w:rsidRPr="0096534C" w:rsidRDefault="00D229E3" w:rsidP="00D229E3">
            <w:r w:rsidRPr="0096534C">
              <w:rPr>
                <w:b/>
                <w:noProof/>
                <w:color w:val="7F7F7F"/>
                <w:sz w:val="18"/>
                <w:lang w:eastAsia="en-GB"/>
              </w:rPr>
              <w:drawing>
                <wp:inline distT="0" distB="0" distL="0" distR="0" wp14:anchorId="702D7DBE" wp14:editId="1C3DE573">
                  <wp:extent cx="198782" cy="198782"/>
                  <wp:effectExtent l="0" t="0" r="0" b="0"/>
                  <wp:docPr id="20" name="Picture 20"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warni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8809" cy="198809"/>
                          </a:xfrm>
                          <a:prstGeom prst="rect">
                            <a:avLst/>
                          </a:prstGeom>
                          <a:noFill/>
                          <a:ln>
                            <a:noFill/>
                          </a:ln>
                        </pic:spPr>
                      </pic:pic>
                    </a:graphicData>
                  </a:graphic>
                </wp:inline>
              </w:drawing>
            </w:r>
            <w:r w:rsidRPr="0096534C">
              <w:rPr>
                <w:rStyle w:val="Bodytext5"/>
                <w:b/>
                <w:color w:val="595959"/>
              </w:rPr>
              <w:t xml:space="preserve"> REMARQUES IMPORTANTES</w:t>
            </w:r>
          </w:p>
          <w:p w14:paraId="1681BBBD" w14:textId="77777777" w:rsidR="00D229E3" w:rsidRPr="0096534C" w:rsidRDefault="00D229E3" w:rsidP="00D229E3">
            <w:pPr>
              <w:pStyle w:val="Bodytext50"/>
              <w:numPr>
                <w:ilvl w:val="0"/>
                <w:numId w:val="44"/>
              </w:numPr>
              <w:tabs>
                <w:tab w:val="left" w:pos="778"/>
              </w:tabs>
              <w:spacing w:after="100" w:line="240" w:lineRule="auto"/>
              <w:jc w:val="both"/>
              <w:rPr>
                <w:color w:val="595959"/>
              </w:rPr>
            </w:pPr>
            <w:r w:rsidRPr="0096534C">
              <w:rPr>
                <w:rStyle w:val="Bodytext5"/>
                <w:b/>
                <w:color w:val="595959"/>
              </w:rPr>
              <w:t xml:space="preserve">N’attendez pas le dernier </w:t>
            </w:r>
            <w:proofErr w:type="gramStart"/>
            <w:r w:rsidRPr="0096534C">
              <w:rPr>
                <w:rStyle w:val="Bodytext5"/>
                <w:b/>
                <w:color w:val="595959"/>
              </w:rPr>
              <w:t>moment</w:t>
            </w:r>
            <w:r w:rsidRPr="0096534C">
              <w:rPr>
                <w:rStyle w:val="Bodytext5"/>
                <w:color w:val="595959"/>
              </w:rPr>
              <w:t>:</w:t>
            </w:r>
            <w:proofErr w:type="gramEnd"/>
            <w:r w:rsidRPr="0096534C">
              <w:rPr>
                <w:rStyle w:val="Bodytext5"/>
                <w:color w:val="595959"/>
              </w:rPr>
              <w:t xml:space="preserve"> remplissez votre demande suffisamment longtemps avant la date limite pour éviter tout </w:t>
            </w:r>
            <w:r w:rsidRPr="0096534C">
              <w:rPr>
                <w:rStyle w:val="Bodytext5"/>
                <w:b/>
                <w:color w:val="595959"/>
              </w:rPr>
              <w:t>problème technique</w:t>
            </w:r>
            <w:r w:rsidRPr="0096534C">
              <w:rPr>
                <w:rStyle w:val="Bodytext5"/>
                <w:color w:val="595959"/>
              </w:rPr>
              <w:t xml:space="preserve"> de dernière minute. Les problèmes dus aux soumissions de dernière minute </w:t>
            </w:r>
            <w:r w:rsidRPr="0096534C">
              <w:rPr>
                <w:rStyle w:val="Bodytext5"/>
                <w:i/>
                <w:color w:val="595959"/>
              </w:rPr>
              <w:t>(par exemple, saturation, etc.)</w:t>
            </w:r>
            <w:r w:rsidRPr="0096534C">
              <w:rPr>
                <w:rStyle w:val="Bodytext5"/>
                <w:color w:val="595959"/>
              </w:rPr>
              <w:t xml:space="preserve"> seront entièrement à vos risques. Les dates de clôture de l’appel NE peuvent PAS être prolongées.</w:t>
            </w:r>
          </w:p>
          <w:p w14:paraId="0A0BEC4C" w14:textId="77777777" w:rsidR="00D229E3" w:rsidRPr="0096534C" w:rsidRDefault="00D229E3" w:rsidP="00D229E3">
            <w:pPr>
              <w:pStyle w:val="Bodytext50"/>
              <w:numPr>
                <w:ilvl w:val="0"/>
                <w:numId w:val="44"/>
              </w:numPr>
              <w:tabs>
                <w:tab w:val="left" w:pos="778"/>
              </w:tabs>
              <w:spacing w:after="100" w:line="240" w:lineRule="auto"/>
              <w:jc w:val="both"/>
              <w:rPr>
                <w:color w:val="595959"/>
              </w:rPr>
            </w:pPr>
            <w:r w:rsidRPr="0096534C">
              <w:rPr>
                <w:rStyle w:val="Bodytext5"/>
                <w:b/>
                <w:color w:val="595959"/>
              </w:rPr>
              <w:t xml:space="preserve">Consultez </w:t>
            </w:r>
            <w:r w:rsidRPr="0096534C">
              <w:rPr>
                <w:rStyle w:val="Bodytext5"/>
                <w:color w:val="595959"/>
              </w:rPr>
              <w:t>régulièrement la page thématique du portail. Nous y publierons des mises à jour</w:t>
            </w:r>
            <w:r w:rsidRPr="0096534C">
              <w:rPr>
                <w:color w:val="595959"/>
              </w:rPr>
              <w:t xml:space="preserve"> </w:t>
            </w:r>
            <w:r w:rsidRPr="0096534C">
              <w:rPr>
                <w:rStyle w:val="Bodytext5"/>
                <w:color w:val="595959"/>
              </w:rPr>
              <w:t>et des informations supplémentaires sur l’appel (mises à jour de l’appel et du thème).</w:t>
            </w:r>
          </w:p>
          <w:p w14:paraId="0674E0A7" w14:textId="75274058" w:rsidR="00D229E3" w:rsidRPr="0096534C" w:rsidRDefault="00D229E3" w:rsidP="00D229E3">
            <w:pPr>
              <w:pStyle w:val="Bodytext50"/>
              <w:numPr>
                <w:ilvl w:val="0"/>
                <w:numId w:val="44"/>
              </w:numPr>
              <w:tabs>
                <w:tab w:val="left" w:pos="778"/>
              </w:tabs>
              <w:spacing w:after="100" w:line="240" w:lineRule="auto"/>
              <w:jc w:val="both"/>
            </w:pPr>
            <w:r w:rsidRPr="0096534C">
              <w:rPr>
                <w:rStyle w:val="Bodytext5"/>
                <w:b/>
                <w:color w:val="595959"/>
              </w:rPr>
              <w:t xml:space="preserve">Système d’échange électronique du portail des financements et appels </w:t>
            </w:r>
            <w:proofErr w:type="gramStart"/>
            <w:r w:rsidRPr="0096534C">
              <w:rPr>
                <w:rStyle w:val="Bodytext5"/>
                <w:b/>
                <w:color w:val="595959"/>
              </w:rPr>
              <w:t>d’offres</w:t>
            </w:r>
            <w:r w:rsidRPr="0096534C">
              <w:rPr>
                <w:rStyle w:val="Bodytext5"/>
                <w:color w:val="595959"/>
              </w:rPr>
              <w:t>:</w:t>
            </w:r>
            <w:proofErr w:type="gramEnd"/>
            <w:r w:rsidRPr="0096534C">
              <w:rPr>
                <w:rStyle w:val="Bodytext5"/>
                <w:color w:val="595959"/>
              </w:rPr>
              <w:t xml:space="preserve"> en soumettant la demande, tous les participants </w:t>
            </w:r>
            <w:r w:rsidRPr="0096534C">
              <w:rPr>
                <w:rStyle w:val="Bodytext5"/>
                <w:b/>
                <w:color w:val="595959"/>
              </w:rPr>
              <w:t>acceptent</w:t>
            </w:r>
            <w:r w:rsidRPr="0096534C">
              <w:rPr>
                <w:rStyle w:val="Bodytext5"/>
                <w:color w:val="595959"/>
              </w:rPr>
              <w:t xml:space="preserve"> d’utiliser le système d’échange électronique conformément aux </w:t>
            </w:r>
            <w:hyperlink r:id="rId47" w:history="1">
              <w:r w:rsidRPr="0096534C">
                <w:rPr>
                  <w:rStyle w:val="Bodytext5"/>
                  <w:color w:val="0088CC"/>
                  <w:u w:val="single"/>
                </w:rPr>
                <w:t>Conditions générales du portail</w:t>
              </w:r>
              <w:r w:rsidRPr="0096534C">
                <w:rPr>
                  <w:rStyle w:val="Bodytext5"/>
                  <w:color w:val="7F7F7F"/>
                </w:rPr>
                <w:t>.</w:t>
              </w:r>
            </w:hyperlink>
          </w:p>
          <w:p w14:paraId="4CDB0D41" w14:textId="17E2B456" w:rsidR="00D229E3" w:rsidRPr="0096534C" w:rsidRDefault="00D229E3" w:rsidP="00D229E3">
            <w:pPr>
              <w:pStyle w:val="Bodytext50"/>
              <w:numPr>
                <w:ilvl w:val="0"/>
                <w:numId w:val="44"/>
              </w:numPr>
              <w:tabs>
                <w:tab w:val="left" w:pos="778"/>
              </w:tabs>
              <w:spacing w:after="100" w:line="240" w:lineRule="auto"/>
              <w:jc w:val="both"/>
            </w:pPr>
            <w:proofErr w:type="gramStart"/>
            <w:r w:rsidRPr="0096534C">
              <w:rPr>
                <w:rStyle w:val="Bodytext5"/>
                <w:b/>
                <w:color w:val="595959"/>
              </w:rPr>
              <w:t>Inscription</w:t>
            </w:r>
            <w:r w:rsidRPr="0096534C">
              <w:rPr>
                <w:rStyle w:val="Bodytext5"/>
                <w:color w:val="595959"/>
              </w:rPr>
              <w:t>:</w:t>
            </w:r>
            <w:proofErr w:type="gramEnd"/>
            <w:r w:rsidRPr="0096534C">
              <w:rPr>
                <w:rStyle w:val="Bodytext5"/>
                <w:color w:val="595959"/>
              </w:rPr>
              <w:t xml:space="preserve"> avant de soumettre la demande, tous les bénéficiaires et entités affiliées doivent être inscrits dans le </w:t>
            </w:r>
            <w:hyperlink r:id="rId48" w:history="1">
              <w:r w:rsidRPr="0096534C">
                <w:rPr>
                  <w:rStyle w:val="Bodytext5"/>
                  <w:color w:val="0088CC"/>
                  <w:u w:val="single"/>
                </w:rPr>
                <w:t>registre des participants</w:t>
              </w:r>
              <w:r w:rsidRPr="0096534C">
                <w:rPr>
                  <w:rStyle w:val="Bodytext5"/>
                  <w:color w:val="595959"/>
                </w:rPr>
                <w:t>.</w:t>
              </w:r>
            </w:hyperlink>
            <w:r w:rsidRPr="0096534C">
              <w:rPr>
                <w:rStyle w:val="Bodytext5"/>
                <w:color w:val="595959"/>
              </w:rPr>
              <w:t xml:space="preserve"> Le code d’identification du participant (PIC) (un par participant) est obligatoire pour le formulaire de demande.</w:t>
            </w:r>
          </w:p>
          <w:p w14:paraId="0A98655C" w14:textId="77777777" w:rsidR="00D229E3" w:rsidRPr="0096534C" w:rsidRDefault="00D229E3" w:rsidP="00D229E3">
            <w:pPr>
              <w:pStyle w:val="Bodytext50"/>
              <w:numPr>
                <w:ilvl w:val="0"/>
                <w:numId w:val="44"/>
              </w:numPr>
              <w:tabs>
                <w:tab w:val="left" w:pos="778"/>
              </w:tabs>
              <w:spacing w:after="100" w:line="240" w:lineRule="auto"/>
              <w:jc w:val="both"/>
              <w:rPr>
                <w:rStyle w:val="Bodytext5"/>
                <w:color w:val="595959"/>
              </w:rPr>
            </w:pPr>
            <w:r w:rsidRPr="0096534C">
              <w:rPr>
                <w:rStyle w:val="Bodytext5"/>
                <w:b/>
                <w:color w:val="595959"/>
              </w:rPr>
              <w:t xml:space="preserve">Rôles du </w:t>
            </w:r>
            <w:proofErr w:type="gramStart"/>
            <w:r w:rsidRPr="0096534C">
              <w:rPr>
                <w:rStyle w:val="Bodytext5"/>
                <w:b/>
                <w:color w:val="595959"/>
              </w:rPr>
              <w:t>consortium:</w:t>
            </w:r>
            <w:proofErr w:type="gramEnd"/>
            <w:r w:rsidRPr="0096534C">
              <w:rPr>
                <w:rStyle w:val="Bodytext5"/>
                <w:color w:val="595959"/>
              </w:rPr>
              <w:t xml:space="preserve"> lors de la création de votre consortium, réfléchissez aux organisations qui vous aident à atteindre les objectifs et à résoudre les problèmes.</w:t>
            </w:r>
          </w:p>
          <w:p w14:paraId="13753FBC" w14:textId="77777777" w:rsidR="00D229E3" w:rsidRPr="0096534C" w:rsidRDefault="00D229E3" w:rsidP="00D229E3">
            <w:pPr>
              <w:pStyle w:val="Bodytext50"/>
              <w:spacing w:after="100" w:line="240" w:lineRule="auto"/>
              <w:ind w:left="340"/>
              <w:jc w:val="both"/>
            </w:pPr>
            <w:r w:rsidRPr="0096534C">
              <w:rPr>
                <w:rStyle w:val="Bodytext5"/>
                <w:color w:val="595959"/>
              </w:rPr>
              <w:t xml:space="preserve">Les rôles devraient être attribués en fonction du niveau de participation au projet. Les principaux participants devraient intervenir comme </w:t>
            </w:r>
            <w:r w:rsidRPr="0096534C">
              <w:rPr>
                <w:rStyle w:val="Bodytext5"/>
                <w:b/>
                <w:color w:val="595959"/>
              </w:rPr>
              <w:t xml:space="preserve">bénéficiaires </w:t>
            </w:r>
            <w:r w:rsidRPr="0096534C">
              <w:rPr>
                <w:rStyle w:val="Bodytext5"/>
                <w:color w:val="595959"/>
              </w:rPr>
              <w:t xml:space="preserve">ou </w:t>
            </w:r>
            <w:r w:rsidRPr="0096534C">
              <w:rPr>
                <w:rStyle w:val="Bodytext5"/>
                <w:b/>
                <w:color w:val="595959"/>
              </w:rPr>
              <w:t xml:space="preserve">entités </w:t>
            </w:r>
            <w:proofErr w:type="gramStart"/>
            <w:r w:rsidRPr="0096534C">
              <w:rPr>
                <w:rStyle w:val="Bodytext5"/>
                <w:b/>
                <w:color w:val="595959"/>
              </w:rPr>
              <w:t>affiliées</w:t>
            </w:r>
            <w:r w:rsidRPr="0096534C">
              <w:rPr>
                <w:rStyle w:val="Bodytext5"/>
                <w:color w:val="595959"/>
              </w:rPr>
              <w:t>;</w:t>
            </w:r>
            <w:proofErr w:type="gramEnd"/>
            <w:r w:rsidRPr="0096534C">
              <w:rPr>
                <w:rStyle w:val="Bodytext5"/>
                <w:color w:val="595959"/>
              </w:rPr>
              <w:t xml:space="preserve"> d’autres entités peuvent participer en tant que partenaires associés, sous-traitants ou tiers apportant des contributions en nature. Les </w:t>
            </w:r>
            <w:r w:rsidRPr="0096534C">
              <w:rPr>
                <w:rStyle w:val="Bodytext5"/>
                <w:b/>
                <w:color w:val="595959"/>
              </w:rPr>
              <w:t xml:space="preserve">partenaires associés </w:t>
            </w:r>
            <w:r w:rsidRPr="0096534C">
              <w:rPr>
                <w:rStyle w:val="Bodytext5"/>
                <w:color w:val="595959"/>
              </w:rPr>
              <w:t xml:space="preserve">et les tiers apportant des contributions en nature devraient supporter leurs propres coûts (ils ne deviendront pas des bénéficiaires officiels du financement de l’UE). La </w:t>
            </w:r>
            <w:r w:rsidRPr="0096534C">
              <w:rPr>
                <w:rStyle w:val="Bodytext5"/>
                <w:b/>
                <w:color w:val="595959"/>
              </w:rPr>
              <w:t xml:space="preserve">sous-traitance </w:t>
            </w:r>
            <w:r w:rsidRPr="0096534C">
              <w:rPr>
                <w:rStyle w:val="Bodytext5"/>
                <w:color w:val="595959"/>
              </w:rPr>
              <w:t>devrait normalement constituer une partie limitée et être assurée par des tiers (et non par l’un des bénéficiaires/l’une des entités affiliées). Le recours à la sous-traitance pour un montant supérieur à 30 % du total des coûts éligibles doit être justifié dans la demande.</w:t>
            </w:r>
          </w:p>
          <w:p w14:paraId="141AC373" w14:textId="77777777" w:rsidR="00D229E3" w:rsidRPr="0096534C" w:rsidRDefault="00D229E3" w:rsidP="00D229E3">
            <w:pPr>
              <w:pStyle w:val="Bodytext50"/>
              <w:numPr>
                <w:ilvl w:val="0"/>
                <w:numId w:val="44"/>
              </w:numPr>
              <w:tabs>
                <w:tab w:val="left" w:pos="778"/>
              </w:tabs>
              <w:spacing w:after="100" w:line="240" w:lineRule="auto"/>
              <w:jc w:val="both"/>
            </w:pPr>
            <w:proofErr w:type="gramStart"/>
            <w:r w:rsidRPr="0096534C">
              <w:rPr>
                <w:rStyle w:val="Bodytext5"/>
                <w:b/>
                <w:color w:val="595959"/>
              </w:rPr>
              <w:t>Coordinateur</w:t>
            </w:r>
            <w:r w:rsidRPr="0096534C">
              <w:rPr>
                <w:rStyle w:val="Bodytext5"/>
                <w:color w:val="595959"/>
              </w:rPr>
              <w:t>:</w:t>
            </w:r>
            <w:proofErr w:type="gramEnd"/>
            <w:r w:rsidRPr="0096534C">
              <w:rPr>
                <w:rStyle w:val="Bodytext5"/>
                <w:color w:val="595959"/>
              </w:rPr>
              <w:t xml:space="preserve"> dans le cadre de subventions multibénéficiaires, les bénéficiaires participent en tant que consortium (groupe de bénéficiaires). Ils devront choisir un coordinateur qui assurera la gestion et la coordination du projet et représentera le consortium auprès de l’autorité chargée de l’attribution de la subvention. Dans le cas des subventions monobénéficiaires, le bénéficiaire unique sera automatiquement coordinateur.</w:t>
            </w:r>
          </w:p>
          <w:p w14:paraId="61C8D670" w14:textId="77777777" w:rsidR="00D229E3" w:rsidRPr="0096534C" w:rsidRDefault="00D229E3" w:rsidP="00D229E3">
            <w:pPr>
              <w:pStyle w:val="Bodytext50"/>
              <w:numPr>
                <w:ilvl w:val="0"/>
                <w:numId w:val="44"/>
              </w:numPr>
              <w:tabs>
                <w:tab w:val="left" w:pos="778"/>
              </w:tabs>
              <w:spacing w:after="100" w:line="240" w:lineRule="auto"/>
              <w:jc w:val="both"/>
            </w:pPr>
            <w:r w:rsidRPr="0096534C">
              <w:rPr>
                <w:rStyle w:val="Bodytext5"/>
                <w:b/>
                <w:color w:val="595959"/>
              </w:rPr>
              <w:t xml:space="preserve">Entités </w:t>
            </w:r>
            <w:proofErr w:type="gramStart"/>
            <w:r w:rsidRPr="0096534C">
              <w:rPr>
                <w:rStyle w:val="Bodytext5"/>
                <w:b/>
                <w:color w:val="595959"/>
              </w:rPr>
              <w:t>affiliées</w:t>
            </w:r>
            <w:r w:rsidRPr="0096534C">
              <w:rPr>
                <w:rStyle w:val="Bodytext5"/>
                <w:color w:val="595959"/>
              </w:rPr>
              <w:t>:</w:t>
            </w:r>
            <w:proofErr w:type="gramEnd"/>
            <w:r w:rsidRPr="0096534C">
              <w:rPr>
                <w:rStyle w:val="Bodytext5"/>
                <w:color w:val="595959"/>
              </w:rPr>
              <w:t xml:space="preserve"> les candidats peuvent participer avec des entités affiliées (c’est-à-dire des entités liées à un bénéficiaire qui participent à l’action avec des droits et obligations similaires à ceux des bénéficiaires, mais qui ne signent pas la convention de subvention et ne deviennent donc pas elles-mêmes des bénéficiaires). Ils recevront une partie de la subvention et doivent donc remplir toutes les conditions de l’appel et être validés (tout comme les bénéficiaires</w:t>
            </w:r>
            <w:proofErr w:type="gramStart"/>
            <w:r w:rsidRPr="0096534C">
              <w:rPr>
                <w:rStyle w:val="Bodytext5"/>
                <w:color w:val="595959"/>
              </w:rPr>
              <w:t>);</w:t>
            </w:r>
            <w:proofErr w:type="gramEnd"/>
            <w:r w:rsidRPr="0096534C">
              <w:rPr>
                <w:rStyle w:val="Bodytext5"/>
                <w:color w:val="595959"/>
              </w:rPr>
              <w:t xml:space="preserve"> mais ils ne sont pas pris en considération dans les critères minimaux d’éligibilité pour la composition du consortium (le cas échéant).</w:t>
            </w:r>
          </w:p>
          <w:p w14:paraId="70D76159" w14:textId="77777777" w:rsidR="00D229E3" w:rsidRPr="0096534C" w:rsidRDefault="00D229E3" w:rsidP="00D229E3">
            <w:pPr>
              <w:pStyle w:val="Bodytext50"/>
              <w:numPr>
                <w:ilvl w:val="0"/>
                <w:numId w:val="44"/>
              </w:numPr>
              <w:tabs>
                <w:tab w:val="left" w:pos="778"/>
              </w:tabs>
              <w:spacing w:after="100" w:line="240" w:lineRule="auto"/>
              <w:jc w:val="both"/>
              <w:rPr>
                <w:rStyle w:val="Bodytext5"/>
                <w:color w:val="595959"/>
              </w:rPr>
            </w:pPr>
            <w:r w:rsidRPr="0096534C">
              <w:rPr>
                <w:rStyle w:val="Bodytext5"/>
                <w:b/>
                <w:color w:val="595959"/>
              </w:rPr>
              <w:t xml:space="preserve">Partenaires associés </w:t>
            </w:r>
            <w:r w:rsidRPr="0096534C">
              <w:rPr>
                <w:rStyle w:val="Bodytext5"/>
                <w:color w:val="595959"/>
              </w:rPr>
              <w:t>– Les candidats peuvent participer avec des partenaires associés (c’est-à-dire des organisations partenaires qui participent à l’action mais sans droit à la subvention). Ils participent sans financement et ne doivent donc pas être validés.</w:t>
            </w:r>
          </w:p>
          <w:p w14:paraId="11BE8B4C" w14:textId="77777777" w:rsidR="00D229E3" w:rsidRPr="0096534C" w:rsidRDefault="00D229E3" w:rsidP="00D229E3">
            <w:pPr>
              <w:pStyle w:val="Bodytext50"/>
              <w:numPr>
                <w:ilvl w:val="0"/>
                <w:numId w:val="44"/>
              </w:numPr>
              <w:tabs>
                <w:tab w:val="left" w:pos="778"/>
              </w:tabs>
              <w:spacing w:after="100" w:line="240" w:lineRule="auto"/>
              <w:jc w:val="both"/>
              <w:rPr>
                <w:rStyle w:val="Bodytext5"/>
                <w:color w:val="595959"/>
              </w:rPr>
            </w:pPr>
            <w:r w:rsidRPr="0096534C">
              <w:rPr>
                <w:rStyle w:val="Bodytext5"/>
                <w:b/>
                <w:color w:val="595959"/>
              </w:rPr>
              <w:t xml:space="preserve">Accord de </w:t>
            </w:r>
            <w:proofErr w:type="gramStart"/>
            <w:r w:rsidRPr="0096534C">
              <w:rPr>
                <w:rStyle w:val="Bodytext5"/>
                <w:b/>
                <w:color w:val="595959"/>
              </w:rPr>
              <w:t>consortium</w:t>
            </w:r>
            <w:r w:rsidRPr="0096534C">
              <w:rPr>
                <w:rStyle w:val="Bodytext5"/>
                <w:color w:val="595959"/>
              </w:rPr>
              <w:t>:</w:t>
            </w:r>
            <w:proofErr w:type="gramEnd"/>
            <w:r w:rsidRPr="0096534C">
              <w:rPr>
                <w:rStyle w:val="Bodytext5"/>
                <w:color w:val="595959"/>
              </w:rPr>
              <w:t xml:space="preserve"> pour des raisons pratiques et juridiques, il est recommandé de mettre en place des dispositions internes qui vous permettent de faire face à des circonstances exceptionnelles ou imprévues (dans tous les cas, même si elles ne sont pas obligatoires en vertu de la convention de subvention). L’accord de consortium vous offre également la possibilité de redistribuer la subvention selon les principes et paramètres internes à votre propre consortium (par exemple, un bénéficiaire peut réattribuer sa subvention à un autre bénéficiaire). L’accord de consortium vous permet donc d’adapter la subvention de l’UE aux besoins de votre consortium et peut également vous aider à vous protéger en cas de litige.</w:t>
            </w:r>
          </w:p>
          <w:p w14:paraId="55F28EBE" w14:textId="77777777" w:rsidR="00D229E3" w:rsidRPr="0096534C" w:rsidRDefault="00D229E3" w:rsidP="00D229E3">
            <w:pPr>
              <w:pStyle w:val="Bodytext50"/>
              <w:numPr>
                <w:ilvl w:val="0"/>
                <w:numId w:val="44"/>
              </w:numPr>
              <w:tabs>
                <w:tab w:val="left" w:pos="778"/>
              </w:tabs>
              <w:spacing w:after="100" w:line="240" w:lineRule="auto"/>
              <w:jc w:val="both"/>
            </w:pPr>
            <w:r w:rsidRPr="0096534C">
              <w:rPr>
                <w:rStyle w:val="Bodytext5"/>
                <w:b/>
                <w:color w:val="595959"/>
              </w:rPr>
              <w:t xml:space="preserve">Budget du projet </w:t>
            </w:r>
            <w:proofErr w:type="gramStart"/>
            <w:r w:rsidRPr="0096534C">
              <w:rPr>
                <w:rStyle w:val="Bodytext5"/>
                <w:b/>
                <w:color w:val="595959"/>
              </w:rPr>
              <w:t>équilibré:</w:t>
            </w:r>
            <w:proofErr w:type="gramEnd"/>
            <w:r w:rsidRPr="0096534C">
              <w:rPr>
                <w:rStyle w:val="Bodytext5"/>
                <w:b/>
                <w:color w:val="595959"/>
              </w:rPr>
              <w:t xml:space="preserve"> </w:t>
            </w:r>
            <w:r w:rsidRPr="0096534C">
              <w:rPr>
                <w:rStyle w:val="Bodytext5"/>
                <w:color w:val="595959"/>
              </w:rPr>
              <w:t xml:space="preserve">les demandes de subvention doivent garantir un budget </w:t>
            </w:r>
            <w:r w:rsidRPr="0096534C">
              <w:rPr>
                <w:rStyle w:val="Bodytext5"/>
                <w:color w:val="595959"/>
              </w:rPr>
              <w:lastRenderedPageBreak/>
              <w:t>du projet équilibré ainsi que d’autres ressources suffisantes pour mettre en œuvre le projet avec succès (par exemple, contributions propres, revenus générés par l’action, contributions financières de tiers, etc.). Il se peut que vous ayez à réduire vos estimations de coûts s’ils sont inéligibles (notamment excessifs).</w:t>
            </w:r>
          </w:p>
          <w:p w14:paraId="555AE856" w14:textId="77777777" w:rsidR="00D229E3" w:rsidRPr="0096534C" w:rsidRDefault="00D229E3" w:rsidP="00D229E3">
            <w:pPr>
              <w:pStyle w:val="Bodytext50"/>
              <w:numPr>
                <w:ilvl w:val="0"/>
                <w:numId w:val="44"/>
              </w:numPr>
              <w:tabs>
                <w:tab w:val="left" w:pos="778"/>
              </w:tabs>
              <w:spacing w:after="100" w:line="240" w:lineRule="auto"/>
              <w:jc w:val="both"/>
              <w:rPr>
                <w:rStyle w:val="Bodytext5"/>
                <w:color w:val="595959"/>
              </w:rPr>
            </w:pPr>
            <w:r w:rsidRPr="0096534C">
              <w:rPr>
                <w:rStyle w:val="Bodytext5"/>
                <w:b/>
                <w:color w:val="595959"/>
              </w:rPr>
              <w:t xml:space="preserve">Projets achevés/en </w:t>
            </w:r>
            <w:proofErr w:type="gramStart"/>
            <w:r w:rsidRPr="0096534C">
              <w:rPr>
                <w:rStyle w:val="Bodytext5"/>
                <w:b/>
                <w:color w:val="595959"/>
              </w:rPr>
              <w:t>cours</w:t>
            </w:r>
            <w:r w:rsidRPr="0096534C">
              <w:rPr>
                <w:rStyle w:val="Bodytext5"/>
                <w:color w:val="595959"/>
              </w:rPr>
              <w:t>:</w:t>
            </w:r>
            <w:proofErr w:type="gramEnd"/>
            <w:r w:rsidRPr="0096534C">
              <w:rPr>
                <w:rStyle w:val="Bodytext5"/>
                <w:color w:val="595959"/>
              </w:rPr>
              <w:t xml:space="preserve"> les propositions de projets qui sont déjà achevés seront rejetées; les propositions de projets déjà lancés seront évaluées au cas par cas (dans ce cas, aucun coût ne peut être remboursé pour des activités qui se sont déroulées avant la date de lancement du projet/la soumission de la proposition).</w:t>
            </w:r>
          </w:p>
          <w:p w14:paraId="1B9018DD" w14:textId="77777777" w:rsidR="00D229E3" w:rsidRPr="0096534C" w:rsidRDefault="00D229E3" w:rsidP="00D229E3">
            <w:pPr>
              <w:pStyle w:val="Bodytext50"/>
              <w:numPr>
                <w:ilvl w:val="0"/>
                <w:numId w:val="44"/>
              </w:numPr>
              <w:tabs>
                <w:tab w:val="left" w:pos="778"/>
              </w:tabs>
              <w:spacing w:after="100" w:line="240" w:lineRule="auto"/>
              <w:jc w:val="both"/>
            </w:pPr>
            <w:r w:rsidRPr="0096534C">
              <w:rPr>
                <w:rStyle w:val="Bodytext5"/>
                <w:b/>
                <w:color w:val="595959"/>
              </w:rPr>
              <w:t>Règle de non-</w:t>
            </w:r>
            <w:proofErr w:type="gramStart"/>
            <w:r w:rsidRPr="0096534C">
              <w:rPr>
                <w:rStyle w:val="Bodytext5"/>
                <w:b/>
                <w:color w:val="595959"/>
              </w:rPr>
              <w:t>profit</w:t>
            </w:r>
            <w:r w:rsidRPr="0096534C">
              <w:rPr>
                <w:rStyle w:val="Bodytext5"/>
                <w:color w:val="595959"/>
              </w:rPr>
              <w:t>:les</w:t>
            </w:r>
            <w:proofErr w:type="gramEnd"/>
            <w:r w:rsidRPr="0096534C">
              <w:rPr>
                <w:rStyle w:val="Bodytext5"/>
                <w:color w:val="595959"/>
              </w:rPr>
              <w:t xml:space="preserve"> subventions ne peuvent PAS générer de profit (c’est-à-dire un excédent de revenus + subvention de l’UE</w:t>
            </w:r>
            <w:r w:rsidRPr="0096534C">
              <w:t xml:space="preserve"> </w:t>
            </w:r>
            <w:r w:rsidRPr="0096534C">
              <w:rPr>
                <w:rStyle w:val="Bodytext5"/>
                <w:color w:val="595959"/>
              </w:rPr>
              <w:t>supérieure aux coûts). Nous vérifierons ce point au terme du projet.</w:t>
            </w:r>
          </w:p>
          <w:p w14:paraId="0216A62A" w14:textId="77777777" w:rsidR="00D229E3" w:rsidRPr="0096534C" w:rsidRDefault="00D229E3" w:rsidP="00D229E3">
            <w:pPr>
              <w:pStyle w:val="Bodytext50"/>
              <w:numPr>
                <w:ilvl w:val="0"/>
                <w:numId w:val="44"/>
              </w:numPr>
              <w:tabs>
                <w:tab w:val="left" w:pos="778"/>
              </w:tabs>
              <w:spacing w:after="100" w:line="240" w:lineRule="auto"/>
              <w:jc w:val="both"/>
            </w:pPr>
            <w:r w:rsidRPr="0096534C">
              <w:rPr>
                <w:rStyle w:val="Bodytext5"/>
                <w:b/>
                <w:color w:val="595959"/>
              </w:rPr>
              <w:t xml:space="preserve">Absence de cumul de financements/absence de double </w:t>
            </w:r>
            <w:proofErr w:type="gramStart"/>
            <w:r w:rsidRPr="0096534C">
              <w:rPr>
                <w:rStyle w:val="Bodytext5"/>
                <w:b/>
                <w:color w:val="595959"/>
              </w:rPr>
              <w:t>financement</w:t>
            </w:r>
            <w:r w:rsidRPr="0096534C">
              <w:rPr>
                <w:rStyle w:val="Bodytext5"/>
                <w:color w:val="595959"/>
              </w:rPr>
              <w:t>:</w:t>
            </w:r>
            <w:proofErr w:type="gramEnd"/>
            <w:r w:rsidRPr="0096534C">
              <w:rPr>
                <w:rStyle w:val="Bodytext5"/>
                <w:color w:val="595959"/>
              </w:rPr>
              <w:t xml:space="preserve"> il est strictement interdit de cumuler les financements provenant du budget de l’UE (sauf dans le cadre des actions «Synergy» de l’UE). En dehors de ces actions</w:t>
            </w:r>
            <w:proofErr w:type="gramStart"/>
            <w:r w:rsidRPr="0096534C">
              <w:rPr>
                <w:rStyle w:val="Bodytext5"/>
                <w:color w:val="595959"/>
              </w:rPr>
              <w:t xml:space="preserve"> «Synergy</w:t>
            </w:r>
            <w:proofErr w:type="gramEnd"/>
            <w:r w:rsidRPr="0096534C">
              <w:rPr>
                <w:rStyle w:val="Bodytext5"/>
                <w:color w:val="595959"/>
              </w:rPr>
              <w:t>», une action ne peut recevoir qu’UNE SEULE subvention financée sur le budget de l’UE et les éléments de coûts ne peuvent en AUCUN cas être déclarés au titre de deux subventions de l’UE. Si vous souhaitez néanmoins bénéficier de différentes possibilités de financement de l’UE, les projets doivent être conçus comme des actions distinctes, clairement délimitées et séparées pour chaque subvention (sans chevauchement).</w:t>
            </w:r>
          </w:p>
          <w:p w14:paraId="39F13E7F" w14:textId="77777777" w:rsidR="00D229E3" w:rsidRPr="0096534C" w:rsidRDefault="00D229E3" w:rsidP="00141542">
            <w:pPr>
              <w:pStyle w:val="Style15"/>
            </w:pPr>
            <w:r w:rsidRPr="0096534C">
              <w:rPr>
                <w:rStyle w:val="Bodytext5"/>
                <w:b/>
              </w:rPr>
              <w:t>Combinaison avec des subventions de fonctionnement de l’UE</w:t>
            </w:r>
            <w:r w:rsidRPr="0096534C">
              <w:rPr>
                <w:rStyle w:val="Bodytext5"/>
              </w:rPr>
              <w:t xml:space="preserve">: la combinaison avec des subventions de fonctionnement de l’UE est possible si le projet reste en dehors du programme de travail relatif aux subventions de fonctionnement et si vous veillez à ce que les éléments de coûts soient clairement séparés dans votre comptabilité et à ce qu’ils ne soient PAS déclarés deux fois </w:t>
            </w:r>
            <w:r w:rsidRPr="0096534C">
              <w:rPr>
                <w:rStyle w:val="Bodytext5"/>
                <w:i/>
              </w:rPr>
              <w:t>(voir l’</w:t>
            </w:r>
            <w:hyperlink r:id="rId49" w:history="1">
              <w:r w:rsidRPr="0096534C">
                <w:rPr>
                  <w:rStyle w:val="Bodytext5"/>
                  <w:i/>
                </w:rPr>
                <w:t xml:space="preserve"> </w:t>
              </w:r>
              <w:r w:rsidRPr="0096534C">
                <w:rPr>
                  <w:rStyle w:val="Bodytext5"/>
                  <w:i/>
                  <w:color w:val="0088CC"/>
                  <w:u w:val="single"/>
                </w:rPr>
                <w:t>AGA — Convention de subvention annotée, article 6.2.E</w:t>
              </w:r>
              <w:r w:rsidRPr="0096534C">
                <w:rPr>
                  <w:rStyle w:val="Bodytext5"/>
                  <w:i/>
                  <w:u w:val="single"/>
                </w:rPr>
                <w:t>)</w:t>
              </w:r>
            </w:hyperlink>
            <w:r w:rsidRPr="0096534C">
              <w:rPr>
                <w:rStyle w:val="Bodytext5"/>
                <w:i/>
              </w:rPr>
              <w:t>.</w:t>
            </w:r>
          </w:p>
          <w:p w14:paraId="76F7728A" w14:textId="77777777" w:rsidR="00D229E3" w:rsidRPr="0096534C" w:rsidRDefault="00D229E3" w:rsidP="00D229E3">
            <w:pPr>
              <w:pStyle w:val="Bodytext50"/>
              <w:numPr>
                <w:ilvl w:val="0"/>
                <w:numId w:val="44"/>
              </w:numPr>
              <w:tabs>
                <w:tab w:val="left" w:pos="778"/>
              </w:tabs>
              <w:spacing w:after="100" w:line="240" w:lineRule="auto"/>
              <w:jc w:val="both"/>
            </w:pPr>
            <w:r w:rsidRPr="0096534C">
              <w:rPr>
                <w:rStyle w:val="Bodytext5"/>
                <w:b/>
                <w:color w:val="595959"/>
              </w:rPr>
              <w:t xml:space="preserve">Propositions </w:t>
            </w:r>
            <w:proofErr w:type="gramStart"/>
            <w:r w:rsidRPr="0096534C">
              <w:rPr>
                <w:rStyle w:val="Bodytext5"/>
                <w:b/>
                <w:color w:val="595959"/>
              </w:rPr>
              <w:t>multiples:</w:t>
            </w:r>
            <w:proofErr w:type="gramEnd"/>
            <w:r w:rsidRPr="0096534C">
              <w:rPr>
                <w:rStyle w:val="Bodytext5"/>
                <w:color w:val="595959"/>
              </w:rPr>
              <w:t xml:space="preserve"> les candidats peuvent soumettre plus d’une proposition pour </w:t>
            </w:r>
            <w:r w:rsidRPr="0096534C">
              <w:rPr>
                <w:rStyle w:val="Bodytext5"/>
                <w:i/>
                <w:color w:val="595959"/>
              </w:rPr>
              <w:t>différents</w:t>
            </w:r>
            <w:r w:rsidRPr="0096534C">
              <w:rPr>
                <w:rStyle w:val="Bodytext5"/>
                <w:color w:val="595959"/>
              </w:rPr>
              <w:t xml:space="preserve"> projets dans le cadre d’un même appel (et bénéficier d’un financement pour ces propositions).</w:t>
            </w:r>
          </w:p>
          <w:p w14:paraId="0DF21843" w14:textId="77777777" w:rsidR="00D229E3" w:rsidRPr="0096534C" w:rsidRDefault="00D229E3" w:rsidP="00D229E3">
            <w:pPr>
              <w:pStyle w:val="Bodytext50"/>
              <w:spacing w:line="240" w:lineRule="auto"/>
              <w:ind w:left="360"/>
              <w:jc w:val="both"/>
            </w:pPr>
            <w:r w:rsidRPr="0096534C">
              <w:rPr>
                <w:rStyle w:val="Bodytext5"/>
                <w:color w:val="595959"/>
              </w:rPr>
              <w:t>Les organisations peuvent participer à plusieurs propositions.</w:t>
            </w:r>
          </w:p>
          <w:p w14:paraId="1B998D32" w14:textId="77777777" w:rsidR="00D229E3" w:rsidRPr="0096534C" w:rsidRDefault="00D229E3" w:rsidP="00D229E3">
            <w:pPr>
              <w:pStyle w:val="Bodytext50"/>
              <w:spacing w:after="180" w:line="240" w:lineRule="auto"/>
              <w:ind w:left="320"/>
              <w:jc w:val="both"/>
            </w:pPr>
            <w:proofErr w:type="gramStart"/>
            <w:r w:rsidRPr="0096534C">
              <w:rPr>
                <w:rStyle w:val="Bodytext5"/>
                <w:color w:val="595959"/>
              </w:rPr>
              <w:t>MAIS:</w:t>
            </w:r>
            <w:proofErr w:type="gramEnd"/>
            <w:r w:rsidRPr="0096534C">
              <w:rPr>
                <w:rStyle w:val="Bodytext5"/>
                <w:color w:val="595959"/>
              </w:rPr>
              <w:t xml:space="preserve"> en présence de plusieurs propositions pour des projets </w:t>
            </w:r>
            <w:r w:rsidRPr="0096534C">
              <w:rPr>
                <w:rStyle w:val="Bodytext5"/>
                <w:i/>
                <w:color w:val="595959"/>
              </w:rPr>
              <w:t>très similaires</w:t>
            </w:r>
            <w:r w:rsidRPr="0096534C">
              <w:rPr>
                <w:rStyle w:val="Bodytext5"/>
                <w:color w:val="595959"/>
              </w:rPr>
              <w:t>, une seule demande sera acceptée et évaluée; les demandeurs seront invités à en choisir une et à retirer les autres (sous peine qu’elles soient toutes rejetées).</w:t>
            </w:r>
          </w:p>
          <w:p w14:paraId="6CCA7C3F" w14:textId="77777777" w:rsidR="00D229E3" w:rsidRPr="0096534C" w:rsidRDefault="00D229E3" w:rsidP="00D229E3">
            <w:pPr>
              <w:pStyle w:val="Bodytext50"/>
              <w:numPr>
                <w:ilvl w:val="0"/>
                <w:numId w:val="44"/>
              </w:numPr>
              <w:tabs>
                <w:tab w:val="left" w:pos="778"/>
              </w:tabs>
              <w:spacing w:after="100" w:line="240" w:lineRule="auto"/>
              <w:jc w:val="both"/>
              <w:rPr>
                <w:rStyle w:val="Bodytext5"/>
                <w:color w:val="595959"/>
              </w:rPr>
            </w:pPr>
            <w:r w:rsidRPr="0096534C">
              <w:rPr>
                <w:rStyle w:val="Bodytext5"/>
                <w:b/>
                <w:color w:val="595959"/>
              </w:rPr>
              <w:t xml:space="preserve">Nouvelle </w:t>
            </w:r>
            <w:proofErr w:type="gramStart"/>
            <w:r w:rsidRPr="0096534C">
              <w:rPr>
                <w:rStyle w:val="Bodytext5"/>
                <w:b/>
                <w:color w:val="595959"/>
              </w:rPr>
              <w:t>soumission</w:t>
            </w:r>
            <w:r w:rsidRPr="0096534C">
              <w:rPr>
                <w:rStyle w:val="Bodytext5"/>
                <w:color w:val="595959"/>
              </w:rPr>
              <w:t>:</w:t>
            </w:r>
            <w:proofErr w:type="gramEnd"/>
            <w:r w:rsidRPr="0096534C">
              <w:rPr>
                <w:rStyle w:val="Bodytext5"/>
                <w:color w:val="595959"/>
              </w:rPr>
              <w:t xml:space="preserve"> les propositions peuvent être modifiées puis soumises à nouveau jusqu’à la date limite de soumission.</w:t>
            </w:r>
          </w:p>
          <w:p w14:paraId="2F0D68DC" w14:textId="77777777" w:rsidR="00D229E3" w:rsidRPr="0096534C" w:rsidRDefault="00D229E3" w:rsidP="00D229E3">
            <w:pPr>
              <w:pStyle w:val="Bodytext50"/>
              <w:numPr>
                <w:ilvl w:val="0"/>
                <w:numId w:val="44"/>
              </w:numPr>
              <w:tabs>
                <w:tab w:val="left" w:pos="778"/>
              </w:tabs>
              <w:spacing w:after="100" w:line="240" w:lineRule="auto"/>
              <w:jc w:val="both"/>
              <w:rPr>
                <w:rStyle w:val="Bodytext5"/>
                <w:color w:val="595959"/>
              </w:rPr>
            </w:pPr>
            <w:proofErr w:type="gramStart"/>
            <w:r w:rsidRPr="0096534C">
              <w:rPr>
                <w:rStyle w:val="Bodytext5"/>
                <w:b/>
                <w:color w:val="595959"/>
              </w:rPr>
              <w:t>Rejet</w:t>
            </w:r>
            <w:r w:rsidRPr="0096534C">
              <w:rPr>
                <w:rStyle w:val="Bodytext5"/>
                <w:color w:val="595959"/>
              </w:rPr>
              <w:t>:</w:t>
            </w:r>
            <w:proofErr w:type="gramEnd"/>
            <w:r w:rsidRPr="0096534C">
              <w:rPr>
                <w:rStyle w:val="Bodytext5"/>
                <w:color w:val="595959"/>
              </w:rPr>
              <w:t xml:space="preserve"> en déposant la demande, tous les demandeurs acceptent les conditions de l’appel énoncées dans le présent document relatif à l’appel (et les documents auxquels il se réfère). Les propositions qui ne satisfont pas à l’ensemble des conditions de l’appel seront </w:t>
            </w:r>
            <w:r w:rsidRPr="0096534C">
              <w:rPr>
                <w:rStyle w:val="Bodytext5"/>
                <w:b/>
                <w:color w:val="595959"/>
              </w:rPr>
              <w:t>rejetées</w:t>
            </w:r>
            <w:r w:rsidRPr="0096534C">
              <w:rPr>
                <w:rStyle w:val="Bodytext5"/>
                <w:color w:val="595959"/>
              </w:rPr>
              <w:t xml:space="preserve">. Cela vaut également pour les </w:t>
            </w:r>
            <w:proofErr w:type="gramStart"/>
            <w:r w:rsidRPr="0096534C">
              <w:rPr>
                <w:rStyle w:val="Bodytext5"/>
                <w:color w:val="595959"/>
              </w:rPr>
              <w:t>demandeurs:</w:t>
            </w:r>
            <w:proofErr w:type="gramEnd"/>
            <w:r w:rsidRPr="0096534C">
              <w:rPr>
                <w:rStyle w:val="Bodytext5"/>
                <w:color w:val="595959"/>
              </w:rPr>
              <w:t xml:space="preserve"> tous les demandeurs doivent remplir les critères; si l’un d’entre eux ne les remplit pas, il doit être remplacé sous peine que toute la proposition soit rejetée.</w:t>
            </w:r>
          </w:p>
          <w:p w14:paraId="307C9006" w14:textId="77777777" w:rsidR="00D229E3" w:rsidRPr="0096534C" w:rsidRDefault="00D229E3" w:rsidP="00D229E3">
            <w:pPr>
              <w:pStyle w:val="Bodytext50"/>
              <w:numPr>
                <w:ilvl w:val="0"/>
                <w:numId w:val="44"/>
              </w:numPr>
              <w:tabs>
                <w:tab w:val="left" w:pos="778"/>
              </w:tabs>
              <w:spacing w:after="100" w:line="240" w:lineRule="auto"/>
              <w:jc w:val="both"/>
              <w:rPr>
                <w:rStyle w:val="Bodytext5"/>
                <w:color w:val="595959"/>
              </w:rPr>
            </w:pPr>
            <w:proofErr w:type="gramStart"/>
            <w:r w:rsidRPr="0096534C">
              <w:rPr>
                <w:rStyle w:val="Bodytext5"/>
                <w:b/>
                <w:color w:val="595959"/>
              </w:rPr>
              <w:t>Annulation</w:t>
            </w:r>
            <w:r w:rsidRPr="0096534C">
              <w:rPr>
                <w:rStyle w:val="Bodytext5"/>
                <w:color w:val="595959"/>
              </w:rPr>
              <w:t>:</w:t>
            </w:r>
            <w:proofErr w:type="gramEnd"/>
            <w:r w:rsidRPr="0096534C">
              <w:rPr>
                <w:rStyle w:val="Bodytext5"/>
                <w:color w:val="595959"/>
              </w:rPr>
              <w:t xml:space="preserve"> certaines circonstances peuvent exiger l’annulation de l’appel. Si tel est le cas, vous en serez informé au moyen d’un appel téléphonique ou d’une mise à jour du thème. Veuillez noter que les annulations ne donnent pas droit à indemnisation.</w:t>
            </w:r>
          </w:p>
          <w:p w14:paraId="35ADF053" w14:textId="77777777" w:rsidR="00D229E3" w:rsidRPr="0096534C" w:rsidRDefault="00D229E3" w:rsidP="00D229E3">
            <w:pPr>
              <w:pStyle w:val="Bodytext50"/>
              <w:numPr>
                <w:ilvl w:val="0"/>
                <w:numId w:val="44"/>
              </w:numPr>
              <w:tabs>
                <w:tab w:val="left" w:pos="778"/>
              </w:tabs>
              <w:spacing w:after="100" w:line="240" w:lineRule="auto"/>
              <w:jc w:val="both"/>
              <w:rPr>
                <w:rStyle w:val="Bodytext5"/>
              </w:rPr>
            </w:pPr>
            <w:proofErr w:type="gramStart"/>
            <w:r w:rsidRPr="0096534C">
              <w:rPr>
                <w:rStyle w:val="Bodytext5"/>
                <w:b/>
                <w:color w:val="595959"/>
              </w:rPr>
              <w:t>Langue</w:t>
            </w:r>
            <w:r w:rsidRPr="0096534C">
              <w:rPr>
                <w:rStyle w:val="Bodytext5"/>
                <w:color w:val="595959"/>
              </w:rPr>
              <w:t>:</w:t>
            </w:r>
            <w:proofErr w:type="gramEnd"/>
            <w:r w:rsidRPr="0096534C">
              <w:rPr>
                <w:rStyle w:val="Bodytext5"/>
                <w:color w:val="595959"/>
              </w:rPr>
              <w:t xml:space="preserve">la langue du présent appel est l’anglais. Vous pouvez soumettre votre proposition dans n’importe quelle langue officielle de l’UE (le résumé du projet doit cependant toujours être en anglais). Pour des raisons d’efficacité, nous vous conseillons vivement d’utiliser l’anglais dans l’ensemble de la demande. Si vous avez besoin de la documentation relative à l’appel dans une autre langue officielle de l’UE, veuillez en faire la demande dans les 10 jours suivant la publication de l’appel (pour les coordonnées, </w:t>
            </w:r>
            <w:r w:rsidRPr="0096534C">
              <w:rPr>
                <w:rStyle w:val="Bodytext5"/>
                <w:i/>
                <w:color w:val="595959"/>
              </w:rPr>
              <w:t>voir section 12</w:t>
            </w:r>
            <w:r w:rsidRPr="0096534C">
              <w:rPr>
                <w:rStyle w:val="Bodytext5"/>
                <w:color w:val="595959"/>
              </w:rPr>
              <w:t>).</w:t>
            </w:r>
          </w:p>
          <w:p w14:paraId="6CE97831" w14:textId="6AD7D3D4" w:rsidR="00D229E3" w:rsidRPr="0096534C" w:rsidRDefault="00D229E3" w:rsidP="000564A8">
            <w:pPr>
              <w:pStyle w:val="Style16"/>
            </w:pPr>
            <w:proofErr w:type="gramStart"/>
            <w:r w:rsidRPr="0096534C">
              <w:rPr>
                <w:rStyle w:val="Bodytext5"/>
                <w:b/>
              </w:rPr>
              <w:t>Transparence:</w:t>
            </w:r>
            <w:proofErr w:type="gramEnd"/>
            <w:r w:rsidRPr="0096534C">
              <w:rPr>
                <w:rStyle w:val="Bodytext5"/>
              </w:rPr>
              <w:t xml:space="preserve"> conformément à l’article 38 du </w:t>
            </w:r>
            <w:hyperlink r:id="rId50" w:history="1">
              <w:r w:rsidRPr="0096534C">
                <w:rPr>
                  <w:rStyle w:val="Bodytext5"/>
                  <w:color w:val="0088CC"/>
                  <w:u w:val="single"/>
                </w:rPr>
                <w:t>règlement financier de l’UE</w:t>
              </w:r>
            </w:hyperlink>
            <w:r w:rsidRPr="0096534C">
              <w:rPr>
                <w:rStyle w:val="Bodytext5"/>
              </w:rPr>
              <w:t xml:space="preserve">, les informations sur les subventions octroyées par l’UE sont publiées chaque année sur le </w:t>
            </w:r>
            <w:r w:rsidRPr="0096534C">
              <w:rPr>
                <w:color w:val="0088CC"/>
                <w:u w:val="single"/>
              </w:rPr>
              <w:t>site web Europa</w:t>
            </w:r>
            <w:hyperlink r:id="rId51" w:history="1">
              <w:r w:rsidRPr="0096534C">
                <w:rPr>
                  <w:rStyle w:val="Bodytext5"/>
                </w:rPr>
                <w:t>.</w:t>
              </w:r>
            </w:hyperlink>
          </w:p>
          <w:p w14:paraId="53B4DA0C" w14:textId="77777777" w:rsidR="00D229E3" w:rsidRPr="0096534C" w:rsidRDefault="00D229E3" w:rsidP="00D229E3">
            <w:pPr>
              <w:pStyle w:val="Bodytext50"/>
              <w:spacing w:after="40" w:line="240" w:lineRule="auto"/>
              <w:ind w:left="360"/>
              <w:jc w:val="both"/>
            </w:pPr>
            <w:r w:rsidRPr="0096534C">
              <w:rPr>
                <w:rStyle w:val="Bodytext5"/>
                <w:color w:val="595959"/>
              </w:rPr>
              <w:lastRenderedPageBreak/>
              <w:t xml:space="preserve">Il s’agit notamment des informations </w:t>
            </w:r>
            <w:proofErr w:type="gramStart"/>
            <w:r w:rsidRPr="0096534C">
              <w:rPr>
                <w:rStyle w:val="Bodytext5"/>
                <w:color w:val="595959"/>
              </w:rPr>
              <w:t>suivantes:</w:t>
            </w:r>
            <w:proofErr w:type="gramEnd"/>
          </w:p>
          <w:p w14:paraId="5C1DEE13" w14:textId="77777777" w:rsidR="00D229E3" w:rsidRPr="0096534C" w:rsidRDefault="00D229E3" w:rsidP="00D229E3">
            <w:pPr>
              <w:pStyle w:val="Bodytext50"/>
              <w:numPr>
                <w:ilvl w:val="0"/>
                <w:numId w:val="45"/>
              </w:numPr>
              <w:tabs>
                <w:tab w:val="left" w:pos="1320"/>
              </w:tabs>
              <w:spacing w:after="40" w:line="240" w:lineRule="auto"/>
              <w:ind w:left="870"/>
              <w:jc w:val="both"/>
            </w:pPr>
            <w:proofErr w:type="gramStart"/>
            <w:r w:rsidRPr="0096534C">
              <w:rPr>
                <w:rStyle w:val="Bodytext5"/>
                <w:color w:val="595959"/>
              </w:rPr>
              <w:t>noms</w:t>
            </w:r>
            <w:proofErr w:type="gramEnd"/>
            <w:r w:rsidRPr="0096534C">
              <w:rPr>
                <w:rStyle w:val="Bodytext5"/>
                <w:color w:val="595959"/>
              </w:rPr>
              <w:t xml:space="preserve"> du bénéficiaire;</w:t>
            </w:r>
          </w:p>
          <w:p w14:paraId="03434871" w14:textId="77777777" w:rsidR="00D229E3" w:rsidRPr="0096534C" w:rsidRDefault="00D229E3" w:rsidP="00D229E3">
            <w:pPr>
              <w:pStyle w:val="Bodytext50"/>
              <w:numPr>
                <w:ilvl w:val="0"/>
                <w:numId w:val="45"/>
              </w:numPr>
              <w:tabs>
                <w:tab w:val="left" w:pos="1320"/>
              </w:tabs>
              <w:spacing w:after="40" w:line="240" w:lineRule="auto"/>
              <w:ind w:left="870"/>
              <w:jc w:val="both"/>
            </w:pPr>
            <w:proofErr w:type="gramStart"/>
            <w:r w:rsidRPr="0096534C">
              <w:rPr>
                <w:rStyle w:val="Bodytext5"/>
                <w:color w:val="595959"/>
              </w:rPr>
              <w:t>adresses</w:t>
            </w:r>
            <w:proofErr w:type="gramEnd"/>
            <w:r w:rsidRPr="0096534C">
              <w:rPr>
                <w:rStyle w:val="Bodytext5"/>
                <w:color w:val="595959"/>
              </w:rPr>
              <w:t xml:space="preserve"> du bénéficiaire;</w:t>
            </w:r>
          </w:p>
          <w:p w14:paraId="473EBBFE" w14:textId="77777777" w:rsidR="00D229E3" w:rsidRPr="0096534C" w:rsidRDefault="00D229E3" w:rsidP="00D229E3">
            <w:pPr>
              <w:pStyle w:val="Bodytext50"/>
              <w:numPr>
                <w:ilvl w:val="0"/>
                <w:numId w:val="45"/>
              </w:numPr>
              <w:tabs>
                <w:tab w:val="left" w:pos="1320"/>
                <w:tab w:val="center" w:pos="3533"/>
                <w:tab w:val="right" w:pos="5443"/>
              </w:tabs>
              <w:spacing w:after="40" w:line="240" w:lineRule="auto"/>
              <w:ind w:left="870"/>
              <w:jc w:val="both"/>
            </w:pPr>
            <w:proofErr w:type="gramStart"/>
            <w:r w:rsidRPr="0096534C">
              <w:rPr>
                <w:rStyle w:val="Bodytext5"/>
                <w:color w:val="595959"/>
              </w:rPr>
              <w:t>l’objet</w:t>
            </w:r>
            <w:proofErr w:type="gramEnd"/>
            <w:r w:rsidRPr="0096534C">
              <w:rPr>
                <w:rStyle w:val="Bodytext5"/>
                <w:color w:val="595959"/>
              </w:rPr>
              <w:t xml:space="preserve"> de la subvention,</w:t>
            </w:r>
          </w:p>
          <w:p w14:paraId="4CBEC7CE" w14:textId="77777777" w:rsidR="00D229E3" w:rsidRPr="0096534C" w:rsidRDefault="00D229E3" w:rsidP="00D229E3">
            <w:pPr>
              <w:pStyle w:val="Bodytext50"/>
              <w:numPr>
                <w:ilvl w:val="0"/>
                <w:numId w:val="45"/>
              </w:numPr>
              <w:tabs>
                <w:tab w:val="left" w:pos="1320"/>
              </w:tabs>
              <w:spacing w:after="10" w:line="240" w:lineRule="auto"/>
              <w:ind w:left="870"/>
              <w:jc w:val="both"/>
            </w:pPr>
            <w:proofErr w:type="gramStart"/>
            <w:r w:rsidRPr="0096534C">
              <w:rPr>
                <w:rStyle w:val="Bodytext5"/>
                <w:color w:val="595959"/>
              </w:rPr>
              <w:t>le</w:t>
            </w:r>
            <w:proofErr w:type="gramEnd"/>
            <w:r w:rsidRPr="0096534C">
              <w:rPr>
                <w:rStyle w:val="Bodytext5"/>
                <w:color w:val="595959"/>
              </w:rPr>
              <w:t xml:space="preserve"> montant maximal alloué.</w:t>
            </w:r>
          </w:p>
          <w:p w14:paraId="4E041415" w14:textId="77777777" w:rsidR="00D229E3" w:rsidRPr="0096534C" w:rsidRDefault="00D229E3" w:rsidP="00D229E3">
            <w:pPr>
              <w:pStyle w:val="Bodytext50"/>
              <w:spacing w:after="180" w:line="240" w:lineRule="auto"/>
              <w:ind w:left="320"/>
              <w:jc w:val="both"/>
            </w:pPr>
            <w:r w:rsidRPr="0096534C">
              <w:rPr>
                <w:rStyle w:val="Bodytext5"/>
                <w:color w:val="595959"/>
              </w:rPr>
              <w:t>Il peut être dérogé, à titre exceptionnel, à la publication (sur demande motivée et dûment justifiée), s’il existe un risque que la divulgation mette en péril les droits et les libertés reconnus par la Charte des droits fondamentaux de l’Union européenne ou ne porte préjudice à vos intérêts commerciaux.</w:t>
            </w:r>
          </w:p>
          <w:p w14:paraId="391949EB" w14:textId="648ADF1E" w:rsidR="008F31DC" w:rsidRPr="0096534C" w:rsidRDefault="00D229E3" w:rsidP="0032042B">
            <w:pPr>
              <w:pStyle w:val="Bodytext50"/>
              <w:numPr>
                <w:ilvl w:val="0"/>
                <w:numId w:val="44"/>
              </w:numPr>
              <w:tabs>
                <w:tab w:val="left" w:pos="778"/>
              </w:tabs>
              <w:spacing w:after="100" w:line="240" w:lineRule="auto"/>
              <w:jc w:val="both"/>
            </w:pPr>
            <w:r w:rsidRPr="0096534C">
              <w:rPr>
                <w:rStyle w:val="Bodytext5"/>
                <w:b/>
                <w:color w:val="595959"/>
              </w:rPr>
              <w:t xml:space="preserve">Protection des </w:t>
            </w:r>
            <w:proofErr w:type="gramStart"/>
            <w:r w:rsidRPr="0096534C">
              <w:rPr>
                <w:rStyle w:val="Bodytext5"/>
                <w:b/>
                <w:color w:val="595959"/>
              </w:rPr>
              <w:t>données</w:t>
            </w:r>
            <w:r w:rsidRPr="0096534C">
              <w:rPr>
                <w:rStyle w:val="Bodytext5"/>
                <w:color w:val="595959"/>
              </w:rPr>
              <w:t>:</w:t>
            </w:r>
            <w:proofErr w:type="gramEnd"/>
            <w:r w:rsidRPr="0096534C">
              <w:rPr>
                <w:rStyle w:val="Bodytext5"/>
                <w:color w:val="595959"/>
              </w:rPr>
              <w:t xml:space="preserve"> le dépôt d’une proposition dans le cadre du présent appel implique la collecte, l’utilisation et le traitement de données à caractère personnel. Ces données seront traitées conformément au cadre juridique applicable. Elles seront traitées uniquement aux fins de l’évaluation de votre proposition, de la gestion ultérieure de votre subvention et, au besoin, du suivi, de l’évaluation et de la communication du programme. Les détails sont expliqués dans la </w:t>
            </w:r>
            <w:hyperlink r:id="rId52" w:history="1">
              <w:r w:rsidRPr="0096534C">
                <w:rPr>
                  <w:rStyle w:val="Bodytext5"/>
                  <w:color w:val="0088CC"/>
                  <w:u w:val="single"/>
                </w:rPr>
                <w:t>déclaration de confidentialité du portail</w:t>
              </w:r>
              <w:proofErr w:type="gramStart"/>
              <w:r w:rsidRPr="0096534C">
                <w:rPr>
                  <w:rStyle w:val="Bodytext5"/>
                  <w:color w:val="0088CC"/>
                  <w:u w:val="single"/>
                </w:rPr>
                <w:t xml:space="preserve"> «Funding</w:t>
              </w:r>
              <w:proofErr w:type="gramEnd"/>
              <w:r w:rsidRPr="0096534C">
                <w:rPr>
                  <w:rStyle w:val="Bodytext5"/>
                  <w:color w:val="0088CC"/>
                  <w:u w:val="single"/>
                </w:rPr>
                <w:t xml:space="preserve"> &amp; Tenders»</w:t>
              </w:r>
            </w:hyperlink>
            <w:r w:rsidRPr="0096534C">
              <w:rPr>
                <w:rStyle w:val="Bodytext5"/>
                <w:color w:val="595959"/>
              </w:rPr>
              <w:t>.</w:t>
            </w:r>
          </w:p>
        </w:tc>
      </w:tr>
    </w:tbl>
    <w:p w14:paraId="24384A52" w14:textId="03B65F18" w:rsidR="000435C2" w:rsidRPr="0096534C" w:rsidRDefault="000435C2" w:rsidP="00D229E3">
      <w:pPr>
        <w:rPr>
          <w:sz w:val="6"/>
          <w:szCs w:val="10"/>
        </w:rPr>
      </w:pPr>
    </w:p>
    <w:sectPr w:rsidR="000435C2" w:rsidRPr="0096534C" w:rsidSect="00D229E3">
      <w:footerReference w:type="default" r:id="rId53"/>
      <w:type w:val="continuous"/>
      <w:pgSz w:w="11900" w:h="16840"/>
      <w:pgMar w:top="2288" w:right="1765" w:bottom="984" w:left="1591" w:header="567"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7BE26" w14:textId="77777777" w:rsidR="00180C6F" w:rsidRPr="0096534C" w:rsidRDefault="008B332B">
      <w:r w:rsidRPr="0096534C">
        <w:separator/>
      </w:r>
    </w:p>
  </w:endnote>
  <w:endnote w:type="continuationSeparator" w:id="0">
    <w:p w14:paraId="56358872" w14:textId="77777777" w:rsidR="00180C6F" w:rsidRPr="0096534C" w:rsidRDefault="008B332B">
      <w:r w:rsidRPr="0096534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1CBE" w14:textId="77777777" w:rsidR="00D1348F" w:rsidRDefault="00D134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4A31" w14:textId="77777777" w:rsidR="00D1348F" w:rsidRDefault="00D134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CC4A" w14:textId="77777777" w:rsidR="00D1348F" w:rsidRDefault="00D134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526039"/>
      <w:docPartObj>
        <w:docPartGallery w:val="Page Numbers (Bottom of Page)"/>
        <w:docPartUnique/>
      </w:docPartObj>
    </w:sdtPr>
    <w:sdtEndPr>
      <w:rPr>
        <w:noProof/>
        <w:sz w:val="16"/>
        <w:szCs w:val="16"/>
      </w:rPr>
    </w:sdtEndPr>
    <w:sdtContent>
      <w:p w14:paraId="5A18752B" w14:textId="66FCA3D6" w:rsidR="00D1348F" w:rsidRDefault="00D134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537A54" w14:textId="512D8371" w:rsidR="000435C2" w:rsidRPr="0096534C" w:rsidRDefault="000435C2">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DD84D" w14:textId="77777777" w:rsidR="000435C2" w:rsidRPr="0096534C" w:rsidRDefault="008B332B">
      <w:r w:rsidRPr="0096534C">
        <w:separator/>
      </w:r>
    </w:p>
  </w:footnote>
  <w:footnote w:type="continuationSeparator" w:id="0">
    <w:p w14:paraId="0C8D8B69" w14:textId="77777777" w:rsidR="000435C2" w:rsidRPr="0096534C" w:rsidRDefault="008B332B">
      <w:r w:rsidRPr="0096534C">
        <w:continuationSeparator/>
      </w:r>
    </w:p>
  </w:footnote>
  <w:footnote w:id="1">
    <w:p w14:paraId="2EA382E3" w14:textId="77777777" w:rsidR="000435C2" w:rsidRPr="0096534C" w:rsidRDefault="008B332B">
      <w:pPr>
        <w:pStyle w:val="Footnote0"/>
        <w:tabs>
          <w:tab w:val="left" w:pos="355"/>
        </w:tabs>
        <w:ind w:left="0"/>
        <w:jc w:val="both"/>
      </w:pPr>
      <w:r w:rsidRPr="0096534C">
        <w:rPr>
          <w:rStyle w:val="Footnote"/>
          <w:vertAlign w:val="superscript"/>
        </w:rPr>
        <w:footnoteRef/>
      </w:r>
      <w:r w:rsidRPr="0096534C">
        <w:rPr>
          <w:rStyle w:val="Footnote"/>
        </w:rPr>
        <w:tab/>
        <w:t>le règlement (UE) 2021/947 du Parlement européen et du Conseil du 9 juin 2021 établissant</w:t>
      </w:r>
    </w:p>
    <w:p w14:paraId="51E11A07" w14:textId="77777777" w:rsidR="000435C2" w:rsidRPr="0096534C" w:rsidRDefault="008B332B">
      <w:pPr>
        <w:pStyle w:val="Footnote0"/>
        <w:ind w:left="420"/>
        <w:jc w:val="both"/>
      </w:pPr>
      <w:r w:rsidRPr="0096534C">
        <w:rPr>
          <w:rStyle w:val="Footnote"/>
        </w:rPr>
        <w:t>l’instrument de voisinage, de coopération au développement et de coopération internationale — Europe dans le monde, modifiant et abrogeant la décision nº 466/2014/UE du Parlement européen et du Conseil et abrogeant le règlement (UE) 2017/1601 du Parlement européen et du Conseil et le règlement (CE, Euratom) nº 480/2009 du Conseil (JO L 209 du 14.6.2021, p. 1-78).</w:t>
      </w:r>
    </w:p>
  </w:footnote>
  <w:footnote w:id="2">
    <w:p w14:paraId="43B05709" w14:textId="282E4EB0" w:rsidR="000435C2" w:rsidRPr="0096534C" w:rsidRDefault="008B332B">
      <w:pPr>
        <w:pStyle w:val="Footnote0"/>
        <w:tabs>
          <w:tab w:val="left" w:pos="4301"/>
        </w:tabs>
        <w:ind w:left="0"/>
        <w:jc w:val="both"/>
      </w:pPr>
      <w:r w:rsidRPr="0096534C">
        <w:rPr>
          <w:rStyle w:val="Footnote"/>
          <w:vertAlign w:val="superscript"/>
        </w:rPr>
        <w:footnoteRef/>
      </w:r>
      <w:r w:rsidRPr="0096534C">
        <w:rPr>
          <w:rStyle w:val="Footnote"/>
        </w:rPr>
        <w:tab/>
        <w:t>Décision d’exécution C(2022) 7113 final de la Commission du 30 septembre 2022 concernant le</w:t>
      </w:r>
    </w:p>
    <w:p w14:paraId="5F07BB9A" w14:textId="77777777" w:rsidR="000435C2" w:rsidRPr="0096534C" w:rsidRDefault="008B332B">
      <w:pPr>
        <w:pStyle w:val="Footnote0"/>
        <w:ind w:left="0" w:firstLine="420"/>
      </w:pPr>
      <w:r w:rsidRPr="0096534C">
        <w:rPr>
          <w:rStyle w:val="Footnote"/>
        </w:rPr>
        <w:t>plan d’action pluriannuel en faveur de l’Afrique subsaharienne pour 2022-2024, première partie.</w:t>
      </w:r>
    </w:p>
  </w:footnote>
  <w:footnote w:id="3">
    <w:p w14:paraId="46B4D9CA" w14:textId="77777777" w:rsidR="000435C2" w:rsidRPr="0096534C" w:rsidRDefault="008B332B">
      <w:pPr>
        <w:pStyle w:val="Footnote0"/>
        <w:ind w:left="0"/>
        <w:rPr>
          <w:sz w:val="20"/>
          <w:szCs w:val="20"/>
        </w:rPr>
      </w:pPr>
      <w:r w:rsidRPr="0096534C">
        <w:rPr>
          <w:rStyle w:val="Footnote"/>
          <w:sz w:val="20"/>
          <w:szCs w:val="20"/>
          <w:vertAlign w:val="superscript"/>
        </w:rPr>
        <w:footnoteRef/>
      </w:r>
      <w:hyperlink r:id="rId1" w:history="1">
        <w:r w:rsidRPr="0096534C">
          <w:rPr>
            <w:rStyle w:val="Footnote"/>
            <w:color w:val="0088CC"/>
            <w:sz w:val="20"/>
            <w:u w:val="single"/>
          </w:rPr>
          <w:t>Global Gateway – Commission européenne (europa.eu)</w:t>
        </w:r>
      </w:hyperlink>
    </w:p>
  </w:footnote>
  <w:footnote w:id="4">
    <w:p w14:paraId="2313E1DE" w14:textId="74712F3B" w:rsidR="000435C2" w:rsidRPr="0096534C" w:rsidRDefault="008B332B" w:rsidP="0056686A">
      <w:pPr>
        <w:pStyle w:val="DNEx1"/>
      </w:pPr>
      <w:r w:rsidRPr="0096534C">
        <w:rPr>
          <w:rStyle w:val="Footnote"/>
          <w:vertAlign w:val="superscript"/>
        </w:rPr>
        <w:footnoteRef/>
      </w:r>
      <w:hyperlink r:id="rId2" w:history="1">
        <w:r w:rsidR="0056686A" w:rsidRPr="0096534C">
          <w:rPr>
            <w:rStyle w:val="Hyperlink"/>
            <w:u w:val="none"/>
          </w:rPr>
          <w:tab/>
        </w:r>
        <w:r w:rsidR="0056686A" w:rsidRPr="0096534C">
          <w:rPr>
            <w:rStyle w:val="Hyperlink"/>
          </w:rPr>
          <w:t>https://haqaa.aau.org/</w:t>
        </w:r>
      </w:hyperlink>
    </w:p>
  </w:footnote>
  <w:footnote w:id="5">
    <w:p w14:paraId="7683D909" w14:textId="50FB9984" w:rsidR="0056686A" w:rsidRPr="0096534C" w:rsidRDefault="0056686A" w:rsidP="0056686A">
      <w:pPr>
        <w:pStyle w:val="DNEx1"/>
      </w:pPr>
      <w:r w:rsidRPr="0096534C">
        <w:rPr>
          <w:rStyle w:val="FootnoteReference"/>
        </w:rPr>
        <w:footnoteRef/>
      </w:r>
      <w:r w:rsidRPr="0096534C">
        <w:tab/>
      </w:r>
      <w:hyperlink r:id="rId3" w:history="1">
        <w:r w:rsidRPr="0096534C">
          <w:rPr>
            <w:rStyle w:val="Hyperlink"/>
          </w:rPr>
          <w:t>https://international-partnerships.ec.europa.eu/policies/global-gateway/initiatives-region/initiatives-sub-saharan-africa_en</w:t>
        </w:r>
      </w:hyperlink>
    </w:p>
  </w:footnote>
  <w:footnote w:id="6">
    <w:p w14:paraId="65F10B6A" w14:textId="0B27B165" w:rsidR="000435C2" w:rsidRPr="0096534C" w:rsidRDefault="008B332B" w:rsidP="002C336B">
      <w:pPr>
        <w:pStyle w:val="Footnote0"/>
        <w:ind w:hanging="160"/>
        <w:jc w:val="both"/>
      </w:pPr>
      <w:r w:rsidRPr="0096534C">
        <w:rPr>
          <w:rStyle w:val="Footnote"/>
          <w:vertAlign w:val="superscript"/>
        </w:rPr>
        <w:footnoteRef/>
      </w:r>
      <w:r w:rsidRPr="0096534C">
        <w:rPr>
          <w:rStyle w:val="Footnote"/>
        </w:rPr>
        <w:tab/>
        <w:t>La mobilité doit être physique. Une période limitée de mobilité virtuelle pourrait être autorisée si cela est dûment justifié, pour répondre à des circonstances exceptionnelles telles que la pandémie ou la guerre, moyennant l’autorisation préalable de l’Agence.</w:t>
      </w:r>
    </w:p>
  </w:footnote>
  <w:footnote w:id="7">
    <w:p w14:paraId="6B4FC709" w14:textId="3599F0FC" w:rsidR="000435C2" w:rsidRPr="0096534C" w:rsidRDefault="008B332B" w:rsidP="002C336B">
      <w:pPr>
        <w:pStyle w:val="Footnote0"/>
        <w:ind w:hanging="160"/>
        <w:jc w:val="both"/>
      </w:pPr>
      <w:r w:rsidRPr="0096534C">
        <w:rPr>
          <w:rStyle w:val="Footnote"/>
          <w:vertAlign w:val="superscript"/>
        </w:rPr>
        <w:footnoteRef/>
      </w:r>
      <w:r w:rsidRPr="0096534C">
        <w:rPr>
          <w:rStyle w:val="Footnote"/>
        </w:rPr>
        <w:tab/>
        <w:t>Niveau 7 de la classification internationale type de l’éducation – CITE 2011</w:t>
      </w:r>
    </w:p>
  </w:footnote>
  <w:footnote w:id="8">
    <w:p w14:paraId="6E9382D4" w14:textId="4790120A" w:rsidR="000435C2" w:rsidRPr="0096534C" w:rsidRDefault="008B332B" w:rsidP="002C336B">
      <w:pPr>
        <w:pStyle w:val="Footnote0"/>
        <w:ind w:hanging="160"/>
        <w:jc w:val="both"/>
      </w:pPr>
      <w:r w:rsidRPr="0096534C">
        <w:rPr>
          <w:rStyle w:val="Footnote"/>
          <w:vertAlign w:val="superscript"/>
        </w:rPr>
        <w:footnoteRef/>
      </w:r>
      <w:r w:rsidRPr="0096534C">
        <w:rPr>
          <w:rStyle w:val="Footnote"/>
        </w:rPr>
        <w:tab/>
        <w:t>Niveau 8 de la classification internationale type de l’éducation – CITE 2011</w:t>
      </w:r>
    </w:p>
  </w:footnote>
  <w:footnote w:id="9">
    <w:p w14:paraId="2C0EE1D9" w14:textId="0C15E915" w:rsidR="000435C2" w:rsidRPr="0096534C" w:rsidRDefault="008B332B">
      <w:pPr>
        <w:pStyle w:val="Footnote0"/>
        <w:ind w:hanging="160"/>
        <w:jc w:val="both"/>
      </w:pPr>
      <w:r w:rsidRPr="0096534C">
        <w:rPr>
          <w:rStyle w:val="Footnote"/>
          <w:vertAlign w:val="superscript"/>
        </w:rPr>
        <w:footnoteRef/>
      </w:r>
      <w:r w:rsidRPr="0096534C">
        <w:rPr>
          <w:rStyle w:val="Footnote"/>
        </w:rPr>
        <w:tab/>
        <w:t>Cela inclut les programmes de mobilité en alternance avec une période d’étude et/ou de recherche passée à la fois dans l’université d’origine et dans l’université d’accueil, par exemple en tant que chercheur doctorant invité/étudiant en doctorat pour une période de recherche et/ou d’étude à l’étranger dans une université partenaire, ou en tant que doctorant/étudiant en doctorat en alternance avec une supervision conjointe entre les deux établissements. Conformément à la définition de la mobilité, seule la période d’études/de recherche passée à l’étranger dans l’EES d’accueil peut être prise en compte pour déterminer le montant éligible de la bourse.</w:t>
      </w:r>
    </w:p>
  </w:footnote>
  <w:footnote w:id="10">
    <w:p w14:paraId="51FB0BC9" w14:textId="77777777" w:rsidR="000435C2" w:rsidRPr="0096534C" w:rsidRDefault="008B332B">
      <w:pPr>
        <w:pStyle w:val="Footnote0"/>
        <w:ind w:left="0"/>
      </w:pPr>
      <w:r w:rsidRPr="0096534C">
        <w:rPr>
          <w:rStyle w:val="Footnote"/>
          <w:vertAlign w:val="superscript"/>
        </w:rPr>
        <w:footnoteRef/>
      </w:r>
      <w:r w:rsidRPr="0096534C">
        <w:rPr>
          <w:rStyle w:val="Footnote"/>
        </w:rPr>
        <w:t xml:space="preserve"> La mobilité du personnel des EES africains demandeurs (bénéficiaires) vers le partenaire technique de l’UE </w:t>
      </w:r>
      <w:r w:rsidRPr="0096534C">
        <w:rPr>
          <w:rStyle w:val="Footnote"/>
          <w:u w:val="single"/>
        </w:rPr>
        <w:t>n’est pas</w:t>
      </w:r>
      <w:r w:rsidRPr="0096534C">
        <w:rPr>
          <w:rStyle w:val="Footnote"/>
        </w:rPr>
        <w:t xml:space="preserve"> autorisée.</w:t>
      </w:r>
    </w:p>
  </w:footnote>
  <w:footnote w:id="11">
    <w:p w14:paraId="27000293" w14:textId="77777777" w:rsidR="000435C2" w:rsidRPr="0096534C" w:rsidRDefault="008B332B">
      <w:pPr>
        <w:pStyle w:val="Footnote0"/>
        <w:ind w:left="380" w:hanging="380"/>
      </w:pPr>
      <w:r w:rsidRPr="0096534C">
        <w:rPr>
          <w:rStyle w:val="Footnote"/>
          <w:vertAlign w:val="superscript"/>
        </w:rPr>
        <w:footnoteRef/>
      </w:r>
      <w:r w:rsidRPr="0096534C">
        <w:rPr>
          <w:rStyle w:val="Footnote"/>
        </w:rPr>
        <w:t xml:space="preserve"> Pour vérifier l’équivalent de votre fuseau horaire, voir</w:t>
      </w:r>
      <w:hyperlink r:id="rId4" w:history="1">
        <w:r w:rsidRPr="0096534C">
          <w:rPr>
            <w:rStyle w:val="Footnote"/>
            <w:color w:val="0088CC"/>
            <w:u w:val="single"/>
          </w:rPr>
          <w:t>Time Zone Converter - Time Difference Calculator</w:t>
        </w:r>
      </w:hyperlink>
      <w:hyperlink r:id="rId5" w:history="1">
        <w:r w:rsidRPr="0096534C">
          <w:rPr>
            <w:rStyle w:val="Footnote"/>
            <w:color w:val="0088CC"/>
            <w:u w:val="single"/>
          </w:rPr>
          <w:t>(timeanddate.com)</w:t>
        </w:r>
      </w:hyperlink>
    </w:p>
  </w:footnote>
  <w:footnote w:id="12">
    <w:p w14:paraId="466F921A" w14:textId="77777777" w:rsidR="000435C2" w:rsidRPr="0096534C" w:rsidRDefault="008B332B">
      <w:pPr>
        <w:pStyle w:val="Footnote0"/>
        <w:ind w:left="0"/>
      </w:pPr>
      <w:r w:rsidRPr="0096534C">
        <w:rPr>
          <w:rStyle w:val="Footnote"/>
          <w:vertAlign w:val="superscript"/>
        </w:rPr>
        <w:footnoteRef/>
      </w:r>
      <w:r w:rsidRPr="0096534C">
        <w:rPr>
          <w:rStyle w:val="Footnote"/>
        </w:rPr>
        <w:t xml:space="preserve"> Voir l’article 197, paragraphe 2, point c), du règlement financier de l’UE </w:t>
      </w:r>
      <w:hyperlink r:id="rId6" w:history="1">
        <w:r w:rsidRPr="0096534C">
          <w:rPr>
            <w:rStyle w:val="Footnote"/>
            <w:color w:val="0088CC"/>
            <w:u w:val="single"/>
          </w:rPr>
          <w:t>2018/1046</w:t>
        </w:r>
      </w:hyperlink>
      <w:r w:rsidRPr="0096534C">
        <w:t>.</w:t>
      </w:r>
    </w:p>
  </w:footnote>
  <w:footnote w:id="13">
    <w:p w14:paraId="4144BAF9" w14:textId="77777777" w:rsidR="000435C2" w:rsidRPr="0096534C" w:rsidRDefault="008B332B">
      <w:pPr>
        <w:pStyle w:val="Footnote0"/>
        <w:ind w:left="0"/>
      </w:pPr>
      <w:r w:rsidRPr="0096534C">
        <w:rPr>
          <w:rStyle w:val="Footnote"/>
          <w:vertAlign w:val="superscript"/>
        </w:rPr>
        <w:footnoteRef/>
      </w:r>
      <w:r w:rsidRPr="0096534C">
        <w:rPr>
          <w:rStyle w:val="Footnote"/>
        </w:rPr>
        <w:t xml:space="preserve"> Pour les définitions, voir l’article 187, paragraphe 2, et l’article 197, paragraphe 2, point c), du règlement financier de l’UE </w:t>
      </w:r>
      <w:hyperlink r:id="rId7" w:history="1">
        <w:r w:rsidRPr="0096534C">
          <w:rPr>
            <w:rStyle w:val="Footnote"/>
            <w:color w:val="0088CC"/>
            <w:u w:val="single"/>
          </w:rPr>
          <w:t>2018/1046</w:t>
        </w:r>
        <w:r w:rsidRPr="0096534C">
          <w:rPr>
            <w:rStyle w:val="Footnote"/>
          </w:rPr>
          <w:t>.</w:t>
        </w:r>
      </w:hyperlink>
    </w:p>
  </w:footnote>
  <w:footnote w:id="14">
    <w:p w14:paraId="04C5BFE6" w14:textId="0B8C3B17" w:rsidR="000435C2" w:rsidRPr="0096534C" w:rsidRDefault="008B332B">
      <w:pPr>
        <w:pStyle w:val="Footnote0"/>
        <w:ind w:left="380" w:hanging="380"/>
      </w:pPr>
      <w:r w:rsidRPr="0096534C">
        <w:rPr>
          <w:rStyle w:val="Footnote"/>
          <w:vertAlign w:val="superscript"/>
        </w:rPr>
        <w:footnoteRef/>
      </w:r>
      <w:r w:rsidRPr="0096534C">
        <w:rPr>
          <w:rStyle w:val="Footnote"/>
        </w:rPr>
        <w:t xml:space="preserve"> Veuillez noter que le Journal officiel de l’UE contient la liste officielle et, en cas de conflit, son contenu prévaut sur celui de la </w:t>
      </w:r>
      <w:r w:rsidRPr="0096534C">
        <w:rPr>
          <w:color w:val="0088CC"/>
          <w:u w:val="single"/>
        </w:rPr>
        <w:t>carte des sanctions de l’UE</w:t>
      </w:r>
      <w:hyperlink r:id="rId8" w:history="1">
        <w:r w:rsidRPr="0096534C">
          <w:rPr>
            <w:rStyle w:val="Footnote"/>
          </w:rPr>
          <w:t>.</w:t>
        </w:r>
      </w:hyperlink>
    </w:p>
  </w:footnote>
  <w:footnote w:id="15">
    <w:p w14:paraId="315F7B13" w14:textId="77777777" w:rsidR="000435C2" w:rsidRPr="0096534C" w:rsidRDefault="008B332B">
      <w:pPr>
        <w:pStyle w:val="Footnote0"/>
        <w:ind w:left="0"/>
      </w:pPr>
      <w:r w:rsidRPr="0096534C">
        <w:rPr>
          <w:rStyle w:val="Footnote"/>
          <w:vertAlign w:val="superscript"/>
        </w:rPr>
        <w:footnoteRef/>
      </w:r>
      <w:r w:rsidRPr="0096534C">
        <w:rPr>
          <w:rStyle w:val="Footnote"/>
        </w:rPr>
        <w:t xml:space="preserve"> Voir les articles 136 et 141 du règlement financier de l’UE</w:t>
      </w:r>
      <w:hyperlink r:id="rId9" w:history="1">
        <w:r w:rsidRPr="0096534C">
          <w:rPr>
            <w:rStyle w:val="Footnote"/>
          </w:rPr>
          <w:t xml:space="preserve"> </w:t>
        </w:r>
        <w:r w:rsidRPr="0096534C">
          <w:rPr>
            <w:rStyle w:val="Footnote"/>
            <w:color w:val="0088CC"/>
            <w:u w:val="single"/>
          </w:rPr>
          <w:t>2018/1046</w:t>
        </w:r>
        <w:r w:rsidRPr="0096534C">
          <w:rPr>
            <w:rStyle w:val="Footnote"/>
          </w:rPr>
          <w:t>.</w:t>
        </w:r>
      </w:hyperlink>
    </w:p>
  </w:footnote>
  <w:footnote w:id="16">
    <w:p w14:paraId="37015B4C" w14:textId="77777777" w:rsidR="000435C2" w:rsidRPr="0096534C" w:rsidRDefault="008B332B">
      <w:pPr>
        <w:pStyle w:val="Footnote0"/>
        <w:ind w:left="380" w:hanging="380"/>
        <w:jc w:val="both"/>
      </w:pPr>
      <w:r w:rsidRPr="0096534C">
        <w:rPr>
          <w:rStyle w:val="Footnote"/>
          <w:vertAlign w:val="superscript"/>
        </w:rPr>
        <w:footnoteRef/>
      </w:r>
      <w:r w:rsidRPr="0096534C">
        <w:rPr>
          <w:rStyle w:val="Footnote"/>
        </w:rPr>
        <w:t xml:space="preserve"> La faute professionnelle comprend: la violation des normes éthiques de la profession, un comportement fautif ayant une incidence sur la crédibilité professionnelle, de fausses déclarations/altérations de l’information, la participation à une entente ou autre accord faussant la concurrence, la violation des DPI, une tentative d’influencer les processus décisionnels ou d’obtenir des informations confidentielles de la part des pouvoirs publics en vue d’obtenir un avantage.</w:t>
      </w:r>
    </w:p>
  </w:footnote>
  <w:footnote w:id="17">
    <w:p w14:paraId="4A1852D1" w14:textId="77777777" w:rsidR="000435C2" w:rsidRPr="0096534C" w:rsidRDefault="008B332B">
      <w:pPr>
        <w:pStyle w:val="Footnote0"/>
        <w:ind w:left="0"/>
      </w:pPr>
      <w:r w:rsidRPr="0096534C">
        <w:rPr>
          <w:rStyle w:val="Footnote"/>
          <w:vertAlign w:val="superscript"/>
        </w:rPr>
        <w:footnoteRef/>
      </w:r>
      <w:r w:rsidRPr="0096534C">
        <w:rPr>
          <w:rStyle w:val="Footnote"/>
        </w:rPr>
        <w:t xml:space="preserve"> Voir l’article 141 du règlement financier de l’UE</w:t>
      </w:r>
      <w:hyperlink r:id="rId10" w:history="1">
        <w:r w:rsidRPr="0096534C">
          <w:rPr>
            <w:rStyle w:val="Footnote"/>
          </w:rPr>
          <w:t xml:space="preserve"> </w:t>
        </w:r>
        <w:r w:rsidRPr="0096534C">
          <w:rPr>
            <w:rStyle w:val="Footnote"/>
            <w:color w:val="0088CC"/>
            <w:u w:val="single"/>
          </w:rPr>
          <w:t>2018/1046</w:t>
        </w:r>
        <w:r w:rsidRPr="0096534C">
          <w:rPr>
            <w:rStyle w:val="Footnote"/>
          </w:rPr>
          <w:t>.</w:t>
        </w:r>
      </w:hyperlink>
    </w:p>
  </w:footnote>
  <w:footnote w:id="18">
    <w:p w14:paraId="222DFE75" w14:textId="6B4D44C3" w:rsidR="000435C2" w:rsidRPr="0096534C" w:rsidRDefault="008B332B" w:rsidP="004A65E7">
      <w:pPr>
        <w:pStyle w:val="Style11"/>
      </w:pPr>
      <w:r w:rsidRPr="0096534C">
        <w:rPr>
          <w:rStyle w:val="Footnote"/>
          <w:sz w:val="20"/>
          <w:szCs w:val="20"/>
          <w:vertAlign w:val="superscript"/>
        </w:rPr>
        <w:footnoteRef/>
      </w:r>
      <w:hyperlink r:id="rId11" w:history="1">
        <w:r w:rsidRPr="0096534C">
          <w:rPr>
            <w:rStyle w:val="Footnote"/>
            <w:sz w:val="20"/>
          </w:rPr>
          <w:t xml:space="preserve"> </w:t>
        </w:r>
      </w:hyperlink>
      <w:hyperlink r:id="rId12" w:history="1">
        <w:r w:rsidRPr="0096534C">
          <w:rPr>
            <w:rStyle w:val="Footnote"/>
            <w:color w:val="0088CC"/>
            <w:u w:val="single"/>
          </w:rPr>
          <w:t>Décision</w:t>
        </w:r>
        <w:r w:rsidRPr="0096534C">
          <w:rPr>
            <w:rStyle w:val="Footnote"/>
            <w:color w:val="0088CC"/>
          </w:rPr>
          <w:t xml:space="preserve"> </w:t>
        </w:r>
      </w:hyperlink>
      <w:r w:rsidRPr="0096534C">
        <w:rPr>
          <w:rStyle w:val="Footnote"/>
        </w:rPr>
        <w:t>du 28 février 2023 autorisant l’utilisation de contributions unitaires pour le programme de mobilité universitaire intra-Afrique au titre de l’instrument de voisinage, de coopération au développement et de coopération internationale.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978D" w14:textId="77777777" w:rsidR="00D1348F" w:rsidRDefault="00D134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9049" w14:textId="1D9E57C7" w:rsidR="000E41C6" w:rsidRPr="0096534C" w:rsidRDefault="000E41C6" w:rsidP="000E41C6">
    <w:pPr>
      <w:pStyle w:val="Other0"/>
      <w:spacing w:after="220"/>
      <w:rPr>
        <w:rStyle w:val="Other"/>
        <w:sz w:val="16"/>
        <w:szCs w:val="16"/>
      </w:rPr>
    </w:pPr>
    <w:proofErr w:type="gramStart"/>
    <w:r w:rsidRPr="0096534C">
      <w:rPr>
        <w:rStyle w:val="Other"/>
        <w:sz w:val="16"/>
      </w:rPr>
      <w:t>Appel:</w:t>
    </w:r>
    <w:proofErr w:type="gramEnd"/>
    <w:r w:rsidRPr="0096534C">
      <w:rPr>
        <w:rStyle w:val="Other"/>
        <w:sz w:val="16"/>
      </w:rPr>
      <w:t xml:space="preserve"> </w:t>
    </w:r>
    <w:r w:rsidR="00B47EDB">
      <w:rPr>
        <w:rStyle w:val="Other"/>
        <w:sz w:val="16"/>
      </w:rPr>
      <w:t>N</w:t>
    </w:r>
    <w:r w:rsidRPr="0096534C">
      <w:rPr>
        <w:rStyle w:val="Other"/>
        <w:sz w:val="16"/>
      </w:rPr>
      <w:t>D</w:t>
    </w:r>
    <w:r w:rsidR="00B47EDB">
      <w:rPr>
        <w:rStyle w:val="Other"/>
        <w:sz w:val="16"/>
      </w:rPr>
      <w:t>I</w:t>
    </w:r>
    <w:r w:rsidRPr="0096534C">
      <w:rPr>
        <w:rStyle w:val="Other"/>
        <w:sz w:val="16"/>
      </w:rPr>
      <w:t>CI-2024-MOBAF — Programme de mobilité universitaire intra-Afrique</w:t>
    </w:r>
  </w:p>
  <w:p w14:paraId="4B04075C" w14:textId="29D64EEB" w:rsidR="000E41C6" w:rsidRPr="0096534C" w:rsidRDefault="000E41C6" w:rsidP="000E41C6">
    <w:pPr>
      <w:pStyle w:val="Other0"/>
      <w:spacing w:after="0"/>
      <w:jc w:val="right"/>
      <w:rPr>
        <w:rStyle w:val="Other"/>
        <w:color w:val="7F7F7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AC03D" w14:textId="77777777" w:rsidR="00D1348F" w:rsidRDefault="00D134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lh5.googleusercontent.com/-n5VVWXljoCs/T8X1egaB-BI/AAAAAAAAC1I/fLBP4VIzxQM/s16/infoIcon_blue.png" style="width:12.2pt;height:12.2pt;visibility:visible;mso-wrap-style:square" o:bullet="t">
        <v:imagedata r:id="rId1" o:title="infoIcon_blue"/>
      </v:shape>
    </w:pict>
  </w:numPicBullet>
  <w:abstractNum w:abstractNumId="0" w15:restartNumberingAfterBreak="0">
    <w:nsid w:val="01F8369C"/>
    <w:multiLevelType w:val="multilevel"/>
    <w:tmpl w:val="7454238A"/>
    <w:lvl w:ilvl="0">
      <w:start w:val="1"/>
      <w:numFmt w:val="bullet"/>
      <w:lvlText w:val="-"/>
      <w:lvlJc w:val="left"/>
      <w:rPr>
        <w:rFonts w:ascii="Verdana" w:eastAsia="Verdana" w:hAnsi="Verdana" w:cs="Verdana"/>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223DC"/>
    <w:multiLevelType w:val="multilevel"/>
    <w:tmpl w:val="E448420E"/>
    <w:lvl w:ilvl="0">
      <w:start w:val="1"/>
      <w:numFmt w:val="bullet"/>
      <w:lvlText w:val="-"/>
      <w:lvlJc w:val="left"/>
      <w:rPr>
        <w:rFonts w:ascii="Verdana" w:eastAsia="Verdana" w:hAnsi="Verdana" w:cs="Verdana"/>
        <w:b/>
        <w:bCs/>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AF0E80"/>
    <w:multiLevelType w:val="multilevel"/>
    <w:tmpl w:val="E4682340"/>
    <w:lvl w:ilvl="0">
      <w:start w:val="9"/>
      <w:numFmt w:val="lowerLetter"/>
      <w:lvlText w:val="(%1)"/>
      <w:lvlJc w:val="left"/>
      <w:rPr>
        <w:rFonts w:ascii="Verdana" w:eastAsia="Verdana" w:hAnsi="Verdana" w:cs="Verdana"/>
        <w:b/>
        <w:bCs/>
        <w:i w:val="0"/>
        <w:iCs w:val="0"/>
        <w:smallCaps w:val="0"/>
        <w:strike w:val="0"/>
        <w:color w:val="4AA55B"/>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D81400"/>
    <w:multiLevelType w:val="multilevel"/>
    <w:tmpl w:val="F188A862"/>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555E5A"/>
    <w:multiLevelType w:val="multilevel"/>
    <w:tmpl w:val="BC58FD0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D74A3C"/>
    <w:multiLevelType w:val="multilevel"/>
    <w:tmpl w:val="69C08370"/>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2F6022"/>
    <w:multiLevelType w:val="multilevel"/>
    <w:tmpl w:val="A0C89D84"/>
    <w:lvl w:ilvl="0">
      <w:start w:val="1"/>
      <w:numFmt w:val="lowerLetter"/>
      <w:lvlText w:val="(%1)"/>
      <w:lvlJc w:val="left"/>
      <w:rPr>
        <w:rFonts w:ascii="Verdana" w:eastAsia="Verdana" w:hAnsi="Verdana" w:cs="Verdana"/>
        <w:b/>
        <w:bCs/>
        <w:i w:val="0"/>
        <w:iCs w:val="0"/>
        <w:smallCaps w:val="0"/>
        <w:strike w:val="0"/>
        <w:color w:val="4AA55B"/>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6E1D69"/>
    <w:multiLevelType w:val="multilevel"/>
    <w:tmpl w:val="D44AC470"/>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067017"/>
    <w:multiLevelType w:val="multilevel"/>
    <w:tmpl w:val="E8FA434C"/>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84476B"/>
    <w:multiLevelType w:val="multilevel"/>
    <w:tmpl w:val="2348E724"/>
    <w:lvl w:ilvl="0">
      <w:start w:val="12"/>
      <w:numFmt w:val="decimal"/>
      <w:lvlText w:val="%1."/>
      <w:lvlJc w:val="left"/>
      <w:rPr>
        <w:rFonts w:ascii="Verdana" w:eastAsia="Verdana" w:hAnsi="Verdana" w:cs="Verdana"/>
        <w:b/>
        <w:bCs/>
        <w:i w:val="0"/>
        <w:iCs w:val="0"/>
        <w:smallCaps w:val="0"/>
        <w:strike w:val="0"/>
        <w:color w:val="A50021"/>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1F183E"/>
    <w:multiLevelType w:val="multilevel"/>
    <w:tmpl w:val="7B86317C"/>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4F30F8"/>
    <w:multiLevelType w:val="hybridMultilevel"/>
    <w:tmpl w:val="8C4A7964"/>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2" w15:restartNumberingAfterBreak="0">
    <w:nsid w:val="15C14474"/>
    <w:multiLevelType w:val="multilevel"/>
    <w:tmpl w:val="D2800954"/>
    <w:lvl w:ilvl="0">
      <w:start w:val="1"/>
      <w:numFmt w:val="upperLetter"/>
      <w:lvlText w:val="%1."/>
      <w:lvlJc w:val="left"/>
      <w:rPr>
        <w:rFonts w:ascii="Verdana" w:eastAsia="Verdana" w:hAnsi="Verdana" w:cs="Verdana"/>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6543DF2"/>
    <w:multiLevelType w:val="hybridMultilevel"/>
    <w:tmpl w:val="347E35EC"/>
    <w:lvl w:ilvl="0" w:tplc="69B23806">
      <w:start w:val="1"/>
      <w:numFmt w:val="bullet"/>
      <w:lvlText w:val=""/>
      <w:lvlJc w:val="left"/>
      <w:pPr>
        <w:ind w:left="720" w:hanging="360"/>
      </w:pPr>
      <w:rPr>
        <w:rFonts w:ascii="Symbol" w:hAnsi="Symbol" w:hint="default"/>
        <w:color w:val="auto"/>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4" w15:restartNumberingAfterBreak="0">
    <w:nsid w:val="174B5C87"/>
    <w:multiLevelType w:val="multilevel"/>
    <w:tmpl w:val="FB847D72"/>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F7257E"/>
    <w:multiLevelType w:val="multilevel"/>
    <w:tmpl w:val="F5627AE4"/>
    <w:lvl w:ilvl="0">
      <w:start w:val="5"/>
      <w:numFmt w:val="lowerLetter"/>
      <w:lvlText w:val="(%1)"/>
      <w:lvlJc w:val="left"/>
      <w:rPr>
        <w:rFonts w:ascii="Verdana" w:eastAsia="Verdana" w:hAnsi="Verdana" w:cs="Verdana"/>
        <w:b/>
        <w:bCs/>
        <w:i w:val="0"/>
        <w:iCs w:val="0"/>
        <w:smallCaps w:val="0"/>
        <w:strike w:val="0"/>
        <w:color w:val="4AA55B"/>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3687368"/>
    <w:multiLevelType w:val="multilevel"/>
    <w:tmpl w:val="6AC43B52"/>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755A4B"/>
    <w:multiLevelType w:val="multilevel"/>
    <w:tmpl w:val="5038E5BE"/>
    <w:lvl w:ilvl="0">
      <w:start w:val="1"/>
      <w:numFmt w:val="bullet"/>
      <w:lvlText w:val="-"/>
      <w:lvlJc w:val="left"/>
      <w:rPr>
        <w:rFonts w:ascii="Verdana" w:eastAsia="Verdana" w:hAnsi="Verdana" w:cs="Verdana"/>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F63031"/>
    <w:multiLevelType w:val="hybridMultilevel"/>
    <w:tmpl w:val="CAAA77D4"/>
    <w:lvl w:ilvl="0" w:tplc="3C3E72C6">
      <w:start w:val="1"/>
      <w:numFmt w:val="bullet"/>
      <w:lvlText w:val="-"/>
      <w:lvlJc w:val="left"/>
      <w:pPr>
        <w:ind w:left="360" w:hanging="360"/>
      </w:pPr>
      <w:rPr>
        <w:rFonts w:ascii="Cambria" w:eastAsiaTheme="minorHAnsi" w:hAnsi="Cambria" w:cstheme="minorBidi" w:hint="default"/>
      </w:rPr>
    </w:lvl>
    <w:lvl w:ilvl="1" w:tplc="083C0003" w:tentative="1">
      <w:start w:val="1"/>
      <w:numFmt w:val="bullet"/>
      <w:lvlText w:val="o"/>
      <w:lvlJc w:val="left"/>
      <w:pPr>
        <w:ind w:left="1080" w:hanging="360"/>
      </w:pPr>
      <w:rPr>
        <w:rFonts w:ascii="Courier New" w:hAnsi="Courier New" w:cs="Courier New" w:hint="default"/>
      </w:rPr>
    </w:lvl>
    <w:lvl w:ilvl="2" w:tplc="083C0005" w:tentative="1">
      <w:start w:val="1"/>
      <w:numFmt w:val="bullet"/>
      <w:lvlText w:val=""/>
      <w:lvlJc w:val="left"/>
      <w:pPr>
        <w:ind w:left="1800" w:hanging="360"/>
      </w:pPr>
      <w:rPr>
        <w:rFonts w:ascii="Wingdings" w:hAnsi="Wingdings" w:hint="default"/>
      </w:rPr>
    </w:lvl>
    <w:lvl w:ilvl="3" w:tplc="083C0001" w:tentative="1">
      <w:start w:val="1"/>
      <w:numFmt w:val="bullet"/>
      <w:lvlText w:val=""/>
      <w:lvlJc w:val="left"/>
      <w:pPr>
        <w:ind w:left="2520" w:hanging="360"/>
      </w:pPr>
      <w:rPr>
        <w:rFonts w:ascii="Symbol" w:hAnsi="Symbol" w:hint="default"/>
      </w:rPr>
    </w:lvl>
    <w:lvl w:ilvl="4" w:tplc="083C0003" w:tentative="1">
      <w:start w:val="1"/>
      <w:numFmt w:val="bullet"/>
      <w:lvlText w:val="o"/>
      <w:lvlJc w:val="left"/>
      <w:pPr>
        <w:ind w:left="3240" w:hanging="360"/>
      </w:pPr>
      <w:rPr>
        <w:rFonts w:ascii="Courier New" w:hAnsi="Courier New" w:cs="Courier New" w:hint="default"/>
      </w:rPr>
    </w:lvl>
    <w:lvl w:ilvl="5" w:tplc="083C0005" w:tentative="1">
      <w:start w:val="1"/>
      <w:numFmt w:val="bullet"/>
      <w:lvlText w:val=""/>
      <w:lvlJc w:val="left"/>
      <w:pPr>
        <w:ind w:left="3960" w:hanging="360"/>
      </w:pPr>
      <w:rPr>
        <w:rFonts w:ascii="Wingdings" w:hAnsi="Wingdings" w:hint="default"/>
      </w:rPr>
    </w:lvl>
    <w:lvl w:ilvl="6" w:tplc="083C0001" w:tentative="1">
      <w:start w:val="1"/>
      <w:numFmt w:val="bullet"/>
      <w:lvlText w:val=""/>
      <w:lvlJc w:val="left"/>
      <w:pPr>
        <w:ind w:left="4680" w:hanging="360"/>
      </w:pPr>
      <w:rPr>
        <w:rFonts w:ascii="Symbol" w:hAnsi="Symbol" w:hint="default"/>
      </w:rPr>
    </w:lvl>
    <w:lvl w:ilvl="7" w:tplc="083C0003" w:tentative="1">
      <w:start w:val="1"/>
      <w:numFmt w:val="bullet"/>
      <w:lvlText w:val="o"/>
      <w:lvlJc w:val="left"/>
      <w:pPr>
        <w:ind w:left="5400" w:hanging="360"/>
      </w:pPr>
      <w:rPr>
        <w:rFonts w:ascii="Courier New" w:hAnsi="Courier New" w:cs="Courier New" w:hint="default"/>
      </w:rPr>
    </w:lvl>
    <w:lvl w:ilvl="8" w:tplc="083C0005" w:tentative="1">
      <w:start w:val="1"/>
      <w:numFmt w:val="bullet"/>
      <w:lvlText w:val=""/>
      <w:lvlJc w:val="left"/>
      <w:pPr>
        <w:ind w:left="6120" w:hanging="360"/>
      </w:pPr>
      <w:rPr>
        <w:rFonts w:ascii="Wingdings" w:hAnsi="Wingdings" w:hint="default"/>
      </w:rPr>
    </w:lvl>
  </w:abstractNum>
  <w:abstractNum w:abstractNumId="19" w15:restartNumberingAfterBreak="0">
    <w:nsid w:val="2CEE4FFC"/>
    <w:multiLevelType w:val="multilevel"/>
    <w:tmpl w:val="EFD2E41A"/>
    <w:lvl w:ilvl="0">
      <w:start w:val="1"/>
      <w:numFmt w:val="bullet"/>
      <w:pStyle w:val="Style1"/>
      <w:lvlText w:val="-"/>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EBA4EBF"/>
    <w:multiLevelType w:val="multilevel"/>
    <w:tmpl w:val="5B74E026"/>
    <w:lvl w:ilvl="0">
      <w:start w:val="1"/>
      <w:numFmt w:val="lowerLetter"/>
      <w:lvlText w:val="(%1)"/>
      <w:lvlJc w:val="left"/>
      <w:pPr>
        <w:ind w:left="0" w:firstLine="0"/>
      </w:pPr>
      <w:rPr>
        <w:rFonts w:ascii="Verdana" w:eastAsia="Verdana" w:hAnsi="Verdana" w:cs="Verdana" w:hint="default"/>
        <w:b/>
        <w:bCs/>
        <w:i w:val="0"/>
        <w:iCs w:val="0"/>
        <w:smallCaps w:val="0"/>
        <w:strike w:val="0"/>
        <w:color w:val="4AA55B"/>
        <w:spacing w:val="0"/>
        <w:w w:val="100"/>
        <w:position w:val="0"/>
        <w:sz w:val="20"/>
        <w:szCs w:val="20"/>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30FB41D8"/>
    <w:multiLevelType w:val="multilevel"/>
    <w:tmpl w:val="597EAF0A"/>
    <w:lvl w:ilvl="0">
      <w:start w:val="1"/>
      <w:numFmt w:val="bullet"/>
      <w:lvlText w:val="-"/>
      <w:lvlJc w:val="left"/>
      <w:rPr>
        <w:rFonts w:ascii="Verdana" w:eastAsia="Verdana" w:hAnsi="Verdana" w:cs="Verdana"/>
        <w:b/>
        <w:bCs/>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32C58D2"/>
    <w:multiLevelType w:val="multilevel"/>
    <w:tmpl w:val="5898205A"/>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A324D50"/>
    <w:multiLevelType w:val="multilevel"/>
    <w:tmpl w:val="96C0E58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325FB7"/>
    <w:multiLevelType w:val="multilevel"/>
    <w:tmpl w:val="8110CC12"/>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214F28"/>
    <w:multiLevelType w:val="hybridMultilevel"/>
    <w:tmpl w:val="0B50443A"/>
    <w:lvl w:ilvl="0" w:tplc="EF24E8BE">
      <w:start w:val="1"/>
      <w:numFmt w:val="decimal"/>
      <w:pStyle w:val="Heading1"/>
      <w:lvlText w:val="%1."/>
      <w:lvlJc w:val="left"/>
      <w:pPr>
        <w:ind w:left="0" w:firstLine="0"/>
      </w:pPr>
      <w:rPr>
        <w:rFonts w:hint="default"/>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26" w15:restartNumberingAfterBreak="0">
    <w:nsid w:val="4646341F"/>
    <w:multiLevelType w:val="multilevel"/>
    <w:tmpl w:val="82CADDC4"/>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8A23419"/>
    <w:multiLevelType w:val="multilevel"/>
    <w:tmpl w:val="DB82C80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B516BB"/>
    <w:multiLevelType w:val="hybridMultilevel"/>
    <w:tmpl w:val="F1D625EC"/>
    <w:lvl w:ilvl="0" w:tplc="183E4F6C">
      <w:start w:val="1"/>
      <w:numFmt w:val="bullet"/>
      <w:pStyle w:val="Style16"/>
      <w:lvlText w:val=""/>
      <w:lvlJc w:val="left"/>
      <w:pPr>
        <w:ind w:left="360" w:hanging="360"/>
      </w:pPr>
      <w:rPr>
        <w:rFonts w:ascii="Symbol" w:hAnsi="Symbol" w:hint="default"/>
      </w:rPr>
    </w:lvl>
    <w:lvl w:ilvl="1" w:tplc="083C0003" w:tentative="1">
      <w:start w:val="1"/>
      <w:numFmt w:val="bullet"/>
      <w:lvlText w:val="o"/>
      <w:lvlJc w:val="left"/>
      <w:pPr>
        <w:ind w:left="1080" w:hanging="360"/>
      </w:pPr>
      <w:rPr>
        <w:rFonts w:ascii="Courier New" w:hAnsi="Courier New" w:cs="Courier New" w:hint="default"/>
      </w:rPr>
    </w:lvl>
    <w:lvl w:ilvl="2" w:tplc="083C0005" w:tentative="1">
      <w:start w:val="1"/>
      <w:numFmt w:val="bullet"/>
      <w:lvlText w:val=""/>
      <w:lvlJc w:val="left"/>
      <w:pPr>
        <w:ind w:left="1800" w:hanging="360"/>
      </w:pPr>
      <w:rPr>
        <w:rFonts w:ascii="Wingdings" w:hAnsi="Wingdings" w:hint="default"/>
      </w:rPr>
    </w:lvl>
    <w:lvl w:ilvl="3" w:tplc="083C0001" w:tentative="1">
      <w:start w:val="1"/>
      <w:numFmt w:val="bullet"/>
      <w:lvlText w:val=""/>
      <w:lvlJc w:val="left"/>
      <w:pPr>
        <w:ind w:left="2520" w:hanging="360"/>
      </w:pPr>
      <w:rPr>
        <w:rFonts w:ascii="Symbol" w:hAnsi="Symbol" w:hint="default"/>
      </w:rPr>
    </w:lvl>
    <w:lvl w:ilvl="4" w:tplc="083C0003" w:tentative="1">
      <w:start w:val="1"/>
      <w:numFmt w:val="bullet"/>
      <w:lvlText w:val="o"/>
      <w:lvlJc w:val="left"/>
      <w:pPr>
        <w:ind w:left="3240" w:hanging="360"/>
      </w:pPr>
      <w:rPr>
        <w:rFonts w:ascii="Courier New" w:hAnsi="Courier New" w:cs="Courier New" w:hint="default"/>
      </w:rPr>
    </w:lvl>
    <w:lvl w:ilvl="5" w:tplc="083C0005" w:tentative="1">
      <w:start w:val="1"/>
      <w:numFmt w:val="bullet"/>
      <w:lvlText w:val=""/>
      <w:lvlJc w:val="left"/>
      <w:pPr>
        <w:ind w:left="3960" w:hanging="360"/>
      </w:pPr>
      <w:rPr>
        <w:rFonts w:ascii="Wingdings" w:hAnsi="Wingdings" w:hint="default"/>
      </w:rPr>
    </w:lvl>
    <w:lvl w:ilvl="6" w:tplc="083C0001" w:tentative="1">
      <w:start w:val="1"/>
      <w:numFmt w:val="bullet"/>
      <w:lvlText w:val=""/>
      <w:lvlJc w:val="left"/>
      <w:pPr>
        <w:ind w:left="4680" w:hanging="360"/>
      </w:pPr>
      <w:rPr>
        <w:rFonts w:ascii="Symbol" w:hAnsi="Symbol" w:hint="default"/>
      </w:rPr>
    </w:lvl>
    <w:lvl w:ilvl="7" w:tplc="083C0003" w:tentative="1">
      <w:start w:val="1"/>
      <w:numFmt w:val="bullet"/>
      <w:lvlText w:val="o"/>
      <w:lvlJc w:val="left"/>
      <w:pPr>
        <w:ind w:left="5400" w:hanging="360"/>
      </w:pPr>
      <w:rPr>
        <w:rFonts w:ascii="Courier New" w:hAnsi="Courier New" w:cs="Courier New" w:hint="default"/>
      </w:rPr>
    </w:lvl>
    <w:lvl w:ilvl="8" w:tplc="083C0005" w:tentative="1">
      <w:start w:val="1"/>
      <w:numFmt w:val="bullet"/>
      <w:lvlText w:val=""/>
      <w:lvlJc w:val="left"/>
      <w:pPr>
        <w:ind w:left="6120" w:hanging="360"/>
      </w:pPr>
      <w:rPr>
        <w:rFonts w:ascii="Wingdings" w:hAnsi="Wingdings" w:hint="default"/>
      </w:rPr>
    </w:lvl>
  </w:abstractNum>
  <w:abstractNum w:abstractNumId="29" w15:restartNumberingAfterBreak="0">
    <w:nsid w:val="4D67219E"/>
    <w:multiLevelType w:val="multilevel"/>
    <w:tmpl w:val="C87842DC"/>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DF91E73"/>
    <w:multiLevelType w:val="multilevel"/>
    <w:tmpl w:val="CCC67548"/>
    <w:lvl w:ilvl="0">
      <w:start w:val="1"/>
      <w:numFmt w:val="bullet"/>
      <w:lvlText w:val="-"/>
      <w:lvlJc w:val="left"/>
      <w:rPr>
        <w:rFonts w:ascii="Verdana" w:eastAsia="Verdana" w:hAnsi="Verdana" w:cs="Verdana"/>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EBF435A"/>
    <w:multiLevelType w:val="hybridMultilevel"/>
    <w:tmpl w:val="C6AC36E8"/>
    <w:lvl w:ilvl="0" w:tplc="AD701C24">
      <w:start w:val="1"/>
      <w:numFmt w:val="bullet"/>
      <w:lvlText w:val=""/>
      <w:lvlJc w:val="left"/>
      <w:pPr>
        <w:ind w:left="720" w:hanging="360"/>
      </w:pPr>
      <w:rPr>
        <w:rFonts w:ascii="Verdana" w:hAnsi="Verdana"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32" w15:restartNumberingAfterBreak="0">
    <w:nsid w:val="4F4E39FA"/>
    <w:multiLevelType w:val="multilevel"/>
    <w:tmpl w:val="C5026ED0"/>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696037"/>
    <w:multiLevelType w:val="multilevel"/>
    <w:tmpl w:val="C9EA9E5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19206C0"/>
    <w:multiLevelType w:val="multilevel"/>
    <w:tmpl w:val="454E2FFE"/>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2D277F0"/>
    <w:multiLevelType w:val="multilevel"/>
    <w:tmpl w:val="17824F4E"/>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E105414"/>
    <w:multiLevelType w:val="multilevel"/>
    <w:tmpl w:val="AA2E59AE"/>
    <w:lvl w:ilvl="0">
      <w:start w:val="1"/>
      <w:numFmt w:val="decimal"/>
      <w:lvlText w:val="%1."/>
      <w:lvlJc w:val="left"/>
      <w:rPr>
        <w:rFonts w:ascii="Verdana" w:eastAsia="Verdana" w:hAnsi="Verdana" w:cs="Verdana"/>
        <w:b/>
        <w:bCs/>
        <w:i w:val="0"/>
        <w:iCs w:val="0"/>
        <w:smallCaps w:val="0"/>
        <w:strike w:val="0"/>
        <w:color w:val="A50021"/>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0183B4C"/>
    <w:multiLevelType w:val="multilevel"/>
    <w:tmpl w:val="2326DA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57344EE"/>
    <w:multiLevelType w:val="multilevel"/>
    <w:tmpl w:val="2BE8A7EA"/>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8A02144"/>
    <w:multiLevelType w:val="multilevel"/>
    <w:tmpl w:val="D81A02D0"/>
    <w:lvl w:ilvl="0">
      <w:start w:val="1"/>
      <w:numFmt w:val="bullet"/>
      <w:lvlText w:val="-"/>
      <w:lvlJc w:val="left"/>
      <w:rPr>
        <w:rFonts w:ascii="Verdana" w:eastAsia="Verdana" w:hAnsi="Verdana" w:cs="Verdana"/>
        <w:b w:val="0"/>
        <w:bCs w:val="0"/>
        <w:i w:val="0"/>
        <w:iCs w:val="0"/>
        <w:smallCaps w:val="0"/>
        <w:strike w:val="0"/>
        <w:color w:val="595959"/>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911014A"/>
    <w:multiLevelType w:val="hybridMultilevel"/>
    <w:tmpl w:val="57CA5AB8"/>
    <w:lvl w:ilvl="0" w:tplc="08090005">
      <w:start w:val="1"/>
      <w:numFmt w:val="bullet"/>
      <w:lvlText w:val=""/>
      <w:lvlJc w:val="left"/>
      <w:pPr>
        <w:ind w:left="360" w:hanging="360"/>
      </w:pPr>
      <w:rPr>
        <w:rFonts w:ascii="Wingdings" w:hAnsi="Wingdings" w:hint="default"/>
      </w:rPr>
    </w:lvl>
    <w:lvl w:ilvl="1" w:tplc="083C0003" w:tentative="1">
      <w:start w:val="1"/>
      <w:numFmt w:val="bullet"/>
      <w:lvlText w:val="o"/>
      <w:lvlJc w:val="left"/>
      <w:pPr>
        <w:ind w:left="1080" w:hanging="360"/>
      </w:pPr>
      <w:rPr>
        <w:rFonts w:ascii="Courier New" w:hAnsi="Courier New" w:cs="Courier New" w:hint="default"/>
      </w:rPr>
    </w:lvl>
    <w:lvl w:ilvl="2" w:tplc="083C0005" w:tentative="1">
      <w:start w:val="1"/>
      <w:numFmt w:val="bullet"/>
      <w:lvlText w:val=""/>
      <w:lvlJc w:val="left"/>
      <w:pPr>
        <w:ind w:left="1800" w:hanging="360"/>
      </w:pPr>
      <w:rPr>
        <w:rFonts w:ascii="Wingdings" w:hAnsi="Wingdings" w:hint="default"/>
      </w:rPr>
    </w:lvl>
    <w:lvl w:ilvl="3" w:tplc="083C0001" w:tentative="1">
      <w:start w:val="1"/>
      <w:numFmt w:val="bullet"/>
      <w:lvlText w:val=""/>
      <w:lvlJc w:val="left"/>
      <w:pPr>
        <w:ind w:left="2520" w:hanging="360"/>
      </w:pPr>
      <w:rPr>
        <w:rFonts w:ascii="Symbol" w:hAnsi="Symbol" w:hint="default"/>
      </w:rPr>
    </w:lvl>
    <w:lvl w:ilvl="4" w:tplc="083C0003" w:tentative="1">
      <w:start w:val="1"/>
      <w:numFmt w:val="bullet"/>
      <w:lvlText w:val="o"/>
      <w:lvlJc w:val="left"/>
      <w:pPr>
        <w:ind w:left="3240" w:hanging="360"/>
      </w:pPr>
      <w:rPr>
        <w:rFonts w:ascii="Courier New" w:hAnsi="Courier New" w:cs="Courier New" w:hint="default"/>
      </w:rPr>
    </w:lvl>
    <w:lvl w:ilvl="5" w:tplc="083C0005" w:tentative="1">
      <w:start w:val="1"/>
      <w:numFmt w:val="bullet"/>
      <w:lvlText w:val=""/>
      <w:lvlJc w:val="left"/>
      <w:pPr>
        <w:ind w:left="3960" w:hanging="360"/>
      </w:pPr>
      <w:rPr>
        <w:rFonts w:ascii="Wingdings" w:hAnsi="Wingdings" w:hint="default"/>
      </w:rPr>
    </w:lvl>
    <w:lvl w:ilvl="6" w:tplc="083C0001" w:tentative="1">
      <w:start w:val="1"/>
      <w:numFmt w:val="bullet"/>
      <w:lvlText w:val=""/>
      <w:lvlJc w:val="left"/>
      <w:pPr>
        <w:ind w:left="4680" w:hanging="360"/>
      </w:pPr>
      <w:rPr>
        <w:rFonts w:ascii="Symbol" w:hAnsi="Symbol" w:hint="default"/>
      </w:rPr>
    </w:lvl>
    <w:lvl w:ilvl="7" w:tplc="083C0003" w:tentative="1">
      <w:start w:val="1"/>
      <w:numFmt w:val="bullet"/>
      <w:lvlText w:val="o"/>
      <w:lvlJc w:val="left"/>
      <w:pPr>
        <w:ind w:left="5400" w:hanging="360"/>
      </w:pPr>
      <w:rPr>
        <w:rFonts w:ascii="Courier New" w:hAnsi="Courier New" w:cs="Courier New" w:hint="default"/>
      </w:rPr>
    </w:lvl>
    <w:lvl w:ilvl="8" w:tplc="083C0005" w:tentative="1">
      <w:start w:val="1"/>
      <w:numFmt w:val="bullet"/>
      <w:lvlText w:val=""/>
      <w:lvlJc w:val="left"/>
      <w:pPr>
        <w:ind w:left="6120" w:hanging="360"/>
      </w:pPr>
      <w:rPr>
        <w:rFonts w:ascii="Wingdings" w:hAnsi="Wingdings" w:hint="default"/>
      </w:rPr>
    </w:lvl>
  </w:abstractNum>
  <w:abstractNum w:abstractNumId="41" w15:restartNumberingAfterBreak="0">
    <w:nsid w:val="6A895733"/>
    <w:multiLevelType w:val="multilevel"/>
    <w:tmpl w:val="24507CEA"/>
    <w:lvl w:ilvl="0">
      <w:start w:val="1"/>
      <w:numFmt w:val="bullet"/>
      <w:lvlText w:val="-"/>
      <w:lvlJc w:val="left"/>
      <w:rPr>
        <w:rFonts w:ascii="Verdana" w:eastAsia="Verdana" w:hAnsi="Verdana" w:cs="Verdana"/>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BF56DDC"/>
    <w:multiLevelType w:val="multilevel"/>
    <w:tmpl w:val="D0804F62"/>
    <w:lvl w:ilvl="0">
      <w:start w:val="1"/>
      <w:numFmt w:val="bullet"/>
      <w:lvlText w:val="•"/>
      <w:lvlJc w:val="left"/>
      <w:rPr>
        <w:rFonts w:ascii="Verdana" w:eastAsia="Verdana" w:hAnsi="Verdana" w:cs="Verdana"/>
        <w:b w:val="0"/>
        <w:bCs w:val="0"/>
        <w:i w:val="0"/>
        <w:iCs w:val="0"/>
        <w:smallCaps w:val="0"/>
        <w:strike w:val="0"/>
        <w:color w:val="595959"/>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E503CB7"/>
    <w:multiLevelType w:val="multilevel"/>
    <w:tmpl w:val="EA42670E"/>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FDB690D"/>
    <w:multiLevelType w:val="multilevel"/>
    <w:tmpl w:val="D41AA900"/>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1952698"/>
    <w:multiLevelType w:val="multilevel"/>
    <w:tmpl w:val="C108CFA6"/>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C005679"/>
    <w:multiLevelType w:val="multilevel"/>
    <w:tmpl w:val="760C1BE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35169021">
    <w:abstractNumId w:val="4"/>
  </w:num>
  <w:num w:numId="2" w16cid:durableId="2064596941">
    <w:abstractNumId w:val="19"/>
  </w:num>
  <w:num w:numId="3" w16cid:durableId="1517845902">
    <w:abstractNumId w:val="16"/>
  </w:num>
  <w:num w:numId="4" w16cid:durableId="611135949">
    <w:abstractNumId w:val="10"/>
  </w:num>
  <w:num w:numId="5" w16cid:durableId="1304963027">
    <w:abstractNumId w:val="23"/>
  </w:num>
  <w:num w:numId="6" w16cid:durableId="803230037">
    <w:abstractNumId w:val="22"/>
  </w:num>
  <w:num w:numId="7" w16cid:durableId="2019575747">
    <w:abstractNumId w:val="34"/>
  </w:num>
  <w:num w:numId="8" w16cid:durableId="225844523">
    <w:abstractNumId w:val="33"/>
  </w:num>
  <w:num w:numId="9" w16cid:durableId="1031565458">
    <w:abstractNumId w:val="27"/>
  </w:num>
  <w:num w:numId="10" w16cid:durableId="196696038">
    <w:abstractNumId w:val="7"/>
  </w:num>
  <w:num w:numId="11" w16cid:durableId="1513256805">
    <w:abstractNumId w:val="32"/>
  </w:num>
  <w:num w:numId="12" w16cid:durableId="1295209359">
    <w:abstractNumId w:val="29"/>
  </w:num>
  <w:num w:numId="13" w16cid:durableId="424808553">
    <w:abstractNumId w:val="24"/>
  </w:num>
  <w:num w:numId="14" w16cid:durableId="1953513117">
    <w:abstractNumId w:val="26"/>
  </w:num>
  <w:num w:numId="15" w16cid:durableId="219948016">
    <w:abstractNumId w:val="14"/>
  </w:num>
  <w:num w:numId="16" w16cid:durableId="1959950315">
    <w:abstractNumId w:val="1"/>
  </w:num>
  <w:num w:numId="17" w16cid:durableId="1353147373">
    <w:abstractNumId w:val="21"/>
  </w:num>
  <w:num w:numId="18" w16cid:durableId="2065130607">
    <w:abstractNumId w:val="35"/>
  </w:num>
  <w:num w:numId="19" w16cid:durableId="2057122689">
    <w:abstractNumId w:val="41"/>
  </w:num>
  <w:num w:numId="20" w16cid:durableId="1159737976">
    <w:abstractNumId w:val="44"/>
  </w:num>
  <w:num w:numId="21" w16cid:durableId="859467724">
    <w:abstractNumId w:val="46"/>
  </w:num>
  <w:num w:numId="22" w16cid:durableId="38089927">
    <w:abstractNumId w:val="36"/>
  </w:num>
  <w:num w:numId="23" w16cid:durableId="1165897571">
    <w:abstractNumId w:val="45"/>
  </w:num>
  <w:num w:numId="24" w16cid:durableId="2083290446">
    <w:abstractNumId w:val="38"/>
  </w:num>
  <w:num w:numId="25" w16cid:durableId="1015687713">
    <w:abstractNumId w:val="17"/>
  </w:num>
  <w:num w:numId="26" w16cid:durableId="422534887">
    <w:abstractNumId w:val="12"/>
  </w:num>
  <w:num w:numId="27" w16cid:durableId="1911424114">
    <w:abstractNumId w:val="8"/>
  </w:num>
  <w:num w:numId="28" w16cid:durableId="819226085">
    <w:abstractNumId w:val="6"/>
  </w:num>
  <w:num w:numId="29" w16cid:durableId="777019182">
    <w:abstractNumId w:val="20"/>
  </w:num>
  <w:num w:numId="30" w16cid:durableId="1292788896">
    <w:abstractNumId w:val="15"/>
  </w:num>
  <w:num w:numId="31" w16cid:durableId="70540774">
    <w:abstractNumId w:val="2"/>
  </w:num>
  <w:num w:numId="32" w16cid:durableId="1555238358">
    <w:abstractNumId w:val="37"/>
  </w:num>
  <w:num w:numId="33" w16cid:durableId="877820349">
    <w:abstractNumId w:val="30"/>
  </w:num>
  <w:num w:numId="34" w16cid:durableId="601298793">
    <w:abstractNumId w:val="43"/>
  </w:num>
  <w:num w:numId="35" w16cid:durableId="1523930030">
    <w:abstractNumId w:val="5"/>
  </w:num>
  <w:num w:numId="36" w16cid:durableId="384456033">
    <w:abstractNumId w:val="3"/>
  </w:num>
  <w:num w:numId="37" w16cid:durableId="459618733">
    <w:abstractNumId w:val="9"/>
  </w:num>
  <w:num w:numId="38" w16cid:durableId="927546440">
    <w:abstractNumId w:val="0"/>
  </w:num>
  <w:num w:numId="39" w16cid:durableId="1053887289">
    <w:abstractNumId w:val="42"/>
  </w:num>
  <w:num w:numId="40" w16cid:durableId="2139032562">
    <w:abstractNumId w:val="39"/>
  </w:num>
  <w:num w:numId="41" w16cid:durableId="443041778">
    <w:abstractNumId w:val="25"/>
  </w:num>
  <w:num w:numId="42" w16cid:durableId="162361777">
    <w:abstractNumId w:val="18"/>
  </w:num>
  <w:num w:numId="43" w16cid:durableId="659580415">
    <w:abstractNumId w:val="11"/>
  </w:num>
  <w:num w:numId="44" w16cid:durableId="1421945032">
    <w:abstractNumId w:val="28"/>
  </w:num>
  <w:num w:numId="45" w16cid:durableId="806820413">
    <w:abstractNumId w:val="13"/>
  </w:num>
  <w:num w:numId="46" w16cid:durableId="750086559">
    <w:abstractNumId w:val="31"/>
  </w:num>
  <w:num w:numId="47" w16cid:durableId="992834672">
    <w:abstractNumId w:val="40"/>
  </w:num>
  <w:num w:numId="48" w16cid:durableId="2139295984">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5C2"/>
    <w:rsid w:val="000435C2"/>
    <w:rsid w:val="000564A8"/>
    <w:rsid w:val="000E41C6"/>
    <w:rsid w:val="00141542"/>
    <w:rsid w:val="00180C6F"/>
    <w:rsid w:val="001A028A"/>
    <w:rsid w:val="00256CCD"/>
    <w:rsid w:val="002C336B"/>
    <w:rsid w:val="0032042B"/>
    <w:rsid w:val="00386152"/>
    <w:rsid w:val="00445A70"/>
    <w:rsid w:val="004A65E7"/>
    <w:rsid w:val="0052485A"/>
    <w:rsid w:val="0056686A"/>
    <w:rsid w:val="006008C4"/>
    <w:rsid w:val="008049F0"/>
    <w:rsid w:val="008538D7"/>
    <w:rsid w:val="00883A1D"/>
    <w:rsid w:val="008B332B"/>
    <w:rsid w:val="008F31DC"/>
    <w:rsid w:val="0096534C"/>
    <w:rsid w:val="00A45543"/>
    <w:rsid w:val="00AD50F2"/>
    <w:rsid w:val="00B219F9"/>
    <w:rsid w:val="00B47EDB"/>
    <w:rsid w:val="00BA0CA3"/>
    <w:rsid w:val="00BF0FEB"/>
    <w:rsid w:val="00BF35B3"/>
    <w:rsid w:val="00C314BE"/>
    <w:rsid w:val="00C622F9"/>
    <w:rsid w:val="00CD597C"/>
    <w:rsid w:val="00D1348F"/>
    <w:rsid w:val="00D229E3"/>
    <w:rsid w:val="00DA7766"/>
    <w:rsid w:val="00EF0639"/>
    <w:rsid w:val="00F96019"/>
  </w:rsids>
  <m:mathPr>
    <m:mathFont m:val="Cambria Math"/>
    <m:brkBin m:val="before"/>
    <m:brkBinSub m:val="--"/>
    <m:smallFrac m:val="0"/>
    <m:dispDef/>
    <m:lMargin m:val="0"/>
    <m:rMargin m:val="0"/>
    <m:defJc m:val="centerGroup"/>
    <m:wrapIndent m:val="1440"/>
    <m:intLim m:val="subSup"/>
    <m:naryLim m:val="undOvr"/>
  </m:mathPr>
  <w:themeFontLang w:val="ga-I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3A186"/>
  <w15:docId w15:val="{DA5D37A5-D03A-42DA-BEF6-2D677F15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fr-FR"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543"/>
    <w:rPr>
      <w:rFonts w:ascii="Verdana" w:hAnsi="Verdana"/>
      <w:color w:val="000000"/>
      <w:sz w:val="20"/>
    </w:rPr>
  </w:style>
  <w:style w:type="paragraph" w:styleId="Heading1">
    <w:name w:val="heading 1"/>
    <w:basedOn w:val="Headingnumber3"/>
    <w:next w:val="Normal"/>
    <w:link w:val="Heading1Char"/>
    <w:uiPriority w:val="9"/>
    <w:qFormat/>
    <w:rsid w:val="00BF35B3"/>
    <w:pPr>
      <w:keepNext/>
      <w:keepLines/>
      <w:numPr>
        <w:numId w:val="41"/>
      </w:numPr>
      <w:tabs>
        <w:tab w:val="left" w:pos="284"/>
      </w:tabs>
      <w:jc w:val="both"/>
      <w:outlineLvl w:val="0"/>
    </w:pPr>
  </w:style>
  <w:style w:type="paragraph" w:styleId="Heading2">
    <w:name w:val="heading 2"/>
    <w:basedOn w:val="BodyText"/>
    <w:next w:val="Normal"/>
    <w:link w:val="Heading2Char"/>
    <w:uiPriority w:val="9"/>
    <w:unhideWhenUsed/>
    <w:qFormat/>
    <w:rsid w:val="00BF35B3"/>
    <w:pPr>
      <w:outlineLvl w:val="1"/>
    </w:pPr>
    <w:rPr>
      <w:b/>
      <w:bCs/>
      <w:color w:val="A500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Verdana" w:eastAsia="Verdana" w:hAnsi="Verdana" w:cs="Verdana"/>
      <w:b w:val="0"/>
      <w:bCs w:val="0"/>
      <w:i w:val="0"/>
      <w:iCs w:val="0"/>
      <w:smallCaps w:val="0"/>
      <w:strike w:val="0"/>
      <w:sz w:val="16"/>
      <w:szCs w:val="16"/>
      <w:u w:val="none"/>
    </w:rPr>
  </w:style>
  <w:style w:type="character" w:customStyle="1" w:styleId="Bodytext2">
    <w:name w:val="Body text (2)_"/>
    <w:basedOn w:val="DefaultParagraphFont"/>
    <w:link w:val="Bodytext20"/>
    <w:rPr>
      <w:rFonts w:ascii="Arial" w:eastAsia="Arial" w:hAnsi="Arial" w:cs="Arial"/>
      <w:b/>
      <w:bCs/>
      <w:i w:val="0"/>
      <w:iCs w:val="0"/>
      <w:smallCaps w:val="0"/>
      <w:strike w:val="0"/>
      <w:sz w:val="44"/>
      <w:szCs w:val="44"/>
      <w:u w:val="none"/>
    </w:rPr>
  </w:style>
  <w:style w:type="character" w:customStyle="1" w:styleId="Other">
    <w:name w:val="Other_"/>
    <w:basedOn w:val="DefaultParagraphFont"/>
    <w:link w:val="Other0"/>
    <w:rPr>
      <w:rFonts w:ascii="Verdana" w:eastAsia="Verdana" w:hAnsi="Verdana" w:cs="Verdana"/>
      <w:b w:val="0"/>
      <w:bCs w:val="0"/>
      <w:i w:val="0"/>
      <w:iCs w:val="0"/>
      <w:smallCaps w:val="0"/>
      <w:strike w:val="0"/>
      <w:sz w:val="20"/>
      <w:szCs w:val="20"/>
      <w:u w:val="none"/>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26"/>
      <w:szCs w:val="26"/>
      <w:u w:val="none"/>
    </w:rPr>
  </w:style>
  <w:style w:type="character" w:customStyle="1" w:styleId="Bodytext5">
    <w:name w:val="Body text (5)_"/>
    <w:basedOn w:val="DefaultParagraphFont"/>
    <w:link w:val="Bodytext50"/>
    <w:rPr>
      <w:rFonts w:ascii="Verdana" w:eastAsia="Verdana" w:hAnsi="Verdana" w:cs="Verdana"/>
      <w:b w:val="0"/>
      <w:bCs w:val="0"/>
      <w:i w:val="0"/>
      <w:iCs w:val="0"/>
      <w:smallCaps w:val="0"/>
      <w:strike w:val="0"/>
      <w:sz w:val="18"/>
      <w:szCs w:val="18"/>
      <w:u w:val="none"/>
    </w:rPr>
  </w:style>
  <w:style w:type="character" w:customStyle="1" w:styleId="Headerorfooter">
    <w:name w:val="Header or footer_"/>
    <w:basedOn w:val="DefaultParagraphFont"/>
    <w:link w:val="Headerorfooter0"/>
    <w:rPr>
      <w:rFonts w:ascii="Verdana" w:eastAsia="Verdana" w:hAnsi="Verdana" w:cs="Verdana"/>
      <w:b w:val="0"/>
      <w:bCs w:val="0"/>
      <w:i w:val="0"/>
      <w:iCs w:val="0"/>
      <w:smallCaps w:val="0"/>
      <w:strike w:val="0"/>
      <w:sz w:val="16"/>
      <w:szCs w:val="16"/>
      <w:u w:val="none"/>
    </w:rPr>
  </w:style>
  <w:style w:type="character" w:customStyle="1" w:styleId="Heading20">
    <w:name w:val="Heading #2_"/>
    <w:basedOn w:val="DefaultParagraphFont"/>
    <w:link w:val="Heading21"/>
    <w:rPr>
      <w:rFonts w:ascii="Arial" w:eastAsia="Arial" w:hAnsi="Arial" w:cs="Arial"/>
      <w:b w:val="0"/>
      <w:bCs w:val="0"/>
      <w:i w:val="0"/>
      <w:iCs w:val="0"/>
      <w:smallCaps w:val="0"/>
      <w:strike w:val="0"/>
      <w:u w:val="none"/>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6"/>
      <w:szCs w:val="16"/>
      <w:u w:val="none"/>
    </w:rPr>
  </w:style>
  <w:style w:type="character" w:customStyle="1" w:styleId="Heading10">
    <w:name w:val="Heading #1_"/>
    <w:basedOn w:val="DefaultParagraphFont"/>
    <w:link w:val="Heading11"/>
    <w:rPr>
      <w:rFonts w:ascii="Verdana" w:eastAsia="Verdana" w:hAnsi="Verdana" w:cs="Verdana"/>
      <w:b/>
      <w:bCs/>
      <w:i w:val="0"/>
      <w:iCs w:val="0"/>
      <w:smallCaps w:val="0"/>
      <w:strike w:val="0"/>
      <w:sz w:val="22"/>
      <w:szCs w:val="22"/>
      <w:u w:val="none"/>
    </w:rPr>
  </w:style>
  <w:style w:type="character" w:customStyle="1" w:styleId="Tableofcontents">
    <w:name w:val="Table of contents_"/>
    <w:basedOn w:val="DefaultParagraphFont"/>
    <w:link w:val="Tableofcontents0"/>
    <w:rPr>
      <w:rFonts w:ascii="Verdana" w:eastAsia="Verdana" w:hAnsi="Verdana" w:cs="Verdana"/>
      <w:b w:val="0"/>
      <w:bCs w:val="0"/>
      <w:i w:val="0"/>
      <w:iCs w:val="0"/>
      <w:smallCaps w:val="0"/>
      <w:strike w:val="0"/>
      <w:sz w:val="16"/>
      <w:szCs w:val="16"/>
      <w:u w:val="none"/>
    </w:rPr>
  </w:style>
  <w:style w:type="character" w:customStyle="1" w:styleId="Headingnumber30">
    <w:name w:val="Heading number #3_"/>
    <w:basedOn w:val="DefaultParagraphFont"/>
    <w:link w:val="Headingnumber3"/>
    <w:rPr>
      <w:rFonts w:ascii="Verdana" w:eastAsia="Verdana" w:hAnsi="Verdana" w:cs="Verdana"/>
      <w:b/>
      <w:bCs/>
      <w:i w:val="0"/>
      <w:iCs w:val="0"/>
      <w:smallCaps w:val="0"/>
      <w:strike w:val="0"/>
      <w:color w:val="A50021"/>
      <w:sz w:val="20"/>
      <w:szCs w:val="20"/>
      <w:u w:val="none"/>
    </w:rPr>
  </w:style>
  <w:style w:type="character" w:customStyle="1" w:styleId="Heading3">
    <w:name w:val="Heading #3_"/>
    <w:basedOn w:val="DefaultParagraphFont"/>
    <w:link w:val="Heading30"/>
    <w:rPr>
      <w:rFonts w:ascii="Verdana" w:eastAsia="Verdana" w:hAnsi="Verdana" w:cs="Verdana"/>
      <w:b/>
      <w:bCs/>
      <w:i w:val="0"/>
      <w:iCs w:val="0"/>
      <w:smallCaps w:val="0"/>
      <w:strike w:val="0"/>
      <w:sz w:val="20"/>
      <w:szCs w:val="20"/>
      <w:u w:val="none"/>
    </w:rPr>
  </w:style>
  <w:style w:type="character" w:customStyle="1" w:styleId="BodyTextChar">
    <w:name w:val="Body Text Char"/>
    <w:basedOn w:val="DefaultParagraphFont"/>
    <w:link w:val="BodyText"/>
    <w:rPr>
      <w:rFonts w:ascii="Verdana" w:eastAsia="Verdana" w:hAnsi="Verdana" w:cs="Verdana"/>
      <w:b w:val="0"/>
      <w:bCs w:val="0"/>
      <w:i w:val="0"/>
      <w:iCs w:val="0"/>
      <w:smallCaps w:val="0"/>
      <w:strike w:val="0"/>
      <w:sz w:val="20"/>
      <w:szCs w:val="20"/>
      <w:u w:val="none"/>
    </w:rPr>
  </w:style>
  <w:style w:type="paragraph" w:customStyle="1" w:styleId="Footnote0">
    <w:name w:val="Footnote"/>
    <w:basedOn w:val="Normal"/>
    <w:link w:val="Footnote"/>
    <w:pPr>
      <w:ind w:left="160"/>
    </w:pPr>
    <w:rPr>
      <w:rFonts w:eastAsia="Verdana" w:cs="Verdana"/>
      <w:sz w:val="16"/>
      <w:szCs w:val="16"/>
    </w:rPr>
  </w:style>
  <w:style w:type="paragraph" w:customStyle="1" w:styleId="Bodytext20">
    <w:name w:val="Body text (2)"/>
    <w:basedOn w:val="Normal"/>
    <w:link w:val="Bodytext2"/>
    <w:pPr>
      <w:spacing w:after="1060" w:line="276" w:lineRule="auto"/>
      <w:jc w:val="center"/>
    </w:pPr>
    <w:rPr>
      <w:rFonts w:ascii="Arial" w:eastAsia="Arial" w:hAnsi="Arial" w:cs="Arial"/>
      <w:b/>
      <w:bCs/>
      <w:sz w:val="44"/>
      <w:szCs w:val="44"/>
    </w:rPr>
  </w:style>
  <w:style w:type="paragraph" w:customStyle="1" w:styleId="Other0">
    <w:name w:val="Other"/>
    <w:basedOn w:val="Normal"/>
    <w:link w:val="Other"/>
    <w:pPr>
      <w:spacing w:after="180"/>
    </w:pPr>
    <w:rPr>
      <w:rFonts w:eastAsia="Verdana" w:cs="Verdana"/>
      <w:szCs w:val="20"/>
    </w:rPr>
  </w:style>
  <w:style w:type="paragraph" w:customStyle="1" w:styleId="Bodytext40">
    <w:name w:val="Body text (4)"/>
    <w:basedOn w:val="Normal"/>
    <w:link w:val="Bodytext4"/>
    <w:pPr>
      <w:spacing w:after="1460" w:line="276" w:lineRule="auto"/>
      <w:jc w:val="center"/>
    </w:pPr>
    <w:rPr>
      <w:rFonts w:ascii="Arial" w:eastAsia="Arial" w:hAnsi="Arial" w:cs="Arial"/>
      <w:sz w:val="26"/>
      <w:szCs w:val="26"/>
    </w:rPr>
  </w:style>
  <w:style w:type="paragraph" w:customStyle="1" w:styleId="Bodytext50">
    <w:name w:val="Body text (5)"/>
    <w:basedOn w:val="Normal"/>
    <w:link w:val="Bodytext5"/>
    <w:pPr>
      <w:spacing w:after="120" w:line="252" w:lineRule="auto"/>
      <w:jc w:val="center"/>
    </w:pPr>
    <w:rPr>
      <w:rFonts w:eastAsia="Verdana" w:cs="Verdana"/>
      <w:sz w:val="18"/>
      <w:szCs w:val="18"/>
    </w:rPr>
  </w:style>
  <w:style w:type="paragraph" w:customStyle="1" w:styleId="Headerorfooter0">
    <w:name w:val="Header or footer"/>
    <w:basedOn w:val="Normal"/>
    <w:link w:val="Headerorfooter"/>
    <w:rPr>
      <w:rFonts w:eastAsia="Verdana" w:cs="Verdana"/>
      <w:sz w:val="16"/>
      <w:szCs w:val="16"/>
    </w:rPr>
  </w:style>
  <w:style w:type="paragraph" w:customStyle="1" w:styleId="Heading21">
    <w:name w:val="Heading #2"/>
    <w:basedOn w:val="Normal"/>
    <w:link w:val="Heading20"/>
    <w:pPr>
      <w:spacing w:after="50"/>
      <w:outlineLvl w:val="1"/>
    </w:pPr>
    <w:rPr>
      <w:rFonts w:ascii="Arial" w:eastAsia="Arial" w:hAnsi="Arial" w:cs="Arial"/>
    </w:rPr>
  </w:style>
  <w:style w:type="paragraph" w:customStyle="1" w:styleId="Bodytext30">
    <w:name w:val="Body text (3)"/>
    <w:basedOn w:val="Normal"/>
    <w:link w:val="Bodytext3"/>
    <w:pPr>
      <w:spacing w:after="990"/>
    </w:pPr>
    <w:rPr>
      <w:rFonts w:ascii="Arial" w:eastAsia="Arial" w:hAnsi="Arial" w:cs="Arial"/>
      <w:sz w:val="16"/>
      <w:szCs w:val="16"/>
    </w:rPr>
  </w:style>
  <w:style w:type="paragraph" w:customStyle="1" w:styleId="Heading11">
    <w:name w:val="Heading #1"/>
    <w:basedOn w:val="Normal"/>
    <w:link w:val="Heading10"/>
    <w:pPr>
      <w:spacing w:after="540"/>
      <w:jc w:val="center"/>
      <w:outlineLvl w:val="0"/>
    </w:pPr>
    <w:rPr>
      <w:rFonts w:eastAsia="Verdana" w:cs="Verdana"/>
      <w:b/>
      <w:bCs/>
      <w:sz w:val="22"/>
      <w:szCs w:val="22"/>
    </w:rPr>
  </w:style>
  <w:style w:type="paragraph" w:customStyle="1" w:styleId="Tableofcontents0">
    <w:name w:val="Table of contents"/>
    <w:basedOn w:val="Normal"/>
    <w:link w:val="Tableofcontents"/>
    <w:pPr>
      <w:spacing w:after="100"/>
      <w:ind w:firstLine="300"/>
    </w:pPr>
    <w:rPr>
      <w:rFonts w:eastAsia="Verdana" w:cs="Verdana"/>
      <w:sz w:val="16"/>
      <w:szCs w:val="16"/>
    </w:rPr>
  </w:style>
  <w:style w:type="paragraph" w:customStyle="1" w:styleId="Headingnumber3">
    <w:name w:val="Heading number #3"/>
    <w:basedOn w:val="Normal"/>
    <w:link w:val="Headingnumber30"/>
    <w:pPr>
      <w:spacing w:after="200"/>
      <w:outlineLvl w:val="2"/>
    </w:pPr>
    <w:rPr>
      <w:rFonts w:eastAsia="Verdana" w:cs="Verdana"/>
      <w:b/>
      <w:bCs/>
      <w:color w:val="A50021"/>
      <w:szCs w:val="20"/>
    </w:rPr>
  </w:style>
  <w:style w:type="paragraph" w:customStyle="1" w:styleId="Heading30">
    <w:name w:val="Heading #3"/>
    <w:basedOn w:val="Normal"/>
    <w:link w:val="Heading3"/>
    <w:pPr>
      <w:spacing w:after="180"/>
      <w:outlineLvl w:val="2"/>
    </w:pPr>
    <w:rPr>
      <w:rFonts w:eastAsia="Verdana" w:cs="Verdana"/>
      <w:b/>
      <w:bCs/>
      <w:szCs w:val="20"/>
    </w:rPr>
  </w:style>
  <w:style w:type="paragraph" w:styleId="BodyText">
    <w:name w:val="Body Text"/>
    <w:basedOn w:val="Normal"/>
    <w:link w:val="BodyTextChar"/>
    <w:qFormat/>
    <w:pPr>
      <w:spacing w:after="180"/>
    </w:pPr>
    <w:rPr>
      <w:rFonts w:eastAsia="Verdana" w:cs="Verdana"/>
      <w:szCs w:val="20"/>
    </w:rPr>
  </w:style>
  <w:style w:type="paragraph" w:styleId="Header">
    <w:name w:val="header"/>
    <w:basedOn w:val="Normal"/>
    <w:link w:val="HeaderChar"/>
    <w:uiPriority w:val="99"/>
    <w:unhideWhenUsed/>
    <w:rsid w:val="000E41C6"/>
    <w:pPr>
      <w:tabs>
        <w:tab w:val="center" w:pos="4513"/>
        <w:tab w:val="right" w:pos="9026"/>
      </w:tabs>
    </w:pPr>
  </w:style>
  <w:style w:type="character" w:customStyle="1" w:styleId="HeaderChar">
    <w:name w:val="Header Char"/>
    <w:basedOn w:val="DefaultParagraphFont"/>
    <w:link w:val="Header"/>
    <w:uiPriority w:val="99"/>
    <w:rsid w:val="000E41C6"/>
    <w:rPr>
      <w:color w:val="000000"/>
    </w:rPr>
  </w:style>
  <w:style w:type="paragraph" w:styleId="Footer">
    <w:name w:val="footer"/>
    <w:basedOn w:val="Normal"/>
    <w:link w:val="FooterChar"/>
    <w:uiPriority w:val="99"/>
    <w:unhideWhenUsed/>
    <w:rsid w:val="000E41C6"/>
    <w:pPr>
      <w:tabs>
        <w:tab w:val="center" w:pos="4513"/>
        <w:tab w:val="right" w:pos="9026"/>
      </w:tabs>
    </w:pPr>
  </w:style>
  <w:style w:type="character" w:customStyle="1" w:styleId="FooterChar">
    <w:name w:val="Footer Char"/>
    <w:basedOn w:val="DefaultParagraphFont"/>
    <w:link w:val="Footer"/>
    <w:uiPriority w:val="99"/>
    <w:rsid w:val="000E41C6"/>
    <w:rPr>
      <w:color w:val="000000"/>
    </w:rPr>
  </w:style>
  <w:style w:type="paragraph" w:styleId="TOC2">
    <w:name w:val="toc 2"/>
    <w:basedOn w:val="Normal"/>
    <w:next w:val="Normal"/>
    <w:autoRedefine/>
    <w:uiPriority w:val="39"/>
    <w:unhideWhenUsed/>
    <w:rsid w:val="00BA0CA3"/>
    <w:pPr>
      <w:spacing w:after="100"/>
      <w:ind w:left="240"/>
    </w:pPr>
    <w:rPr>
      <w:sz w:val="16"/>
    </w:rPr>
  </w:style>
  <w:style w:type="paragraph" w:styleId="TOC1">
    <w:name w:val="toc 1"/>
    <w:basedOn w:val="Normal"/>
    <w:next w:val="Normal"/>
    <w:autoRedefine/>
    <w:uiPriority w:val="39"/>
    <w:unhideWhenUsed/>
    <w:rsid w:val="00BA0CA3"/>
    <w:pPr>
      <w:spacing w:after="100"/>
    </w:pPr>
    <w:rPr>
      <w:sz w:val="16"/>
    </w:rPr>
  </w:style>
  <w:style w:type="paragraph" w:styleId="TOC3">
    <w:name w:val="toc 3"/>
    <w:basedOn w:val="Normal"/>
    <w:next w:val="Normal"/>
    <w:autoRedefine/>
    <w:uiPriority w:val="39"/>
    <w:unhideWhenUsed/>
    <w:rsid w:val="000E41C6"/>
    <w:pPr>
      <w:spacing w:after="100"/>
      <w:ind w:left="480"/>
    </w:pPr>
  </w:style>
  <w:style w:type="character" w:styleId="Hyperlink">
    <w:name w:val="Hyperlink"/>
    <w:basedOn w:val="DefaultParagraphFont"/>
    <w:uiPriority w:val="99"/>
    <w:unhideWhenUsed/>
    <w:rsid w:val="000E41C6"/>
    <w:rPr>
      <w:color w:val="0563C1" w:themeColor="hyperlink"/>
      <w:u w:val="single"/>
    </w:rPr>
  </w:style>
  <w:style w:type="character" w:customStyle="1" w:styleId="Heading1Char">
    <w:name w:val="Heading 1 Char"/>
    <w:basedOn w:val="DefaultParagraphFont"/>
    <w:link w:val="Heading1"/>
    <w:uiPriority w:val="9"/>
    <w:rsid w:val="00BF35B3"/>
    <w:rPr>
      <w:rFonts w:ascii="Verdana" w:eastAsia="Verdana" w:hAnsi="Verdana" w:cs="Verdana"/>
      <w:b/>
      <w:bCs/>
      <w:color w:val="A50021"/>
      <w:sz w:val="20"/>
      <w:szCs w:val="20"/>
    </w:rPr>
  </w:style>
  <w:style w:type="character" w:customStyle="1" w:styleId="Heading2Char">
    <w:name w:val="Heading 2 Char"/>
    <w:basedOn w:val="DefaultParagraphFont"/>
    <w:link w:val="Heading2"/>
    <w:uiPriority w:val="9"/>
    <w:rsid w:val="00BF35B3"/>
    <w:rPr>
      <w:rFonts w:ascii="Verdana" w:eastAsia="Verdana" w:hAnsi="Verdana" w:cs="Verdana"/>
      <w:b/>
      <w:bCs/>
      <w:color w:val="A50021"/>
      <w:sz w:val="20"/>
      <w:szCs w:val="20"/>
    </w:rPr>
  </w:style>
  <w:style w:type="character" w:styleId="UnresolvedMention">
    <w:name w:val="Unresolved Mention"/>
    <w:basedOn w:val="DefaultParagraphFont"/>
    <w:uiPriority w:val="99"/>
    <w:semiHidden/>
    <w:unhideWhenUsed/>
    <w:rsid w:val="008F31DC"/>
    <w:rPr>
      <w:color w:val="605E5C"/>
      <w:shd w:val="clear" w:color="auto" w:fill="E1DFDD"/>
    </w:rPr>
  </w:style>
  <w:style w:type="table" w:styleId="TableGrid">
    <w:name w:val="Table Grid"/>
    <w:basedOn w:val="TableNormal"/>
    <w:uiPriority w:val="39"/>
    <w:rsid w:val="008F3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BodyText"/>
    <w:qFormat/>
    <w:rsid w:val="0056686A"/>
    <w:pPr>
      <w:numPr>
        <w:numId w:val="2"/>
      </w:numPr>
      <w:tabs>
        <w:tab w:val="left" w:pos="750"/>
      </w:tabs>
      <w:spacing w:after="200"/>
      <w:ind w:firstLine="340"/>
      <w:jc w:val="both"/>
    </w:pPr>
  </w:style>
  <w:style w:type="paragraph" w:customStyle="1" w:styleId="Style2">
    <w:name w:val="Style2"/>
    <w:basedOn w:val="BodyText"/>
    <w:qFormat/>
    <w:rsid w:val="0056686A"/>
    <w:pPr>
      <w:spacing w:after="200"/>
      <w:jc w:val="both"/>
    </w:pPr>
  </w:style>
  <w:style w:type="paragraph" w:customStyle="1" w:styleId="Style3">
    <w:name w:val="Style3"/>
    <w:basedOn w:val="BodyText"/>
    <w:qFormat/>
    <w:rsid w:val="0056686A"/>
    <w:pPr>
      <w:spacing w:after="640"/>
      <w:jc w:val="both"/>
    </w:pPr>
  </w:style>
  <w:style w:type="paragraph" w:styleId="FootnoteText">
    <w:name w:val="footnote text"/>
    <w:basedOn w:val="Normal"/>
    <w:link w:val="FootnoteTextChar"/>
    <w:uiPriority w:val="99"/>
    <w:semiHidden/>
    <w:unhideWhenUsed/>
    <w:rsid w:val="0056686A"/>
    <w:rPr>
      <w:szCs w:val="20"/>
    </w:rPr>
  </w:style>
  <w:style w:type="character" w:customStyle="1" w:styleId="FootnoteTextChar">
    <w:name w:val="Footnote Text Char"/>
    <w:basedOn w:val="DefaultParagraphFont"/>
    <w:link w:val="FootnoteText"/>
    <w:uiPriority w:val="99"/>
    <w:semiHidden/>
    <w:rsid w:val="0056686A"/>
    <w:rPr>
      <w:rFonts w:ascii="Verdana" w:hAnsi="Verdana"/>
      <w:color w:val="000000"/>
      <w:sz w:val="20"/>
      <w:szCs w:val="20"/>
    </w:rPr>
  </w:style>
  <w:style w:type="character" w:styleId="FootnoteReference">
    <w:name w:val="footnote reference"/>
    <w:basedOn w:val="DefaultParagraphFont"/>
    <w:uiPriority w:val="99"/>
    <w:semiHidden/>
    <w:unhideWhenUsed/>
    <w:rsid w:val="0056686A"/>
    <w:rPr>
      <w:vertAlign w:val="superscript"/>
    </w:rPr>
  </w:style>
  <w:style w:type="paragraph" w:customStyle="1" w:styleId="DNEx1">
    <w:name w:val="DNEx1"/>
    <w:basedOn w:val="Footnote0"/>
    <w:qFormat/>
    <w:rsid w:val="0056686A"/>
    <w:pPr>
      <w:ind w:left="142" w:hanging="142"/>
    </w:pPr>
  </w:style>
  <w:style w:type="paragraph" w:customStyle="1" w:styleId="Style4">
    <w:name w:val="Style4"/>
    <w:basedOn w:val="BodyText"/>
    <w:qFormat/>
    <w:rsid w:val="008B332B"/>
    <w:pPr>
      <w:spacing w:after="100" w:line="259" w:lineRule="auto"/>
      <w:jc w:val="both"/>
    </w:pPr>
  </w:style>
  <w:style w:type="paragraph" w:customStyle="1" w:styleId="Style5">
    <w:name w:val="Style5"/>
    <w:basedOn w:val="BodyText"/>
    <w:qFormat/>
    <w:rsid w:val="008B332B"/>
    <w:pPr>
      <w:spacing w:after="100"/>
      <w:jc w:val="both"/>
    </w:pPr>
  </w:style>
  <w:style w:type="paragraph" w:customStyle="1" w:styleId="Style6">
    <w:name w:val="Style6"/>
    <w:basedOn w:val="BodyText"/>
    <w:qFormat/>
    <w:rsid w:val="008B332B"/>
    <w:pPr>
      <w:jc w:val="both"/>
    </w:pPr>
  </w:style>
  <w:style w:type="paragraph" w:customStyle="1" w:styleId="Style7">
    <w:name w:val="Style7"/>
    <w:basedOn w:val="BodyText"/>
    <w:qFormat/>
    <w:rsid w:val="004A65E7"/>
    <w:pPr>
      <w:jc w:val="both"/>
    </w:pPr>
  </w:style>
  <w:style w:type="paragraph" w:customStyle="1" w:styleId="Style8">
    <w:name w:val="Style8"/>
    <w:basedOn w:val="BodyText"/>
    <w:qFormat/>
    <w:rsid w:val="004A65E7"/>
    <w:pPr>
      <w:jc w:val="both"/>
    </w:pPr>
  </w:style>
  <w:style w:type="paragraph" w:customStyle="1" w:styleId="Style9">
    <w:name w:val="Style9"/>
    <w:basedOn w:val="BodyText"/>
    <w:qFormat/>
    <w:rsid w:val="004A65E7"/>
    <w:pPr>
      <w:jc w:val="both"/>
    </w:pPr>
  </w:style>
  <w:style w:type="paragraph" w:customStyle="1" w:styleId="Style10">
    <w:name w:val="Style10"/>
    <w:basedOn w:val="BodyText"/>
    <w:qFormat/>
    <w:rsid w:val="004A65E7"/>
    <w:pPr>
      <w:spacing w:after="200"/>
      <w:jc w:val="both"/>
    </w:pPr>
  </w:style>
  <w:style w:type="paragraph" w:customStyle="1" w:styleId="Style11">
    <w:name w:val="Style11"/>
    <w:basedOn w:val="Footnote0"/>
    <w:qFormat/>
    <w:rsid w:val="004A65E7"/>
    <w:pPr>
      <w:spacing w:line="221" w:lineRule="auto"/>
      <w:ind w:left="0"/>
      <w:jc w:val="center"/>
    </w:pPr>
  </w:style>
  <w:style w:type="paragraph" w:customStyle="1" w:styleId="Style12">
    <w:name w:val="Style12"/>
    <w:basedOn w:val="BodyText"/>
    <w:qFormat/>
    <w:rsid w:val="008538D7"/>
    <w:pPr>
      <w:jc w:val="both"/>
    </w:pPr>
  </w:style>
  <w:style w:type="paragraph" w:customStyle="1" w:styleId="Style13">
    <w:name w:val="Style13"/>
    <w:basedOn w:val="BodyText"/>
    <w:qFormat/>
    <w:rsid w:val="008538D7"/>
    <w:pPr>
      <w:jc w:val="both"/>
    </w:pPr>
  </w:style>
  <w:style w:type="paragraph" w:customStyle="1" w:styleId="Style14">
    <w:name w:val="Style14"/>
    <w:basedOn w:val="BodyText"/>
    <w:qFormat/>
    <w:rsid w:val="00141542"/>
    <w:pPr>
      <w:jc w:val="both"/>
    </w:pPr>
  </w:style>
  <w:style w:type="paragraph" w:customStyle="1" w:styleId="Style15">
    <w:name w:val="Style15"/>
    <w:basedOn w:val="Bodytext50"/>
    <w:qFormat/>
    <w:rsid w:val="00141542"/>
    <w:pPr>
      <w:tabs>
        <w:tab w:val="left" w:pos="778"/>
      </w:tabs>
      <w:spacing w:after="100" w:line="240" w:lineRule="auto"/>
      <w:ind w:left="360" w:hanging="360"/>
      <w:jc w:val="both"/>
    </w:pPr>
    <w:rPr>
      <w:color w:val="595959"/>
    </w:rPr>
  </w:style>
  <w:style w:type="paragraph" w:customStyle="1" w:styleId="Style16">
    <w:name w:val="Style16"/>
    <w:basedOn w:val="Bodytext50"/>
    <w:qFormat/>
    <w:rsid w:val="000564A8"/>
    <w:pPr>
      <w:numPr>
        <w:numId w:val="44"/>
      </w:numPr>
      <w:tabs>
        <w:tab w:val="left" w:pos="778"/>
      </w:tabs>
      <w:spacing w:after="100" w:line="240" w:lineRule="auto"/>
      <w:jc w:val="both"/>
    </w:pPr>
    <w:rPr>
      <w:color w:val="595959"/>
    </w:rPr>
  </w:style>
  <w:style w:type="paragraph" w:styleId="TOCHeading">
    <w:name w:val="TOC Heading"/>
    <w:basedOn w:val="Heading1"/>
    <w:next w:val="Normal"/>
    <w:uiPriority w:val="39"/>
    <w:unhideWhenUsed/>
    <w:qFormat/>
    <w:rsid w:val="00BA0CA3"/>
    <w:pPr>
      <w:widowControl/>
      <w:numPr>
        <w:numId w:val="0"/>
      </w:numPr>
      <w:tabs>
        <w:tab w:val="clear" w:pos="284"/>
      </w:tab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ec.europa.eu/info/funding-tenders/opportunities/docs/2021-2027/common/guidance/om_en.pdf" TargetMode="External"/><Relationship Id="rId26" Type="http://schemas.openxmlformats.org/officeDocument/2006/relationships/hyperlink" Target="https://ec.europa.eu/info/funding-tenders/opportunities/portal/screen/how-to-participate/participant-register" TargetMode="External"/><Relationship Id="rId39" Type="http://schemas.openxmlformats.org/officeDocument/2006/relationships/hyperlink" Target="https://ec.europa.eu/info/funding-tenders/opportunities/portal/screen/how-to-participate/participant-register" TargetMode="External"/><Relationship Id="rId21" Type="http://schemas.openxmlformats.org/officeDocument/2006/relationships/hyperlink" Target="https://international-partnerships.ec.europa.eu/policies/global-gateway/initiatives-region/initiatives-sub-saharan-africa_en" TargetMode="External"/><Relationship Id="rId34" Type="http://schemas.openxmlformats.org/officeDocument/2006/relationships/hyperlink" Target="http://eur-lex.europa.eu/legal-content/FR/ALL/?uri=CELEX:31995R2988&amp;qid=1501598622514" TargetMode="External"/><Relationship Id="rId42" Type="http://schemas.openxmlformats.org/officeDocument/2006/relationships/hyperlink" Target="https://ec.europa.eu/info/funding-tenders/opportunities/docs/2021-2027/common/guidance/om_en.pdf" TargetMode="External"/><Relationship Id="rId47" Type="http://schemas.openxmlformats.org/officeDocument/2006/relationships/hyperlink" Target="https://ec.europa.eu/info/funding-tenders/opportunities/docs/2021-2027/common/ftp/tc_en.pdf" TargetMode="External"/><Relationship Id="rId50" Type="http://schemas.openxmlformats.org/officeDocument/2006/relationships/hyperlink" Target="https://eur-lex.europa.eu/legal-content/FR/TXT/?uri=CELEX:32018R1046"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jpeg"/><Relationship Id="rId29" Type="http://schemas.openxmlformats.org/officeDocument/2006/relationships/hyperlink" Target="https://ec.europa.eu/info/funding-tenders/opportunities/docs/2021-2027/common/guidance/rules-lev-lear-fca_fr.pdf" TargetMode="External"/><Relationship Id="rId11" Type="http://schemas.openxmlformats.org/officeDocument/2006/relationships/header" Target="header2.xml"/><Relationship Id="rId24" Type="http://schemas.openxmlformats.org/officeDocument/2006/relationships/image" Target="media/image6.png"/><Relationship Id="rId32" Type="http://schemas.openxmlformats.org/officeDocument/2006/relationships/hyperlink" Target="https://ec.europa.eu/info/funding-tenders/opportunities/docs/2021-2027/common/guidance/rules-lev-lear-fca_fr.pdf" TargetMode="External"/><Relationship Id="rId37" Type="http://schemas.openxmlformats.org/officeDocument/2006/relationships/hyperlink" Target="https://ec.europa.eu/info/funding-tenders/opportunities/docs/2021-2027/common/guidance/aga_en.pdf" TargetMode="External"/><Relationship Id="rId40" Type="http://schemas.openxmlformats.org/officeDocument/2006/relationships/hyperlink" Target="https://ec.europa.eu/info/funding-tenders/opportunities/portal/screen/support/helpdesks/contact-form" TargetMode="External"/><Relationship Id="rId45" Type="http://schemas.openxmlformats.org/officeDocument/2006/relationships/hyperlink" Target="mailto:EACEA-IntraAfrica-IntraACP@ec.europa.eu" TargetMode="External"/><Relationship Id="rId53"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hyperlink" Target="https://ec.europa.eu/info/funding-tenders/opportunities/docs/2021-2027/common/guidance/aga_en.pdf" TargetMode="External"/><Relationship Id="rId31" Type="http://schemas.openxmlformats.org/officeDocument/2006/relationships/hyperlink" Target="https://ec.europa.eu/info/funding-tenders/opportunities/portal/screen/how-to-participate/participant-register" TargetMode="External"/><Relationship Id="rId44" Type="http://schemas.openxmlformats.org/officeDocument/2006/relationships/hyperlink" Target="mailto:EACEA-IntraAfrica-IntraACP@ec.europa.eu" TargetMode="External"/><Relationship Id="rId52" Type="http://schemas.openxmlformats.org/officeDocument/2006/relationships/hyperlink" Target="https://ec.europa.eu/info/funding-tenders/opportunities/docs/2021-2027/common/ftp/privacy-statement_fr.pdf"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hyperlink" Target="https://www.eacea.ec.europa.eu/system/files/2024-10/country_regional%20GG%20flagships.pdf" TargetMode="External"/><Relationship Id="rId27" Type="http://schemas.openxmlformats.org/officeDocument/2006/relationships/hyperlink" Target="http://www.sanctionsmap.eu/" TargetMode="External"/><Relationship Id="rId30" Type="http://schemas.openxmlformats.org/officeDocument/2006/relationships/hyperlink" Target="https://ec.europa.eu/info/funding-tenders/opportunities/docs/2021-2027/common/guidance/rules-lev-lear-fca_fr.pdf" TargetMode="External"/><Relationship Id="rId35" Type="http://schemas.openxmlformats.org/officeDocument/2006/relationships/hyperlink" Target="https://ec.europa.eu/info/funding-tenders/opportunities/docs/2021-2027/common/ftp/tc_en.pdf" TargetMode="External"/><Relationship Id="rId43" Type="http://schemas.openxmlformats.org/officeDocument/2006/relationships/hyperlink" Target="https://ec.europa.eu/info/funding-tenders/opportunities/portal/screen/support/helpdesks/contact-form" TargetMode="External"/><Relationship Id="rId48" Type="http://schemas.openxmlformats.org/officeDocument/2006/relationships/hyperlink" Target="https://ec.europa.eu/info/funding-tenders/opportunities/portal/screen/how-to-participate/participant-register" TargetMode="External"/><Relationship Id="rId8" Type="http://schemas.openxmlformats.org/officeDocument/2006/relationships/image" Target="media/image2.jpeg"/><Relationship Id="rId51" Type="http://schemas.openxmlformats.org/officeDocument/2006/relationships/hyperlink" Target="https://ec.europa.eu/budget/financial-transparency-system/index_fr.html"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eur-lex.europa.eu/legal-content/EN/TXT/?uri=CELEX:32021R0947" TargetMode="External"/><Relationship Id="rId25" Type="http://schemas.openxmlformats.org/officeDocument/2006/relationships/hyperlink" Target="https://ec.europa.eu/info/funding-tenders/opportunities/docs/2021-2027/common/guidance/om_en.pdf" TargetMode="External"/><Relationship Id="rId33" Type="http://schemas.openxmlformats.org/officeDocument/2006/relationships/hyperlink" Target="https://ec.europa.eu/info/funding-tenders/opportunities/docs/2021-2027/common/guidance/rules-lev-lear-fca_fr.pdf" TargetMode="External"/><Relationship Id="rId38" Type="http://schemas.openxmlformats.org/officeDocument/2006/relationships/hyperlink" Target="https://webgate.ec.europa.eu/cas/eim/external/register.cgi" TargetMode="External"/><Relationship Id="rId46" Type="http://schemas.openxmlformats.org/officeDocument/2006/relationships/image" Target="media/image7.png"/><Relationship Id="rId20" Type="http://schemas.openxmlformats.org/officeDocument/2006/relationships/hyperlink" Target="https://www.eacea.ec.europa.eu/scholarships/intra-africa-scholarships_en" TargetMode="External"/><Relationship Id="rId41" Type="http://schemas.openxmlformats.org/officeDocument/2006/relationships/hyperlink" Target="https://ec.europa.eu/info/funding-tenders/opportunities/docs/2021-2027/common/guidance/om_en.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image" Target="media/image1.png"/><Relationship Id="rId36" Type="http://schemas.openxmlformats.org/officeDocument/2006/relationships/hyperlink" Target="https://ec.europa.eu/info/funding-tenders/opportunities/portal/screen/how-to-participate/reference-documents" TargetMode="External"/><Relationship Id="rId49" Type="http://schemas.openxmlformats.org/officeDocument/2006/relationships/hyperlink" Target="https://ec.europa.eu/info/funding-tenders/opportunities/docs/2021-2027/common/guidance/aga_en.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sanctionsmap.eu/" TargetMode="External"/><Relationship Id="rId3" Type="http://schemas.openxmlformats.org/officeDocument/2006/relationships/hyperlink" Target="https://international-partnerships.ec.europa.eu/policies/global-gateway/initiatives-region/initiatives-sub-saharan-africa_en" TargetMode="External"/><Relationship Id="rId7" Type="http://schemas.openxmlformats.org/officeDocument/2006/relationships/hyperlink" Target="https://eur-lex.europa.eu/legal-content/FR/TXT/?uri=CELEX:32018R1046" TargetMode="External"/><Relationship Id="rId12" Type="http://schemas.openxmlformats.org/officeDocument/2006/relationships/hyperlink" Target="https://ec.europa.eu/info/funding-tenders/opportunities/docs/2021-2027/ndici/guidance/unit-cost-decision_ndici-mobaf_en.pdf" TargetMode="External"/><Relationship Id="rId2" Type="http://schemas.openxmlformats.org/officeDocument/2006/relationships/hyperlink" Target="%09https://haqaa.aau.org/" TargetMode="External"/><Relationship Id="rId1" Type="http://schemas.openxmlformats.org/officeDocument/2006/relationships/hyperlink" Target="https://commission.europa.eu/strategy-and-policy/priorities-2019-2024/stronger-europe-world/global-gateway_fr" TargetMode="External"/><Relationship Id="rId6" Type="http://schemas.openxmlformats.org/officeDocument/2006/relationships/hyperlink" Target="https://eur-lex.europa.eu/legal-content/FR/TXT/?uri=CELEX:32018R1046" TargetMode="External"/><Relationship Id="rId11" Type="http://schemas.openxmlformats.org/officeDocument/2006/relationships/hyperlink" Target="https://ec.europa.eu/info/funding-tenders/opportunities/docs/2021-2027/ndici/guidance/unit-cost-decision_ndici-mobaf_en.pdf" TargetMode="External"/><Relationship Id="rId5" Type="http://schemas.openxmlformats.org/officeDocument/2006/relationships/hyperlink" Target="https://www.timeanddate.com/worldclock/converter.html" TargetMode="External"/><Relationship Id="rId10" Type="http://schemas.openxmlformats.org/officeDocument/2006/relationships/hyperlink" Target="https://eur-lex.europa.eu/legal-content/FR/TXT/?uri=CELEX:32018R1046" TargetMode="External"/><Relationship Id="rId4" Type="http://schemas.openxmlformats.org/officeDocument/2006/relationships/hyperlink" Target="https://www.timeanddate.com/worldclock/converter.html" TargetMode="External"/><Relationship Id="rId9" Type="http://schemas.openxmlformats.org/officeDocument/2006/relationships/hyperlink" Target="https://eur-lex.europa.eu/legal-content/FR/TXT/?uri=CELEX:32018R104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5C7CF-EB2D-4264-B390-CF60C6790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36</Pages>
  <Words>13856</Words>
  <Characters>80366</Characters>
  <Application>Microsoft Office Word</Application>
  <DocSecurity>0</DocSecurity>
  <Lines>1709</Lines>
  <Paragraphs>791</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93431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cp:lastModifiedBy>GIORGIO Antonella (EACEA)</cp:lastModifiedBy>
  <cp:revision>28</cp:revision>
  <dcterms:created xsi:type="dcterms:W3CDTF">2024-12-13T11:29:00Z</dcterms:created>
  <dcterms:modified xsi:type="dcterms:W3CDTF">2025-01-16T14:09:00Z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2024-12-20T09:05:43Z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777e5656-e721-444e-adc2-485e44573ba6</vt:lpwstr>
  </property>
  <property fmtid="{D5CDD505-2E9C-101B-9397-08002B2CF9AE}" pid="8" name="MSIP_Label_6bd9ddd1-4d20-43f6-abfa-fc3c07406f94_ContentBits">
    <vt:lpwstr>0</vt:lpwstr>
  </property>
</Properties>
</file>