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A2C2" w14:textId="77777777" w:rsidR="00D412C1" w:rsidRDefault="00D412C1" w:rsidP="00BC77C3">
      <w:pPr>
        <w:jc w:val="center"/>
        <w:rPr>
          <w:rFonts w:ascii="EC Square Sans Cond Pro" w:hAnsi="EC Square Sans Cond Pro"/>
          <w:color w:val="000000"/>
          <w:sz w:val="32"/>
          <w:szCs w:val="32"/>
        </w:rPr>
      </w:pPr>
    </w:p>
    <w:p w14:paraId="0385DD63" w14:textId="6A3BF530" w:rsidR="00BC77C3" w:rsidRPr="00184E75" w:rsidRDefault="00D412C1" w:rsidP="00BC77C3">
      <w:pPr>
        <w:jc w:val="center"/>
        <w:rPr>
          <w:rFonts w:ascii="EC Square Sans Cond Pro" w:hAnsi="EC Square Sans Cond Pro"/>
          <w:b/>
          <w:noProof/>
          <w:sz w:val="32"/>
          <w:szCs w:val="32"/>
          <w:lang w:val="fr-BE" w:eastAsia="fr-BE"/>
        </w:rPr>
      </w:pPr>
      <w:r w:rsidRPr="00184E75">
        <w:rPr>
          <w:rFonts w:ascii="EC Square Sans Cond Pro" w:hAnsi="EC Square Sans Cond Pro"/>
          <w:b/>
          <w:color w:val="00B0F0"/>
          <w:sz w:val="32"/>
          <w:szCs w:val="32"/>
        </w:rPr>
        <w:t xml:space="preserve">În cazul unor discrepanțe între </w:t>
      </w:r>
      <w:r w:rsidRPr="00184E75">
        <w:rPr>
          <w:rFonts w:ascii="EC Square Sans Cond Pro" w:hAnsi="EC Square Sans Cond Pro"/>
          <w:b/>
          <w:noProof/>
          <w:color w:val="00B0F0"/>
          <w:sz w:val="32"/>
          <w:szCs w:val="32"/>
          <w:lang w:val="fr-BE" w:eastAsia="fr-BE"/>
        </w:rPr>
        <w:t xml:space="preserve">diferitele versiuni lingvistice, versiunea </w:t>
      </w:r>
      <w:r w:rsidRPr="00184E75">
        <w:rPr>
          <w:rFonts w:ascii="EC Square Sans Cond Pro" w:hAnsi="EC Square Sans Cond Pro"/>
          <w:b/>
          <w:color w:val="00B0F0"/>
          <w:sz w:val="32"/>
          <w:szCs w:val="32"/>
        </w:rPr>
        <w:t>în limba englez</w:t>
      </w:r>
      <w:r w:rsidRPr="00184E75">
        <w:rPr>
          <w:rFonts w:ascii="EC Square Sans Cond Pro" w:hAnsi="EC Square Sans Cond Pro"/>
          <w:b/>
          <w:bCs/>
          <w:color w:val="00B0F0"/>
          <w:sz w:val="32"/>
          <w:szCs w:val="32"/>
        </w:rPr>
        <w:t>ă va prevala</w:t>
      </w:r>
      <w:r w:rsidR="00184E75">
        <w:rPr>
          <w:rFonts w:ascii="EC Square Sans Cond Pro" w:hAnsi="EC Square Sans Cond Pro"/>
          <w:b/>
          <w:bCs/>
          <w:color w:val="00B0F0"/>
          <w:sz w:val="32"/>
          <w:szCs w:val="32"/>
        </w:rPr>
        <w:t>.</w:t>
      </w:r>
      <w:bookmarkStart w:id="0" w:name="_GoBack"/>
      <w:bookmarkEnd w:id="0"/>
      <w:r w:rsidRPr="00184E75">
        <w:rPr>
          <w:rFonts w:ascii="EC Square Sans Cond Pro" w:hAnsi="EC Square Sans Cond Pro"/>
          <w:b/>
          <w:noProof/>
          <w:sz w:val="32"/>
          <w:szCs w:val="32"/>
          <w:lang w:val="fr-BE" w:eastAsia="fr-BE"/>
        </w:rPr>
        <w:t xml:space="preserve"> </w:t>
      </w:r>
    </w:p>
    <w:p w14:paraId="63A7EDE6" w14:textId="77777777" w:rsidR="00D412C1" w:rsidRPr="00D412C1" w:rsidRDefault="00D412C1" w:rsidP="00BC77C3">
      <w:pPr>
        <w:jc w:val="center"/>
        <w:rPr>
          <w:rFonts w:ascii="EC Square Sans Cond Pro" w:hAnsi="EC Square Sans Cond Pro"/>
          <w:noProof/>
          <w:sz w:val="32"/>
          <w:szCs w:val="32"/>
          <w:lang w:val="fr-BE" w:eastAsia="fr-BE"/>
        </w:rP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332D70FF"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Programul „Cetățeni, egalitate, drepturi și valori” (CE</w:t>
      </w:r>
      <w:r w:rsidR="00D33E97">
        <w:rPr>
          <w:rFonts w:ascii="EC Square Sans Pro Medium" w:hAnsi="EC Square Sans Pro Medium"/>
          <w:b/>
          <w:bCs/>
          <w:sz w:val="48"/>
          <w:szCs w:val="48"/>
        </w:rPr>
        <w:t>R</w:t>
      </w:r>
      <w:r>
        <w:rPr>
          <w:rFonts w:ascii="EC Square Sans Pro Medium" w:hAnsi="EC Square Sans Pro Medium"/>
          <w:b/>
          <w:bCs/>
          <w:sz w:val="48"/>
          <w:szCs w:val="48"/>
        </w:rPr>
        <w:t>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Cerere de propuneri </w:t>
      </w:r>
    </w:p>
    <w:p w14:paraId="026AC77F" w14:textId="77777777" w:rsidR="00BA69DD" w:rsidRPr="00901217" w:rsidRDefault="00BA69DD" w:rsidP="00BA69DD">
      <w:pPr>
        <w:spacing w:after="320"/>
        <w:jc w:val="center"/>
        <w:rPr>
          <w:rFonts w:ascii="EC Square Sans Pro Light" w:hAnsi="EC Square Sans Pro Light"/>
          <w:b/>
          <w:bCs/>
          <w:sz w:val="48"/>
          <w:szCs w:val="48"/>
          <w:lang w:val="fr-BE"/>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Înfrățirea orașelor și rețele de orașe</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3EDE395E" w14:textId="77777777" w:rsidR="007A412A" w:rsidRPr="00917559" w:rsidRDefault="007A412A" w:rsidP="007A412A">
      <w:pPr>
        <w:jc w:val="center"/>
        <w:rPr>
          <w:rFonts w:ascii="EC Square Sans Pro Light" w:hAnsi="EC Square Sans Pro Light"/>
          <w:b/>
        </w:rPr>
      </w:pPr>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Versiunea 1.0</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16 noiembrie 2021</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209"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1129"/>
        <w:gridCol w:w="1196"/>
        <w:gridCol w:w="6000"/>
        <w:gridCol w:w="884"/>
      </w:tblGrid>
      <w:tr w:rsidR="002F6C8E" w:rsidRPr="002F6C8E" w14:paraId="366E97BE" w14:textId="77777777" w:rsidTr="00901217">
        <w:trPr>
          <w:jc w:val="center"/>
        </w:trPr>
        <w:tc>
          <w:tcPr>
            <w:tcW w:w="9209"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ISTORICUL MODIFICĂRILOR</w:t>
            </w:r>
          </w:p>
        </w:tc>
      </w:tr>
      <w:tr w:rsidR="002F6C8E" w:rsidRPr="002F6C8E" w14:paraId="4E3EB65A" w14:textId="77777777" w:rsidTr="00D208F7">
        <w:trPr>
          <w:jc w:val="center"/>
        </w:trPr>
        <w:tc>
          <w:tcPr>
            <w:tcW w:w="1129" w:type="dxa"/>
            <w:vAlign w:val="center"/>
            <w:hideMark/>
          </w:tcPr>
          <w:p w14:paraId="4BC01B6E" w14:textId="77777777" w:rsidR="00877924" w:rsidRPr="002F6C8E" w:rsidRDefault="00877924" w:rsidP="00877924">
            <w:pPr>
              <w:spacing w:before="60" w:after="60"/>
              <w:jc w:val="center"/>
              <w:rPr>
                <w:b/>
                <w:color w:val="595959"/>
              </w:rPr>
            </w:pPr>
            <w:r>
              <w:rPr>
                <w:b/>
                <w:color w:val="595959"/>
              </w:rPr>
              <w:t>Versiune</w:t>
            </w:r>
          </w:p>
        </w:tc>
        <w:tc>
          <w:tcPr>
            <w:tcW w:w="1196"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Data publicării</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Modificare</w:t>
            </w:r>
          </w:p>
        </w:tc>
        <w:tc>
          <w:tcPr>
            <w:tcW w:w="884" w:type="dxa"/>
            <w:vAlign w:val="center"/>
            <w:hideMark/>
          </w:tcPr>
          <w:p w14:paraId="7294B709" w14:textId="77777777" w:rsidR="00877924" w:rsidRPr="002F6C8E" w:rsidRDefault="00877924" w:rsidP="00877924">
            <w:pPr>
              <w:spacing w:before="60" w:after="60"/>
              <w:jc w:val="center"/>
              <w:rPr>
                <w:b/>
                <w:color w:val="595959"/>
              </w:rPr>
            </w:pPr>
            <w:r>
              <w:rPr>
                <w:b/>
                <w:color w:val="595959"/>
              </w:rPr>
              <w:t>Pagina</w:t>
            </w:r>
          </w:p>
        </w:tc>
      </w:tr>
      <w:tr w:rsidR="002F6C8E" w:rsidRPr="002F6C8E" w14:paraId="6AD94C27" w14:textId="77777777" w:rsidTr="00D208F7">
        <w:trPr>
          <w:jc w:val="center"/>
          <w:hidden/>
        </w:trPr>
        <w:tc>
          <w:tcPr>
            <w:tcW w:w="1129"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196"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16.11.2021</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Versiunea inițială (CFM 2021-2022)</w:t>
            </w:r>
          </w:p>
        </w:tc>
        <w:tc>
          <w:tcPr>
            <w:tcW w:w="884" w:type="dxa"/>
            <w:hideMark/>
          </w:tcPr>
          <w:p w14:paraId="0776925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6B8E79B0" w14:textId="77777777" w:rsidTr="00D208F7">
        <w:trPr>
          <w:jc w:val="center"/>
        </w:trPr>
        <w:tc>
          <w:tcPr>
            <w:tcW w:w="1129" w:type="dxa"/>
          </w:tcPr>
          <w:p w14:paraId="2D4B5C9F" w14:textId="77777777" w:rsidR="007C1E0D" w:rsidRPr="002F6C8E" w:rsidRDefault="007C1E0D" w:rsidP="0084666C">
            <w:pPr>
              <w:spacing w:before="60" w:after="60"/>
              <w:jc w:val="center"/>
              <w:rPr>
                <w:color w:val="595959"/>
                <w:sz w:val="18"/>
                <w:szCs w:val="18"/>
              </w:rPr>
            </w:pPr>
          </w:p>
        </w:tc>
        <w:tc>
          <w:tcPr>
            <w:tcW w:w="1196"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884" w:type="dxa"/>
            <w:vAlign w:val="center"/>
          </w:tcPr>
          <w:p w14:paraId="50EB3CF6"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543D7828" w14:textId="77777777" w:rsidTr="00D208F7">
        <w:trPr>
          <w:jc w:val="center"/>
        </w:trPr>
        <w:tc>
          <w:tcPr>
            <w:tcW w:w="1129" w:type="dxa"/>
          </w:tcPr>
          <w:p w14:paraId="53DF4A59" w14:textId="77777777" w:rsidR="007C1E0D" w:rsidRPr="002F6C8E" w:rsidRDefault="007C1E0D" w:rsidP="0084666C">
            <w:pPr>
              <w:spacing w:before="60" w:after="60"/>
              <w:jc w:val="center"/>
              <w:rPr>
                <w:color w:val="595959"/>
                <w:sz w:val="18"/>
                <w:szCs w:val="18"/>
              </w:rPr>
            </w:pPr>
          </w:p>
        </w:tc>
        <w:tc>
          <w:tcPr>
            <w:tcW w:w="1196"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884" w:type="dxa"/>
            <w:vAlign w:val="center"/>
          </w:tcPr>
          <w:p w14:paraId="641351FE"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30FE2898" w14:textId="77777777" w:rsidTr="00D208F7">
        <w:trPr>
          <w:jc w:val="center"/>
        </w:trPr>
        <w:tc>
          <w:tcPr>
            <w:tcW w:w="1129" w:type="dxa"/>
          </w:tcPr>
          <w:p w14:paraId="55376C2C" w14:textId="77777777" w:rsidR="007C1E0D" w:rsidRPr="002F6C8E" w:rsidRDefault="007C1E0D" w:rsidP="0084666C">
            <w:pPr>
              <w:spacing w:before="60" w:after="60"/>
              <w:jc w:val="center"/>
              <w:rPr>
                <w:color w:val="595959"/>
                <w:sz w:val="18"/>
                <w:szCs w:val="18"/>
              </w:rPr>
            </w:pPr>
          </w:p>
        </w:tc>
        <w:tc>
          <w:tcPr>
            <w:tcW w:w="1196"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884" w:type="dxa"/>
            <w:vAlign w:val="center"/>
          </w:tcPr>
          <w:p w14:paraId="29A81A1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877924" w:rsidRDefault="00877924" w:rsidP="00877924">
      <w:pPr>
        <w:spacing w:after="0"/>
        <w:rPr>
          <w:sz w:val="22"/>
          <w:szCs w:val="22"/>
          <w:lang w:val="en-US"/>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AGENȚIA EXECUTIVĂ EUROPEANĂ PENTRU</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EDUCAȚIE ȘI CULTURĂ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Creativitate, cetățenie și operațiuni comune</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Europa pentru cetățeni</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CERERE DE PROPUNERI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CUPRINS</w:t>
      </w:r>
    </w:p>
    <w:p w14:paraId="57E9CCFA" w14:textId="2A39DF22" w:rsidR="00CE15E1" w:rsidRDefault="00340A6F">
      <w:pPr>
        <w:pStyle w:val="TOC1"/>
        <w:rPr>
          <w:rFonts w:asciiTheme="minorHAnsi" w:eastAsiaTheme="minorEastAsia" w:hAnsiTheme="minorHAnsi" w:cstheme="minorBidi"/>
          <w:noProof/>
          <w:sz w:val="22"/>
          <w:szCs w:val="22"/>
          <w:lang w:val="fr-LU" w:eastAsia="fr-LU"/>
        </w:rPr>
      </w:pPr>
      <w:r>
        <w:fldChar w:fldCharType="begin"/>
      </w:r>
      <w:r>
        <w:instrText xml:space="preserve"> TOC \o "1-1" \h \z \t "Heading 2,2,Heading 3,3,Subtitle,2" </w:instrText>
      </w:r>
      <w:r>
        <w:fldChar w:fldCharType="separate"/>
      </w:r>
      <w:hyperlink w:anchor="_Toc92975171" w:history="1">
        <w:r w:rsidR="00CE15E1" w:rsidRPr="005C46E2">
          <w:rPr>
            <w:rStyle w:val="Hyperlink"/>
            <w:noProof/>
          </w:rPr>
          <w:t>0.</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Introducere</w:t>
        </w:r>
        <w:r w:rsidR="00CE15E1">
          <w:rPr>
            <w:noProof/>
            <w:webHidden/>
          </w:rPr>
          <w:tab/>
        </w:r>
        <w:r w:rsidR="00CE15E1">
          <w:rPr>
            <w:noProof/>
            <w:webHidden/>
          </w:rPr>
          <w:fldChar w:fldCharType="begin"/>
        </w:r>
        <w:r w:rsidR="00CE15E1">
          <w:rPr>
            <w:noProof/>
            <w:webHidden/>
          </w:rPr>
          <w:instrText xml:space="preserve"> PAGEREF _Toc92975171 \h </w:instrText>
        </w:r>
        <w:r w:rsidR="00CE15E1">
          <w:rPr>
            <w:noProof/>
            <w:webHidden/>
          </w:rPr>
        </w:r>
        <w:r w:rsidR="00CE15E1">
          <w:rPr>
            <w:noProof/>
            <w:webHidden/>
          </w:rPr>
          <w:fldChar w:fldCharType="separate"/>
        </w:r>
        <w:r w:rsidR="00CE15E1">
          <w:rPr>
            <w:noProof/>
            <w:webHidden/>
          </w:rPr>
          <w:t>5</w:t>
        </w:r>
        <w:r w:rsidR="00CE15E1">
          <w:rPr>
            <w:noProof/>
            <w:webHidden/>
          </w:rPr>
          <w:fldChar w:fldCharType="end"/>
        </w:r>
      </w:hyperlink>
    </w:p>
    <w:p w14:paraId="3F69828A" w14:textId="63DA5A19" w:rsidR="00CE15E1" w:rsidRDefault="00184E75">
      <w:pPr>
        <w:pStyle w:val="TOC1"/>
        <w:rPr>
          <w:rFonts w:asciiTheme="minorHAnsi" w:eastAsiaTheme="minorEastAsia" w:hAnsiTheme="minorHAnsi" w:cstheme="minorBidi"/>
          <w:noProof/>
          <w:sz w:val="22"/>
          <w:szCs w:val="22"/>
          <w:lang w:val="fr-LU" w:eastAsia="fr-LU"/>
        </w:rPr>
      </w:pPr>
      <w:hyperlink w:anchor="_Toc92975172" w:history="1">
        <w:r w:rsidR="00CE15E1" w:rsidRPr="005C46E2">
          <w:rPr>
            <w:rStyle w:val="Hyperlink"/>
            <w:noProof/>
          </w:rPr>
          <w:t>1.</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Context</w:t>
        </w:r>
        <w:r w:rsidR="00CE15E1">
          <w:rPr>
            <w:noProof/>
            <w:webHidden/>
          </w:rPr>
          <w:tab/>
        </w:r>
        <w:r w:rsidR="00CE15E1">
          <w:rPr>
            <w:noProof/>
            <w:webHidden/>
          </w:rPr>
          <w:fldChar w:fldCharType="begin"/>
        </w:r>
        <w:r w:rsidR="00CE15E1">
          <w:rPr>
            <w:noProof/>
            <w:webHidden/>
          </w:rPr>
          <w:instrText xml:space="preserve"> PAGEREF _Toc92975172 \h </w:instrText>
        </w:r>
        <w:r w:rsidR="00CE15E1">
          <w:rPr>
            <w:noProof/>
            <w:webHidden/>
          </w:rPr>
        </w:r>
        <w:r w:rsidR="00CE15E1">
          <w:rPr>
            <w:noProof/>
            <w:webHidden/>
          </w:rPr>
          <w:fldChar w:fldCharType="separate"/>
        </w:r>
        <w:r w:rsidR="00CE15E1">
          <w:rPr>
            <w:noProof/>
            <w:webHidden/>
          </w:rPr>
          <w:t>6</w:t>
        </w:r>
        <w:r w:rsidR="00CE15E1">
          <w:rPr>
            <w:noProof/>
            <w:webHidden/>
          </w:rPr>
          <w:fldChar w:fldCharType="end"/>
        </w:r>
      </w:hyperlink>
    </w:p>
    <w:p w14:paraId="4DC1BB4D" w14:textId="68A2BF5F" w:rsidR="00CE15E1" w:rsidRDefault="00184E75">
      <w:pPr>
        <w:pStyle w:val="TOC1"/>
        <w:rPr>
          <w:rFonts w:asciiTheme="minorHAnsi" w:eastAsiaTheme="minorEastAsia" w:hAnsiTheme="minorHAnsi" w:cstheme="minorBidi"/>
          <w:noProof/>
          <w:sz w:val="22"/>
          <w:szCs w:val="22"/>
          <w:lang w:val="fr-LU" w:eastAsia="fr-LU"/>
        </w:rPr>
      </w:pPr>
      <w:hyperlink w:anchor="_Toc92975173" w:history="1">
        <w:r w:rsidR="00CE15E1" w:rsidRPr="005C46E2">
          <w:rPr>
            <w:rStyle w:val="Hyperlink"/>
            <w:noProof/>
          </w:rPr>
          <w:t>2.</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Obiective – Teme și priorități – Activități care pot fi finanțate – Impactul preconizat</w:t>
        </w:r>
        <w:r w:rsidR="00CE15E1">
          <w:rPr>
            <w:noProof/>
            <w:webHidden/>
          </w:rPr>
          <w:tab/>
        </w:r>
        <w:r w:rsidR="00CE15E1">
          <w:rPr>
            <w:noProof/>
            <w:webHidden/>
          </w:rPr>
          <w:fldChar w:fldCharType="begin"/>
        </w:r>
        <w:r w:rsidR="00CE15E1">
          <w:rPr>
            <w:noProof/>
            <w:webHidden/>
          </w:rPr>
          <w:instrText xml:space="preserve"> PAGEREF _Toc92975173 \h </w:instrText>
        </w:r>
        <w:r w:rsidR="00CE15E1">
          <w:rPr>
            <w:noProof/>
            <w:webHidden/>
          </w:rPr>
        </w:r>
        <w:r w:rsidR="00CE15E1">
          <w:rPr>
            <w:noProof/>
            <w:webHidden/>
          </w:rPr>
          <w:fldChar w:fldCharType="separate"/>
        </w:r>
        <w:r w:rsidR="00CE15E1">
          <w:rPr>
            <w:noProof/>
            <w:webHidden/>
          </w:rPr>
          <w:t>6</w:t>
        </w:r>
        <w:r w:rsidR="00CE15E1">
          <w:rPr>
            <w:noProof/>
            <w:webHidden/>
          </w:rPr>
          <w:fldChar w:fldCharType="end"/>
        </w:r>
      </w:hyperlink>
    </w:p>
    <w:p w14:paraId="1C3B6AA4" w14:textId="75F6158C" w:rsidR="00CE15E1" w:rsidRDefault="00184E75">
      <w:pPr>
        <w:pStyle w:val="TOC3"/>
        <w:rPr>
          <w:rFonts w:asciiTheme="minorHAnsi" w:eastAsiaTheme="minorEastAsia" w:hAnsiTheme="minorHAnsi" w:cstheme="minorBidi"/>
          <w:sz w:val="22"/>
          <w:szCs w:val="22"/>
          <w:lang w:val="fr-LU" w:eastAsia="fr-LU"/>
        </w:rPr>
      </w:pPr>
      <w:hyperlink w:anchor="_Toc92975174" w:history="1">
        <w:r w:rsidR="00CE15E1" w:rsidRPr="005C46E2">
          <w:rPr>
            <w:rStyle w:val="Hyperlink"/>
          </w:rPr>
          <w:t>Obiective</w:t>
        </w:r>
        <w:r w:rsidR="00CE15E1">
          <w:rPr>
            <w:webHidden/>
          </w:rPr>
          <w:tab/>
        </w:r>
        <w:r w:rsidR="00CE15E1">
          <w:rPr>
            <w:webHidden/>
          </w:rPr>
          <w:fldChar w:fldCharType="begin"/>
        </w:r>
        <w:r w:rsidR="00CE15E1">
          <w:rPr>
            <w:webHidden/>
          </w:rPr>
          <w:instrText xml:space="preserve"> PAGEREF _Toc92975174 \h </w:instrText>
        </w:r>
        <w:r w:rsidR="00CE15E1">
          <w:rPr>
            <w:webHidden/>
          </w:rPr>
        </w:r>
        <w:r w:rsidR="00CE15E1">
          <w:rPr>
            <w:webHidden/>
          </w:rPr>
          <w:fldChar w:fldCharType="separate"/>
        </w:r>
        <w:r w:rsidR="00CE15E1">
          <w:rPr>
            <w:webHidden/>
          </w:rPr>
          <w:t>6</w:t>
        </w:r>
        <w:r w:rsidR="00CE15E1">
          <w:rPr>
            <w:webHidden/>
          </w:rPr>
          <w:fldChar w:fldCharType="end"/>
        </w:r>
      </w:hyperlink>
    </w:p>
    <w:p w14:paraId="2E76DE1C" w14:textId="1736013C" w:rsidR="00CE15E1" w:rsidRDefault="00184E75">
      <w:pPr>
        <w:pStyle w:val="TOC3"/>
        <w:rPr>
          <w:rFonts w:asciiTheme="minorHAnsi" w:eastAsiaTheme="minorEastAsia" w:hAnsiTheme="minorHAnsi" w:cstheme="minorBidi"/>
          <w:sz w:val="22"/>
          <w:szCs w:val="22"/>
          <w:lang w:val="fr-LU" w:eastAsia="fr-LU"/>
        </w:rPr>
      </w:pPr>
      <w:hyperlink w:anchor="_Toc92975175" w:history="1">
        <w:r w:rsidR="00CE15E1" w:rsidRPr="005C46E2">
          <w:rPr>
            <w:rStyle w:val="Hyperlink"/>
          </w:rPr>
          <w:t>Teme și priorități (domeniu de aplicare)</w:t>
        </w:r>
        <w:r w:rsidR="00CE15E1">
          <w:rPr>
            <w:webHidden/>
          </w:rPr>
          <w:tab/>
        </w:r>
        <w:r w:rsidR="00CE15E1">
          <w:rPr>
            <w:webHidden/>
          </w:rPr>
          <w:fldChar w:fldCharType="begin"/>
        </w:r>
        <w:r w:rsidR="00CE15E1">
          <w:rPr>
            <w:webHidden/>
          </w:rPr>
          <w:instrText xml:space="preserve"> PAGEREF _Toc92975175 \h </w:instrText>
        </w:r>
        <w:r w:rsidR="00CE15E1">
          <w:rPr>
            <w:webHidden/>
          </w:rPr>
        </w:r>
        <w:r w:rsidR="00CE15E1">
          <w:rPr>
            <w:webHidden/>
          </w:rPr>
          <w:fldChar w:fldCharType="separate"/>
        </w:r>
        <w:r w:rsidR="00CE15E1">
          <w:rPr>
            <w:webHidden/>
          </w:rPr>
          <w:t>7</w:t>
        </w:r>
        <w:r w:rsidR="00CE15E1">
          <w:rPr>
            <w:webHidden/>
          </w:rPr>
          <w:fldChar w:fldCharType="end"/>
        </w:r>
      </w:hyperlink>
    </w:p>
    <w:p w14:paraId="2133AB6B" w14:textId="606FC52E" w:rsidR="00CE15E1" w:rsidRDefault="00184E75">
      <w:pPr>
        <w:pStyle w:val="TOC3"/>
        <w:rPr>
          <w:rFonts w:asciiTheme="minorHAnsi" w:eastAsiaTheme="minorEastAsia" w:hAnsiTheme="minorHAnsi" w:cstheme="minorBidi"/>
          <w:sz w:val="22"/>
          <w:szCs w:val="22"/>
          <w:lang w:val="fr-LU" w:eastAsia="fr-LU"/>
        </w:rPr>
      </w:pPr>
      <w:hyperlink w:anchor="_Toc92975176" w:history="1">
        <w:r w:rsidR="00CE15E1" w:rsidRPr="005C46E2">
          <w:rPr>
            <w:rStyle w:val="Hyperlink"/>
          </w:rPr>
          <w:t>Obiective</w:t>
        </w:r>
        <w:r w:rsidR="00CE15E1">
          <w:rPr>
            <w:webHidden/>
          </w:rPr>
          <w:tab/>
        </w:r>
        <w:r w:rsidR="00CE15E1">
          <w:rPr>
            <w:webHidden/>
          </w:rPr>
          <w:fldChar w:fldCharType="begin"/>
        </w:r>
        <w:r w:rsidR="00CE15E1">
          <w:rPr>
            <w:webHidden/>
          </w:rPr>
          <w:instrText xml:space="preserve"> PAGEREF _Toc92975176 \h </w:instrText>
        </w:r>
        <w:r w:rsidR="00CE15E1">
          <w:rPr>
            <w:webHidden/>
          </w:rPr>
        </w:r>
        <w:r w:rsidR="00CE15E1">
          <w:rPr>
            <w:webHidden/>
          </w:rPr>
          <w:fldChar w:fldCharType="separate"/>
        </w:r>
        <w:r w:rsidR="00CE15E1">
          <w:rPr>
            <w:webHidden/>
          </w:rPr>
          <w:t>8</w:t>
        </w:r>
        <w:r w:rsidR="00CE15E1">
          <w:rPr>
            <w:webHidden/>
          </w:rPr>
          <w:fldChar w:fldCharType="end"/>
        </w:r>
      </w:hyperlink>
    </w:p>
    <w:p w14:paraId="5643FA24" w14:textId="103F7673" w:rsidR="00CE15E1" w:rsidRDefault="00184E75">
      <w:pPr>
        <w:pStyle w:val="TOC3"/>
        <w:rPr>
          <w:rFonts w:asciiTheme="minorHAnsi" w:eastAsiaTheme="minorEastAsia" w:hAnsiTheme="minorHAnsi" w:cstheme="minorBidi"/>
          <w:sz w:val="22"/>
          <w:szCs w:val="22"/>
          <w:lang w:val="fr-LU" w:eastAsia="fr-LU"/>
        </w:rPr>
      </w:pPr>
      <w:hyperlink w:anchor="_Toc92975177" w:history="1">
        <w:r w:rsidR="00CE15E1" w:rsidRPr="005C46E2">
          <w:rPr>
            <w:rStyle w:val="Hyperlink"/>
          </w:rPr>
          <w:t>Teme și priorități (domeniu de aplicare)</w:t>
        </w:r>
        <w:r w:rsidR="00CE15E1">
          <w:rPr>
            <w:webHidden/>
          </w:rPr>
          <w:tab/>
        </w:r>
        <w:r w:rsidR="00CE15E1">
          <w:rPr>
            <w:webHidden/>
          </w:rPr>
          <w:fldChar w:fldCharType="begin"/>
        </w:r>
        <w:r w:rsidR="00CE15E1">
          <w:rPr>
            <w:webHidden/>
          </w:rPr>
          <w:instrText xml:space="preserve"> PAGEREF _Toc92975177 \h </w:instrText>
        </w:r>
        <w:r w:rsidR="00CE15E1">
          <w:rPr>
            <w:webHidden/>
          </w:rPr>
        </w:r>
        <w:r w:rsidR="00CE15E1">
          <w:rPr>
            <w:webHidden/>
          </w:rPr>
          <w:fldChar w:fldCharType="separate"/>
        </w:r>
        <w:r w:rsidR="00CE15E1">
          <w:rPr>
            <w:webHidden/>
          </w:rPr>
          <w:t>9</w:t>
        </w:r>
        <w:r w:rsidR="00CE15E1">
          <w:rPr>
            <w:webHidden/>
          </w:rPr>
          <w:fldChar w:fldCharType="end"/>
        </w:r>
      </w:hyperlink>
    </w:p>
    <w:p w14:paraId="08E021DB" w14:textId="3884DED8" w:rsidR="00CE15E1" w:rsidRDefault="00184E75">
      <w:pPr>
        <w:pStyle w:val="TOC3"/>
        <w:rPr>
          <w:rFonts w:asciiTheme="minorHAnsi" w:eastAsiaTheme="minorEastAsia" w:hAnsiTheme="minorHAnsi" w:cstheme="minorBidi"/>
          <w:sz w:val="22"/>
          <w:szCs w:val="22"/>
          <w:lang w:val="fr-LU" w:eastAsia="fr-LU"/>
        </w:rPr>
      </w:pPr>
      <w:hyperlink w:anchor="_Toc92975178" w:history="1">
        <w:r w:rsidR="00CE15E1" w:rsidRPr="005C46E2">
          <w:rPr>
            <w:rStyle w:val="Hyperlink"/>
          </w:rPr>
          <w:t>Activități care pot fi finanțate (domeniu de aplicare)</w:t>
        </w:r>
        <w:r w:rsidR="00CE15E1">
          <w:rPr>
            <w:webHidden/>
          </w:rPr>
          <w:tab/>
        </w:r>
        <w:r w:rsidR="00CE15E1">
          <w:rPr>
            <w:webHidden/>
          </w:rPr>
          <w:fldChar w:fldCharType="begin"/>
        </w:r>
        <w:r w:rsidR="00CE15E1">
          <w:rPr>
            <w:webHidden/>
          </w:rPr>
          <w:instrText xml:space="preserve"> PAGEREF _Toc92975178 \h </w:instrText>
        </w:r>
        <w:r w:rsidR="00CE15E1">
          <w:rPr>
            <w:webHidden/>
          </w:rPr>
        </w:r>
        <w:r w:rsidR="00CE15E1">
          <w:rPr>
            <w:webHidden/>
          </w:rPr>
          <w:fldChar w:fldCharType="separate"/>
        </w:r>
        <w:r w:rsidR="00CE15E1">
          <w:rPr>
            <w:webHidden/>
          </w:rPr>
          <w:t>10</w:t>
        </w:r>
        <w:r w:rsidR="00CE15E1">
          <w:rPr>
            <w:webHidden/>
          </w:rPr>
          <w:fldChar w:fldCharType="end"/>
        </w:r>
      </w:hyperlink>
    </w:p>
    <w:p w14:paraId="197F7BD1" w14:textId="32A6B59D" w:rsidR="00CE15E1" w:rsidRDefault="00184E75">
      <w:pPr>
        <w:pStyle w:val="TOC3"/>
        <w:rPr>
          <w:rFonts w:asciiTheme="minorHAnsi" w:eastAsiaTheme="minorEastAsia" w:hAnsiTheme="minorHAnsi" w:cstheme="minorBidi"/>
          <w:sz w:val="22"/>
          <w:szCs w:val="22"/>
          <w:lang w:val="fr-LU" w:eastAsia="fr-LU"/>
        </w:rPr>
      </w:pPr>
      <w:hyperlink w:anchor="_Toc92975179" w:history="1">
        <w:r w:rsidR="00CE15E1" w:rsidRPr="005C46E2">
          <w:rPr>
            <w:rStyle w:val="Hyperlink"/>
          </w:rPr>
          <w:t>Impactul preconizat</w:t>
        </w:r>
        <w:r w:rsidR="00CE15E1">
          <w:rPr>
            <w:webHidden/>
          </w:rPr>
          <w:tab/>
        </w:r>
        <w:r w:rsidR="00CE15E1">
          <w:rPr>
            <w:webHidden/>
          </w:rPr>
          <w:fldChar w:fldCharType="begin"/>
        </w:r>
        <w:r w:rsidR="00CE15E1">
          <w:rPr>
            <w:webHidden/>
          </w:rPr>
          <w:instrText xml:space="preserve"> PAGEREF _Toc92975179 \h </w:instrText>
        </w:r>
        <w:r w:rsidR="00CE15E1">
          <w:rPr>
            <w:webHidden/>
          </w:rPr>
        </w:r>
        <w:r w:rsidR="00CE15E1">
          <w:rPr>
            <w:webHidden/>
          </w:rPr>
          <w:fldChar w:fldCharType="separate"/>
        </w:r>
        <w:r w:rsidR="00CE15E1">
          <w:rPr>
            <w:webHidden/>
          </w:rPr>
          <w:t>10</w:t>
        </w:r>
        <w:r w:rsidR="00CE15E1">
          <w:rPr>
            <w:webHidden/>
          </w:rPr>
          <w:fldChar w:fldCharType="end"/>
        </w:r>
      </w:hyperlink>
    </w:p>
    <w:p w14:paraId="4ABDCFAD" w14:textId="36CFBD16" w:rsidR="00CE15E1" w:rsidRDefault="00184E75">
      <w:pPr>
        <w:pStyle w:val="TOC1"/>
        <w:rPr>
          <w:rFonts w:asciiTheme="minorHAnsi" w:eastAsiaTheme="minorEastAsia" w:hAnsiTheme="minorHAnsi" w:cstheme="minorBidi"/>
          <w:noProof/>
          <w:sz w:val="22"/>
          <w:szCs w:val="22"/>
          <w:lang w:val="fr-LU" w:eastAsia="fr-LU"/>
        </w:rPr>
      </w:pPr>
      <w:hyperlink w:anchor="_Toc92975180" w:history="1">
        <w:r w:rsidR="00CE15E1" w:rsidRPr="005C46E2">
          <w:rPr>
            <w:rStyle w:val="Hyperlink"/>
            <w:noProof/>
          </w:rPr>
          <w:t>3.</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Buget disponibil</w:t>
        </w:r>
        <w:r w:rsidR="00CE15E1">
          <w:rPr>
            <w:noProof/>
            <w:webHidden/>
          </w:rPr>
          <w:tab/>
        </w:r>
        <w:r w:rsidR="00CE15E1">
          <w:rPr>
            <w:noProof/>
            <w:webHidden/>
          </w:rPr>
          <w:fldChar w:fldCharType="begin"/>
        </w:r>
        <w:r w:rsidR="00CE15E1">
          <w:rPr>
            <w:noProof/>
            <w:webHidden/>
          </w:rPr>
          <w:instrText xml:space="preserve"> PAGEREF _Toc92975180 \h </w:instrText>
        </w:r>
        <w:r w:rsidR="00CE15E1">
          <w:rPr>
            <w:noProof/>
            <w:webHidden/>
          </w:rPr>
        </w:r>
        <w:r w:rsidR="00CE15E1">
          <w:rPr>
            <w:noProof/>
            <w:webHidden/>
          </w:rPr>
          <w:fldChar w:fldCharType="separate"/>
        </w:r>
        <w:r w:rsidR="00CE15E1">
          <w:rPr>
            <w:noProof/>
            <w:webHidden/>
          </w:rPr>
          <w:t>10</w:t>
        </w:r>
        <w:r w:rsidR="00CE15E1">
          <w:rPr>
            <w:noProof/>
            <w:webHidden/>
          </w:rPr>
          <w:fldChar w:fldCharType="end"/>
        </w:r>
      </w:hyperlink>
    </w:p>
    <w:p w14:paraId="6ED4F603" w14:textId="7D76801D" w:rsidR="00CE15E1" w:rsidRDefault="00184E75">
      <w:pPr>
        <w:pStyle w:val="TOC1"/>
        <w:rPr>
          <w:rFonts w:asciiTheme="minorHAnsi" w:eastAsiaTheme="minorEastAsia" w:hAnsiTheme="minorHAnsi" w:cstheme="minorBidi"/>
          <w:noProof/>
          <w:sz w:val="22"/>
          <w:szCs w:val="22"/>
          <w:lang w:val="fr-LU" w:eastAsia="fr-LU"/>
        </w:rPr>
      </w:pPr>
      <w:hyperlink w:anchor="_Toc92975181" w:history="1">
        <w:r w:rsidR="00CE15E1" w:rsidRPr="005C46E2">
          <w:rPr>
            <w:rStyle w:val="Hyperlink"/>
            <w:noProof/>
          </w:rPr>
          <w:t>4.</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Calendar și termene</w:t>
        </w:r>
        <w:r w:rsidR="00CE15E1">
          <w:rPr>
            <w:noProof/>
            <w:webHidden/>
          </w:rPr>
          <w:tab/>
        </w:r>
        <w:r w:rsidR="00CE15E1">
          <w:rPr>
            <w:noProof/>
            <w:webHidden/>
          </w:rPr>
          <w:fldChar w:fldCharType="begin"/>
        </w:r>
        <w:r w:rsidR="00CE15E1">
          <w:rPr>
            <w:noProof/>
            <w:webHidden/>
          </w:rPr>
          <w:instrText xml:space="preserve"> PAGEREF _Toc92975181 \h </w:instrText>
        </w:r>
        <w:r w:rsidR="00CE15E1">
          <w:rPr>
            <w:noProof/>
            <w:webHidden/>
          </w:rPr>
        </w:r>
        <w:r w:rsidR="00CE15E1">
          <w:rPr>
            <w:noProof/>
            <w:webHidden/>
          </w:rPr>
          <w:fldChar w:fldCharType="separate"/>
        </w:r>
        <w:r w:rsidR="00CE15E1">
          <w:rPr>
            <w:noProof/>
            <w:webHidden/>
          </w:rPr>
          <w:t>11</w:t>
        </w:r>
        <w:r w:rsidR="00CE15E1">
          <w:rPr>
            <w:noProof/>
            <w:webHidden/>
          </w:rPr>
          <w:fldChar w:fldCharType="end"/>
        </w:r>
      </w:hyperlink>
    </w:p>
    <w:p w14:paraId="7AEECCF1" w14:textId="432344A6" w:rsidR="00CE15E1" w:rsidRDefault="00184E75">
      <w:pPr>
        <w:pStyle w:val="TOC1"/>
        <w:rPr>
          <w:rFonts w:asciiTheme="minorHAnsi" w:eastAsiaTheme="minorEastAsia" w:hAnsiTheme="minorHAnsi" w:cstheme="minorBidi"/>
          <w:noProof/>
          <w:sz w:val="22"/>
          <w:szCs w:val="22"/>
          <w:lang w:val="fr-LU" w:eastAsia="fr-LU"/>
        </w:rPr>
      </w:pPr>
      <w:hyperlink w:anchor="_Toc92975182" w:history="1">
        <w:r w:rsidR="00CE15E1" w:rsidRPr="005C46E2">
          <w:rPr>
            <w:rStyle w:val="Hyperlink"/>
            <w:noProof/>
          </w:rPr>
          <w:t>5.</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Admisibilitate și documente</w:t>
        </w:r>
        <w:r w:rsidR="00CE15E1">
          <w:rPr>
            <w:noProof/>
            <w:webHidden/>
          </w:rPr>
          <w:tab/>
        </w:r>
        <w:r w:rsidR="00CE15E1">
          <w:rPr>
            <w:noProof/>
            <w:webHidden/>
          </w:rPr>
          <w:fldChar w:fldCharType="begin"/>
        </w:r>
        <w:r w:rsidR="00CE15E1">
          <w:rPr>
            <w:noProof/>
            <w:webHidden/>
          </w:rPr>
          <w:instrText xml:space="preserve"> PAGEREF _Toc92975182 \h </w:instrText>
        </w:r>
        <w:r w:rsidR="00CE15E1">
          <w:rPr>
            <w:noProof/>
            <w:webHidden/>
          </w:rPr>
        </w:r>
        <w:r w:rsidR="00CE15E1">
          <w:rPr>
            <w:noProof/>
            <w:webHidden/>
          </w:rPr>
          <w:fldChar w:fldCharType="separate"/>
        </w:r>
        <w:r w:rsidR="00CE15E1">
          <w:rPr>
            <w:noProof/>
            <w:webHidden/>
          </w:rPr>
          <w:t>11</w:t>
        </w:r>
        <w:r w:rsidR="00CE15E1">
          <w:rPr>
            <w:noProof/>
            <w:webHidden/>
          </w:rPr>
          <w:fldChar w:fldCharType="end"/>
        </w:r>
      </w:hyperlink>
    </w:p>
    <w:p w14:paraId="3639437F" w14:textId="4E22F0CA" w:rsidR="00CE15E1" w:rsidRDefault="00184E75">
      <w:pPr>
        <w:pStyle w:val="TOC1"/>
        <w:rPr>
          <w:rFonts w:asciiTheme="minorHAnsi" w:eastAsiaTheme="minorEastAsia" w:hAnsiTheme="minorHAnsi" w:cstheme="minorBidi"/>
          <w:noProof/>
          <w:sz w:val="22"/>
          <w:szCs w:val="22"/>
          <w:lang w:val="fr-LU" w:eastAsia="fr-LU"/>
        </w:rPr>
      </w:pPr>
      <w:hyperlink w:anchor="_Toc92975183" w:history="1">
        <w:r w:rsidR="00CE15E1" w:rsidRPr="005C46E2">
          <w:rPr>
            <w:rStyle w:val="Hyperlink"/>
            <w:noProof/>
          </w:rPr>
          <w:t>6.</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Eligibilitate</w:t>
        </w:r>
        <w:r w:rsidR="00CE15E1">
          <w:rPr>
            <w:noProof/>
            <w:webHidden/>
          </w:rPr>
          <w:tab/>
        </w:r>
        <w:r w:rsidR="00CE15E1">
          <w:rPr>
            <w:noProof/>
            <w:webHidden/>
          </w:rPr>
          <w:fldChar w:fldCharType="begin"/>
        </w:r>
        <w:r w:rsidR="00CE15E1">
          <w:rPr>
            <w:noProof/>
            <w:webHidden/>
          </w:rPr>
          <w:instrText xml:space="preserve"> PAGEREF _Toc92975183 \h </w:instrText>
        </w:r>
        <w:r w:rsidR="00CE15E1">
          <w:rPr>
            <w:noProof/>
            <w:webHidden/>
          </w:rPr>
        </w:r>
        <w:r w:rsidR="00CE15E1">
          <w:rPr>
            <w:noProof/>
            <w:webHidden/>
          </w:rPr>
          <w:fldChar w:fldCharType="separate"/>
        </w:r>
        <w:r w:rsidR="00CE15E1">
          <w:rPr>
            <w:noProof/>
            <w:webHidden/>
          </w:rPr>
          <w:t>12</w:t>
        </w:r>
        <w:r w:rsidR="00CE15E1">
          <w:rPr>
            <w:noProof/>
            <w:webHidden/>
          </w:rPr>
          <w:fldChar w:fldCharType="end"/>
        </w:r>
      </w:hyperlink>
    </w:p>
    <w:p w14:paraId="4DDF220C" w14:textId="38676A59" w:rsidR="00CE15E1" w:rsidRDefault="00184E75">
      <w:pPr>
        <w:pStyle w:val="TOC3"/>
        <w:rPr>
          <w:rFonts w:asciiTheme="minorHAnsi" w:eastAsiaTheme="minorEastAsia" w:hAnsiTheme="minorHAnsi" w:cstheme="minorBidi"/>
          <w:sz w:val="22"/>
          <w:szCs w:val="22"/>
          <w:lang w:val="fr-LU" w:eastAsia="fr-LU"/>
        </w:rPr>
      </w:pPr>
      <w:hyperlink w:anchor="_Toc92975184" w:history="1">
        <w:r w:rsidR="00CE15E1" w:rsidRPr="005C46E2">
          <w:rPr>
            <w:rStyle w:val="Hyperlink"/>
          </w:rPr>
          <w:t>Participanți eligibili (țări eligibile)</w:t>
        </w:r>
        <w:r w:rsidR="00CE15E1">
          <w:rPr>
            <w:webHidden/>
          </w:rPr>
          <w:tab/>
        </w:r>
        <w:r w:rsidR="00CE15E1">
          <w:rPr>
            <w:webHidden/>
          </w:rPr>
          <w:fldChar w:fldCharType="begin"/>
        </w:r>
        <w:r w:rsidR="00CE15E1">
          <w:rPr>
            <w:webHidden/>
          </w:rPr>
          <w:instrText xml:space="preserve"> PAGEREF _Toc92975184 \h </w:instrText>
        </w:r>
        <w:r w:rsidR="00CE15E1">
          <w:rPr>
            <w:webHidden/>
          </w:rPr>
        </w:r>
        <w:r w:rsidR="00CE15E1">
          <w:rPr>
            <w:webHidden/>
          </w:rPr>
          <w:fldChar w:fldCharType="separate"/>
        </w:r>
        <w:r w:rsidR="00CE15E1">
          <w:rPr>
            <w:webHidden/>
          </w:rPr>
          <w:t>12</w:t>
        </w:r>
        <w:r w:rsidR="00CE15E1">
          <w:rPr>
            <w:webHidden/>
          </w:rPr>
          <w:fldChar w:fldCharType="end"/>
        </w:r>
      </w:hyperlink>
    </w:p>
    <w:p w14:paraId="042A0812" w14:textId="1D2BB696" w:rsidR="00CE15E1" w:rsidRDefault="00184E75">
      <w:pPr>
        <w:pStyle w:val="TOC3"/>
        <w:rPr>
          <w:rFonts w:asciiTheme="minorHAnsi" w:eastAsiaTheme="minorEastAsia" w:hAnsiTheme="minorHAnsi" w:cstheme="minorBidi"/>
          <w:sz w:val="22"/>
          <w:szCs w:val="22"/>
          <w:lang w:val="fr-LU" w:eastAsia="fr-LU"/>
        </w:rPr>
      </w:pPr>
      <w:hyperlink w:anchor="_Toc92975185" w:history="1">
        <w:r w:rsidR="00CE15E1" w:rsidRPr="005C46E2">
          <w:rPr>
            <w:rStyle w:val="Hyperlink"/>
          </w:rPr>
          <w:t>Componența consorțiului</w:t>
        </w:r>
        <w:r w:rsidR="00CE15E1">
          <w:rPr>
            <w:webHidden/>
          </w:rPr>
          <w:tab/>
        </w:r>
        <w:r w:rsidR="00CE15E1">
          <w:rPr>
            <w:webHidden/>
          </w:rPr>
          <w:fldChar w:fldCharType="begin"/>
        </w:r>
        <w:r w:rsidR="00CE15E1">
          <w:rPr>
            <w:webHidden/>
          </w:rPr>
          <w:instrText xml:space="preserve"> PAGEREF _Toc92975185 \h </w:instrText>
        </w:r>
        <w:r w:rsidR="00CE15E1">
          <w:rPr>
            <w:webHidden/>
          </w:rPr>
        </w:r>
        <w:r w:rsidR="00CE15E1">
          <w:rPr>
            <w:webHidden/>
          </w:rPr>
          <w:fldChar w:fldCharType="separate"/>
        </w:r>
        <w:r w:rsidR="00CE15E1">
          <w:rPr>
            <w:webHidden/>
          </w:rPr>
          <w:t>14</w:t>
        </w:r>
        <w:r w:rsidR="00CE15E1">
          <w:rPr>
            <w:webHidden/>
          </w:rPr>
          <w:fldChar w:fldCharType="end"/>
        </w:r>
      </w:hyperlink>
    </w:p>
    <w:p w14:paraId="5B84489E" w14:textId="54526EA9" w:rsidR="00CE15E1" w:rsidRDefault="00184E75">
      <w:pPr>
        <w:pStyle w:val="TOC3"/>
        <w:rPr>
          <w:rFonts w:asciiTheme="minorHAnsi" w:eastAsiaTheme="minorEastAsia" w:hAnsiTheme="minorHAnsi" w:cstheme="minorBidi"/>
          <w:sz w:val="22"/>
          <w:szCs w:val="22"/>
          <w:lang w:val="fr-LU" w:eastAsia="fr-LU"/>
        </w:rPr>
      </w:pPr>
      <w:hyperlink w:anchor="_Toc92975186" w:history="1">
        <w:r w:rsidR="00CE15E1" w:rsidRPr="005C46E2">
          <w:rPr>
            <w:rStyle w:val="Hyperlink"/>
          </w:rPr>
          <w:t>Activități eligibile</w:t>
        </w:r>
        <w:r w:rsidR="00CE15E1">
          <w:rPr>
            <w:webHidden/>
          </w:rPr>
          <w:tab/>
        </w:r>
        <w:r w:rsidR="00CE15E1">
          <w:rPr>
            <w:webHidden/>
          </w:rPr>
          <w:fldChar w:fldCharType="begin"/>
        </w:r>
        <w:r w:rsidR="00CE15E1">
          <w:rPr>
            <w:webHidden/>
          </w:rPr>
          <w:instrText xml:space="preserve"> PAGEREF _Toc92975186 \h </w:instrText>
        </w:r>
        <w:r w:rsidR="00CE15E1">
          <w:rPr>
            <w:webHidden/>
          </w:rPr>
        </w:r>
        <w:r w:rsidR="00CE15E1">
          <w:rPr>
            <w:webHidden/>
          </w:rPr>
          <w:fldChar w:fldCharType="separate"/>
        </w:r>
        <w:r w:rsidR="00CE15E1">
          <w:rPr>
            <w:webHidden/>
          </w:rPr>
          <w:t>14</w:t>
        </w:r>
        <w:r w:rsidR="00CE15E1">
          <w:rPr>
            <w:webHidden/>
          </w:rPr>
          <w:fldChar w:fldCharType="end"/>
        </w:r>
      </w:hyperlink>
    </w:p>
    <w:p w14:paraId="7CE2CA6F" w14:textId="3638815B" w:rsidR="00CE15E1" w:rsidRDefault="00184E75">
      <w:pPr>
        <w:pStyle w:val="TOC3"/>
        <w:rPr>
          <w:rFonts w:asciiTheme="minorHAnsi" w:eastAsiaTheme="minorEastAsia" w:hAnsiTheme="minorHAnsi" w:cstheme="minorBidi"/>
          <w:sz w:val="22"/>
          <w:szCs w:val="22"/>
          <w:lang w:val="fr-LU" w:eastAsia="fr-LU"/>
        </w:rPr>
      </w:pPr>
      <w:hyperlink w:anchor="_Toc92975187" w:history="1">
        <w:r w:rsidR="00CE15E1" w:rsidRPr="005C46E2">
          <w:rPr>
            <w:rStyle w:val="Hyperlink"/>
          </w:rPr>
          <w:t>Localizare geografică (țări vizate)</w:t>
        </w:r>
        <w:r w:rsidR="00CE15E1">
          <w:rPr>
            <w:webHidden/>
          </w:rPr>
          <w:tab/>
        </w:r>
        <w:r w:rsidR="00CE15E1">
          <w:rPr>
            <w:webHidden/>
          </w:rPr>
          <w:fldChar w:fldCharType="begin"/>
        </w:r>
        <w:r w:rsidR="00CE15E1">
          <w:rPr>
            <w:webHidden/>
          </w:rPr>
          <w:instrText xml:space="preserve"> PAGEREF _Toc92975187 \h </w:instrText>
        </w:r>
        <w:r w:rsidR="00CE15E1">
          <w:rPr>
            <w:webHidden/>
          </w:rPr>
        </w:r>
        <w:r w:rsidR="00CE15E1">
          <w:rPr>
            <w:webHidden/>
          </w:rPr>
          <w:fldChar w:fldCharType="separate"/>
        </w:r>
        <w:r w:rsidR="00CE15E1">
          <w:rPr>
            <w:webHidden/>
          </w:rPr>
          <w:t>15</w:t>
        </w:r>
        <w:r w:rsidR="00CE15E1">
          <w:rPr>
            <w:webHidden/>
          </w:rPr>
          <w:fldChar w:fldCharType="end"/>
        </w:r>
      </w:hyperlink>
    </w:p>
    <w:p w14:paraId="237CF9E4" w14:textId="204569C0" w:rsidR="00CE15E1" w:rsidRDefault="00184E75">
      <w:pPr>
        <w:pStyle w:val="TOC3"/>
        <w:rPr>
          <w:rFonts w:asciiTheme="minorHAnsi" w:eastAsiaTheme="minorEastAsia" w:hAnsiTheme="minorHAnsi" w:cstheme="minorBidi"/>
          <w:sz w:val="22"/>
          <w:szCs w:val="22"/>
          <w:lang w:val="fr-LU" w:eastAsia="fr-LU"/>
        </w:rPr>
      </w:pPr>
      <w:hyperlink w:anchor="_Toc92975188" w:history="1">
        <w:r w:rsidR="00CE15E1" w:rsidRPr="005C46E2">
          <w:rPr>
            <w:rStyle w:val="Hyperlink"/>
          </w:rPr>
          <w:t>Durata</w:t>
        </w:r>
        <w:r w:rsidR="00CE15E1">
          <w:rPr>
            <w:webHidden/>
          </w:rPr>
          <w:tab/>
        </w:r>
        <w:r w:rsidR="00CE15E1">
          <w:rPr>
            <w:webHidden/>
          </w:rPr>
          <w:fldChar w:fldCharType="begin"/>
        </w:r>
        <w:r w:rsidR="00CE15E1">
          <w:rPr>
            <w:webHidden/>
          </w:rPr>
          <w:instrText xml:space="preserve"> PAGEREF _Toc92975188 \h </w:instrText>
        </w:r>
        <w:r w:rsidR="00CE15E1">
          <w:rPr>
            <w:webHidden/>
          </w:rPr>
        </w:r>
        <w:r w:rsidR="00CE15E1">
          <w:rPr>
            <w:webHidden/>
          </w:rPr>
          <w:fldChar w:fldCharType="separate"/>
        </w:r>
        <w:r w:rsidR="00CE15E1">
          <w:rPr>
            <w:webHidden/>
          </w:rPr>
          <w:t>15</w:t>
        </w:r>
        <w:r w:rsidR="00CE15E1">
          <w:rPr>
            <w:webHidden/>
          </w:rPr>
          <w:fldChar w:fldCharType="end"/>
        </w:r>
      </w:hyperlink>
    </w:p>
    <w:p w14:paraId="0C8B5328" w14:textId="79A9B261" w:rsidR="00CE15E1" w:rsidRDefault="00184E75">
      <w:pPr>
        <w:pStyle w:val="TOC3"/>
        <w:rPr>
          <w:rFonts w:asciiTheme="minorHAnsi" w:eastAsiaTheme="minorEastAsia" w:hAnsiTheme="minorHAnsi" w:cstheme="minorBidi"/>
          <w:sz w:val="22"/>
          <w:szCs w:val="22"/>
          <w:lang w:val="fr-LU" w:eastAsia="fr-LU"/>
        </w:rPr>
      </w:pPr>
      <w:hyperlink w:anchor="_Toc92975189" w:history="1">
        <w:r w:rsidR="00CE15E1" w:rsidRPr="005C46E2">
          <w:rPr>
            <w:rStyle w:val="Hyperlink"/>
          </w:rPr>
          <w:t>Etica și valorile UE</w:t>
        </w:r>
        <w:r w:rsidR="00CE15E1">
          <w:rPr>
            <w:webHidden/>
          </w:rPr>
          <w:tab/>
        </w:r>
        <w:r w:rsidR="00CE15E1">
          <w:rPr>
            <w:webHidden/>
          </w:rPr>
          <w:fldChar w:fldCharType="begin"/>
        </w:r>
        <w:r w:rsidR="00CE15E1">
          <w:rPr>
            <w:webHidden/>
          </w:rPr>
          <w:instrText xml:space="preserve"> PAGEREF _Toc92975189 \h </w:instrText>
        </w:r>
        <w:r w:rsidR="00CE15E1">
          <w:rPr>
            <w:webHidden/>
          </w:rPr>
        </w:r>
        <w:r w:rsidR="00CE15E1">
          <w:rPr>
            <w:webHidden/>
          </w:rPr>
          <w:fldChar w:fldCharType="separate"/>
        </w:r>
        <w:r w:rsidR="00CE15E1">
          <w:rPr>
            <w:webHidden/>
          </w:rPr>
          <w:t>15</w:t>
        </w:r>
        <w:r w:rsidR="00CE15E1">
          <w:rPr>
            <w:webHidden/>
          </w:rPr>
          <w:fldChar w:fldCharType="end"/>
        </w:r>
      </w:hyperlink>
    </w:p>
    <w:p w14:paraId="5801E944" w14:textId="22A57B4E" w:rsidR="00CE15E1" w:rsidRDefault="00184E75">
      <w:pPr>
        <w:pStyle w:val="TOC1"/>
        <w:rPr>
          <w:rFonts w:asciiTheme="minorHAnsi" w:eastAsiaTheme="minorEastAsia" w:hAnsiTheme="minorHAnsi" w:cstheme="minorBidi"/>
          <w:noProof/>
          <w:sz w:val="22"/>
          <w:szCs w:val="22"/>
          <w:lang w:val="fr-LU" w:eastAsia="fr-LU"/>
        </w:rPr>
      </w:pPr>
      <w:hyperlink w:anchor="_Toc92975190" w:history="1">
        <w:r w:rsidR="00CE15E1" w:rsidRPr="005C46E2">
          <w:rPr>
            <w:rStyle w:val="Hyperlink"/>
            <w:noProof/>
          </w:rPr>
          <w:t>7.</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Capacitatea financiară și operațională și excluderea</w:t>
        </w:r>
        <w:r w:rsidR="00CE15E1">
          <w:rPr>
            <w:noProof/>
            <w:webHidden/>
          </w:rPr>
          <w:tab/>
        </w:r>
        <w:r w:rsidR="00CE15E1">
          <w:rPr>
            <w:noProof/>
            <w:webHidden/>
          </w:rPr>
          <w:fldChar w:fldCharType="begin"/>
        </w:r>
        <w:r w:rsidR="00CE15E1">
          <w:rPr>
            <w:noProof/>
            <w:webHidden/>
          </w:rPr>
          <w:instrText xml:space="preserve"> PAGEREF _Toc92975190 \h </w:instrText>
        </w:r>
        <w:r w:rsidR="00CE15E1">
          <w:rPr>
            <w:noProof/>
            <w:webHidden/>
          </w:rPr>
        </w:r>
        <w:r w:rsidR="00CE15E1">
          <w:rPr>
            <w:noProof/>
            <w:webHidden/>
          </w:rPr>
          <w:fldChar w:fldCharType="separate"/>
        </w:r>
        <w:r w:rsidR="00CE15E1">
          <w:rPr>
            <w:noProof/>
            <w:webHidden/>
          </w:rPr>
          <w:t>16</w:t>
        </w:r>
        <w:r w:rsidR="00CE15E1">
          <w:rPr>
            <w:noProof/>
            <w:webHidden/>
          </w:rPr>
          <w:fldChar w:fldCharType="end"/>
        </w:r>
      </w:hyperlink>
    </w:p>
    <w:p w14:paraId="5C5EB755" w14:textId="742A9C8E" w:rsidR="00CE15E1" w:rsidRDefault="00184E75">
      <w:pPr>
        <w:pStyle w:val="TOC3"/>
        <w:rPr>
          <w:rFonts w:asciiTheme="minorHAnsi" w:eastAsiaTheme="minorEastAsia" w:hAnsiTheme="minorHAnsi" w:cstheme="minorBidi"/>
          <w:sz w:val="22"/>
          <w:szCs w:val="22"/>
          <w:lang w:val="fr-LU" w:eastAsia="fr-LU"/>
        </w:rPr>
      </w:pPr>
      <w:hyperlink w:anchor="_Toc92975191" w:history="1">
        <w:r w:rsidR="00CE15E1" w:rsidRPr="005C46E2">
          <w:rPr>
            <w:rStyle w:val="Hyperlink"/>
          </w:rPr>
          <w:t>Capacitatea financiară</w:t>
        </w:r>
        <w:r w:rsidR="00CE15E1">
          <w:rPr>
            <w:webHidden/>
          </w:rPr>
          <w:tab/>
        </w:r>
        <w:r w:rsidR="00CE15E1">
          <w:rPr>
            <w:webHidden/>
          </w:rPr>
          <w:fldChar w:fldCharType="begin"/>
        </w:r>
        <w:r w:rsidR="00CE15E1">
          <w:rPr>
            <w:webHidden/>
          </w:rPr>
          <w:instrText xml:space="preserve"> PAGEREF _Toc92975191 \h </w:instrText>
        </w:r>
        <w:r w:rsidR="00CE15E1">
          <w:rPr>
            <w:webHidden/>
          </w:rPr>
        </w:r>
        <w:r w:rsidR="00CE15E1">
          <w:rPr>
            <w:webHidden/>
          </w:rPr>
          <w:fldChar w:fldCharType="separate"/>
        </w:r>
        <w:r w:rsidR="00CE15E1">
          <w:rPr>
            <w:webHidden/>
          </w:rPr>
          <w:t>16</w:t>
        </w:r>
        <w:r w:rsidR="00CE15E1">
          <w:rPr>
            <w:webHidden/>
          </w:rPr>
          <w:fldChar w:fldCharType="end"/>
        </w:r>
      </w:hyperlink>
    </w:p>
    <w:p w14:paraId="38AC2BB8" w14:textId="05F6657A" w:rsidR="00CE15E1" w:rsidRDefault="00184E75">
      <w:pPr>
        <w:pStyle w:val="TOC3"/>
        <w:rPr>
          <w:rFonts w:asciiTheme="minorHAnsi" w:eastAsiaTheme="minorEastAsia" w:hAnsiTheme="minorHAnsi" w:cstheme="minorBidi"/>
          <w:sz w:val="22"/>
          <w:szCs w:val="22"/>
          <w:lang w:val="fr-LU" w:eastAsia="fr-LU"/>
        </w:rPr>
      </w:pPr>
      <w:hyperlink w:anchor="_Toc92975192" w:history="1">
        <w:r w:rsidR="00CE15E1" w:rsidRPr="005C46E2">
          <w:rPr>
            <w:rStyle w:val="Hyperlink"/>
          </w:rPr>
          <w:t>Capacitatea operațională</w:t>
        </w:r>
        <w:r w:rsidR="00CE15E1">
          <w:rPr>
            <w:webHidden/>
          </w:rPr>
          <w:tab/>
        </w:r>
        <w:r w:rsidR="00CE15E1">
          <w:rPr>
            <w:webHidden/>
          </w:rPr>
          <w:fldChar w:fldCharType="begin"/>
        </w:r>
        <w:r w:rsidR="00CE15E1">
          <w:rPr>
            <w:webHidden/>
          </w:rPr>
          <w:instrText xml:space="preserve"> PAGEREF _Toc92975192 \h </w:instrText>
        </w:r>
        <w:r w:rsidR="00CE15E1">
          <w:rPr>
            <w:webHidden/>
          </w:rPr>
        </w:r>
        <w:r w:rsidR="00CE15E1">
          <w:rPr>
            <w:webHidden/>
          </w:rPr>
          <w:fldChar w:fldCharType="separate"/>
        </w:r>
        <w:r w:rsidR="00CE15E1">
          <w:rPr>
            <w:webHidden/>
          </w:rPr>
          <w:t>17</w:t>
        </w:r>
        <w:r w:rsidR="00CE15E1">
          <w:rPr>
            <w:webHidden/>
          </w:rPr>
          <w:fldChar w:fldCharType="end"/>
        </w:r>
      </w:hyperlink>
    </w:p>
    <w:p w14:paraId="401604A4" w14:textId="748C4BED" w:rsidR="00CE15E1" w:rsidRDefault="00184E75">
      <w:pPr>
        <w:pStyle w:val="TOC3"/>
        <w:rPr>
          <w:rFonts w:asciiTheme="minorHAnsi" w:eastAsiaTheme="minorEastAsia" w:hAnsiTheme="minorHAnsi" w:cstheme="minorBidi"/>
          <w:sz w:val="22"/>
          <w:szCs w:val="22"/>
          <w:lang w:val="fr-LU" w:eastAsia="fr-LU"/>
        </w:rPr>
      </w:pPr>
      <w:hyperlink w:anchor="_Toc92975193" w:history="1">
        <w:r w:rsidR="00CE15E1" w:rsidRPr="005C46E2">
          <w:rPr>
            <w:rStyle w:val="Hyperlink"/>
          </w:rPr>
          <w:t>Excluderea</w:t>
        </w:r>
        <w:r w:rsidR="00CE15E1">
          <w:rPr>
            <w:webHidden/>
          </w:rPr>
          <w:tab/>
        </w:r>
        <w:r w:rsidR="00CE15E1">
          <w:rPr>
            <w:webHidden/>
          </w:rPr>
          <w:fldChar w:fldCharType="begin"/>
        </w:r>
        <w:r w:rsidR="00CE15E1">
          <w:rPr>
            <w:webHidden/>
          </w:rPr>
          <w:instrText xml:space="preserve"> PAGEREF _Toc92975193 \h </w:instrText>
        </w:r>
        <w:r w:rsidR="00CE15E1">
          <w:rPr>
            <w:webHidden/>
          </w:rPr>
        </w:r>
        <w:r w:rsidR="00CE15E1">
          <w:rPr>
            <w:webHidden/>
          </w:rPr>
          <w:fldChar w:fldCharType="separate"/>
        </w:r>
        <w:r w:rsidR="00CE15E1">
          <w:rPr>
            <w:webHidden/>
          </w:rPr>
          <w:t>17</w:t>
        </w:r>
        <w:r w:rsidR="00CE15E1">
          <w:rPr>
            <w:webHidden/>
          </w:rPr>
          <w:fldChar w:fldCharType="end"/>
        </w:r>
      </w:hyperlink>
    </w:p>
    <w:p w14:paraId="27BCD668" w14:textId="79358D63" w:rsidR="00CE15E1" w:rsidRDefault="00184E75">
      <w:pPr>
        <w:pStyle w:val="TOC1"/>
        <w:rPr>
          <w:rFonts w:asciiTheme="minorHAnsi" w:eastAsiaTheme="minorEastAsia" w:hAnsiTheme="minorHAnsi" w:cstheme="minorBidi"/>
          <w:noProof/>
          <w:sz w:val="22"/>
          <w:szCs w:val="22"/>
          <w:lang w:val="fr-LU" w:eastAsia="fr-LU"/>
        </w:rPr>
      </w:pPr>
      <w:hyperlink w:anchor="_Toc92975194" w:history="1">
        <w:r w:rsidR="00CE15E1" w:rsidRPr="005C46E2">
          <w:rPr>
            <w:rStyle w:val="Hyperlink"/>
            <w:noProof/>
          </w:rPr>
          <w:t>8.</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Procedura de evaluare și de atribuire</w:t>
        </w:r>
        <w:r w:rsidR="00CE15E1">
          <w:rPr>
            <w:noProof/>
            <w:webHidden/>
          </w:rPr>
          <w:tab/>
        </w:r>
        <w:r w:rsidR="00CE15E1">
          <w:rPr>
            <w:noProof/>
            <w:webHidden/>
          </w:rPr>
          <w:fldChar w:fldCharType="begin"/>
        </w:r>
        <w:r w:rsidR="00CE15E1">
          <w:rPr>
            <w:noProof/>
            <w:webHidden/>
          </w:rPr>
          <w:instrText xml:space="preserve"> PAGEREF _Toc92975194 \h </w:instrText>
        </w:r>
        <w:r w:rsidR="00CE15E1">
          <w:rPr>
            <w:noProof/>
            <w:webHidden/>
          </w:rPr>
        </w:r>
        <w:r w:rsidR="00CE15E1">
          <w:rPr>
            <w:noProof/>
            <w:webHidden/>
          </w:rPr>
          <w:fldChar w:fldCharType="separate"/>
        </w:r>
        <w:r w:rsidR="00CE15E1">
          <w:rPr>
            <w:noProof/>
            <w:webHidden/>
          </w:rPr>
          <w:t>18</w:t>
        </w:r>
        <w:r w:rsidR="00CE15E1">
          <w:rPr>
            <w:noProof/>
            <w:webHidden/>
          </w:rPr>
          <w:fldChar w:fldCharType="end"/>
        </w:r>
      </w:hyperlink>
    </w:p>
    <w:p w14:paraId="127A0A8F" w14:textId="5C8B4D92" w:rsidR="00CE15E1" w:rsidRDefault="00184E75">
      <w:pPr>
        <w:pStyle w:val="TOC1"/>
        <w:rPr>
          <w:rFonts w:asciiTheme="minorHAnsi" w:eastAsiaTheme="minorEastAsia" w:hAnsiTheme="minorHAnsi" w:cstheme="minorBidi"/>
          <w:noProof/>
          <w:sz w:val="22"/>
          <w:szCs w:val="22"/>
          <w:lang w:val="fr-LU" w:eastAsia="fr-LU"/>
        </w:rPr>
      </w:pPr>
      <w:hyperlink w:anchor="_Toc92975195" w:history="1">
        <w:r w:rsidR="00CE15E1" w:rsidRPr="005C46E2">
          <w:rPr>
            <w:rStyle w:val="Hyperlink"/>
            <w:noProof/>
          </w:rPr>
          <w:t>9.</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Criterii de atribuire</w:t>
        </w:r>
        <w:r w:rsidR="00CE15E1">
          <w:rPr>
            <w:noProof/>
            <w:webHidden/>
          </w:rPr>
          <w:tab/>
        </w:r>
        <w:r w:rsidR="00CE15E1">
          <w:rPr>
            <w:noProof/>
            <w:webHidden/>
          </w:rPr>
          <w:fldChar w:fldCharType="begin"/>
        </w:r>
        <w:r w:rsidR="00CE15E1">
          <w:rPr>
            <w:noProof/>
            <w:webHidden/>
          </w:rPr>
          <w:instrText xml:space="preserve"> PAGEREF _Toc92975195 \h </w:instrText>
        </w:r>
        <w:r w:rsidR="00CE15E1">
          <w:rPr>
            <w:noProof/>
            <w:webHidden/>
          </w:rPr>
        </w:r>
        <w:r w:rsidR="00CE15E1">
          <w:rPr>
            <w:noProof/>
            <w:webHidden/>
          </w:rPr>
          <w:fldChar w:fldCharType="separate"/>
        </w:r>
        <w:r w:rsidR="00CE15E1">
          <w:rPr>
            <w:noProof/>
            <w:webHidden/>
          </w:rPr>
          <w:t>19</w:t>
        </w:r>
        <w:r w:rsidR="00CE15E1">
          <w:rPr>
            <w:noProof/>
            <w:webHidden/>
          </w:rPr>
          <w:fldChar w:fldCharType="end"/>
        </w:r>
      </w:hyperlink>
    </w:p>
    <w:p w14:paraId="6EF3BAF5" w14:textId="1649DA68" w:rsidR="00CE15E1" w:rsidRDefault="00184E75">
      <w:pPr>
        <w:pStyle w:val="TOC1"/>
        <w:rPr>
          <w:rFonts w:asciiTheme="minorHAnsi" w:eastAsiaTheme="minorEastAsia" w:hAnsiTheme="minorHAnsi" w:cstheme="minorBidi"/>
          <w:noProof/>
          <w:sz w:val="22"/>
          <w:szCs w:val="22"/>
          <w:lang w:val="fr-LU" w:eastAsia="fr-LU"/>
        </w:rPr>
      </w:pPr>
      <w:hyperlink w:anchor="_Toc92975196" w:history="1">
        <w:r w:rsidR="00CE15E1" w:rsidRPr="005C46E2">
          <w:rPr>
            <w:rStyle w:val="Hyperlink"/>
            <w:noProof/>
          </w:rPr>
          <w:t>10.</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Structura juridică și financiară a acordurilor de grant</w:t>
        </w:r>
        <w:r w:rsidR="00CE15E1">
          <w:rPr>
            <w:noProof/>
            <w:webHidden/>
          </w:rPr>
          <w:tab/>
        </w:r>
        <w:r w:rsidR="00CE15E1">
          <w:rPr>
            <w:noProof/>
            <w:webHidden/>
          </w:rPr>
          <w:fldChar w:fldCharType="begin"/>
        </w:r>
        <w:r w:rsidR="00CE15E1">
          <w:rPr>
            <w:noProof/>
            <w:webHidden/>
          </w:rPr>
          <w:instrText xml:space="preserve"> PAGEREF _Toc92975196 \h </w:instrText>
        </w:r>
        <w:r w:rsidR="00CE15E1">
          <w:rPr>
            <w:noProof/>
            <w:webHidden/>
          </w:rPr>
        </w:r>
        <w:r w:rsidR="00CE15E1">
          <w:rPr>
            <w:noProof/>
            <w:webHidden/>
          </w:rPr>
          <w:fldChar w:fldCharType="separate"/>
        </w:r>
        <w:r w:rsidR="00CE15E1">
          <w:rPr>
            <w:noProof/>
            <w:webHidden/>
          </w:rPr>
          <w:t>20</w:t>
        </w:r>
        <w:r w:rsidR="00CE15E1">
          <w:rPr>
            <w:noProof/>
            <w:webHidden/>
          </w:rPr>
          <w:fldChar w:fldCharType="end"/>
        </w:r>
      </w:hyperlink>
    </w:p>
    <w:p w14:paraId="17582CE3" w14:textId="4A1314A1" w:rsidR="00CE15E1" w:rsidRDefault="00184E75">
      <w:pPr>
        <w:pStyle w:val="TOC3"/>
        <w:rPr>
          <w:rFonts w:asciiTheme="minorHAnsi" w:eastAsiaTheme="minorEastAsia" w:hAnsiTheme="minorHAnsi" w:cstheme="minorBidi"/>
          <w:sz w:val="22"/>
          <w:szCs w:val="22"/>
          <w:lang w:val="fr-LU" w:eastAsia="fr-LU"/>
        </w:rPr>
      </w:pPr>
      <w:hyperlink w:anchor="_Toc92975197" w:history="1">
        <w:r w:rsidR="00CE15E1" w:rsidRPr="005C46E2">
          <w:rPr>
            <w:rStyle w:val="Hyperlink"/>
          </w:rPr>
          <w:t>Data de începere și durata proiectului</w:t>
        </w:r>
        <w:r w:rsidR="00CE15E1">
          <w:rPr>
            <w:webHidden/>
          </w:rPr>
          <w:tab/>
        </w:r>
        <w:r w:rsidR="00CE15E1">
          <w:rPr>
            <w:webHidden/>
          </w:rPr>
          <w:fldChar w:fldCharType="begin"/>
        </w:r>
        <w:r w:rsidR="00CE15E1">
          <w:rPr>
            <w:webHidden/>
          </w:rPr>
          <w:instrText xml:space="preserve"> PAGEREF _Toc92975197 \h </w:instrText>
        </w:r>
        <w:r w:rsidR="00CE15E1">
          <w:rPr>
            <w:webHidden/>
          </w:rPr>
        </w:r>
        <w:r w:rsidR="00CE15E1">
          <w:rPr>
            <w:webHidden/>
          </w:rPr>
          <w:fldChar w:fldCharType="separate"/>
        </w:r>
        <w:r w:rsidR="00CE15E1">
          <w:rPr>
            <w:webHidden/>
          </w:rPr>
          <w:t>20</w:t>
        </w:r>
        <w:r w:rsidR="00CE15E1">
          <w:rPr>
            <w:webHidden/>
          </w:rPr>
          <w:fldChar w:fldCharType="end"/>
        </w:r>
      </w:hyperlink>
    </w:p>
    <w:p w14:paraId="2CBEB8E3" w14:textId="40ABAD00" w:rsidR="00CE15E1" w:rsidRDefault="00184E75">
      <w:pPr>
        <w:pStyle w:val="TOC3"/>
        <w:rPr>
          <w:rFonts w:asciiTheme="minorHAnsi" w:eastAsiaTheme="minorEastAsia" w:hAnsiTheme="minorHAnsi" w:cstheme="minorBidi"/>
          <w:sz w:val="22"/>
          <w:szCs w:val="22"/>
          <w:lang w:val="fr-LU" w:eastAsia="fr-LU"/>
        </w:rPr>
      </w:pPr>
      <w:hyperlink w:anchor="_Toc92975198" w:history="1">
        <w:r w:rsidR="00CE15E1" w:rsidRPr="005C46E2">
          <w:rPr>
            <w:rStyle w:val="Hyperlink"/>
          </w:rPr>
          <w:t>Obiective intermediare și livrabile</w:t>
        </w:r>
        <w:r w:rsidR="00CE15E1">
          <w:rPr>
            <w:webHidden/>
          </w:rPr>
          <w:tab/>
        </w:r>
        <w:r w:rsidR="00CE15E1">
          <w:rPr>
            <w:webHidden/>
          </w:rPr>
          <w:fldChar w:fldCharType="begin"/>
        </w:r>
        <w:r w:rsidR="00CE15E1">
          <w:rPr>
            <w:webHidden/>
          </w:rPr>
          <w:instrText xml:space="preserve"> PAGEREF _Toc92975198 \h </w:instrText>
        </w:r>
        <w:r w:rsidR="00CE15E1">
          <w:rPr>
            <w:webHidden/>
          </w:rPr>
        </w:r>
        <w:r w:rsidR="00CE15E1">
          <w:rPr>
            <w:webHidden/>
          </w:rPr>
          <w:fldChar w:fldCharType="separate"/>
        </w:r>
        <w:r w:rsidR="00CE15E1">
          <w:rPr>
            <w:webHidden/>
          </w:rPr>
          <w:t>20</w:t>
        </w:r>
        <w:r w:rsidR="00CE15E1">
          <w:rPr>
            <w:webHidden/>
          </w:rPr>
          <w:fldChar w:fldCharType="end"/>
        </w:r>
      </w:hyperlink>
    </w:p>
    <w:p w14:paraId="2BC7ADB0" w14:textId="10F23BB0" w:rsidR="00CE15E1" w:rsidRDefault="00184E75">
      <w:pPr>
        <w:pStyle w:val="TOC3"/>
        <w:rPr>
          <w:rFonts w:asciiTheme="minorHAnsi" w:eastAsiaTheme="minorEastAsia" w:hAnsiTheme="minorHAnsi" w:cstheme="minorBidi"/>
          <w:sz w:val="22"/>
          <w:szCs w:val="22"/>
          <w:lang w:val="fr-LU" w:eastAsia="fr-LU"/>
        </w:rPr>
      </w:pPr>
      <w:hyperlink w:anchor="_Toc92975199" w:history="1">
        <w:r w:rsidR="00CE15E1" w:rsidRPr="005C46E2">
          <w:rPr>
            <w:rStyle w:val="Hyperlink"/>
          </w:rPr>
          <w:t>Forma grantului, rata de finanțare și cuantumul maxim al grantului</w:t>
        </w:r>
        <w:r w:rsidR="00CE15E1">
          <w:rPr>
            <w:webHidden/>
          </w:rPr>
          <w:tab/>
        </w:r>
        <w:r w:rsidR="00CE15E1">
          <w:rPr>
            <w:webHidden/>
          </w:rPr>
          <w:fldChar w:fldCharType="begin"/>
        </w:r>
        <w:r w:rsidR="00CE15E1">
          <w:rPr>
            <w:webHidden/>
          </w:rPr>
          <w:instrText xml:space="preserve"> PAGEREF _Toc92975199 \h </w:instrText>
        </w:r>
        <w:r w:rsidR="00CE15E1">
          <w:rPr>
            <w:webHidden/>
          </w:rPr>
        </w:r>
        <w:r w:rsidR="00CE15E1">
          <w:rPr>
            <w:webHidden/>
          </w:rPr>
          <w:fldChar w:fldCharType="separate"/>
        </w:r>
        <w:r w:rsidR="00CE15E1">
          <w:rPr>
            <w:webHidden/>
          </w:rPr>
          <w:t>20</w:t>
        </w:r>
        <w:r w:rsidR="00CE15E1">
          <w:rPr>
            <w:webHidden/>
          </w:rPr>
          <w:fldChar w:fldCharType="end"/>
        </w:r>
      </w:hyperlink>
    </w:p>
    <w:p w14:paraId="265F0EE2" w14:textId="45A57AB7" w:rsidR="00CE15E1" w:rsidRDefault="00184E75">
      <w:pPr>
        <w:pStyle w:val="TOC3"/>
        <w:rPr>
          <w:rFonts w:asciiTheme="minorHAnsi" w:eastAsiaTheme="minorEastAsia" w:hAnsiTheme="minorHAnsi" w:cstheme="minorBidi"/>
          <w:sz w:val="22"/>
          <w:szCs w:val="22"/>
          <w:lang w:val="fr-LU" w:eastAsia="fr-LU"/>
        </w:rPr>
      </w:pPr>
      <w:hyperlink w:anchor="_Toc92975200" w:history="1">
        <w:r w:rsidR="00CE15E1" w:rsidRPr="005C46E2">
          <w:rPr>
            <w:rStyle w:val="Hyperlink"/>
          </w:rPr>
          <w:t>Categorii bugetare și reguli privind eligibilitatea costurilor</w:t>
        </w:r>
        <w:r w:rsidR="00CE15E1">
          <w:rPr>
            <w:webHidden/>
          </w:rPr>
          <w:tab/>
        </w:r>
        <w:r w:rsidR="00CE15E1">
          <w:rPr>
            <w:webHidden/>
          </w:rPr>
          <w:fldChar w:fldCharType="begin"/>
        </w:r>
        <w:r w:rsidR="00CE15E1">
          <w:rPr>
            <w:webHidden/>
          </w:rPr>
          <w:instrText xml:space="preserve"> PAGEREF _Toc92975200 \h </w:instrText>
        </w:r>
        <w:r w:rsidR="00CE15E1">
          <w:rPr>
            <w:webHidden/>
          </w:rPr>
        </w:r>
        <w:r w:rsidR="00CE15E1">
          <w:rPr>
            <w:webHidden/>
          </w:rPr>
          <w:fldChar w:fldCharType="separate"/>
        </w:r>
        <w:r w:rsidR="00CE15E1">
          <w:rPr>
            <w:webHidden/>
          </w:rPr>
          <w:t>21</w:t>
        </w:r>
        <w:r w:rsidR="00CE15E1">
          <w:rPr>
            <w:webHidden/>
          </w:rPr>
          <w:fldChar w:fldCharType="end"/>
        </w:r>
      </w:hyperlink>
    </w:p>
    <w:p w14:paraId="27CAB4B1" w14:textId="62F5D4D0" w:rsidR="00CE15E1" w:rsidRDefault="00184E75">
      <w:pPr>
        <w:pStyle w:val="TOC3"/>
        <w:rPr>
          <w:rFonts w:asciiTheme="minorHAnsi" w:eastAsiaTheme="minorEastAsia" w:hAnsiTheme="minorHAnsi" w:cstheme="minorBidi"/>
          <w:sz w:val="22"/>
          <w:szCs w:val="22"/>
          <w:lang w:val="fr-LU" w:eastAsia="fr-LU"/>
        </w:rPr>
      </w:pPr>
      <w:hyperlink w:anchor="_Toc92975201" w:history="1">
        <w:r w:rsidR="00CE15E1" w:rsidRPr="005C46E2">
          <w:rPr>
            <w:rStyle w:val="Hyperlink"/>
          </w:rPr>
          <w:t>Regimul de raportări și de plăți</w:t>
        </w:r>
        <w:r w:rsidR="00CE15E1">
          <w:rPr>
            <w:webHidden/>
          </w:rPr>
          <w:tab/>
        </w:r>
        <w:r w:rsidR="00CE15E1">
          <w:rPr>
            <w:webHidden/>
          </w:rPr>
          <w:fldChar w:fldCharType="begin"/>
        </w:r>
        <w:r w:rsidR="00CE15E1">
          <w:rPr>
            <w:webHidden/>
          </w:rPr>
          <w:instrText xml:space="preserve"> PAGEREF _Toc92975201 \h </w:instrText>
        </w:r>
        <w:r w:rsidR="00CE15E1">
          <w:rPr>
            <w:webHidden/>
          </w:rPr>
        </w:r>
        <w:r w:rsidR="00CE15E1">
          <w:rPr>
            <w:webHidden/>
          </w:rPr>
          <w:fldChar w:fldCharType="separate"/>
        </w:r>
        <w:r w:rsidR="00CE15E1">
          <w:rPr>
            <w:webHidden/>
          </w:rPr>
          <w:t>21</w:t>
        </w:r>
        <w:r w:rsidR="00CE15E1">
          <w:rPr>
            <w:webHidden/>
          </w:rPr>
          <w:fldChar w:fldCharType="end"/>
        </w:r>
      </w:hyperlink>
    </w:p>
    <w:p w14:paraId="2682B3CF" w14:textId="7FD0516E" w:rsidR="00CE15E1" w:rsidRDefault="00184E75">
      <w:pPr>
        <w:pStyle w:val="TOC3"/>
        <w:rPr>
          <w:rFonts w:asciiTheme="minorHAnsi" w:eastAsiaTheme="minorEastAsia" w:hAnsiTheme="minorHAnsi" w:cstheme="minorBidi"/>
          <w:sz w:val="22"/>
          <w:szCs w:val="22"/>
          <w:lang w:val="fr-LU" w:eastAsia="fr-LU"/>
        </w:rPr>
      </w:pPr>
      <w:hyperlink w:anchor="_Toc92975202" w:history="1">
        <w:r w:rsidR="00CE15E1" w:rsidRPr="005C46E2">
          <w:rPr>
            <w:rStyle w:val="Hyperlink"/>
          </w:rPr>
          <w:t>Garanții pentru prefinanțare</w:t>
        </w:r>
        <w:r w:rsidR="00CE15E1">
          <w:rPr>
            <w:webHidden/>
          </w:rPr>
          <w:tab/>
        </w:r>
        <w:r w:rsidR="00CE15E1">
          <w:rPr>
            <w:webHidden/>
          </w:rPr>
          <w:fldChar w:fldCharType="begin"/>
        </w:r>
        <w:r w:rsidR="00CE15E1">
          <w:rPr>
            <w:webHidden/>
          </w:rPr>
          <w:instrText xml:space="preserve"> PAGEREF _Toc92975202 \h </w:instrText>
        </w:r>
        <w:r w:rsidR="00CE15E1">
          <w:rPr>
            <w:webHidden/>
          </w:rPr>
        </w:r>
        <w:r w:rsidR="00CE15E1">
          <w:rPr>
            <w:webHidden/>
          </w:rPr>
          <w:fldChar w:fldCharType="separate"/>
        </w:r>
        <w:r w:rsidR="00CE15E1">
          <w:rPr>
            <w:webHidden/>
          </w:rPr>
          <w:t>22</w:t>
        </w:r>
        <w:r w:rsidR="00CE15E1">
          <w:rPr>
            <w:webHidden/>
          </w:rPr>
          <w:fldChar w:fldCharType="end"/>
        </w:r>
      </w:hyperlink>
    </w:p>
    <w:p w14:paraId="7F38C6F1" w14:textId="2134404E" w:rsidR="00CE15E1" w:rsidRDefault="00184E75">
      <w:pPr>
        <w:pStyle w:val="TOC3"/>
        <w:rPr>
          <w:rFonts w:asciiTheme="minorHAnsi" w:eastAsiaTheme="minorEastAsia" w:hAnsiTheme="minorHAnsi" w:cstheme="minorBidi"/>
          <w:sz w:val="22"/>
          <w:szCs w:val="22"/>
          <w:lang w:val="fr-LU" w:eastAsia="fr-LU"/>
        </w:rPr>
      </w:pPr>
      <w:hyperlink w:anchor="_Toc92975203" w:history="1">
        <w:r w:rsidR="00CE15E1" w:rsidRPr="005C46E2">
          <w:rPr>
            <w:rStyle w:val="Hyperlink"/>
          </w:rPr>
          <w:t>Adeverințe</w:t>
        </w:r>
        <w:r w:rsidR="00CE15E1">
          <w:rPr>
            <w:webHidden/>
          </w:rPr>
          <w:tab/>
        </w:r>
        <w:r w:rsidR="00CE15E1">
          <w:rPr>
            <w:webHidden/>
          </w:rPr>
          <w:fldChar w:fldCharType="begin"/>
        </w:r>
        <w:r w:rsidR="00CE15E1">
          <w:rPr>
            <w:webHidden/>
          </w:rPr>
          <w:instrText xml:space="preserve"> PAGEREF _Toc92975203 \h </w:instrText>
        </w:r>
        <w:r w:rsidR="00CE15E1">
          <w:rPr>
            <w:webHidden/>
          </w:rPr>
        </w:r>
        <w:r w:rsidR="00CE15E1">
          <w:rPr>
            <w:webHidden/>
          </w:rPr>
          <w:fldChar w:fldCharType="separate"/>
        </w:r>
        <w:r w:rsidR="00CE15E1">
          <w:rPr>
            <w:webHidden/>
          </w:rPr>
          <w:t>22</w:t>
        </w:r>
        <w:r w:rsidR="00CE15E1">
          <w:rPr>
            <w:webHidden/>
          </w:rPr>
          <w:fldChar w:fldCharType="end"/>
        </w:r>
      </w:hyperlink>
    </w:p>
    <w:p w14:paraId="4034F4FA" w14:textId="215E4B1C" w:rsidR="00CE15E1" w:rsidRDefault="00184E75">
      <w:pPr>
        <w:pStyle w:val="TOC3"/>
        <w:rPr>
          <w:rFonts w:asciiTheme="minorHAnsi" w:eastAsiaTheme="minorEastAsia" w:hAnsiTheme="minorHAnsi" w:cstheme="minorBidi"/>
          <w:sz w:val="22"/>
          <w:szCs w:val="22"/>
          <w:lang w:val="fr-LU" w:eastAsia="fr-LU"/>
        </w:rPr>
      </w:pPr>
      <w:hyperlink w:anchor="_Toc92975204" w:history="1">
        <w:r w:rsidR="00CE15E1" w:rsidRPr="005C46E2">
          <w:rPr>
            <w:rStyle w:val="Hyperlink"/>
          </w:rPr>
          <w:t>Regim de răspundere pentru recuperări</w:t>
        </w:r>
        <w:r w:rsidR="00CE15E1">
          <w:rPr>
            <w:webHidden/>
          </w:rPr>
          <w:tab/>
        </w:r>
        <w:r w:rsidR="00CE15E1">
          <w:rPr>
            <w:webHidden/>
          </w:rPr>
          <w:fldChar w:fldCharType="begin"/>
        </w:r>
        <w:r w:rsidR="00CE15E1">
          <w:rPr>
            <w:webHidden/>
          </w:rPr>
          <w:instrText xml:space="preserve"> PAGEREF _Toc92975204 \h </w:instrText>
        </w:r>
        <w:r w:rsidR="00CE15E1">
          <w:rPr>
            <w:webHidden/>
          </w:rPr>
        </w:r>
        <w:r w:rsidR="00CE15E1">
          <w:rPr>
            <w:webHidden/>
          </w:rPr>
          <w:fldChar w:fldCharType="separate"/>
        </w:r>
        <w:r w:rsidR="00CE15E1">
          <w:rPr>
            <w:webHidden/>
          </w:rPr>
          <w:t>23</w:t>
        </w:r>
        <w:r w:rsidR="00CE15E1">
          <w:rPr>
            <w:webHidden/>
          </w:rPr>
          <w:fldChar w:fldCharType="end"/>
        </w:r>
      </w:hyperlink>
    </w:p>
    <w:p w14:paraId="4AA6E42D" w14:textId="20927226" w:rsidR="00CE15E1" w:rsidRDefault="00184E75">
      <w:pPr>
        <w:pStyle w:val="TOC3"/>
        <w:rPr>
          <w:rFonts w:asciiTheme="minorHAnsi" w:eastAsiaTheme="minorEastAsia" w:hAnsiTheme="minorHAnsi" w:cstheme="minorBidi"/>
          <w:sz w:val="22"/>
          <w:szCs w:val="22"/>
          <w:lang w:val="fr-LU" w:eastAsia="fr-LU"/>
        </w:rPr>
      </w:pPr>
      <w:hyperlink w:anchor="_Toc92975205" w:history="1">
        <w:r w:rsidR="00CE15E1" w:rsidRPr="005C46E2">
          <w:rPr>
            <w:rStyle w:val="Hyperlink"/>
          </w:rPr>
          <w:t>Dispoziții privind derularea proiectului</w:t>
        </w:r>
        <w:r w:rsidR="00CE15E1">
          <w:rPr>
            <w:webHidden/>
          </w:rPr>
          <w:tab/>
        </w:r>
        <w:r w:rsidR="00CE15E1">
          <w:rPr>
            <w:webHidden/>
          </w:rPr>
          <w:fldChar w:fldCharType="begin"/>
        </w:r>
        <w:r w:rsidR="00CE15E1">
          <w:rPr>
            <w:webHidden/>
          </w:rPr>
          <w:instrText xml:space="preserve"> PAGEREF _Toc92975205 \h </w:instrText>
        </w:r>
        <w:r w:rsidR="00CE15E1">
          <w:rPr>
            <w:webHidden/>
          </w:rPr>
        </w:r>
        <w:r w:rsidR="00CE15E1">
          <w:rPr>
            <w:webHidden/>
          </w:rPr>
          <w:fldChar w:fldCharType="separate"/>
        </w:r>
        <w:r w:rsidR="00CE15E1">
          <w:rPr>
            <w:webHidden/>
          </w:rPr>
          <w:t>23</w:t>
        </w:r>
        <w:r w:rsidR="00CE15E1">
          <w:rPr>
            <w:webHidden/>
          </w:rPr>
          <w:fldChar w:fldCharType="end"/>
        </w:r>
      </w:hyperlink>
    </w:p>
    <w:p w14:paraId="7F8C6584" w14:textId="479BAB25" w:rsidR="00CE15E1" w:rsidRDefault="00184E75">
      <w:pPr>
        <w:pStyle w:val="TOC3"/>
        <w:rPr>
          <w:rFonts w:asciiTheme="minorHAnsi" w:eastAsiaTheme="minorEastAsia" w:hAnsiTheme="minorHAnsi" w:cstheme="minorBidi"/>
          <w:sz w:val="22"/>
          <w:szCs w:val="22"/>
          <w:lang w:val="fr-LU" w:eastAsia="fr-LU"/>
        </w:rPr>
      </w:pPr>
      <w:hyperlink w:anchor="_Toc92975206" w:history="1">
        <w:r w:rsidR="00CE15E1" w:rsidRPr="005C46E2">
          <w:rPr>
            <w:rStyle w:val="Hyperlink"/>
          </w:rPr>
          <w:t>Alte aspecte specifice</w:t>
        </w:r>
        <w:r w:rsidR="00CE15E1">
          <w:rPr>
            <w:webHidden/>
          </w:rPr>
          <w:tab/>
        </w:r>
        <w:r w:rsidR="00CE15E1">
          <w:rPr>
            <w:webHidden/>
          </w:rPr>
          <w:fldChar w:fldCharType="begin"/>
        </w:r>
        <w:r w:rsidR="00CE15E1">
          <w:rPr>
            <w:webHidden/>
          </w:rPr>
          <w:instrText xml:space="preserve"> PAGEREF _Toc92975206 \h </w:instrText>
        </w:r>
        <w:r w:rsidR="00CE15E1">
          <w:rPr>
            <w:webHidden/>
          </w:rPr>
        </w:r>
        <w:r w:rsidR="00CE15E1">
          <w:rPr>
            <w:webHidden/>
          </w:rPr>
          <w:fldChar w:fldCharType="separate"/>
        </w:r>
        <w:r w:rsidR="00CE15E1">
          <w:rPr>
            <w:webHidden/>
          </w:rPr>
          <w:t>23</w:t>
        </w:r>
        <w:r w:rsidR="00CE15E1">
          <w:rPr>
            <w:webHidden/>
          </w:rPr>
          <w:fldChar w:fldCharType="end"/>
        </w:r>
      </w:hyperlink>
    </w:p>
    <w:p w14:paraId="481F6A9F" w14:textId="34CF61CD" w:rsidR="00CE15E1" w:rsidRDefault="00184E75">
      <w:pPr>
        <w:pStyle w:val="TOC3"/>
        <w:rPr>
          <w:rFonts w:asciiTheme="minorHAnsi" w:eastAsiaTheme="minorEastAsia" w:hAnsiTheme="minorHAnsi" w:cstheme="minorBidi"/>
          <w:sz w:val="22"/>
          <w:szCs w:val="22"/>
          <w:lang w:val="fr-LU" w:eastAsia="fr-LU"/>
        </w:rPr>
      </w:pPr>
      <w:hyperlink w:anchor="_Toc92975207" w:history="1">
        <w:r w:rsidR="00CE15E1" w:rsidRPr="005C46E2">
          <w:rPr>
            <w:rStyle w:val="Hyperlink"/>
          </w:rPr>
          <w:t>Nerespectarea și încălcarea contractului</w:t>
        </w:r>
        <w:r w:rsidR="00CE15E1">
          <w:rPr>
            <w:webHidden/>
          </w:rPr>
          <w:tab/>
        </w:r>
        <w:r w:rsidR="00CE15E1">
          <w:rPr>
            <w:webHidden/>
          </w:rPr>
          <w:fldChar w:fldCharType="begin"/>
        </w:r>
        <w:r w:rsidR="00CE15E1">
          <w:rPr>
            <w:webHidden/>
          </w:rPr>
          <w:instrText xml:space="preserve"> PAGEREF _Toc92975207 \h </w:instrText>
        </w:r>
        <w:r w:rsidR="00CE15E1">
          <w:rPr>
            <w:webHidden/>
          </w:rPr>
        </w:r>
        <w:r w:rsidR="00CE15E1">
          <w:rPr>
            <w:webHidden/>
          </w:rPr>
          <w:fldChar w:fldCharType="separate"/>
        </w:r>
        <w:r w:rsidR="00CE15E1">
          <w:rPr>
            <w:webHidden/>
          </w:rPr>
          <w:t>23</w:t>
        </w:r>
        <w:r w:rsidR="00CE15E1">
          <w:rPr>
            <w:webHidden/>
          </w:rPr>
          <w:fldChar w:fldCharType="end"/>
        </w:r>
      </w:hyperlink>
    </w:p>
    <w:p w14:paraId="784A1E5D" w14:textId="1731485E" w:rsidR="00CE15E1" w:rsidRDefault="00184E75">
      <w:pPr>
        <w:pStyle w:val="TOC1"/>
        <w:rPr>
          <w:rFonts w:asciiTheme="minorHAnsi" w:eastAsiaTheme="minorEastAsia" w:hAnsiTheme="minorHAnsi" w:cstheme="minorBidi"/>
          <w:noProof/>
          <w:sz w:val="22"/>
          <w:szCs w:val="22"/>
          <w:lang w:val="fr-LU" w:eastAsia="fr-LU"/>
        </w:rPr>
      </w:pPr>
      <w:hyperlink w:anchor="_Toc92975208" w:history="1">
        <w:r w:rsidR="00CE15E1" w:rsidRPr="005C46E2">
          <w:rPr>
            <w:rStyle w:val="Hyperlink"/>
            <w:noProof/>
          </w:rPr>
          <w:t>11.</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Depunerea cererii de finanțare</w:t>
        </w:r>
        <w:r w:rsidR="00CE15E1">
          <w:rPr>
            <w:noProof/>
            <w:webHidden/>
          </w:rPr>
          <w:tab/>
        </w:r>
        <w:r w:rsidR="00CE15E1">
          <w:rPr>
            <w:noProof/>
            <w:webHidden/>
          </w:rPr>
          <w:fldChar w:fldCharType="begin"/>
        </w:r>
        <w:r w:rsidR="00CE15E1">
          <w:rPr>
            <w:noProof/>
            <w:webHidden/>
          </w:rPr>
          <w:instrText xml:space="preserve"> PAGEREF _Toc92975208 \h </w:instrText>
        </w:r>
        <w:r w:rsidR="00CE15E1">
          <w:rPr>
            <w:noProof/>
            <w:webHidden/>
          </w:rPr>
        </w:r>
        <w:r w:rsidR="00CE15E1">
          <w:rPr>
            <w:noProof/>
            <w:webHidden/>
          </w:rPr>
          <w:fldChar w:fldCharType="separate"/>
        </w:r>
        <w:r w:rsidR="00CE15E1">
          <w:rPr>
            <w:noProof/>
            <w:webHidden/>
          </w:rPr>
          <w:t>23</w:t>
        </w:r>
        <w:r w:rsidR="00CE15E1">
          <w:rPr>
            <w:noProof/>
            <w:webHidden/>
          </w:rPr>
          <w:fldChar w:fldCharType="end"/>
        </w:r>
      </w:hyperlink>
    </w:p>
    <w:p w14:paraId="4E7BD65D" w14:textId="09D35148" w:rsidR="00CE15E1" w:rsidRDefault="00184E75">
      <w:pPr>
        <w:pStyle w:val="TOC1"/>
        <w:rPr>
          <w:rFonts w:asciiTheme="minorHAnsi" w:eastAsiaTheme="minorEastAsia" w:hAnsiTheme="minorHAnsi" w:cstheme="minorBidi"/>
          <w:noProof/>
          <w:sz w:val="22"/>
          <w:szCs w:val="22"/>
          <w:lang w:val="fr-LU" w:eastAsia="fr-LU"/>
        </w:rPr>
      </w:pPr>
      <w:hyperlink w:anchor="_Toc92975209" w:history="1">
        <w:r w:rsidR="00CE15E1" w:rsidRPr="005C46E2">
          <w:rPr>
            <w:rStyle w:val="Hyperlink"/>
            <w:noProof/>
          </w:rPr>
          <w:t>12.</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Ajutor</w:t>
        </w:r>
        <w:r w:rsidR="00CE15E1">
          <w:rPr>
            <w:noProof/>
            <w:webHidden/>
          </w:rPr>
          <w:tab/>
        </w:r>
        <w:r w:rsidR="00CE15E1">
          <w:rPr>
            <w:noProof/>
            <w:webHidden/>
          </w:rPr>
          <w:fldChar w:fldCharType="begin"/>
        </w:r>
        <w:r w:rsidR="00CE15E1">
          <w:rPr>
            <w:noProof/>
            <w:webHidden/>
          </w:rPr>
          <w:instrText xml:space="preserve"> PAGEREF _Toc92975209 \h </w:instrText>
        </w:r>
        <w:r w:rsidR="00CE15E1">
          <w:rPr>
            <w:noProof/>
            <w:webHidden/>
          </w:rPr>
        </w:r>
        <w:r w:rsidR="00CE15E1">
          <w:rPr>
            <w:noProof/>
            <w:webHidden/>
          </w:rPr>
          <w:fldChar w:fldCharType="separate"/>
        </w:r>
        <w:r w:rsidR="00CE15E1">
          <w:rPr>
            <w:noProof/>
            <w:webHidden/>
          </w:rPr>
          <w:t>24</w:t>
        </w:r>
        <w:r w:rsidR="00CE15E1">
          <w:rPr>
            <w:noProof/>
            <w:webHidden/>
          </w:rPr>
          <w:fldChar w:fldCharType="end"/>
        </w:r>
      </w:hyperlink>
    </w:p>
    <w:p w14:paraId="7FDB7BEF" w14:textId="60536D7B" w:rsidR="00CE15E1" w:rsidRDefault="00184E75">
      <w:pPr>
        <w:pStyle w:val="TOC1"/>
        <w:rPr>
          <w:rFonts w:asciiTheme="minorHAnsi" w:eastAsiaTheme="minorEastAsia" w:hAnsiTheme="minorHAnsi" w:cstheme="minorBidi"/>
          <w:noProof/>
          <w:sz w:val="22"/>
          <w:szCs w:val="22"/>
          <w:lang w:val="fr-LU" w:eastAsia="fr-LU"/>
        </w:rPr>
      </w:pPr>
      <w:hyperlink w:anchor="_Toc92975210" w:history="1">
        <w:r w:rsidR="00CE15E1" w:rsidRPr="005C46E2">
          <w:rPr>
            <w:rStyle w:val="Hyperlink"/>
            <w:noProof/>
          </w:rPr>
          <w:t>13.</w:t>
        </w:r>
        <w:r w:rsidR="00CE15E1">
          <w:rPr>
            <w:rFonts w:asciiTheme="minorHAnsi" w:eastAsiaTheme="minorEastAsia" w:hAnsiTheme="minorHAnsi" w:cstheme="minorBidi"/>
            <w:noProof/>
            <w:sz w:val="22"/>
            <w:szCs w:val="22"/>
            <w:lang w:val="fr-LU" w:eastAsia="fr-LU"/>
          </w:rPr>
          <w:tab/>
        </w:r>
        <w:r w:rsidR="00CE15E1" w:rsidRPr="005C46E2">
          <w:rPr>
            <w:rStyle w:val="Hyperlink"/>
            <w:noProof/>
          </w:rPr>
          <w:t>Important</w:t>
        </w:r>
        <w:r w:rsidR="00CE15E1">
          <w:rPr>
            <w:noProof/>
            <w:webHidden/>
          </w:rPr>
          <w:tab/>
        </w:r>
        <w:r w:rsidR="00CE15E1">
          <w:rPr>
            <w:noProof/>
            <w:webHidden/>
          </w:rPr>
          <w:fldChar w:fldCharType="begin"/>
        </w:r>
        <w:r w:rsidR="00CE15E1">
          <w:rPr>
            <w:noProof/>
            <w:webHidden/>
          </w:rPr>
          <w:instrText xml:space="preserve"> PAGEREF _Toc92975210 \h </w:instrText>
        </w:r>
        <w:r w:rsidR="00CE15E1">
          <w:rPr>
            <w:noProof/>
            <w:webHidden/>
          </w:rPr>
        </w:r>
        <w:r w:rsidR="00CE15E1">
          <w:rPr>
            <w:noProof/>
            <w:webHidden/>
          </w:rPr>
          <w:fldChar w:fldCharType="separate"/>
        </w:r>
        <w:r w:rsidR="00CE15E1">
          <w:rPr>
            <w:noProof/>
            <w:webHidden/>
          </w:rPr>
          <w:t>26</w:t>
        </w:r>
        <w:r w:rsidR="00CE15E1">
          <w:rPr>
            <w:noProof/>
            <w:webHidden/>
          </w:rPr>
          <w:fldChar w:fldCharType="end"/>
        </w:r>
      </w:hyperlink>
    </w:p>
    <w:p w14:paraId="4D152A2B" w14:textId="1CCF4DD6"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1" w:name="_Toc92975171"/>
      <w:r>
        <w:lastRenderedPageBreak/>
        <w:t>Introducere</w:t>
      </w:r>
      <w:bookmarkEnd w:id="1"/>
    </w:p>
    <w:p w14:paraId="1281A2B9" w14:textId="1D421616" w:rsidR="00526CED" w:rsidRPr="00B7199D" w:rsidRDefault="00494E0C" w:rsidP="00AD584E">
      <w:pPr>
        <w:widowControl w:val="0"/>
      </w:pPr>
      <w:r>
        <w:t xml:space="preserve">Aceasta este o cerere de propuneri pentru </w:t>
      </w:r>
      <w:r>
        <w:rPr>
          <w:b/>
          <w:bCs/>
        </w:rPr>
        <w:t>granturi UE pentru acțiuni</w:t>
      </w:r>
      <w:r>
        <w:t xml:space="preserve"> în domeniul implicării și al participării cetățenilor la </w:t>
      </w:r>
      <w:r>
        <w:rPr>
          <w:b/>
          <w:bCs/>
        </w:rPr>
        <w:t>programul „Cetățeni, egalitate, drepturi și valori” (CE</w:t>
      </w:r>
      <w:r w:rsidR="00FE4E5B">
        <w:rPr>
          <w:b/>
          <w:bCs/>
        </w:rPr>
        <w:t>R</w:t>
      </w:r>
      <w:r>
        <w:rPr>
          <w:b/>
          <w:bCs/>
        </w:rPr>
        <w:t>V)</w:t>
      </w:r>
      <w:r>
        <w:t>. Cadrul de reglementare pentru acest program de finanțare al UE este stabilit în:</w:t>
      </w:r>
    </w:p>
    <w:p w14:paraId="124C55BF" w14:textId="77777777" w:rsidR="00526CED" w:rsidRPr="00666B16" w:rsidRDefault="00526CED" w:rsidP="00584316">
      <w:pPr>
        <w:numPr>
          <w:ilvl w:val="0"/>
          <w:numId w:val="32"/>
        </w:numPr>
        <w:spacing w:after="120"/>
        <w:ind w:left="568" w:hanging="284"/>
      </w:pPr>
      <w:r>
        <w:t>Regulamentul 2018/1046 (</w:t>
      </w:r>
      <w:hyperlink r:id="rId21" w:history="1">
        <w:r>
          <w:rPr>
            <w:rStyle w:val="Hyperlink"/>
          </w:rPr>
          <w:t>Regulamentul financiar al UE</w:t>
        </w:r>
      </w:hyperlink>
      <w:r>
        <w:t>)</w:t>
      </w:r>
    </w:p>
    <w:p w14:paraId="15823F41" w14:textId="652015B8" w:rsidR="00526CED" w:rsidRPr="008814FB" w:rsidRDefault="00526CED" w:rsidP="42BB08A3">
      <w:pPr>
        <w:numPr>
          <w:ilvl w:val="0"/>
          <w:numId w:val="32"/>
        </w:numPr>
        <w:ind w:left="568" w:hanging="284"/>
        <w:rPr>
          <w:u w:val="single"/>
        </w:rPr>
      </w:pPr>
      <w:r>
        <w:t xml:space="preserve">actul de bază [Regulamentul (UE) </w:t>
      </w:r>
      <w:hyperlink r:id="rId22" w:history="1">
        <w:r>
          <w:rPr>
            <w:rStyle w:val="Hyperlink"/>
          </w:rPr>
          <w:t>2021/692</w:t>
        </w:r>
      </w:hyperlink>
      <w:r>
        <w:t xml:space="preserve"> de instituire a programului CE</w:t>
      </w:r>
      <w:r w:rsidR="00DB1B61">
        <w:t>R</w:t>
      </w:r>
      <w:r>
        <w:t>V</w:t>
      </w:r>
      <w:r w:rsidR="000D6EA6" w:rsidRPr="00541B01">
        <w:rPr>
          <w:rStyle w:val="FootnoteReference"/>
        </w:rPr>
        <w:footnoteReference w:id="2"/>
      </w:r>
      <w:r>
        <w:t>].</w:t>
      </w:r>
    </w:p>
    <w:p w14:paraId="12AD4BB0" w14:textId="464B2AA2" w:rsidR="0000139E" w:rsidRPr="000807A9" w:rsidRDefault="00526CED" w:rsidP="0000139E">
      <w:pPr>
        <w:autoSpaceDE w:val="0"/>
        <w:autoSpaceDN w:val="0"/>
        <w:adjustRightInd w:val="0"/>
        <w:rPr>
          <w:bCs/>
          <w:color w:val="000000"/>
        </w:rPr>
      </w:pPr>
      <w:r>
        <w:t>Cererea de propuneri este lansată în conformitate cu Programul de lucru pentru perioada 2021-2022</w:t>
      </w:r>
      <w:r w:rsidR="00494E0C" w:rsidRPr="00EC2EA5">
        <w:rPr>
          <w:vertAlign w:val="superscript"/>
        </w:rPr>
        <w:footnoteReference w:id="3"/>
      </w:r>
      <w:r>
        <w:t xml:space="preserve"> și va fi gestionată de </w:t>
      </w:r>
      <w:r>
        <w:rPr>
          <w:b/>
        </w:rPr>
        <w:t>Agenția Executivă Europeană pentru Educație și Cultură (EACEA)</w:t>
      </w:r>
      <w:r>
        <w:t xml:space="preserve"> (denumită în continuare „agenția”).</w:t>
      </w:r>
    </w:p>
    <w:p w14:paraId="03C747D1" w14:textId="54C3BAAB" w:rsidR="00494E0C" w:rsidRPr="006F58BD" w:rsidRDefault="00330493" w:rsidP="00CC2315">
      <w:pPr>
        <w:spacing w:after="120"/>
      </w:pPr>
      <w:r>
        <w:t xml:space="preserve">Cererea de propuneri vizează următoarele </w:t>
      </w:r>
      <w:r>
        <w:rPr>
          <w:b/>
        </w:rPr>
        <w:t>teme</w:t>
      </w:r>
      <w:r>
        <w:t>:</w:t>
      </w:r>
    </w:p>
    <w:p w14:paraId="0F1AE17D" w14:textId="55D45AD3" w:rsidR="00AD584E" w:rsidRPr="006F58BD" w:rsidRDefault="00AD584E" w:rsidP="42BB08A3">
      <w:pPr>
        <w:numPr>
          <w:ilvl w:val="0"/>
          <w:numId w:val="29"/>
        </w:numPr>
        <w:rPr>
          <w:b/>
          <w:bCs/>
        </w:rPr>
      </w:pPr>
      <w:r>
        <w:rPr>
          <w:b/>
          <w:bCs/>
          <w:color w:val="A50021"/>
        </w:rPr>
        <w:t>CERV-2022-CITIZENS-TOWN-TT (tema 1)</w:t>
      </w:r>
      <w:r>
        <w:rPr>
          <w:b/>
          <w:bCs/>
        </w:rPr>
        <w:t xml:space="preserve"> — Înfrățirea orașelor</w:t>
      </w:r>
    </w:p>
    <w:p w14:paraId="1549339B" w14:textId="4EAD4397" w:rsidR="00AD584E" w:rsidRPr="006F58BD" w:rsidRDefault="00AD584E" w:rsidP="42BB08A3">
      <w:pPr>
        <w:numPr>
          <w:ilvl w:val="0"/>
          <w:numId w:val="29"/>
        </w:numPr>
      </w:pPr>
      <w:r>
        <w:rPr>
          <w:b/>
          <w:bCs/>
          <w:color w:val="A50021"/>
        </w:rPr>
        <w:t>CERV-2022-CITIZENS-TOWN-NT (tema 2)</w:t>
      </w:r>
      <w:r>
        <w:rPr>
          <w:b/>
          <w:bCs/>
        </w:rPr>
        <w:t xml:space="preserve"> — Rețele de orașe</w:t>
      </w:r>
    </w:p>
    <w:p w14:paraId="52501F07" w14:textId="77777777" w:rsidR="00743E49" w:rsidRDefault="00743E49" w:rsidP="00743E49">
      <w:pPr>
        <w:autoSpaceDE w:val="0"/>
        <w:autoSpaceDN w:val="0"/>
        <w:adjustRightInd w:val="0"/>
        <w:rPr>
          <w:rFonts w:cs="Verdana"/>
          <w:color w:val="000000"/>
        </w:rPr>
      </w:pPr>
      <w:r>
        <w:t>Fiecare proiect propus ca răspuns la prezenta cereri de propuneri trebuie să abordeze doar una dintre aceste teme. Solicitanții care doresc să depună propuneri pentru mai multe teme trebuie să prezinte câte o propunere separată pentru fiecare dintre acestea.</w:t>
      </w:r>
    </w:p>
    <w:p w14:paraId="043E9BF0" w14:textId="361D296B" w:rsidR="004D29DC" w:rsidRDefault="004D29DC" w:rsidP="004D29DC">
      <w:pPr>
        <w:autoSpaceDE w:val="0"/>
        <w:autoSpaceDN w:val="0"/>
        <w:adjustRightInd w:val="0"/>
        <w:rPr>
          <w:rFonts w:cs="Verdana"/>
          <w:color w:val="000000"/>
        </w:rPr>
      </w:pPr>
      <w:r>
        <w:rPr>
          <w:color w:val="000000"/>
        </w:rPr>
        <w:t>Vă invităm să citiți cu atenție documentația cererii de propuneri, în special prezentul document de cerere de propuneri, modelul de acord de grant,</w:t>
      </w:r>
      <w:r>
        <w:t xml:space="preserve"> </w:t>
      </w:r>
      <w:hyperlink r:id="rId23" w:history="1">
        <w:r>
          <w:rPr>
            <w:rStyle w:val="Hyperlink"/>
          </w:rPr>
          <w:t>Manualul online al portalului UE Finanțare și licitații</w:t>
        </w:r>
      </w:hyperlink>
      <w:r>
        <w:rPr>
          <w:bCs/>
          <w:color w:val="000000"/>
        </w:rPr>
        <w:t xml:space="preserve"> și </w:t>
      </w:r>
      <w:hyperlink r:id="rId24" w:history="1">
        <w:r>
          <w:rPr>
            <w:rStyle w:val="Hyperlink"/>
          </w:rPr>
          <w:t>AGA – Acordul de grant adnotat pentru granturi UE</w:t>
        </w:r>
      </w:hyperlink>
      <w:r>
        <w:rPr>
          <w:color w:val="000000"/>
        </w:rP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Aceste documente oferă clarificări și răspunsuri la întrebările pe care le puteți avea când vă pregătiți cererea: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u w:val="single"/>
        </w:rPr>
        <w:t>Documentul de cerere de propuneri</w:t>
      </w:r>
      <w:r>
        <w:rPr>
          <w:color w:val="000000"/>
        </w:rPr>
        <w:t xml:space="preserve"> descrie: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contextul, obiectivele, domeniul de aplicare, activitățile care pot fi finanțate și rezultatele preconizate (secțiunile 1 și 2);</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calendarul și bugetul disponibil (secțiunile 3 și 4);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condițiile de admisibilitate și eligibilitate (inclusiv documentele obligatorii; secțiunile 5 și 6);</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criteriile referitoare la capacitatea financiară și operațională și criteriile de excludere (secțiunea 7);</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procedura de evaluare și atribuire (secțiunea 8);</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criteriile de atribuire (secțiunea 9);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structura juridică și financiară a acordurilor de grant (secțiunea 10);</w:t>
      </w:r>
    </w:p>
    <w:p w14:paraId="0FC91E8C" w14:textId="77777777" w:rsidR="00604FA0" w:rsidRPr="00F114D2" w:rsidRDefault="00604FA0" w:rsidP="008B1F42">
      <w:pPr>
        <w:numPr>
          <w:ilvl w:val="1"/>
          <w:numId w:val="41"/>
        </w:numPr>
        <w:autoSpaceDE w:val="0"/>
        <w:autoSpaceDN w:val="0"/>
        <w:adjustRightInd w:val="0"/>
        <w:rPr>
          <w:rFonts w:cs="Verdana"/>
          <w:color w:val="000000"/>
        </w:rPr>
      </w:pPr>
      <w:r>
        <w:t>modul de depunere a unei cereri de finanțare (secțiunea 11).</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u w:val="single"/>
        </w:rPr>
        <w:t>Manualul online</w:t>
      </w:r>
      <w:r>
        <w:rPr>
          <w:color w:val="000000"/>
        </w:rPr>
        <w:t xml:space="preserve"> descrie: </w:t>
      </w:r>
    </w:p>
    <w:p w14:paraId="3985E9EA" w14:textId="77777777" w:rsidR="00494E0C" w:rsidRPr="00524F18" w:rsidRDefault="00494E0C" w:rsidP="008B1F42">
      <w:pPr>
        <w:numPr>
          <w:ilvl w:val="1"/>
          <w:numId w:val="41"/>
        </w:numPr>
        <w:autoSpaceDE w:val="0"/>
        <w:autoSpaceDN w:val="0"/>
        <w:adjustRightInd w:val="0"/>
        <w:rPr>
          <w:rFonts w:cs="Verdana"/>
        </w:rPr>
      </w:pPr>
      <w:r>
        <w:lastRenderedPageBreak/>
        <w:t xml:space="preserve">procedurile de înregistrare și depunere online a propunerilor prin portalul Finanțare și licitații al UE („portalul”);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t>recomandări pentru întocmirea cererii de finanțare.</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u w:val="single"/>
        </w:rPr>
        <w:t>AGA — Acordul de grant adnotat</w:t>
      </w:r>
      <w:r>
        <w:rPr>
          <w:color w:val="000000"/>
        </w:rPr>
        <w:t xml:space="preserve"> conține:</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adnotări detaliate cu privire la toate prevederile din acordul de grant pe care va trebui să le semnați pentru a obține grantul </w:t>
      </w:r>
      <w:r>
        <w:rPr>
          <w:i/>
          <w:color w:val="000000"/>
        </w:rPr>
        <w:t>(inclusiv eligibilitatea costurilor, graficul de plăți, obligațiile accesorii etc.)</w:t>
      </w:r>
      <w:r>
        <w:rPr>
          <w:color w:val="000000"/>
        </w:rPr>
        <w:t xml:space="preserve">. </w:t>
      </w:r>
    </w:p>
    <w:p w14:paraId="635FC1D8" w14:textId="285C54B8" w:rsidR="00774448" w:rsidRPr="00A32077" w:rsidRDefault="00526CED" w:rsidP="42BB08A3">
      <w:pPr>
        <w:autoSpaceDE w:val="0"/>
        <w:autoSpaceDN w:val="0"/>
        <w:adjustRightInd w:val="0"/>
        <w:rPr>
          <w:rFonts w:cs="Verdana"/>
          <w:color w:val="000000"/>
        </w:rPr>
      </w:pPr>
      <w:r>
        <w:rPr>
          <w:color w:val="000000"/>
        </w:rPr>
        <w:t xml:space="preserve">Vă încurajăm să vizitați și </w:t>
      </w:r>
      <w:hyperlink r:id="rId25" w:history="1">
        <w:r>
          <w:rPr>
            <w:rStyle w:val="Hyperlink"/>
          </w:rPr>
          <w:t>site-ul cu rezultatele proiectului de program „Europa pentru cetățeni”</w:t>
        </w:r>
      </w:hyperlink>
      <w:r>
        <w:rPr>
          <w:color w:val="000000"/>
        </w:rPr>
        <w:t xml:space="preserve">, </w:t>
      </w:r>
      <w:hyperlink r:id="rId26" w:history="1">
        <w:r>
          <w:rPr>
            <w:rStyle w:val="Hyperlink"/>
          </w:rPr>
          <w:t>site-ul cu rezultatele programului „Drepturi, egalitate și cetățenie”</w:t>
        </w:r>
      </w:hyperlink>
      <w:r>
        <w:rPr>
          <w:color w:val="000000"/>
        </w:rPr>
        <w:t xml:space="preserve"> și </w:t>
      </w:r>
      <w:hyperlink r:id="rId27" w:history="1">
        <w:r>
          <w:rPr>
            <w:rStyle w:val="Hyperlink"/>
          </w:rPr>
          <w:t>setul de instrumente Daphne</w:t>
        </w:r>
      </w:hyperlink>
      <w:r>
        <w:rPr>
          <w:color w:val="000000"/>
        </w:rPr>
        <w:t xml:space="preserve"> pentru a consulta lista de proiecte finanțate anterior. </w:t>
      </w:r>
    </w:p>
    <w:p w14:paraId="6B9C566E" w14:textId="6F44641E" w:rsidR="00B57534" w:rsidRPr="00494E0C" w:rsidRDefault="00B57534" w:rsidP="00623078">
      <w:pPr>
        <w:pStyle w:val="Heading1"/>
        <w:numPr>
          <w:ilvl w:val="0"/>
          <w:numId w:val="54"/>
        </w:numPr>
        <w:tabs>
          <w:tab w:val="left" w:pos="284"/>
        </w:tabs>
        <w:ind w:left="0" w:firstLine="0"/>
      </w:pPr>
      <w:bookmarkStart w:id="2" w:name="_Toc92975172"/>
      <w:r>
        <w:t>Context</w:t>
      </w:r>
      <w:bookmarkEnd w:id="2"/>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Programul „Cetățeni, egalitate, drepturi și valori” oferă finanțare pentru implicarea cetățenilor, egalitate pentru toți și transpunerea în practică a drepturilor și valorilor UE. Programul „Cetățeni, egalitate, drepturi și valori” (denumit în continuare „programul”) reunește fostul program „Drepturi, egalitate și cetățenie”</w:t>
      </w:r>
      <w:r>
        <w:rPr>
          <w:rFonts w:ascii="Verdana" w:hAnsi="Verdana"/>
          <w:sz w:val="20"/>
          <w:szCs w:val="20"/>
          <w:lang w:val="en-GB"/>
        </w:rPr>
        <w:footnoteReference w:id="4"/>
      </w:r>
      <w:r>
        <w:rPr>
          <w:rFonts w:ascii="Verdana" w:hAnsi="Verdana"/>
          <w:sz w:val="20"/>
          <w:szCs w:val="20"/>
        </w:rPr>
        <w:t xml:space="preserve"> și fostul program „Europa pentru cetățeni”</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Programul promovează schimburile între persoane din țări diferite, consolidează înțelegerea reciprocă și toleranța și oferă beneficiarilor ocazia de a-și lărgi perspectiva și de a cultiva un sentiment de apartenență și identitate europeană prin înfrățirea orașelor și rețelele de orașe. Păstrând o abordare ascendentă, programul oferă de asemenea (în special rețelelor de orașe) ocazia de a se concentra asupra priorităților UE. De exemplu, unul dintre scopurile sale este să îmbunătățească cunoștințele cetățenilor cu privire la Carta drepturilor fundamentale a UE, să contribuie la creșterea participării la alegerile pentru Parlamentul European și a caracterului incluziv al candidaturilor și să sensibilizeze cu privire la discriminare, rasism și consecințele acestora.</w:t>
      </w:r>
    </w:p>
    <w:p w14:paraId="65A00F56" w14:textId="4DA47FF4" w:rsidR="009A57EA" w:rsidRDefault="008B1F42" w:rsidP="0062273B">
      <w:pPr>
        <w:spacing w:after="0"/>
        <w:rPr>
          <w:rFonts w:eastAsia="Verdana" w:cs="Verdana"/>
        </w:rPr>
      </w:pPr>
      <w:r>
        <w:t>Prezenta cerere de propuneri își propune să susțină următoarele inițiative în domeniul politicilor: Planul de acțiune pentru democrația europeană</w:t>
      </w:r>
      <w:r>
        <w:rPr>
          <w:rStyle w:val="FootnoteReference"/>
          <w:rFonts w:eastAsia="Verdana" w:cs="Verdana"/>
        </w:rPr>
        <w:footnoteReference w:id="6"/>
      </w:r>
      <w:r>
        <w:t>, Cadrul strategic al UE pentru egalitatea, incluziunea și participarea romilor</w:t>
      </w:r>
      <w:r>
        <w:rPr>
          <w:rStyle w:val="FootnoteReference"/>
          <w:rFonts w:eastAsia="Verdana" w:cs="Verdana"/>
        </w:rPr>
        <w:footnoteReference w:id="7"/>
      </w:r>
      <w:r>
        <w:t>, Strategia pentru consolidarea aplicării Cartei drepturilor fundamentale în UE</w:t>
      </w:r>
      <w:r>
        <w:rPr>
          <w:rStyle w:val="FootnoteReference"/>
          <w:rFonts w:eastAsia="Verdana" w:cs="Verdana"/>
        </w:rPr>
        <w:footnoteReference w:id="8"/>
      </w:r>
      <w:r>
        <w:t>, Raportul privind cetățenia UE - 2020</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623078">
      <w:pPr>
        <w:pStyle w:val="Heading1"/>
        <w:numPr>
          <w:ilvl w:val="0"/>
          <w:numId w:val="54"/>
        </w:numPr>
        <w:tabs>
          <w:tab w:val="left" w:pos="284"/>
        </w:tabs>
        <w:ind w:left="0" w:firstLine="0"/>
      </w:pPr>
      <w:bookmarkStart w:id="3" w:name="_Toc92975173"/>
      <w:r>
        <w:t>Obiective – Teme și priorități – Activități care pot fi finanțate – Impactul preconizat</w:t>
      </w:r>
      <w:bookmarkEnd w:id="3"/>
    </w:p>
    <w:p w14:paraId="10C94222" w14:textId="3D5C2B6B" w:rsidR="008B1F42" w:rsidRDefault="00BF7239" w:rsidP="008B1F42">
      <w:pPr>
        <w:widowControl w:val="0"/>
        <w:outlineLvl w:val="1"/>
        <w:rPr>
          <w:b/>
          <w:bCs/>
          <w:color w:val="A50021"/>
          <w:u w:val="single"/>
        </w:rPr>
      </w:pPr>
      <w:r>
        <w:rPr>
          <w:b/>
          <w:bCs/>
          <w:color w:val="A50021"/>
          <w:u w:val="single"/>
        </w:rPr>
        <w:t>CERV-2022-CITIZENS-TOWN-TT – Înfrățirea orașelor</w:t>
      </w:r>
    </w:p>
    <w:p w14:paraId="13FAC18F" w14:textId="77777777" w:rsidR="008B1F42" w:rsidRDefault="008B1F42" w:rsidP="008B1F42">
      <w:pPr>
        <w:pStyle w:val="Heading3"/>
      </w:pPr>
      <w:bookmarkStart w:id="4" w:name="_Toc92975174"/>
      <w:r>
        <w:t>Obiective</w:t>
      </w:r>
      <w:bookmarkEnd w:id="4"/>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promovarea schimburilor între cetățeni din țări diferite;</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oferirea ocaziei de a descoperi diversitatea culturală a Uniunii Europene și sensibilizarea cetățenilor cu privire la faptul că valorile europene și patrimoniul cultural european constituie fundamentul unui viitor comun</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lastRenderedPageBreak/>
        <w:t>garantarea unor relații pașnice între europeni și asigurarea participării lor active la nivel local;</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consolidarea înțelegerii reciproce și a prieteniei între cetățenii europeni;</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încurajarea cooperării între municipalități și a schimbului de bune practici;</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sprijinirea bunei guvernanțe locale și consolidarea rolului autorităților locale și regionale în procesul de integrare europeană.</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Se preconizează că proiectele de înfrățire a orașelor se vor oglindi într-o nouă poveste pentru Europa, una constructivă și axată pe cetățeni, orientată spre viitor și care promovează egalitatea, mai atrăgătoare în special pentru generația tânără. Proiectele se pot baza pe rezultatul consultărilor cu cetățenii și pot duce la dezbateri despre modalități concrete de a crea o Uniune mai democratică, de a impulsiona cetățenii să se reconecteze cu UE și de a cultiva un sentiment mai puternic de asumare a proiectului european.</w:t>
      </w:r>
    </w:p>
    <w:p w14:paraId="6C324617" w14:textId="7DEA1873" w:rsidR="008B1F42" w:rsidRDefault="008B1F42" w:rsidP="008B1F42">
      <w:pPr>
        <w:pStyle w:val="Heading3"/>
      </w:pPr>
      <w:bookmarkStart w:id="5" w:name="_Toc92975175"/>
      <w:r>
        <w:t>Teme și priorități (domeniu de aplicare)</w:t>
      </w:r>
      <w:bookmarkEnd w:id="5"/>
    </w:p>
    <w:p w14:paraId="5FB7D970" w14:textId="77777777" w:rsidR="008B1F42" w:rsidRDefault="008B1F42" w:rsidP="008B1F42">
      <w:pPr>
        <w:numPr>
          <w:ilvl w:val="0"/>
          <w:numId w:val="48"/>
        </w:numPr>
        <w:rPr>
          <w:rFonts w:eastAsia="Verdana" w:cs="Verdana"/>
        </w:rPr>
      </w:pPr>
      <w:r>
        <w:rPr>
          <w:b/>
          <w:bCs/>
        </w:rPr>
        <w:t>Sensibilizare cu privire la bogăția mediului cultural și lingvistic din Europa</w:t>
      </w:r>
    </w:p>
    <w:p w14:paraId="2B1D8BE9" w14:textId="77777777" w:rsidR="008B1F42" w:rsidRPr="008F0D17" w:rsidRDefault="008B1F42" w:rsidP="008B1F42">
      <w:pPr>
        <w:rPr>
          <w:rFonts w:eastAsia="Verdana" w:cs="Verdana"/>
        </w:rPr>
      </w:pPr>
      <w:r>
        <w:t xml:space="preserve">Programul contribuie la promovarea dialogului intercultural, reunind persoane de naționalități diferite și cu limbi diferite și oferindu-le posibilitatea de a participa la activități comune. În acest context, proiectele de înfrățire a orașelor ar trebui să sensibilizeze oamenii cu privire la bogăția mediului cultural și lingvistic din Europa și să promoveze înțelegerea reciprocă și toleranța, contribuind astfel la cultivarea unei identități europene, dinamice, plurivalente și caracterizate de respect, precum și la respectarea valorilor comune, a democrației și a drepturilor fundamentale. </w:t>
      </w:r>
    </w:p>
    <w:p w14:paraId="278D248A" w14:textId="77777777" w:rsidR="008B1F42" w:rsidRDefault="008B1F42" w:rsidP="008B1F42">
      <w:pPr>
        <w:numPr>
          <w:ilvl w:val="0"/>
          <w:numId w:val="48"/>
        </w:numPr>
        <w:rPr>
          <w:rFonts w:eastAsia="Verdana" w:cs="Verdana"/>
        </w:rPr>
      </w:pPr>
      <w:r>
        <w:rPr>
          <w:b/>
          <w:bCs/>
        </w:rPr>
        <w:t>Sensibilizare cu privire la importanța consolidării procesului de integrare europeană pe baza solidarității</w:t>
      </w:r>
    </w:p>
    <w:p w14:paraId="6CBF9321" w14:textId="77777777" w:rsidR="008B1F42" w:rsidRDefault="008B1F42" w:rsidP="008B1F42">
      <w:pPr>
        <w:rPr>
          <w:rFonts w:eastAsia="Verdana" w:cs="Verdana"/>
        </w:rPr>
      </w:pPr>
      <w:r>
        <w:t>Uniunea Europeană este clădită pe solidaritate: solidaritate între cetățenii săi, solidaritate transfrontalieră între statele sale membre și solidaritate prin acțiuni de sprijin în interiorul și în afara Uniunii. Solidaritatea este o valoare comună care creează coeziune și găsește răspunsuri la provocările societale. Proiectele de înfrățire a orașelor ar trebui să contribuie la depășirea percepțiilor naționale, promovând înțelegerea reciprocă și creând foruri în care să poată fi discutate soluții comune într-un mod constructiv. Scopul lor ar trebui să fie sensibilizarea oamenilor cu privire la importanța consolidării procesului de integrare europeană pe baza solidarității și a valorilor comune.</w:t>
      </w:r>
    </w:p>
    <w:p w14:paraId="0C7C4065" w14:textId="77777777" w:rsidR="008B1F42" w:rsidRDefault="008B1F42" w:rsidP="008B1F42">
      <w:pPr>
        <w:numPr>
          <w:ilvl w:val="0"/>
          <w:numId w:val="48"/>
        </w:numPr>
        <w:rPr>
          <w:rFonts w:eastAsia="Verdana" w:cs="Verdana"/>
        </w:rPr>
      </w:pPr>
      <w:r>
        <w:rPr>
          <w:b/>
          <w:bCs/>
        </w:rPr>
        <w:t xml:space="preserve">Cultivarea unui sentiment de apartenență la Europa prin promovarea dezbaterii pe tema viitorului Europei </w:t>
      </w:r>
    </w:p>
    <w:p w14:paraId="1B7C766D" w14:textId="77777777" w:rsidR="008B1F42" w:rsidRDefault="008B1F42" w:rsidP="008B1F42">
      <w:pPr>
        <w:rPr>
          <w:rFonts w:eastAsia="Verdana" w:cs="Verdana"/>
        </w:rPr>
      </w:pPr>
      <w:r>
        <w:t xml:space="preserve">Proiectele de înfrățire a orașelor ar trebui să ofere cetățenilor posibilitatea de a spune ce fel de Europă își doresc. Dezbaterile organizate în cadrul temei Înfrățirea orașelor ar trebui să pornească de la realizările concrete ale Uniunii Europene și de la lecțiile învățate din istorie. Totodată, în cadrul acestor dezbateri ar trebui să se reflecteze asupra tendințelor actuale, iar participanții să aibă ocazia de a contracara euroscepticismul sugerând acțiuni pe care Uniunea Europeană le-ar putea întreprinde pentru a promova un sentiment de apartenență la Europa, a înțelege beneficiile aduse de Uniunea Europeană și a consolida coeziunea socială și politică a UE. Municipalitățile </w:t>
      </w:r>
      <w:r>
        <w:lastRenderedPageBreak/>
        <w:t>înfrățite sunt încurajate să răspundă obiectivelor Conferinței privind viitorul Europei</w:t>
      </w:r>
      <w:r>
        <w:rPr>
          <w:rStyle w:val="FootnoteReference"/>
          <w:rFonts w:eastAsia="Verdana" w:cs="Verdana"/>
        </w:rPr>
        <w:footnoteReference w:id="10"/>
      </w:r>
      <w:r>
        <w:t>. În plus, dezbaterile ar trebui să promoveze o cultură a schimburilor democratice, în care opiniile tuturor participanților să aibă aceeași greutate, indiferent de gen, vârstă sau origine etnică.</w:t>
      </w:r>
    </w:p>
    <w:p w14:paraId="10D7F696" w14:textId="77777777" w:rsidR="008B1F42" w:rsidRDefault="008B1F42" w:rsidP="008B1F42">
      <w:pPr>
        <w:numPr>
          <w:ilvl w:val="0"/>
          <w:numId w:val="48"/>
        </w:numPr>
        <w:rPr>
          <w:rFonts w:eastAsia="Verdana" w:cs="Verdana"/>
          <w:b/>
          <w:bCs/>
        </w:rPr>
      </w:pPr>
      <w:r>
        <w:rPr>
          <w:b/>
          <w:bCs/>
        </w:rPr>
        <w:t>Reflecții despre impactul pandemiei de COVID-19 asupra comunităților locale</w:t>
      </w:r>
    </w:p>
    <w:p w14:paraId="481B9ACE" w14:textId="77777777" w:rsidR="008B1F42" w:rsidRDefault="008B1F42" w:rsidP="008B1F42">
      <w:pPr>
        <w:rPr>
          <w:rFonts w:eastAsia="Verdana" w:cs="Verdana"/>
        </w:rPr>
      </w:pPr>
      <w:r>
        <w:t>Pandemia de COVID-19 a influențat modul în care funcționează democrațiile noastre și participarea civică. Nevoia de a preveni răspândirea contagiunii a dus la impunerea unor restricții puternice asupra libertății individuale și colective. Proiectele de înfrățire a orașelor sunt încurajate să reflecteze la impactul pandemiei de COVID-19 asupra vieții și funcționării comunităților locale, precum și asupra formelor pe care le ia participarea civică în contextul crizei de COVID-19.</w:t>
      </w:r>
    </w:p>
    <w:p w14:paraId="36719A73" w14:textId="77777777" w:rsidR="008B1F42" w:rsidRDefault="008B1F42" w:rsidP="008B1F42">
      <w:pPr>
        <w:widowControl w:val="0"/>
        <w:outlineLvl w:val="1"/>
        <w:rPr>
          <w:i/>
          <w:color w:val="A50021"/>
          <w:u w:val="single"/>
        </w:rPr>
      </w:pPr>
      <w:r>
        <w:rPr>
          <w:i/>
          <w:color w:val="A50021"/>
          <w:u w:val="single"/>
        </w:rPr>
        <w:t>Activități care pot fi finanțate (domeniu de aplicare)</w:t>
      </w:r>
    </w:p>
    <w:p w14:paraId="3F3EFBB4" w14:textId="77777777" w:rsidR="008B1F42" w:rsidRDefault="008B1F42" w:rsidP="008B1F42">
      <w:pPr>
        <w:widowControl w:val="0"/>
        <w:outlineLvl w:val="1"/>
      </w:pPr>
      <w:r>
        <w:t>Activitățile pot să cuprindă, printre altele:</w:t>
      </w:r>
    </w:p>
    <w:p w14:paraId="6E4AFEA1" w14:textId="2D94E985" w:rsidR="008B1F42" w:rsidRPr="00BF5947" w:rsidRDefault="008B1F42" w:rsidP="008B1F42">
      <w:pPr>
        <w:pStyle w:val="Text3"/>
        <w:numPr>
          <w:ilvl w:val="0"/>
          <w:numId w:val="48"/>
        </w:numPr>
        <w:tabs>
          <w:tab w:val="left" w:pos="567"/>
        </w:tabs>
        <w:ind w:left="567" w:hanging="207"/>
      </w:pPr>
      <w:r>
        <w:t>ateliere, seminare, conferințe, activități de formare, reuniuni de experți, webinare, activități de sensibilizare, culegere de date și consultări, dezvoltare, schimburi și diseminare de bune practici între autoritățile publice și organizațiile societății civile, realizarea de instrumente de comunicare și utilizarea platformelor de comunicare socială.</w:t>
      </w:r>
    </w:p>
    <w:p w14:paraId="44CF613E" w14:textId="055AEA4F" w:rsidR="00BF5947" w:rsidRDefault="00BF5947" w:rsidP="00CC2315">
      <w:pPr>
        <w:widowControl w:val="0"/>
      </w:pPr>
      <w:r>
        <w:t xml:space="preserve">Perspectiva egalității de gen ar trebui luată în considerare la proiectarea „formatului” activităților, pentru a asigura că acestea sunt accesibile femeilor și bărbaților în condiții de egalitate și că atât femeile, cât și bărbații pot participa la activități. </w:t>
      </w:r>
    </w:p>
    <w:p w14:paraId="4E176950" w14:textId="7F1D3AA0" w:rsidR="008B1F42" w:rsidRPr="00CC2315" w:rsidRDefault="008B1F42" w:rsidP="008B1F42">
      <w:pPr>
        <w:widowControl w:val="0"/>
        <w:outlineLvl w:val="1"/>
        <w:rPr>
          <w:i/>
          <w:color w:val="A50021"/>
          <w:u w:val="single"/>
        </w:rPr>
      </w:pPr>
      <w:r>
        <w:rPr>
          <w:i/>
          <w:color w:val="A50021"/>
          <w:u w:val="single"/>
        </w:rPr>
        <w:t>Impactul preconizat</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sporirea și încurajarea înțelegerii reciproce și a prieteniei între cetățeni diverși de la nivel local;</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valorificarea experienței unor cetățeni diverși din cadrul comunităților locale și recunoașterea plusului de valoare adus de UE printr-o abordare „la firul ierbii”;</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cultivarea unui sentiment mai puternic de apartenență la UE.</w:t>
      </w:r>
    </w:p>
    <w:p w14:paraId="3816CD76" w14:textId="7A8224D0" w:rsidR="008B1F42" w:rsidRDefault="00BF7239" w:rsidP="008B1F42">
      <w:pPr>
        <w:widowControl w:val="0"/>
        <w:outlineLvl w:val="1"/>
        <w:rPr>
          <w:b/>
          <w:bCs/>
          <w:color w:val="A50021"/>
        </w:rPr>
      </w:pPr>
      <w:r>
        <w:rPr>
          <w:b/>
          <w:bCs/>
          <w:color w:val="A50021"/>
          <w:u w:val="single"/>
        </w:rPr>
        <w:t>CERV-2022-CITIZENS-TOWN-NT – Rețele de orașe</w:t>
      </w:r>
      <w:r>
        <w:rPr>
          <w:b/>
          <w:bCs/>
          <w:color w:val="A50021"/>
        </w:rPr>
        <w:t xml:space="preserve"> </w:t>
      </w:r>
    </w:p>
    <w:p w14:paraId="5DD50407" w14:textId="77777777" w:rsidR="008B1F42" w:rsidRDefault="008B1F42" w:rsidP="008B1F42">
      <w:pPr>
        <w:pStyle w:val="Heading3"/>
      </w:pPr>
      <w:bookmarkStart w:id="6" w:name="_Toc92975176"/>
      <w:r>
        <w:t>Obiective</w:t>
      </w:r>
      <w:bookmarkEnd w:id="6"/>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promovarea schimburilor între cetățeni din țări diferite;</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oferirea ocaziei de a descoperi diversitatea culturală a Uniunii Europene și sensibilizarea cetățenilor cu privire la faptul că valorile europene și patrimoniul cultural european constituie fundamentul unui viitor comun</w:t>
      </w:r>
      <w:r>
        <w:rPr>
          <w:iCs/>
          <w:sz w:val="20"/>
          <w:szCs w:val="20"/>
        </w:rPr>
        <w:t>;</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garantarea unor relații pașnice între europeni și asigurarea participării lor active la nivel local;</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consolidarea înțelegerii reciproce și a prieteniei între cetățenii europeni;</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încurajarea cooperării între municipalități și a schimbului de bune practici;</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lastRenderedPageBreak/>
        <w:t>sprijinirea bunei guvernanțe locale și consolidarea rolului autorităților locale și regionale în procesul de integrare europeană.</w:t>
      </w:r>
    </w:p>
    <w:p w14:paraId="79BB4ACA" w14:textId="77777777" w:rsidR="008B1F42" w:rsidRDefault="008B1F42" w:rsidP="008B1F42">
      <w:pPr>
        <w:rPr>
          <w:rFonts w:eastAsia="Verdana" w:cs="Verdana"/>
        </w:rPr>
      </w:pPr>
      <w:r>
        <w:t>Se preconizează că proiectele de realizare a unor rețele de orașe se vor oglindi într-o nouă poveste pentru Europa, una constructivă și axată pe cetățeni, orientată spre viitor și care promovează egalitatea, mai atrăgătoare în special pentru generația tânără. Proiectele se pot baza pe rezultatul consultărilor cu cetățenii și pot duce la dezbateri despre modalități concrete de a crea o Uniune mai democratică, de a impulsiona cetățenii să se reconecteze cu UE și de a cultiva un sentiment mai puternic de asumare a proiectului european.</w:t>
      </w:r>
    </w:p>
    <w:p w14:paraId="21311993" w14:textId="77777777" w:rsidR="008B1F42" w:rsidRDefault="008B1F42" w:rsidP="008B1F42">
      <w:pPr>
        <w:rPr>
          <w:rFonts w:eastAsia="Verdana" w:cs="Verdana"/>
        </w:rPr>
      </w:pPr>
      <w:r>
        <w:t>Rețelele de orașe ar trebui să ofere orașelor și municipalităților posibilitatea de a-și aprofunda și intensifica cooperarea și dezbaterile într-o perspectivă pe termen lung, de a realiza rețele durabile și de a-și contura viziunea pe termen lung pentru viitorul integrării europene.</w:t>
      </w:r>
    </w:p>
    <w:p w14:paraId="73AEEF58" w14:textId="77777777" w:rsidR="008B1F42" w:rsidRDefault="008B1F42" w:rsidP="008B1F42">
      <w:pPr>
        <w:pStyle w:val="Heading3"/>
      </w:pPr>
      <w:bookmarkStart w:id="7" w:name="_Toc92975177"/>
      <w:r>
        <w:t>Teme și priorități (domeniu de aplicare)</w:t>
      </w:r>
      <w:bookmarkEnd w:id="7"/>
    </w:p>
    <w:p w14:paraId="19210619" w14:textId="5F6CD73A" w:rsidR="008B1F42" w:rsidRDefault="008B1F42" w:rsidP="008B1F42">
      <w:pPr>
        <w:pStyle w:val="Text3"/>
        <w:ind w:left="0"/>
        <w:rPr>
          <w:rFonts w:eastAsia="Verdana" w:cs="Verdana"/>
        </w:rPr>
      </w:pPr>
      <w:r>
        <w:t>Păstrând o abordare ascendentă, se poate acorda o atenție specială următoarelor aspecte:</w:t>
      </w:r>
    </w:p>
    <w:p w14:paraId="0114D3C8" w14:textId="77777777" w:rsidR="00DF1A7E" w:rsidRPr="007472BE" w:rsidRDefault="00DF1A7E" w:rsidP="00DF1A7E">
      <w:pPr>
        <w:numPr>
          <w:ilvl w:val="0"/>
          <w:numId w:val="48"/>
        </w:numPr>
        <w:rPr>
          <w:rFonts w:eastAsia="Verdana" w:cs="Verdana"/>
        </w:rPr>
      </w:pPr>
      <w:r>
        <w:rPr>
          <w:b/>
        </w:rPr>
        <w:t>Consolidarea dimensiunii europene și democratice a procesului decizional în cadrul UE</w:t>
      </w:r>
    </w:p>
    <w:p w14:paraId="170D5575" w14:textId="591CBCC7" w:rsidR="00DF1A7E" w:rsidRDefault="00DF1A7E" w:rsidP="00DF1A7E">
      <w:r>
        <w:t>Rețelele de orașe sunt invitate să dezvolte proiecte care consolidează guvernanța democratică sprijinind implicarea activă a cetățenilor în viața politică europeană și exercitarea drepturilor lor electorale. Aceste proiecte ar contribui la combaterea participării slabe la alegeri, a populismului, a dezinformării și a provocărilor cu care se confruntă societatea civilă;</w:t>
      </w:r>
    </w:p>
    <w:p w14:paraId="75942D03" w14:textId="57AAA631" w:rsidR="00DF1A7E" w:rsidRPr="00732A4F" w:rsidRDefault="00DF1A7E" w:rsidP="00DF1A7E">
      <w:pPr>
        <w:numPr>
          <w:ilvl w:val="0"/>
          <w:numId w:val="48"/>
        </w:numPr>
        <w:rPr>
          <w:rFonts w:eastAsia="Verdana" w:cs="Verdana"/>
          <w:b/>
        </w:rPr>
      </w:pPr>
      <w:r>
        <w:rPr>
          <w:b/>
        </w:rPr>
        <w:t>Sprijinirea alegerilor libere și corecte în Europa</w:t>
      </w:r>
    </w:p>
    <w:p w14:paraId="508FCAAE" w14:textId="13093283" w:rsidR="00DF1A7E" w:rsidRPr="00623078" w:rsidRDefault="00DF1A7E" w:rsidP="00DF1A7E">
      <w:pPr>
        <w:rPr>
          <w:rFonts w:eastAsia="Verdana" w:cs="Verdana"/>
        </w:rPr>
      </w:pPr>
      <w:r>
        <w:t>Având în vedere alegerile europene din 2024, Rețelele de orașe sunt invitate să depună eforturi pentru păstrarea instituțiilor democratice ale UE și pentru participarea cetățenilor în cadrul acestora. Coordonarea în cadrul rețelelor relevante și între acestea ar putea conduce în special la stabilirea unor metode de lucru comune, la consolidarea capacităților de a detecta și a aborda amenințările la adresa alegerilor, precum și la elaborarea unor modele de bune practici și a unor orientări.</w:t>
      </w:r>
    </w:p>
    <w:p w14:paraId="609BDE0C" w14:textId="77777777" w:rsidR="00DF1A7E" w:rsidRPr="009109D5" w:rsidRDefault="00DF1A7E" w:rsidP="00DF1A7E">
      <w:pPr>
        <w:numPr>
          <w:ilvl w:val="0"/>
          <w:numId w:val="48"/>
        </w:numPr>
        <w:rPr>
          <w:rFonts w:eastAsia="Verdana" w:cs="Verdana"/>
        </w:rPr>
      </w:pPr>
      <w:r>
        <w:rPr>
          <w:b/>
          <w:bCs/>
        </w:rPr>
        <w:t xml:space="preserve">Cultivarea unui sentiment de apartenență la Europa prin promovarea dezbaterii pe tema viitorului Europei </w:t>
      </w:r>
    </w:p>
    <w:p w14:paraId="56A249A6" w14:textId="404D5832" w:rsidR="00DF1A7E" w:rsidRDefault="00DF1A7E" w:rsidP="00DF1A7E">
      <w:pPr>
        <w:rPr>
          <w:rFonts w:eastAsia="Verdana" w:cs="Verdana"/>
        </w:rPr>
      </w:pPr>
      <w:r>
        <w:t>Rețelele de orașe ar trebui să ofere cetățenilor posibilitatea de a spune ce fel de Europă își doresc. Dezbaterile ar trebui să pornească de la realizările concrete ale Uniunii Europene și de la lecțiile învățate din istorie. Totodată, aceste dezbateri ar putea să sugereze acțiuni pe care Uniunea Europeană le-ar putea întreprinde pentru a promova un sentiment de apartenență la Europa, a înțelege beneficiile aduse de Uniunea Europeană și a consolida coeziunea socială și politică a UE. Rețelele de orașe sunt încurajate să răspundă obiectivelor Conferinței privind viitorul Europei.</w:t>
      </w:r>
    </w:p>
    <w:p w14:paraId="2AF05699" w14:textId="77777777" w:rsidR="00DF1A7E" w:rsidRPr="000A6611" w:rsidRDefault="00DF1A7E" w:rsidP="00DF1A7E">
      <w:pPr>
        <w:numPr>
          <w:ilvl w:val="0"/>
          <w:numId w:val="48"/>
        </w:numPr>
        <w:rPr>
          <w:rFonts w:eastAsia="Verdana" w:cs="Verdana"/>
          <w:b/>
          <w:bCs/>
        </w:rPr>
      </w:pPr>
      <w:r>
        <w:rPr>
          <w:b/>
          <w:bCs/>
        </w:rPr>
        <w:t>Reflecții despre impactul pandemiei de COVID-19 asupra comunităților locale</w:t>
      </w:r>
    </w:p>
    <w:p w14:paraId="4F1B2504" w14:textId="23705276" w:rsidR="00DF1A7E" w:rsidRPr="006F58BD" w:rsidRDefault="00DF1A7E" w:rsidP="006F58BD">
      <w:pPr>
        <w:pStyle w:val="Text3"/>
        <w:ind w:left="0"/>
        <w:rPr>
          <w:rFonts w:eastAsia="Verdana" w:cs="Verdana"/>
        </w:rPr>
      </w:pPr>
      <w:r>
        <w:t>Pandemia de COVID-19 a influențat modul în care funcționează democrațiile noastre și participarea civică. Nevoia de a preveni răspândirea contagiunii a dus la impunerea unor restricții puternice asupra libertății individuale și colective. Rețelele de orașe sunt încurajate să reflecteze la impactul pandemiei de COVID-19 asupra vieții și funcționării comunităților locale, precum și asupra formelor pe care le ia participarea civică în contextul crizei generate de COVID-19.</w:t>
      </w:r>
    </w:p>
    <w:p w14:paraId="67B84D45" w14:textId="5CF8C7F0" w:rsidR="008B1F42" w:rsidRDefault="008B1F42" w:rsidP="008B1F42">
      <w:pPr>
        <w:pStyle w:val="Heading3"/>
      </w:pPr>
      <w:bookmarkStart w:id="8" w:name="_Toc92975178"/>
      <w:r>
        <w:lastRenderedPageBreak/>
        <w:t>Activități care pot fi finanțate (domeniu de aplicare)</w:t>
      </w:r>
      <w:bookmarkEnd w:id="8"/>
    </w:p>
    <w:p w14:paraId="24792C88" w14:textId="77777777" w:rsidR="008B1F42" w:rsidRDefault="008B1F42" w:rsidP="008B1F42">
      <w:pPr>
        <w:widowControl w:val="0"/>
        <w:outlineLvl w:val="1"/>
      </w:pPr>
      <w:r>
        <w:t>Activitățile pot să cuprindă, printre altele:</w:t>
      </w:r>
    </w:p>
    <w:p w14:paraId="31F23C7A" w14:textId="77777777" w:rsidR="008B1F42" w:rsidRDefault="008B1F42" w:rsidP="008B1F42">
      <w:pPr>
        <w:pStyle w:val="Text3"/>
        <w:numPr>
          <w:ilvl w:val="0"/>
          <w:numId w:val="48"/>
        </w:numPr>
        <w:tabs>
          <w:tab w:val="left" w:pos="567"/>
        </w:tabs>
        <w:ind w:left="567" w:hanging="207"/>
      </w:pPr>
      <w:r>
        <w:t>ateliere, seminare, conferințe, activități de formare, reuniuni de experți, webinare, activități de sensibilizare, culegere de date și consultări, dezvoltare, schimburi și diseminare de bune practici între autoritățile publice și organizațiile societății civile, realizarea de instrumente de comunicare și utilizarea platformelor de comunicare socială.</w:t>
      </w:r>
    </w:p>
    <w:p w14:paraId="4FBCD5D4" w14:textId="58457A61" w:rsidR="00E83685" w:rsidRPr="006F58BD" w:rsidRDefault="00E83685" w:rsidP="00E83685">
      <w:pPr>
        <w:widowControl w:val="0"/>
      </w:pPr>
      <w:r>
        <w:t xml:space="preserve">Perspectiva egalității de gen ar trebui luată în considerare la proiectarea „formatului” activităților, pentru a asigura că acestea sunt accesibile femeilor și bărbaților în condiții de egalitate și că atât femeile, cât și bărbații pot participa la activități. </w:t>
      </w:r>
    </w:p>
    <w:p w14:paraId="60B4B3FC" w14:textId="77777777" w:rsidR="00BF5947" w:rsidRPr="00732A4F" w:rsidRDefault="00BF5947" w:rsidP="00BF5947">
      <w:pPr>
        <w:widowControl w:val="0"/>
      </w:pPr>
      <w:r>
        <w:t>Se așteaptă ca elaborarea și implementarea proiectelor să promoveze egalitatea de gen și integrarea nediscriminării. De exemplu, solicitanții ar putea să efectueze și să includă în propunerea lor o analiză de gen, care ar cartografia impactul potențial diferit al proiectului și al activităților din cadrul acestuia asupra femeilor și bărbaților, precum și asupra fetelor și băieților în toată diversitatea lor. Ar putea fi prevenite astfel efectele negative neintenționate ale intervenției asupra ambelor genuri (abordarea de a nu face rău).</w:t>
      </w:r>
      <w:r w:rsidRPr="00732A4F">
        <w:rPr>
          <w:rStyle w:val="FootnoteReference"/>
        </w:rPr>
        <w:footnoteReference w:id="11"/>
      </w:r>
    </w:p>
    <w:p w14:paraId="363A4BA3" w14:textId="77777777" w:rsidR="008B1F42" w:rsidRDefault="008B1F42" w:rsidP="008B1F42">
      <w:pPr>
        <w:pStyle w:val="Heading3"/>
      </w:pPr>
      <w:bookmarkStart w:id="9" w:name="_Toc92975179"/>
      <w:r>
        <w:t>Impactul preconizat</w:t>
      </w:r>
      <w:bookmarkEnd w:id="9"/>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oferirea posibilității ca orașele și municipalitățile să conceapă proiecte la scară mai mare, cu scopul de a spori impactul și durabilitatea proiectelor lor;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încurajarea beneficiarilor să dezvolte mai multe proiecte tematice și legate de politici;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crearea de legături durabile cu organizațiile partenere;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sensibilizarea cu privire la beneficiile diversității și combaterea discriminării și a rasismului;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sporirea și încurajarea înțelegerii reciproce și a acceptării față de minoritățile europene, de exemplu față de romi;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sensibilizarea oamenilor cu privire la Carta drepturilor fundamentale a UE și la aplicarea acesteia și promovarea unei culturi a drepturilor fundamentale;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îmbunătățirea informațiilor privind drepturile conferite de cetățenia UE și îmbunătățirea punerii lor în aplicare în statele membre;</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sensibilizarea și îmbunătățirea informațiilor furnizate cetățenilor mobili ai UE și membrilor familiilor acestora cu privire la drepturile pe care le au în baza cetățeniei UE.</w:t>
      </w:r>
    </w:p>
    <w:p w14:paraId="0EC8E6E1" w14:textId="77777777" w:rsidR="001E6C28" w:rsidRPr="00D33E97"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10" w:name="_Toc92975180"/>
      <w:r>
        <w:t>Buget disponibil</w:t>
      </w:r>
      <w:bookmarkEnd w:id="10"/>
    </w:p>
    <w:p w14:paraId="0930E03A" w14:textId="36C575EE" w:rsidR="003D5D72" w:rsidRPr="00884C69" w:rsidRDefault="008246AA" w:rsidP="00F114D2">
      <w:r>
        <w:t xml:space="preserve">Bugetul disponibil pentru această cerere de propuneri este de </w:t>
      </w:r>
      <w:r>
        <w:rPr>
          <w:b/>
        </w:rPr>
        <w:t>11 000 000 EUR.</w:t>
      </w:r>
    </w:p>
    <w:p w14:paraId="0AD2884B" w14:textId="156487E9" w:rsidR="003D5D72" w:rsidRPr="00F114D2" w:rsidRDefault="003D5D72" w:rsidP="003D5D72">
      <w:pPr>
        <w:spacing w:after="240"/>
      </w:pPr>
      <w:r>
        <w:t>Informații specifice despre buget, pe teme, pot fi găsite în tabelul de mai jos.</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Temă</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Buget alocat temei</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t>1 – Înfrățirea orașelor</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4 500 000 EUR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Rețele de orașe</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6 500 000 EUR </w:t>
            </w:r>
          </w:p>
        </w:tc>
      </w:tr>
    </w:tbl>
    <w:p w14:paraId="24AC267A" w14:textId="77777777" w:rsidR="003D5D72" w:rsidRDefault="003D5D72" w:rsidP="000579AF">
      <w:pPr>
        <w:spacing w:after="0"/>
      </w:pPr>
    </w:p>
    <w:p w14:paraId="5155AA30" w14:textId="193C0ACA" w:rsidR="008246AA" w:rsidRDefault="005764E8" w:rsidP="000579AF">
      <w:pPr>
        <w:spacing w:after="0"/>
      </w:pPr>
      <w:r>
        <w:lastRenderedPageBreak/>
        <w:t xml:space="preserve">Ne rezervăm dreptul de a nu acorda toate fondurile disponibile sau de a le redistribui între temele cererii, în funcție de propunerile primite și de rezultatele evaluării. </w:t>
      </w:r>
    </w:p>
    <w:p w14:paraId="2F76B7EF" w14:textId="77777777" w:rsidR="00E17677" w:rsidRPr="00D33E97" w:rsidRDefault="00E17677" w:rsidP="00623078">
      <w:pPr>
        <w:pStyle w:val="ListParagraph"/>
        <w:snapToGrid w:val="0"/>
        <w:rPr>
          <w:rFonts w:eastAsia="Verdana" w:cs="Verdana"/>
          <w:sz w:val="20"/>
          <w:szCs w:val="20"/>
          <w:lang w:val="fr-BE"/>
        </w:rPr>
      </w:pPr>
    </w:p>
    <w:p w14:paraId="443BB5FD" w14:textId="3369C3E2" w:rsidR="0081075D" w:rsidRPr="00975A34" w:rsidRDefault="0081075D" w:rsidP="00623078">
      <w:pPr>
        <w:pStyle w:val="Heading1"/>
        <w:numPr>
          <w:ilvl w:val="0"/>
          <w:numId w:val="54"/>
        </w:numPr>
        <w:tabs>
          <w:tab w:val="left" w:pos="284"/>
        </w:tabs>
        <w:ind w:left="0" w:firstLine="0"/>
      </w:pPr>
      <w:bookmarkStart w:id="11" w:name="_Toc92975181"/>
      <w:r>
        <w:t>Calendar și termene</w:t>
      </w:r>
      <w:bookmarkEnd w:id="11"/>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Calendar și termene (orientative)</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Deschiderea cererii de propuneri:</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16 noiembrie 2021</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Termen de depunere:</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24 martie 2022 – ora 17.00.00 CET (Bruxelles)</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Evaluare:</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martie-iunie 2022</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Informații privind rezultatele evaluării:</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iunie–iulie 2022</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Semnarea AG:</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august-noiembrie 2022</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2" w:name="_Toc92975182"/>
      <w:r>
        <w:t>Admisibilitate și documente</w:t>
      </w:r>
      <w:bookmarkEnd w:id="12"/>
    </w:p>
    <w:p w14:paraId="1E55A5E3" w14:textId="14F9847C" w:rsidR="00C41E84" w:rsidRPr="00B57534" w:rsidRDefault="000A7529" w:rsidP="00C41E84">
      <w:pPr>
        <w:pStyle w:val="Text1"/>
        <w:tabs>
          <w:tab w:val="clear" w:pos="2160"/>
        </w:tabs>
        <w:ind w:left="0"/>
        <w:rPr>
          <w:rFonts w:cs="Arial"/>
          <w:iCs/>
        </w:rPr>
      </w:pPr>
      <w:r>
        <w:t xml:space="preserve">Propunerile trebuie depuse înainte de </w:t>
      </w:r>
      <w:r>
        <w:rPr>
          <w:b/>
          <w:iCs/>
        </w:rPr>
        <w:t>termenul prevăzut în cererea de propuneri</w:t>
      </w:r>
      <w:r>
        <w:t xml:space="preserve"> </w:t>
      </w:r>
      <w:r>
        <w:rPr>
          <w:i/>
          <w:iCs/>
        </w:rPr>
        <w:t>(vezi calendarul din secțiunea</w:t>
      </w:r>
      <w:r w:rsidR="00CE50BC">
        <w:rPr>
          <w:i/>
          <w:iCs/>
        </w:rPr>
        <w:t xml:space="preserve"> </w:t>
      </w:r>
      <w:r>
        <w:rPr>
          <w:i/>
          <w:iCs/>
        </w:rPr>
        <w:t>4)</w:t>
      </w:r>
      <w:r>
        <w:t>.</w:t>
      </w:r>
    </w:p>
    <w:p w14:paraId="56C9BCF2" w14:textId="69382FEF" w:rsidR="00C41E84" w:rsidRPr="00B57534" w:rsidRDefault="000A7529" w:rsidP="00C41E84">
      <w:pPr>
        <w:rPr>
          <w:rFonts w:cs="Arial"/>
        </w:rPr>
      </w:pPr>
      <w:r>
        <w:t xml:space="preserve">Propunerile trebuie trimise </w:t>
      </w:r>
      <w:r>
        <w:rPr>
          <w:b/>
          <w:iCs/>
        </w:rPr>
        <w:t>în format electronic</w:t>
      </w:r>
      <w:r>
        <w:t xml:space="preserve"> prin intermediul sistemului de depunere electronică pe portalul de finanțare și licitații (accesibil pe pagina Teme din secțiunea </w:t>
      </w:r>
      <w:hyperlink r:id="rId28" w:history="1">
        <w:r>
          <w:rPr>
            <w:rStyle w:val="Hyperlink"/>
          </w:rPr>
          <w:t>Căutare finanțare și licitații</w:t>
        </w:r>
      </w:hyperlink>
      <w:r>
        <w:t>). Depunerea cererilor pe suport de hârtie NU este posibilă.</w:t>
      </w:r>
    </w:p>
    <w:p w14:paraId="146274B2" w14:textId="31716E89" w:rsidR="004A47F3" w:rsidRDefault="000A7529" w:rsidP="004A47F3">
      <w:pPr>
        <w:pStyle w:val="Text1"/>
        <w:tabs>
          <w:tab w:val="clear" w:pos="2160"/>
        </w:tabs>
        <w:ind w:left="0"/>
        <w:rPr>
          <w:rFonts w:cs="Arial"/>
          <w:iCs/>
        </w:rPr>
      </w:pPr>
      <w:r>
        <w:t xml:space="preserve">Propunerile (inclusiv anexele și documentele justificative) trebuie depuse folosind formularele furnizate </w:t>
      </w:r>
      <w:r>
        <w:rPr>
          <w:i/>
          <w:iCs/>
        </w:rPr>
        <w:t>în</w:t>
      </w:r>
      <w:r>
        <w:t xml:space="preserve"> sistemul de depunere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NU documentele disponibile pe pagina Teme, acestea având doar scop informativ).</w:t>
      </w:r>
    </w:p>
    <w:p w14:paraId="2EA1C106" w14:textId="77777777" w:rsidR="00615B82" w:rsidRPr="00F96E2C" w:rsidRDefault="00615B82" w:rsidP="00615B82">
      <w:pPr>
        <w:pStyle w:val="Body"/>
      </w:pPr>
      <w:r>
        <w:t xml:space="preserve">Propunerile trebuie să fie </w:t>
      </w:r>
      <w:r>
        <w:rPr>
          <w:b/>
        </w:rPr>
        <w:t>complete</w:t>
      </w:r>
      <w:r>
        <w:t xml:space="preserve"> și să conțină toate informațiile solicitate și toate anexele și documentele justificative obligatorii: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partea A din formularul cererii de finanțare – conține informații administrative despre participanți (viitorul coordonator, viitorii beneficiari și viitoarele entități afiliate) și bugetul sintetizat al proiectului </w:t>
      </w:r>
      <w:r>
        <w:rPr>
          <w:i/>
          <w:sz w:val="20"/>
          <w:szCs w:val="20"/>
        </w:rPr>
        <w:t>(se completează direct online)</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partea B din formularul cererii de finanțare – conține descrierea tehnică a proiectului </w:t>
      </w:r>
      <w:r>
        <w:rPr>
          <w:i/>
          <w:sz w:val="20"/>
          <w:szCs w:val="20"/>
        </w:rPr>
        <w:t>(se descarcă din sistemul de depunere de pe portal, se completează, apoi se compilează și se reîncarcă)</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partea C </w:t>
      </w:r>
      <w:r>
        <w:rPr>
          <w:i/>
          <w:sz w:val="20"/>
          <w:szCs w:val="20"/>
        </w:rPr>
        <w:t>(se completează direct online)</w:t>
      </w:r>
      <w:r>
        <w:rPr>
          <w:sz w:val="20"/>
          <w:szCs w:val="20"/>
        </w:rPr>
        <w:t xml:space="preserve"> – conține date suplimentare despre proiect, inclusiv indicatorii obligatorii</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anexele și documentele justificative obligatorii</w:t>
      </w:r>
      <w:r>
        <w:rPr>
          <w:sz w:val="20"/>
          <w:szCs w:val="20"/>
        </w:rPr>
        <w:t xml:space="preserve"> </w:t>
      </w:r>
      <w:r>
        <w:rPr>
          <w:i/>
          <w:sz w:val="20"/>
          <w:szCs w:val="20"/>
        </w:rPr>
        <w:t>(trebuie încărcate)</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t xml:space="preserve">tabel cu bugetul detaliat: </w:t>
      </w:r>
      <w:r>
        <w:rPr>
          <w:rFonts w:ascii="Verdana" w:hAnsi="Verdana"/>
          <w:i/>
          <w:sz w:val="20"/>
          <w:szCs w:val="20"/>
        </w:rPr>
        <w:t>nu este cazul</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CV-urile echipei de bază a proiectului: </w:t>
      </w:r>
      <w:r>
        <w:rPr>
          <w:rFonts w:ascii="Verdana" w:hAnsi="Verdana"/>
          <w:i/>
          <w:color w:val="auto"/>
          <w:sz w:val="20"/>
          <w:szCs w:val="20"/>
        </w:rPr>
        <w:t>nu este cazul</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rapoarte de activitate din anul anterior: </w:t>
      </w:r>
      <w:r>
        <w:rPr>
          <w:rFonts w:ascii="Verdana" w:hAnsi="Verdana"/>
          <w:i/>
          <w:color w:val="auto"/>
          <w:sz w:val="20"/>
          <w:szCs w:val="20"/>
        </w:rPr>
        <w:t>nu este cazul</w:t>
      </w:r>
    </w:p>
    <w:p w14:paraId="14276D93" w14:textId="1DDA89CC" w:rsidR="0046713C" w:rsidRPr="0062273B" w:rsidRDefault="0046713C"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lista proiectelor anterioare (principalele proiecte din ultimii patru ani) (</w:t>
      </w:r>
      <w:r>
        <w:rPr>
          <w:rFonts w:ascii="Verdana" w:hAnsi="Verdana"/>
          <w:i/>
          <w:color w:val="auto"/>
          <w:sz w:val="20"/>
          <w:szCs w:val="20"/>
        </w:rPr>
        <w:t>model disponibil în partea</w:t>
      </w:r>
      <w:r w:rsidR="00ED217E">
        <w:rPr>
          <w:rFonts w:ascii="Verdana" w:hAnsi="Verdana"/>
          <w:i/>
          <w:color w:val="auto"/>
          <w:sz w:val="20"/>
          <w:szCs w:val="20"/>
        </w:rPr>
        <w:t xml:space="preserve"> </w:t>
      </w:r>
      <w:r>
        <w:rPr>
          <w:rFonts w:ascii="Verdana" w:hAnsi="Verdana"/>
          <w:i/>
          <w:color w:val="auto"/>
          <w:sz w:val="20"/>
          <w:szCs w:val="20"/>
        </w:rPr>
        <w:t>B</w:t>
      </w:r>
      <w:r>
        <w:rPr>
          <w:rFonts w:ascii="Verdana" w:hAnsi="Verdana"/>
          <w:color w:val="auto"/>
          <w:sz w:val="20"/>
          <w:szCs w:val="20"/>
        </w:rPr>
        <w:t>)</w:t>
      </w:r>
    </w:p>
    <w:p w14:paraId="38848BCB" w14:textId="0AC50279" w:rsidR="00BF64FB" w:rsidRPr="006F58BD" w:rsidRDefault="00BF64FB" w:rsidP="008B1F42">
      <w:pPr>
        <w:pStyle w:val="ListParagraph"/>
        <w:numPr>
          <w:ilvl w:val="1"/>
          <w:numId w:val="42"/>
        </w:numPr>
        <w:spacing w:after="200"/>
        <w:jc w:val="both"/>
        <w:rPr>
          <w:sz w:val="20"/>
          <w:szCs w:val="20"/>
        </w:rPr>
      </w:pPr>
      <w:r>
        <w:rPr>
          <w:sz w:val="20"/>
          <w:szCs w:val="20"/>
        </w:rPr>
        <w:lastRenderedPageBreak/>
        <w:t xml:space="preserve">pentru participanții la activități în care sunt implicați copii: politica lor de protecție a copiilor, care să cuprindă cele patru domenii descrise în </w:t>
      </w:r>
      <w:hyperlink r:id="rId30" w:history="1">
        <w:r>
          <w:rPr>
            <w:rStyle w:val="Hyperlink"/>
            <w:sz w:val="20"/>
            <w:szCs w:val="20"/>
          </w:rPr>
          <w:t>Standardele de protecție a copiilor elaborate de Keeping Children Safe</w:t>
        </w:r>
      </w:hyperlink>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t>calculul sumei forfetare</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o scrisoare de sprijin semnată de municipalitate (pentru solicitanții și partenerii din categoria „Organizație nonprofit care reprezintă o autoritate locală”).</w:t>
      </w:r>
    </w:p>
    <w:p w14:paraId="2F01E376" w14:textId="2EF943E2" w:rsidR="00510B7E" w:rsidRPr="00683BCF" w:rsidRDefault="00510B7E" w:rsidP="00831954">
      <w:pPr>
        <w:spacing w:after="120"/>
        <w:rPr>
          <w:rFonts w:cs="Arial"/>
        </w:rPr>
      </w:pPr>
      <w:r>
        <w:t xml:space="preserve">La depunerea propunerii, va trebui să confirmați că aveți </w:t>
      </w:r>
      <w:r>
        <w:rPr>
          <w:b/>
        </w:rPr>
        <w:t>împuternicirea de a acționa</w:t>
      </w:r>
      <w:r>
        <w:t xml:space="preserve"> pentru toți solicitanții. De asemenea, va trebui să confirmați că informațiile din cererea de finanțare sunt corecte și complete și că participanții respectă condițiile necesare pentru a primi finanțare din partea UE (în special condițiile privind eligibilitatea, capacitatea financiară și operațională, criteriile de excludere etc.). Înainte de semnarea grantului, fiecare beneficiar și fiecare entitate afiliată va trebui să confirme acest lucru din nou prin semnarea unei declarații pe propria răspundere. Propunerile care nu sunt însoțite de toate documentele justificative vor fi respinse.</w:t>
      </w:r>
    </w:p>
    <w:p w14:paraId="767FE960" w14:textId="3E689F5D" w:rsidR="00C41E84" w:rsidRDefault="00D37706" w:rsidP="00C41E84">
      <w:pPr>
        <w:pStyle w:val="Text1"/>
        <w:tabs>
          <w:tab w:val="clear" w:pos="2160"/>
        </w:tabs>
        <w:ind w:left="0"/>
        <w:rPr>
          <w:rFonts w:cs="Arial"/>
          <w:iCs/>
        </w:rPr>
      </w:pPr>
      <w:r>
        <w:t xml:space="preserve">Cererea de finanțare trebuie să fie </w:t>
      </w:r>
      <w:r>
        <w:rPr>
          <w:b/>
          <w:iCs/>
        </w:rPr>
        <w:t>lizibilă, accesibilă și imprimabilă</w:t>
      </w:r>
      <w:r>
        <w:t>.</w:t>
      </w:r>
    </w:p>
    <w:p w14:paraId="7BB5113A" w14:textId="29ADC151" w:rsidR="00D37706" w:rsidRPr="00683BCF" w:rsidRDefault="00D37706" w:rsidP="42BB08A3">
      <w:pPr>
        <w:pStyle w:val="Text1"/>
        <w:tabs>
          <w:tab w:val="clear" w:pos="2160"/>
        </w:tabs>
        <w:ind w:left="0"/>
        <w:rPr>
          <w:rFonts w:cs="Arial"/>
        </w:rPr>
      </w:pPr>
      <w:r>
        <w:t xml:space="preserve">Propunerile sunt limitate la maximum </w:t>
      </w:r>
      <w:r>
        <w:rPr>
          <w:b/>
        </w:rPr>
        <w:t>40 de pagini pentru tema Înfrățirea orașelor</w:t>
      </w:r>
      <w:r>
        <w:t xml:space="preserve"> (partea B) </w:t>
      </w:r>
      <w:r>
        <w:rPr>
          <w:b/>
        </w:rPr>
        <w:t>și la 70 de pagini pentru tema Rețele de orașe</w:t>
      </w:r>
      <w:r>
        <w:t xml:space="preserve"> (partea B). Evaluatorii nu vor lua în considerare nicio pagină suplimentară.</w:t>
      </w:r>
    </w:p>
    <w:p w14:paraId="709B3081" w14:textId="77777777" w:rsidR="00510B7E" w:rsidRDefault="00510B7E" w:rsidP="00510B7E">
      <w:r>
        <w:t xml:space="preserve">Este posibil ca, într-o etapă ulterioară, să vi se solicite documente suplimentare </w:t>
      </w:r>
      <w:r>
        <w:rPr>
          <w:i/>
        </w:rPr>
        <w:t>(pentru validarea entității juridice, verificarea capacității financiare, validarea contului bancar etc.)</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Pentru mai multe informații privind procesul de depunere (inclusiv aspectele informatice), consultați </w:t>
      </w:r>
      <w:hyperlink r:id="rId32">
        <w:r>
          <w:rPr>
            <w:rStyle w:val="Hyperlink"/>
          </w:rPr>
          <w:t>Manualul online</w:t>
        </w:r>
      </w:hyperlink>
      <w:r>
        <w:rPr>
          <w:rStyle w:val="Hyperlink"/>
          <w:color w:val="auto"/>
          <w:u w:val="none"/>
        </w:rPr>
        <w:t>.</w:t>
      </w:r>
    </w:p>
    <w:p w14:paraId="0B8E5F40" w14:textId="0D29000C" w:rsidR="00B612F2" w:rsidRPr="00975A34" w:rsidRDefault="00B612F2" w:rsidP="000579AF">
      <w:pPr>
        <w:pStyle w:val="Heading1"/>
        <w:numPr>
          <w:ilvl w:val="0"/>
          <w:numId w:val="54"/>
        </w:numPr>
        <w:tabs>
          <w:tab w:val="left" w:pos="284"/>
        </w:tabs>
        <w:ind w:left="0" w:firstLine="0"/>
      </w:pPr>
      <w:bookmarkStart w:id="13" w:name="_Toc92975183"/>
      <w:r>
        <w:t>Eligibilitate</w:t>
      </w:r>
      <w:bookmarkEnd w:id="13"/>
      <w:r>
        <w:t xml:space="preserve"> </w:t>
      </w:r>
    </w:p>
    <w:p w14:paraId="4EF2E3B8" w14:textId="77777777" w:rsidR="00B57534" w:rsidRPr="00510B7E" w:rsidRDefault="00736C6F" w:rsidP="00FC6FD4">
      <w:pPr>
        <w:pStyle w:val="Heading3"/>
      </w:pPr>
      <w:bookmarkStart w:id="14" w:name="_Toc92975184"/>
      <w:r>
        <w:t>Participanți eligibili (țări eligibile)</w:t>
      </w:r>
      <w:bookmarkEnd w:id="14"/>
    </w:p>
    <w:p w14:paraId="5716E987" w14:textId="39C30B39" w:rsidR="00D11251" w:rsidRPr="00B57534" w:rsidRDefault="00D11251" w:rsidP="00D11251">
      <w:pPr>
        <w:pStyle w:val="Text1"/>
        <w:tabs>
          <w:tab w:val="clear" w:pos="2160"/>
        </w:tabs>
        <w:spacing w:after="120"/>
        <w:ind w:left="0"/>
        <w:rPr>
          <w:rFonts w:cs="Arial"/>
        </w:rPr>
      </w:pPr>
      <w:r>
        <w:t>Pentru a fi eligibili, solicitanții (beneficiarii și entitățile afiliate) trebuie:</w:t>
      </w:r>
    </w:p>
    <w:p w14:paraId="2509B829" w14:textId="78B5B051" w:rsidR="00D11251" w:rsidRPr="00C07C07" w:rsidRDefault="00D9492C" w:rsidP="008B1F42">
      <w:pPr>
        <w:widowControl w:val="0"/>
        <w:numPr>
          <w:ilvl w:val="0"/>
          <w:numId w:val="36"/>
        </w:numPr>
        <w:spacing w:after="120"/>
        <w:ind w:left="709"/>
        <w:rPr>
          <w:rFonts w:cs="Arial"/>
        </w:rPr>
      </w:pPr>
      <w:r>
        <w:t xml:space="preserve">să fie persoane juridice (organisme publice sau private);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să aibă sediul într-una din țările eligibile, și anume: </w:t>
      </w:r>
    </w:p>
    <w:p w14:paraId="0BDBB030" w14:textId="1328DBCC" w:rsidR="00D11251" w:rsidRPr="001F0FF9" w:rsidRDefault="00D11251" w:rsidP="008B1F42">
      <w:pPr>
        <w:widowControl w:val="0"/>
        <w:numPr>
          <w:ilvl w:val="0"/>
          <w:numId w:val="37"/>
        </w:numPr>
        <w:spacing w:after="120"/>
        <w:ind w:left="1276"/>
        <w:jc w:val="left"/>
        <w:rPr>
          <w:rFonts w:cs="Arial"/>
        </w:rPr>
      </w:pPr>
      <w:r>
        <w:t>statele membre ale UE [inclusiv țările și teritoriile de peste mări (TTPM)];</w:t>
      </w:r>
    </w:p>
    <w:p w14:paraId="346FD509" w14:textId="0BF8D141" w:rsidR="00D11251" w:rsidRPr="00D77F61" w:rsidRDefault="00D11251" w:rsidP="008B1F42">
      <w:pPr>
        <w:widowControl w:val="0"/>
        <w:numPr>
          <w:ilvl w:val="0"/>
          <w:numId w:val="37"/>
        </w:numPr>
        <w:spacing w:after="120"/>
        <w:ind w:left="1276"/>
        <w:jc w:val="left"/>
        <w:rPr>
          <w:rFonts w:cs="Arial"/>
        </w:rPr>
      </w:pPr>
      <w:r>
        <w:t>țările terțe eligibile:</w:t>
      </w:r>
    </w:p>
    <w:p w14:paraId="414C90BD" w14:textId="7723953E" w:rsidR="004F0F5C" w:rsidRPr="006F58BD" w:rsidRDefault="004F0F5C" w:rsidP="008B1F42">
      <w:pPr>
        <w:pStyle w:val="Text1"/>
        <w:numPr>
          <w:ilvl w:val="0"/>
          <w:numId w:val="38"/>
        </w:numPr>
        <w:tabs>
          <w:tab w:val="clear" w:pos="2160"/>
        </w:tabs>
        <w:spacing w:after="120"/>
        <w:ind w:left="1701"/>
        <w:rPr>
          <w:rFonts w:cs="Arial"/>
        </w:rPr>
      </w:pPr>
      <w:r>
        <w:t>țările asociate programului CE</w:t>
      </w:r>
      <w:r w:rsidR="00C429EC">
        <w:t>R</w:t>
      </w:r>
      <w:r>
        <w:t>V sau țările care sunt în curs de negociere a unui acord de asociere dacă acordul respectiv intră în vigoare înaintea semnării Acordului de grant (</w:t>
      </w:r>
      <w:hyperlink r:id="rId33" w:history="1">
        <w:r>
          <w:rPr>
            <w:rStyle w:val="Hyperlink"/>
          </w:rPr>
          <w:t>lista țărilor participante</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alte condiții de eligibilitate:</w:t>
      </w:r>
    </w:p>
    <w:p w14:paraId="3403588B" w14:textId="671BC073" w:rsidR="00E85E35" w:rsidRPr="00F50F6A" w:rsidRDefault="00E85E35" w:rsidP="0062273B">
      <w:pPr>
        <w:widowControl w:val="0"/>
        <w:ind w:firstLine="720"/>
        <w:rPr>
          <w:b/>
          <w:bCs/>
        </w:rPr>
      </w:pPr>
      <w:r>
        <w:rPr>
          <w:b/>
          <w:color w:val="A50021"/>
        </w:rPr>
        <w:t>CERV-2022-CITIZENS-TOWN-TT – Înfrățirea orașelor:</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t>pentru solicitant: să fie un organism public sau o organizație nonprofit: orașe/comune și/sau autorități locale de alt nivel sau comitetele de înfrățire ale acestora sau alte organizații nonprofit care reprezintă autoritățile locale.</w:t>
      </w:r>
    </w:p>
    <w:p w14:paraId="6386E76B" w14:textId="10829B1A" w:rsidR="000159B8" w:rsidRPr="000159B8" w:rsidRDefault="000159B8" w:rsidP="00E85E35">
      <w:pPr>
        <w:widowControl w:val="0"/>
        <w:numPr>
          <w:ilvl w:val="1"/>
          <w:numId w:val="36"/>
        </w:numPr>
        <w:spacing w:after="120"/>
        <w:ind w:left="1418" w:hanging="416"/>
        <w:jc w:val="left"/>
        <w:rPr>
          <w:rFonts w:cs="Arial"/>
        </w:rPr>
      </w:pPr>
      <w:r>
        <w:t>Proiectul trebuie să implice municipalități din cel puțin două țări eligibile, dintre care cel puțin una să fie stat membru al UE.</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 xml:space="preserve">activitățile trebuie să se desfășoare într-o țară eligibilă participantă la </w:t>
      </w:r>
      <w:r>
        <w:lastRenderedPageBreak/>
        <w:t>proiect.</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evenimentele trebuie să implice minimum 50 de participanți direcți, dintre care cel puțin 25 trebuie să fie „participanți invitați</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Rețele de orașe</w:t>
      </w:r>
    </w:p>
    <w:p w14:paraId="7034CCF5" w14:textId="383FF38D" w:rsidR="000159B8" w:rsidRDefault="000159B8" w:rsidP="000159B8">
      <w:pPr>
        <w:widowControl w:val="0"/>
        <w:numPr>
          <w:ilvl w:val="1"/>
          <w:numId w:val="36"/>
        </w:numPr>
        <w:spacing w:after="120"/>
        <w:ind w:left="1418" w:hanging="416"/>
        <w:jc w:val="left"/>
        <w:rPr>
          <w:rFonts w:cs="Arial"/>
        </w:rPr>
      </w:pPr>
      <w:r>
        <w:t>pentru solicitant</w:t>
      </w:r>
      <w:r>
        <w:rPr>
          <w:rStyle w:val="FootnoteReference"/>
          <w:rFonts w:cs="Arial"/>
        </w:rPr>
        <w:footnoteReference w:id="13"/>
      </w:r>
      <w:r>
        <w:t xml:space="preserve"> și parteneri: să fie organisme publice sau organizații nonprofit: orașe/comune și/sau autorități locale de alt nivel sau comitetele de înfrățire ale acestora sau alte organizații nonprofit care reprezintă autoritățile locale.</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proiectul trebuie să implice municipalități din cel puțin cinci țări eligibile, dintre care cel puțin trei să fie state membre ale UE.</w:t>
      </w:r>
    </w:p>
    <w:p w14:paraId="7F71F908" w14:textId="79ED681A" w:rsidR="000159B8" w:rsidRDefault="000159B8" w:rsidP="000159B8">
      <w:pPr>
        <w:widowControl w:val="0"/>
        <w:numPr>
          <w:ilvl w:val="1"/>
          <w:numId w:val="36"/>
        </w:numPr>
        <w:spacing w:after="120"/>
        <w:ind w:left="1418" w:right="227" w:hanging="142"/>
        <w:jc w:val="left"/>
      </w:pPr>
      <w:r>
        <w:t>activitățile trebuie să se desfășoare în cel puțin două țări diferite dintre țările eligibile ale programului.</w:t>
      </w:r>
    </w:p>
    <w:p w14:paraId="690454F4" w14:textId="7E4FF5F7" w:rsidR="00D11251" w:rsidRDefault="00EF14AD" w:rsidP="00D11251">
      <w:pPr>
        <w:rPr>
          <w:rFonts w:cs="Arial"/>
        </w:rPr>
      </w:pPr>
      <w:r>
        <w:t xml:space="preserve">Beneficiarii și entitățile afiliate trebuie să se înregistreze în </w:t>
      </w:r>
      <w:hyperlink r:id="rId34" w:history="1">
        <w:r>
          <w:rPr>
            <w:rStyle w:val="Hyperlink"/>
          </w:rPr>
          <w:t>Registrul participanților</w:t>
        </w:r>
      </w:hyperlink>
      <w:r>
        <w:t xml:space="preserve"> – înainte de depunerea propunerii – și vor fi trebui să fie validați de Serviciul central de validare (validarea REA). Pentru validare, li se va solicita să încarce documente care să demonstreze statutul juridic și originea.</w:t>
      </w:r>
    </w:p>
    <w:p w14:paraId="663BF90B" w14:textId="77777777" w:rsidR="00D11251" w:rsidRDefault="00D11251" w:rsidP="00D11251">
      <w:pPr>
        <w:rPr>
          <w:iCs/>
        </w:rPr>
      </w:pPr>
      <w:r>
        <w:t xml:space="preserve">În cadrul consorțiului pot participa și alte entități, având alte roluri – de exemplu parteneri asociați, subcontractanți, terți care acordă contribuții în natură etc. </w:t>
      </w:r>
      <w:r>
        <w:rPr>
          <w:i/>
          <w:iCs/>
        </w:rPr>
        <w:t>(vezi secțiunea 13)</w:t>
      </w:r>
      <w:r>
        <w:t>.</w:t>
      </w:r>
    </w:p>
    <w:p w14:paraId="4C122898" w14:textId="77777777" w:rsidR="00D11251" w:rsidRPr="000B3314" w:rsidRDefault="00D11251" w:rsidP="00D11251">
      <w:pPr>
        <w:rPr>
          <w:i/>
          <w:color w:val="A50021"/>
          <w:highlight w:val="yellow"/>
        </w:rPr>
      </w:pPr>
      <w:r>
        <w:rPr>
          <w:i/>
          <w:color w:val="A50021"/>
        </w:rPr>
        <w:t>Cazuri specifice</w:t>
      </w:r>
      <w:r>
        <w:rPr>
          <w:i/>
          <w:color w:val="A50021"/>
          <w:highlight w:val="yellow"/>
        </w:rPr>
        <w:t xml:space="preserve"> </w:t>
      </w:r>
    </w:p>
    <w:p w14:paraId="7C0C81EC" w14:textId="3519175F" w:rsidR="00D11251" w:rsidRPr="00F556B0" w:rsidRDefault="00D11251" w:rsidP="00D11251">
      <w:pPr>
        <w:rPr>
          <w:rFonts w:cs="Arial"/>
        </w:rPr>
      </w:pPr>
      <w:r>
        <w:t>Persoane fizice – Persoanele fizice NU sunt eligibile (cu excepția celor care desfășoară o activitate independentă, mai exact persoane fizice autorizate, în care societatea nu are personalitate juridică separată de cea a persoanei fizice).</w:t>
      </w:r>
    </w:p>
    <w:p w14:paraId="06E140DC" w14:textId="5B93CEEF" w:rsidR="00D11251" w:rsidRPr="00F556B0" w:rsidRDefault="00D51B6C" w:rsidP="00D11251">
      <w:pPr>
        <w:rPr>
          <w:rFonts w:cs="Arial"/>
        </w:rPr>
      </w:pPr>
      <w:r>
        <w:t>Organizații internaționale – Organizațiile internaționale sunt eligibile. Condițiile referitoare la țările eligibile nu se aplică în cazul lor.</w:t>
      </w:r>
    </w:p>
    <w:p w14:paraId="45271331" w14:textId="77777777" w:rsidR="00D11251" w:rsidRDefault="00D11251" w:rsidP="00D11251">
      <w:pPr>
        <w:rPr>
          <w:rFonts w:cs="Arial"/>
          <w:iCs/>
        </w:rPr>
      </w:pPr>
      <w:r>
        <w:t>Entități fără personalitate juridică – Entitățile care nu au personalitate juridică în temeiul legislației lor naționale pot participa în mod excepțional, cu condiția ca reprezentanții lor să aibă capacitatea de a-și asuma obligații legale în numele lor și să ofere garanții pentru protecția intereselor financiare ale UE echivalente cu cele oferite de persoanele juridice</w:t>
      </w:r>
      <w:r>
        <w:rPr>
          <w:rStyle w:val="FootnoteReference"/>
          <w:rFonts w:cs="Arial"/>
          <w:iCs/>
        </w:rPr>
        <w:footnoteReference w:id="14"/>
      </w:r>
      <w:r>
        <w:t>.</w:t>
      </w:r>
    </w:p>
    <w:p w14:paraId="42989BB3" w14:textId="77777777" w:rsidR="00D11251" w:rsidRDefault="00D11251" w:rsidP="00D11251">
      <w:pPr>
        <w:rPr>
          <w:rFonts w:eastAsia="Verdana" w:cs="Verdana"/>
        </w:rPr>
      </w:pPr>
      <w:r>
        <w:t>Organisme ale UE – Organismele UE (cu excepția Centrului Comun de Cercetare al Comisiei Europene) NU pot face parte din consorțiu.</w:t>
      </w:r>
    </w:p>
    <w:p w14:paraId="73A5993C" w14:textId="5CAF4A75" w:rsidR="005056C4" w:rsidRDefault="6C7DCFD5" w:rsidP="42BB08A3">
      <w:pPr>
        <w:rPr>
          <w:rFonts w:cs="Arial"/>
        </w:rPr>
      </w:pPr>
      <w:r>
        <w:t>Asociații și grupuri de interese – Entitățile alcătuite din membri pot participa ca „beneficiari unici” sau ca „beneficiari fără personalitate juridică”</w:t>
      </w:r>
      <w:r w:rsidR="00D11251" w:rsidRPr="2B2EF0EE">
        <w:rPr>
          <w:rStyle w:val="FootnoteReference"/>
        </w:rPr>
        <w:footnoteReference w:id="15"/>
      </w:r>
      <w:r>
        <w:t>.</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Vă rugăm să rețineți că, dacă acțiunea va fi realizată de membri, aceștia trebuie să participe de asemenea la proiect (fie ca beneficiari, fie ca entități afiliate, în caz contrar costurile suportate de ei NU vor fi eligibile).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Puncte de contact ale programului – Sunt eligibile în calitate de coordonator sau de beneficiar în procedurile deschise, dacă dispun de proceduri de separare între funcția de management al proiectului și funcția de transmitere de informații și dacă pot </w:t>
      </w:r>
      <w:r>
        <w:rPr>
          <w:rFonts w:ascii="Verdana" w:hAnsi="Verdana"/>
          <w:color w:val="000000"/>
          <w:sz w:val="20"/>
          <w:szCs w:val="20"/>
        </w:rPr>
        <w:lastRenderedPageBreak/>
        <w:t xml:space="preserve">demonstra separarea costurilor (adică granturile proiectului lor să nu acopere costuri care sunt acoperite de celălalt grant). Acest lucru presupune: </w:t>
      </w:r>
    </w:p>
    <w:p w14:paraId="21178116" w14:textId="4EF7788A" w:rsidR="00DC3A61" w:rsidRPr="00FB72CA" w:rsidRDefault="00DC3A61" w:rsidP="008B1F42">
      <w:pPr>
        <w:numPr>
          <w:ilvl w:val="0"/>
          <w:numId w:val="45"/>
        </w:numPr>
        <w:rPr>
          <w:color w:val="000000"/>
        </w:rPr>
      </w:pPr>
      <w:r>
        <w:rPr>
          <w:color w:val="000000"/>
        </w:rPr>
        <w:t xml:space="preserve">utilizarea contabilității analitice, care oferă posibilitatea de gestionare a contabilității costurilor cu chei de repartizare a costurilor și coduri de contabilitate a costurilor ȘI aplicarea acestor chei și coduri pentru a identifica și a separa costurile (adică pentru a le aloca doar unuia dintre cele două granturi); </w:t>
      </w:r>
    </w:p>
    <w:p w14:paraId="1DBFDF05" w14:textId="5BA07C46" w:rsidR="00DC3A61" w:rsidRPr="00FB72CA" w:rsidRDefault="00DC3A61" w:rsidP="008B1F42">
      <w:pPr>
        <w:numPr>
          <w:ilvl w:val="0"/>
          <w:numId w:val="45"/>
        </w:numPr>
        <w:rPr>
          <w:color w:val="000000"/>
        </w:rPr>
      </w:pPr>
      <w:r>
        <w:rPr>
          <w:color w:val="000000"/>
        </w:rPr>
        <w:t xml:space="preserve">înregistrarea tuturor costurilor reale suportate pentru activitățile din domeniul de aplicare al celor două granturi (inclusiv a costurilor indirecte); </w:t>
      </w:r>
    </w:p>
    <w:p w14:paraId="08082F37" w14:textId="6D2FEB8E" w:rsidR="00832213" w:rsidRPr="00F556B0" w:rsidRDefault="00DC3A61" w:rsidP="008B1F42">
      <w:pPr>
        <w:numPr>
          <w:ilvl w:val="0"/>
          <w:numId w:val="45"/>
        </w:numPr>
        <w:rPr>
          <w:rFonts w:cs="Arial"/>
        </w:rPr>
      </w:pPr>
      <w:r>
        <w:rPr>
          <w:color w:val="000000"/>
        </w:rPr>
        <w:t>alocarea costurilor într-un mod care să ducă la un rezultat corect, obiectiv și realist.</w:t>
      </w:r>
    </w:p>
    <w:p w14:paraId="63646EA9" w14:textId="75D8A1BB" w:rsidR="00F556B0" w:rsidRPr="00F556B0" w:rsidRDefault="00F556B0" w:rsidP="00202AF1">
      <w:pPr>
        <w:rPr>
          <w:iCs/>
        </w:rPr>
      </w:pPr>
      <w:r>
        <w:t xml:space="preserve">Țări care negociază în prezent acorduri de asociere – Beneficiarii din țările implicate în prezent în negocieri </w:t>
      </w:r>
      <w:r>
        <w:rPr>
          <w:i/>
          <w:szCs w:val="18"/>
        </w:rPr>
        <w:t>(vezi mai sus)</w:t>
      </w:r>
      <w:r>
        <w:t xml:space="preserve"> pot să participe la procedură și să semneze granturi dacă negocierile se încheie înainte de semnarea grantului (cu efect retroactiv, dacă se prevede astfel în acord).</w:t>
      </w:r>
    </w:p>
    <w:p w14:paraId="6FC8312B" w14:textId="09DE72CC" w:rsidR="000F4465" w:rsidRPr="00FE2BCA" w:rsidRDefault="00FE2BCA" w:rsidP="00D11251">
      <w:pPr>
        <w:pStyle w:val="Text1"/>
        <w:tabs>
          <w:tab w:val="clear" w:pos="2160"/>
        </w:tabs>
        <w:spacing w:after="120"/>
        <w:ind w:left="0"/>
      </w:pPr>
      <w:r>
        <w:t xml:space="preserve">Măsuri restrictive ale UE – Se aplică reguli speciale pentru anumite entități </w:t>
      </w:r>
      <w:r>
        <w:rPr>
          <w:i/>
        </w:rPr>
        <w:t xml:space="preserve">(de exemplu, entități care se supun unor </w:t>
      </w:r>
      <w:hyperlink r:id="rId36" w:history="1">
        <w:r>
          <w:rPr>
            <w:rStyle w:val="Hyperlink"/>
            <w:i/>
          </w:rPr>
          <w:t>Măsuri restrictive ale UE</w:t>
        </w:r>
      </w:hyperlink>
      <w:r>
        <w:rPr>
          <w:i/>
        </w:rPr>
        <w:t xml:space="preserve"> în temeiul articolului 29 din Tratatul privind Uniunea Europeană (TUE) și al articolului 215 din Tratatul privind funcționarea UE (TFUE)</w:t>
      </w:r>
      <w:r w:rsidRPr="003A715F">
        <w:rPr>
          <w:rFonts w:eastAsia="Arial Unicode MS" w:cs="Arial"/>
          <w:i/>
          <w:vertAlign w:val="superscript"/>
          <w:lang w:eastAsia="en-GB"/>
        </w:rPr>
        <w:footnoteReference w:id="16"/>
      </w:r>
      <w:r>
        <w:rPr>
          <w:i/>
        </w:rPr>
        <w:t xml:space="preserve"> și entități vizate de Orientările Comisiei nr. </w:t>
      </w:r>
      <w:hyperlink r:id="rId37" w:history="1">
        <w:r>
          <w:rPr>
            <w:rStyle w:val="Hyperlink"/>
            <w:i/>
          </w:rPr>
          <w:t>2013/C 205/05</w:t>
        </w:r>
      </w:hyperlink>
      <w:r w:rsidRPr="002A2349">
        <w:rPr>
          <w:rStyle w:val="FootnoteReference"/>
          <w:rFonts w:cs="Arial"/>
          <w:i/>
        </w:rPr>
        <w:footnoteReference w:id="17"/>
      </w:r>
      <w:r>
        <w:rPr>
          <w:i/>
        </w:rPr>
        <w:t>)</w:t>
      </w:r>
      <w:r>
        <w:t>. Entitățile respective nu sunt eligibile să participe în nicio calitate – nici ca beneficiari, nici ca entități afiliate, parteneri asociați, subcontractanți sau beneficiari de sprijin financiar pentru terți (dacă există).</w:t>
      </w:r>
    </w:p>
    <w:p w14:paraId="718A4FB8" w14:textId="0781935B" w:rsidR="00736C6F" w:rsidRPr="00F61588" w:rsidRDefault="005A3754" w:rsidP="00736C6F">
      <w:pPr>
        <w:autoSpaceDE w:val="0"/>
        <w:autoSpaceDN w:val="0"/>
        <w:adjustRightInd w:val="0"/>
        <w:rPr>
          <w:rFonts w:cs="Verdana"/>
        </w:rPr>
      </w:pPr>
      <w:r>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Pentru mai multe informații, </w:t>
      </w:r>
      <w:r>
        <w:rPr>
          <w:i/>
          <w:iCs/>
        </w:rPr>
        <w:t xml:space="preserve">consultați </w:t>
      </w:r>
      <w:hyperlink r:id="rId38">
        <w:r>
          <w:rPr>
            <w:rStyle w:val="Hyperlink"/>
            <w:i/>
            <w:iCs/>
          </w:rPr>
          <w:t>Normele pentru validarea entității juridice, numirea LEAR și evaluarea capacității financiare</w:t>
        </w:r>
      </w:hyperlink>
      <w:r>
        <w:t xml:space="preserve">. </w:t>
      </w:r>
    </w:p>
    <w:p w14:paraId="1DD70A2C" w14:textId="78969716" w:rsidR="00027143" w:rsidRDefault="00736C6F" w:rsidP="00CC2315">
      <w:pPr>
        <w:pStyle w:val="Heading3"/>
      </w:pPr>
      <w:bookmarkStart w:id="15" w:name="_Toc92975185"/>
      <w:r>
        <w:t>Componența consorțiului</w:t>
      </w:r>
      <w:bookmarkEnd w:id="15"/>
    </w:p>
    <w:p w14:paraId="667D29A2" w14:textId="1ADD61B2" w:rsidR="007903BC" w:rsidRDefault="007903BC" w:rsidP="007903BC">
      <w:pPr>
        <w:widowControl w:val="0"/>
        <w:rPr>
          <w:b/>
          <w:bCs/>
        </w:rPr>
      </w:pPr>
      <w:r>
        <w:rPr>
          <w:b/>
          <w:color w:val="A50021"/>
        </w:rPr>
        <w:t>CERV-2022-CITIZENS-TOWN-TT – Înfrățirea orașelor:</w:t>
      </w:r>
      <w:r>
        <w:rPr>
          <w:b/>
          <w:bCs/>
        </w:rPr>
        <w:t xml:space="preserve"> </w:t>
      </w:r>
    </w:p>
    <w:p w14:paraId="1CC7CA67" w14:textId="27B50492" w:rsidR="007903BC" w:rsidRDefault="007903BC" w:rsidP="007903BC">
      <w:pPr>
        <w:widowControl w:val="0"/>
        <w:rPr>
          <w:i/>
          <w:iCs/>
        </w:rPr>
      </w:pPr>
      <w:r>
        <w:t>Sunt permise propuneri doar din partea unor solicitanți unici.</w:t>
      </w:r>
    </w:p>
    <w:p w14:paraId="37AC9AD9" w14:textId="64A403D2" w:rsidR="007903BC" w:rsidRDefault="007903BC" w:rsidP="007903BC">
      <w:pPr>
        <w:pStyle w:val="Text3"/>
        <w:tabs>
          <w:tab w:val="left" w:pos="567"/>
        </w:tabs>
        <w:ind w:left="0"/>
        <w:rPr>
          <w:rFonts w:eastAsia="Verdana" w:cs="Verdana"/>
        </w:rPr>
      </w:pPr>
      <w:r>
        <w:t>Proiectele care vizează înfrățirea orașelor trebuie să implice municipalități din cel puțin două țări eligibile, dintre care cel puțin una să fie stat membru al UE.</w:t>
      </w:r>
    </w:p>
    <w:p w14:paraId="5B216039" w14:textId="203107A8" w:rsidR="007903BC" w:rsidRDefault="007903BC" w:rsidP="007903BC">
      <w:pPr>
        <w:widowControl w:val="0"/>
        <w:rPr>
          <w:b/>
          <w:color w:val="A50021"/>
        </w:rPr>
      </w:pPr>
      <w:r>
        <w:rPr>
          <w:b/>
          <w:color w:val="A50021"/>
        </w:rPr>
        <w:t>CERV-2022-CITIZENS-TOWN-NT – Rețele de orașe</w:t>
      </w:r>
    </w:p>
    <w:p w14:paraId="2A754E5D" w14:textId="17B8FF9F" w:rsidR="007903BC" w:rsidRDefault="007903BC" w:rsidP="007903BC">
      <w:pPr>
        <w:widowControl w:val="0"/>
      </w:pPr>
      <w:r>
        <w:t xml:space="preserve">Propunerile trebuie depuse de un consorțiu alcătuit din cel puțin cinci solicitanți (beneficiari, nu entități afiliate), care să îndeplinească următoarele condiții: </w:t>
      </w:r>
    </w:p>
    <w:p w14:paraId="683D723D" w14:textId="1473FE2C" w:rsidR="007903BC" w:rsidRPr="00B57534" w:rsidRDefault="007903BC" w:rsidP="007903BC">
      <w:pPr>
        <w:numPr>
          <w:ilvl w:val="0"/>
          <w:numId w:val="53"/>
        </w:numPr>
        <w:ind w:left="360"/>
      </w:pPr>
      <w:r>
        <w:t>entitățile să fie municipalități din cel puțin cinci țări eligibile, dintre care cel puțin trei să fie state membre ale UE.</w:t>
      </w:r>
    </w:p>
    <w:p w14:paraId="4E8B42AB" w14:textId="77777777" w:rsidR="00656CD7" w:rsidRPr="00510B7E" w:rsidRDefault="00736C6F" w:rsidP="00510B7E">
      <w:pPr>
        <w:pStyle w:val="Heading3"/>
      </w:pPr>
      <w:bookmarkStart w:id="16" w:name="_Toc92975186"/>
      <w:r>
        <w:t>Activități eligibile</w:t>
      </w:r>
      <w:bookmarkEnd w:id="16"/>
    </w:p>
    <w:p w14:paraId="5C9A0D56" w14:textId="6D5E2AD2" w:rsidR="000159B8" w:rsidRPr="006F58BD" w:rsidRDefault="00656CD7" w:rsidP="00656CD7">
      <w:r>
        <w:t>Activitățile eligibile sunt cele menționate în secțiunea 2 de mai sus.</w:t>
      </w:r>
    </w:p>
    <w:p w14:paraId="4DCC9648" w14:textId="77777777" w:rsidR="00656CD7" w:rsidRPr="006F58BD" w:rsidRDefault="00267836" w:rsidP="00656CD7">
      <w:r>
        <w:t>Proiectele ar trebui să țină seama de rezultatele proiectelor sprijinite prin alte proiecte de finanțare ale UE. Complementaritățile trebuie descrise în propunerea de proiect (partea B a formularului cererii de finanțare).</w:t>
      </w:r>
    </w:p>
    <w:p w14:paraId="3CAE18EE" w14:textId="77777777" w:rsidR="00C96229" w:rsidRPr="008D7360" w:rsidRDefault="00C96229" w:rsidP="00656CD7">
      <w:r>
        <w:lastRenderedPageBreak/>
        <w:t xml:space="preserve">Proiectele trebuie să respecte interesele și prioritățile politicilor UE </w:t>
      </w:r>
      <w:r>
        <w:rPr>
          <w:i/>
        </w:rPr>
        <w:t>(cum ar fi politica de mediu, cea socială, cea de securitate, cea industrială și comercială etc.)</w:t>
      </w:r>
      <w:r>
        <w:t>.</w:t>
      </w:r>
    </w:p>
    <w:p w14:paraId="23359E9F" w14:textId="69E0A675" w:rsidR="00557219" w:rsidRPr="00D07DE8" w:rsidRDefault="004A47F3" w:rsidP="0075170E">
      <w:pPr>
        <w:rPr>
          <w:highlight w:val="yellow"/>
        </w:rPr>
      </w:pPr>
      <w:r>
        <w:t>Nu este permisă acordarea de sprijin financiar părților terțe.</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Înfrățirea orașelor:</w:t>
      </w:r>
    </w:p>
    <w:p w14:paraId="2607B279" w14:textId="77777777" w:rsidR="00942BB9" w:rsidRPr="00C83A32" w:rsidRDefault="00942BB9" w:rsidP="00942BB9">
      <w:pPr>
        <w:pStyle w:val="Text3"/>
        <w:tabs>
          <w:tab w:val="clear" w:pos="2160"/>
          <w:tab w:val="left" w:pos="567"/>
        </w:tabs>
        <w:ind w:left="0"/>
        <w:rPr>
          <w:rFonts w:eastAsia="Verdana" w:cs="Verdana"/>
        </w:rPr>
      </w:pPr>
      <w:r>
        <w:t>Evenimentele de înfrățire a orașelor trebuie să implice minimum 50 de participanți direcți, dintre care cel puțin 25 trebuie să fie „participanți invitați”. „Participanții invitați” sunt delegații care călătoresc din țări partenere eligibile din cadrul proiectului, altele decât țara care găzduiește evenimentul de înfrățire a orașelor.</w:t>
      </w:r>
    </w:p>
    <w:p w14:paraId="09E75F68" w14:textId="77777777" w:rsidR="00500DB3" w:rsidRPr="00510B7E" w:rsidRDefault="00330493" w:rsidP="00510B7E">
      <w:pPr>
        <w:pStyle w:val="Heading3"/>
      </w:pPr>
      <w:bookmarkStart w:id="17" w:name="_Toc92975187"/>
      <w:r>
        <w:t>Localizare geografică (țări vizate)</w:t>
      </w:r>
      <w:bookmarkEnd w:id="17"/>
    </w:p>
    <w:p w14:paraId="0C43BD80" w14:textId="6FE81E62" w:rsidR="00C76084" w:rsidRDefault="00C76084" w:rsidP="00C76084">
      <w:r>
        <w:t xml:space="preserve">Propunerile trebuie să se refere la activități care se vor desfășura în țările eligibile </w:t>
      </w:r>
      <w:r>
        <w:rPr>
          <w:i/>
        </w:rPr>
        <w:t>(vezi mai sus)</w:t>
      </w:r>
      <w:r>
        <w:t>.</w:t>
      </w:r>
    </w:p>
    <w:p w14:paraId="2B7201A8" w14:textId="071CD026" w:rsidR="0075170E" w:rsidRDefault="0075170E" w:rsidP="0075170E">
      <w:pPr>
        <w:pStyle w:val="Text3"/>
        <w:tabs>
          <w:tab w:val="left" w:pos="567"/>
        </w:tabs>
        <w:ind w:left="0"/>
        <w:rPr>
          <w:b/>
          <w:color w:val="A50021"/>
        </w:rPr>
      </w:pPr>
      <w:r>
        <w:rPr>
          <w:b/>
          <w:color w:val="A50021"/>
        </w:rPr>
        <w:t>CERV-2022-CITIZENS-TOWN-TT – Înfrățirea orașelor</w:t>
      </w:r>
    </w:p>
    <w:p w14:paraId="4FB65ED9" w14:textId="729AC7F7" w:rsidR="0075170E" w:rsidRDefault="0075170E" w:rsidP="0075170E">
      <w:pPr>
        <w:pStyle w:val="Text3"/>
        <w:tabs>
          <w:tab w:val="left" w:pos="567"/>
        </w:tabs>
        <w:ind w:left="0"/>
        <w:rPr>
          <w:rFonts w:eastAsia="Verdana" w:cs="Verdana"/>
        </w:rPr>
      </w:pPr>
      <w:r>
        <w:t>Activitățile trebuie să se desfășoare într-o țară eligibilă participantă la proiect.</w:t>
      </w:r>
    </w:p>
    <w:p w14:paraId="22619C5A" w14:textId="1782A5E2" w:rsidR="0075170E" w:rsidRDefault="0075170E" w:rsidP="0075170E">
      <w:pPr>
        <w:pStyle w:val="Text3"/>
        <w:tabs>
          <w:tab w:val="left" w:pos="567"/>
        </w:tabs>
        <w:ind w:left="0"/>
        <w:rPr>
          <w:b/>
          <w:color w:val="A50021"/>
        </w:rPr>
      </w:pPr>
      <w:r>
        <w:rPr>
          <w:b/>
          <w:color w:val="A50021"/>
        </w:rPr>
        <w:t>CERV-2022-CITIZENS-TOWN-NT – Rețele de orașe</w:t>
      </w:r>
    </w:p>
    <w:p w14:paraId="15B7E34B" w14:textId="77777777" w:rsidR="0075170E" w:rsidRDefault="0075170E" w:rsidP="0075170E">
      <w:r>
        <w:t>Activitățile trebuie să se desfășoare în cel puțin două țări diferite dintre țările eligibile ale programului.</w:t>
      </w:r>
    </w:p>
    <w:p w14:paraId="5ED1FBB4" w14:textId="5B3FEB91" w:rsidR="0075170E" w:rsidRDefault="00312A94" w:rsidP="00CC2315">
      <w:pPr>
        <w:pStyle w:val="Heading3"/>
      </w:pPr>
      <w:bookmarkStart w:id="18" w:name="_Toc92975188"/>
      <w:r>
        <w:t>Durata</w:t>
      </w:r>
      <w:bookmarkEnd w:id="18"/>
    </w:p>
    <w:p w14:paraId="2932A4E8" w14:textId="57A7E390" w:rsidR="0075170E" w:rsidRDefault="0075170E" w:rsidP="0075170E">
      <w:pPr>
        <w:pStyle w:val="Text3"/>
        <w:tabs>
          <w:tab w:val="left" w:pos="567"/>
        </w:tabs>
        <w:ind w:left="0"/>
        <w:rPr>
          <w:b/>
          <w:color w:val="A50021"/>
        </w:rPr>
      </w:pPr>
      <w:r>
        <w:rPr>
          <w:b/>
          <w:color w:val="A50021"/>
        </w:rPr>
        <w:t>CERV-2022-CITIZENS-TOWN-TT – Înfrățirea orașelor</w:t>
      </w:r>
    </w:p>
    <w:p w14:paraId="16ED1FD7" w14:textId="77777777" w:rsidR="0075170E" w:rsidRDefault="0075170E" w:rsidP="0075170E">
      <w:r>
        <w:t>În mod normal, proiectele ar trebui să dureze cel mult 12 luni (sunt posibile prelungiri, dacă sunt justificate în mod corespunzător și printr-un amendament).</w:t>
      </w:r>
    </w:p>
    <w:p w14:paraId="21EB407E" w14:textId="02DDA381" w:rsidR="0075170E" w:rsidRDefault="0075170E" w:rsidP="0075170E">
      <w:pPr>
        <w:pStyle w:val="Text3"/>
        <w:tabs>
          <w:tab w:val="left" w:pos="567"/>
        </w:tabs>
        <w:ind w:left="0"/>
        <w:rPr>
          <w:b/>
          <w:color w:val="A50021"/>
        </w:rPr>
      </w:pPr>
      <w:r>
        <w:rPr>
          <w:b/>
          <w:color w:val="A50021"/>
        </w:rPr>
        <w:t xml:space="preserve">CERV-2022-CITIZENS-TOWN-NT – Rețele de orașe </w:t>
      </w:r>
    </w:p>
    <w:p w14:paraId="5915DCE4" w14:textId="705101FA" w:rsidR="0075170E" w:rsidRPr="00163978" w:rsidRDefault="00D37706" w:rsidP="0075170E">
      <w:r>
        <w:t>În mod normal, durata proiectelor ar trebui să fie între 12 și 24 de luni (sunt posibile prelungiri, dacă sunt justificate în mod corespunzător și printr-un amendament).</w:t>
      </w:r>
    </w:p>
    <w:p w14:paraId="6E47F135" w14:textId="56E7A647" w:rsidR="007926FA" w:rsidRPr="00F61588" w:rsidRDefault="007926FA" w:rsidP="00510B7E">
      <w:pPr>
        <w:pStyle w:val="Heading3"/>
      </w:pPr>
      <w:bookmarkStart w:id="19" w:name="_Toc92975189"/>
      <w:r>
        <w:t>Etica și valorile UE</w:t>
      </w:r>
      <w:bookmarkEnd w:id="19"/>
    </w:p>
    <w:p w14:paraId="58FD832D" w14:textId="77777777" w:rsidR="007926FA" w:rsidRPr="00F61588" w:rsidRDefault="007926FA" w:rsidP="007926FA">
      <w:pPr>
        <w:pStyle w:val="Text3"/>
        <w:ind w:left="0"/>
        <w:rPr>
          <w:rFonts w:eastAsia="Calibri"/>
          <w:color w:val="000000"/>
        </w:rPr>
      </w:pPr>
      <w:r>
        <w:t>Proiectele trebuie să respecte:</w:t>
      </w:r>
    </w:p>
    <w:p w14:paraId="109E382E" w14:textId="1126BB4E" w:rsidR="00B703B7" w:rsidRPr="00F61588" w:rsidRDefault="009E08C3" w:rsidP="008B1F42">
      <w:pPr>
        <w:numPr>
          <w:ilvl w:val="0"/>
          <w:numId w:val="33"/>
        </w:numPr>
        <w:spacing w:after="120"/>
        <w:ind w:left="709"/>
        <w:jc w:val="left"/>
      </w:pPr>
      <w:r>
        <w:t xml:space="preserve">cele mai înalte standarde etice; </w:t>
      </w:r>
    </w:p>
    <w:p w14:paraId="20DE0698" w14:textId="52F85922" w:rsidR="00B703B7" w:rsidRPr="00F61588" w:rsidRDefault="00B703B7" w:rsidP="008B1F42">
      <w:pPr>
        <w:numPr>
          <w:ilvl w:val="0"/>
          <w:numId w:val="33"/>
        </w:numPr>
        <w:spacing w:after="120"/>
        <w:ind w:left="709"/>
        <w:jc w:val="left"/>
        <w:rPr>
          <w:sz w:val="24"/>
          <w:szCs w:val="24"/>
        </w:rPr>
      </w:pPr>
      <w:r>
        <w:tab/>
        <w:t xml:space="preserve">valorile UE bazate pe articolul 2 din Tratatul privind Uniunea Europeană și pe articolul 21 din Carta drepturilor fundamentale a UE; și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 xml:space="preserve">alte legi naționale, internaționale și ale UE aplicabile (inclusiv Regulamentul general </w:t>
      </w:r>
      <w:hyperlink r:id="rId39" w:history="1">
        <w:r>
          <w:rPr>
            <w:rStyle w:val="Hyperlink"/>
          </w:rPr>
          <w:t>2016/679</w:t>
        </w:r>
      </w:hyperlink>
      <w:r>
        <w:t xml:space="preserve"> privind protecția datelor).</w:t>
      </w:r>
    </w:p>
    <w:p w14:paraId="4377E80A" w14:textId="77777777" w:rsidR="00E95AAC" w:rsidRPr="00A32077" w:rsidRDefault="00E95AAC" w:rsidP="42BB08A3">
      <w:pPr>
        <w:widowControl w:val="0"/>
        <w:rPr>
          <w:rFonts w:eastAsia="Calibri"/>
          <w:color w:val="000000"/>
        </w:rPr>
      </w:pPr>
      <w:r>
        <w:rPr>
          <w:color w:val="000000"/>
        </w:rPr>
        <w:t xml:space="preserve">Proiectele trebuie să urmărească promovarea egalității de gen și integrarea nediscriminării, în conformitate cu </w:t>
      </w:r>
      <w:hyperlink r:id="rId40" w:history="1">
        <w:r>
          <w:rPr>
            <w:rStyle w:val="Hyperlink"/>
          </w:rPr>
          <w:t>setul de instrumente pentru integrarea perspectivei de gen</w:t>
        </w:r>
      </w:hyperlink>
      <w:r>
        <w:rPr>
          <w:color w:val="000000"/>
        </w:rPr>
        <w:t xml:space="preserve">. Activitățile proiectelor trebuie să contribuie la capacitarea egală a femeilor și a bărbaților în toată diversitatea lor, asigurându-se că aceștia își ating potențialul maxim și se bucură de aceleași drepturi </w:t>
      </w:r>
      <w:r>
        <w:rPr>
          <w:i/>
          <w:iCs/>
          <w:color w:val="000000"/>
        </w:rPr>
        <w:t xml:space="preserve">(vezi </w:t>
      </w:r>
      <w:hyperlink r:id="rId41" w:anchor=":~:text=Non-discrimination%20mainstreaming%20is%20about%20%E2%80%98placing%20equality%20considerations%20at,the%20EU-%20wide%20network%20of%20specialised%20equality%20bodies%29." w:history="1">
        <w:r>
          <w:rPr>
            <w:rStyle w:val="Hyperlink"/>
            <w:i/>
            <w:iCs/>
          </w:rPr>
          <w:t>Integrarea nediscriminării – instrumente, studii de caz și căi de urmat</w:t>
        </w:r>
      </w:hyperlink>
      <w:r>
        <w:rPr>
          <w:i/>
          <w:iCs/>
          <w:color w:val="000000"/>
        </w:rPr>
        <w:t>)</w:t>
      </w:r>
      <w:r>
        <w:rPr>
          <w:color w:val="000000"/>
        </w:rPr>
        <w:t>. De asemenea, activitățile trebuie să urmărească reducerea nivelului discriminării suferite de anumite grupuri (precum și de cele expuse riscului de discriminare multiplă) și îmbunătățirea rezultatelor în ceea ce privește egalitatea persoanelor</w:t>
      </w:r>
      <w:r w:rsidRPr="00F61588">
        <w:rPr>
          <w:rStyle w:val="FootnoteReference"/>
          <w:rFonts w:eastAsia="Calibri"/>
          <w:color w:val="000000"/>
          <w:lang w:val="en-IE" w:eastAsia="en-GB"/>
        </w:rPr>
        <w:footnoteReference w:id="18"/>
      </w:r>
      <w:r>
        <w:rPr>
          <w:color w:val="000000"/>
        </w:rPr>
        <w:t xml:space="preserve">. Propunerile trebuie să integreze considerații referitoare la gen și la </w:t>
      </w:r>
      <w:r>
        <w:rPr>
          <w:color w:val="000000"/>
        </w:rPr>
        <w:lastRenderedPageBreak/>
        <w:t xml:space="preserve">nediscriminare și să urmărească o reprezentare echilibrată a femeilor și bărbaților în echipele și activitățile proiectului. </w:t>
      </w:r>
      <w:r>
        <w:t xml:space="preserve">De asemenea, este important ca datele individuale colectate de beneficiari să fie defalcate în funcție de sex </w:t>
      </w:r>
      <w:r>
        <w:rPr>
          <w:i/>
          <w:iCs/>
        </w:rPr>
        <w:t>(</w:t>
      </w:r>
      <w:hyperlink r:id="rId42" w:history="1">
        <w:r>
          <w:rPr>
            <w:rStyle w:val="Hyperlink"/>
            <w:i/>
            <w:iCs/>
          </w:rPr>
          <w:t>date dezagregate pe sexe</w:t>
        </w:r>
      </w:hyperlink>
      <w:r>
        <w:rPr>
          <w:i/>
          <w:iCs/>
          <w:color w:val="000000"/>
        </w:rPr>
        <w:t>)</w:t>
      </w:r>
      <w:r>
        <w:rPr>
          <w:color w:val="000000"/>
        </w:rPr>
        <w:t xml:space="preserve">, de handicap sau de vârstă ori de câte ori este posibil. </w:t>
      </w:r>
    </w:p>
    <w:p w14:paraId="28266E90" w14:textId="10C9CFF0" w:rsidR="00E95AAC" w:rsidRDefault="00E95AAC" w:rsidP="42BB08A3">
      <w:pPr>
        <w:widowControl w:val="0"/>
        <w:rPr>
          <w:rFonts w:eastAsia="Calibri"/>
          <w:color w:val="000000"/>
        </w:rPr>
      </w:pPr>
      <w:r>
        <w:t>Solicitanții trebuie să demonstreze în cadrul cererii de finanțare că respectă principiile etice și valorile UE bazate pe articolul 2 din Tratatul privind Uniunea Europeană și pe articolul 21 din Carta drepturilor fundamentale a UE.</w:t>
      </w:r>
      <w:r>
        <w:rPr>
          <w:color w:val="000000"/>
        </w:rPr>
        <w:t xml:space="preserve"> </w:t>
      </w:r>
    </w:p>
    <w:p w14:paraId="293AE190" w14:textId="10223E7A" w:rsidR="008C58B6" w:rsidRPr="00A32077" w:rsidRDefault="008C58B6" w:rsidP="42BB08A3">
      <w:pPr>
        <w:widowControl w:val="0"/>
        <w:rPr>
          <w:rFonts w:eastAsia="Calibri"/>
          <w:color w:val="000000"/>
        </w:rPr>
      </w:pPr>
      <w:r>
        <w:t xml:space="preserve">În plus, participanții la activități în care sunt implicați copii trebuie să aibă o politică de protecție a copiilor care să cuprindă cele patru domenii descrise în </w:t>
      </w:r>
      <w:hyperlink r:id="rId43" w:history="1">
        <w:r>
          <w:rPr>
            <w:rStyle w:val="Hyperlink"/>
          </w:rPr>
          <w:t>Standardele de protecție a copiilor elaborate de Keeping Children Safe</w:t>
        </w:r>
      </w:hyperlink>
      <w:r>
        <w:rPr>
          <w:rStyle w:val="Hyperlink"/>
          <w:color w:val="auto"/>
          <w:u w:val="none"/>
        </w:rPr>
        <w:t>.</w:t>
      </w:r>
      <w:r>
        <w:t xml:space="preserve"> Această politică trebuie să fie disponibilă online și să fie transparentă pentru toți cei care intră în contact cu organizația. Ea trebuie să cuprindă informații clare despre recrutarea personalului (inclusiv a stagiarilor și a voluntarilor) și să includă verificări ale antecedentelor personale (verificare). De asemenea, politica trebuie să includă proceduri și reguli clare pentru personal, inclusiv reguli cu privire la raportare, și activități formative continue.</w:t>
      </w:r>
    </w:p>
    <w:p w14:paraId="53A471EE" w14:textId="683081E0" w:rsidR="00656CD7" w:rsidRPr="00975A34" w:rsidRDefault="007926FA" w:rsidP="000579AF">
      <w:pPr>
        <w:pStyle w:val="Heading1"/>
        <w:numPr>
          <w:ilvl w:val="0"/>
          <w:numId w:val="54"/>
        </w:numPr>
        <w:tabs>
          <w:tab w:val="left" w:pos="284"/>
        </w:tabs>
        <w:ind w:left="0" w:firstLine="0"/>
      </w:pPr>
      <w:bookmarkStart w:id="20" w:name="_Toc92975190"/>
      <w:r>
        <w:t>Capacitatea financiară și operațională și excluderea</w:t>
      </w:r>
      <w:bookmarkEnd w:id="20"/>
    </w:p>
    <w:p w14:paraId="66B3A3A8" w14:textId="77777777" w:rsidR="006E2A2A" w:rsidRPr="00510B7E" w:rsidRDefault="006E2A2A" w:rsidP="00510B7E">
      <w:pPr>
        <w:pStyle w:val="Heading3"/>
      </w:pPr>
      <w:bookmarkStart w:id="21" w:name="_Toc92975191"/>
      <w:r>
        <w:t>Capacitatea financiară</w:t>
      </w:r>
      <w:bookmarkEnd w:id="21"/>
    </w:p>
    <w:p w14:paraId="149A48F6" w14:textId="77777777" w:rsidR="006E2A2A" w:rsidRPr="00163978" w:rsidRDefault="00C3565C" w:rsidP="006E2A2A">
      <w:pPr>
        <w:autoSpaceDE w:val="0"/>
        <w:autoSpaceDN w:val="0"/>
        <w:adjustRightInd w:val="0"/>
        <w:rPr>
          <w:rFonts w:cs="Verdana"/>
        </w:rPr>
      </w:pPr>
      <w:r>
        <w:t xml:space="preserve">Solicitanții trebuie să dispună de </w:t>
      </w:r>
      <w:r>
        <w:rPr>
          <w:b/>
        </w:rPr>
        <w:t>resurse stabile și suficiente</w:t>
      </w:r>
      <w:r>
        <w:t xml:space="preserve"> pentru a derula cu succes proiectele și a-și aduce propria contribuție. Organizațiile care participă la mai multe proiecte trebuie să aibă capacitatea suficientă de a implementa toate aceste proiecte.</w:t>
      </w:r>
    </w:p>
    <w:p w14:paraId="7DEDD28A" w14:textId="77777777" w:rsidR="006E2A2A" w:rsidRPr="00B57534" w:rsidRDefault="006E2A2A" w:rsidP="006E2A2A">
      <w:pPr>
        <w:autoSpaceDE w:val="0"/>
        <w:autoSpaceDN w:val="0"/>
        <w:adjustRightInd w:val="0"/>
        <w:rPr>
          <w:rFonts w:cs="Verdana"/>
        </w:rPr>
      </w:pPr>
      <w:r>
        <w:rPr>
          <w:color w:val="000000"/>
        </w:rPr>
        <w:t xml:space="preserve">Verificarea capacității financiare se va efectua pe baza documentelor pe care va trebui să le încărcați în </w:t>
      </w:r>
      <w:hyperlink r:id="rId44" w:history="1">
        <w:r>
          <w:rPr>
            <w:rStyle w:val="Hyperlink"/>
          </w:rPr>
          <w:t>Registrul participanților</w:t>
        </w:r>
      </w:hyperlink>
      <w:r>
        <w:t xml:space="preserve"> în etapa pregătirii grantului </w:t>
      </w:r>
      <w:r>
        <w:rPr>
          <w:i/>
        </w:rPr>
        <w:t>(de exemplu, contul de profit și pierderi și bilanțul, planul de afaceri, raportul de audit elaborat de un auditor extern autorizat, care certifică conturile pentru ultimul exercițiu financiar închis etc.)</w:t>
      </w:r>
      <w:r>
        <w:t>. Analiza se va baza pe indicatori financiari neutri, dar va lua în considerare și alte aspecte, precum dependența de finanțarea UE, deficitul și venitul din anii precedenți.</w:t>
      </w:r>
    </w:p>
    <w:p w14:paraId="27B2FBC9" w14:textId="77777777" w:rsidR="006E2A2A" w:rsidRPr="00B57534" w:rsidRDefault="00736C6F" w:rsidP="006E2A2A">
      <w:pPr>
        <w:autoSpaceDE w:val="0"/>
        <w:autoSpaceDN w:val="0"/>
        <w:adjustRightInd w:val="0"/>
        <w:spacing w:after="120"/>
        <w:rPr>
          <w:rFonts w:cs="Verdana"/>
        </w:rPr>
      </w:pPr>
      <w:r>
        <w:t xml:space="preserve">Verificarea se va efectua în mod normal pentru toți beneficiarii, cu excepția: </w:t>
      </w:r>
    </w:p>
    <w:p w14:paraId="1872070B" w14:textId="6F724904" w:rsidR="006E2A2A" w:rsidRPr="00B57534" w:rsidRDefault="006E2A2A" w:rsidP="008B1F42">
      <w:pPr>
        <w:widowControl w:val="0"/>
        <w:numPr>
          <w:ilvl w:val="0"/>
          <w:numId w:val="34"/>
        </w:numPr>
        <w:spacing w:after="120"/>
        <w:ind w:left="709"/>
        <w:jc w:val="left"/>
        <w:rPr>
          <w:rFonts w:cs="Verdana"/>
        </w:rPr>
      </w:pPr>
      <w:r>
        <w:t>organismelor publice (entități înființate ca organism public în conformitate cu legislația națională, inclusiv autorități locale, regionale sau naționale) sau a organizațiilor internaționale</w:t>
      </w:r>
    </w:p>
    <w:p w14:paraId="6984ED3C" w14:textId="77777777" w:rsidR="006E2A2A" w:rsidRDefault="006E2A2A" w:rsidP="008B1F42">
      <w:pPr>
        <w:widowControl w:val="0"/>
        <w:numPr>
          <w:ilvl w:val="0"/>
          <w:numId w:val="34"/>
        </w:numPr>
        <w:ind w:left="709" w:hanging="357"/>
        <w:rPr>
          <w:rFonts w:cs="Verdana"/>
        </w:rPr>
      </w:pPr>
      <w:r>
        <w:t>situației în care cuantumul grantului solicitat individual nu depășește 60 000 EUR.</w:t>
      </w:r>
    </w:p>
    <w:p w14:paraId="2B8E1880" w14:textId="77777777" w:rsidR="008D31F6" w:rsidRPr="00B57534" w:rsidRDefault="008D31F6" w:rsidP="008D31F6">
      <w:pPr>
        <w:autoSpaceDE w:val="0"/>
        <w:autoSpaceDN w:val="0"/>
        <w:adjustRightInd w:val="0"/>
        <w:rPr>
          <w:rFonts w:cs="Verdana"/>
        </w:rPr>
      </w:pPr>
      <w:r>
        <w:t>Dacă va fi necesar, vor fi verificate și entitățile afiliate.</w:t>
      </w:r>
    </w:p>
    <w:p w14:paraId="054EAA17" w14:textId="77777777" w:rsidR="006E2A2A" w:rsidRPr="00B57534" w:rsidRDefault="006E2A2A" w:rsidP="006E2A2A">
      <w:pPr>
        <w:autoSpaceDE w:val="0"/>
        <w:autoSpaceDN w:val="0"/>
        <w:adjustRightInd w:val="0"/>
        <w:spacing w:after="120"/>
        <w:rPr>
          <w:rFonts w:cs="Verdana"/>
        </w:rPr>
      </w:pPr>
      <w:r>
        <w:t>În cazul în care vom considera că nu aveți o capacitate financiară satisfăcătoare, este posibil să vă solicităm:</w:t>
      </w:r>
    </w:p>
    <w:p w14:paraId="35DFE1B0" w14:textId="77777777" w:rsidR="006E2A2A" w:rsidRPr="00B57534" w:rsidRDefault="006E2A2A" w:rsidP="008B1F42">
      <w:pPr>
        <w:widowControl w:val="0"/>
        <w:numPr>
          <w:ilvl w:val="0"/>
          <w:numId w:val="35"/>
        </w:numPr>
        <w:spacing w:after="120"/>
        <w:jc w:val="left"/>
        <w:rPr>
          <w:rFonts w:cs="Verdana"/>
        </w:rPr>
      </w:pPr>
      <w:r>
        <w:t>informații suplimentare;</w:t>
      </w:r>
    </w:p>
    <w:p w14:paraId="68E1F2A7" w14:textId="77777777" w:rsidR="006E2A2A" w:rsidRPr="003B1582" w:rsidRDefault="006E2A2A" w:rsidP="008B1F42">
      <w:pPr>
        <w:widowControl w:val="0"/>
        <w:numPr>
          <w:ilvl w:val="0"/>
          <w:numId w:val="35"/>
        </w:numPr>
        <w:spacing w:after="120"/>
        <w:jc w:val="left"/>
        <w:rPr>
          <w:rFonts w:cs="Verdana"/>
        </w:rPr>
      </w:pPr>
      <w:r>
        <w:t xml:space="preserve">un regim îmbunătățit al responsabilității financiare, și anume răspunderea solidară a tuturor beneficiarilor sau răspunderea solidară a entităților afiliate </w:t>
      </w:r>
      <w:r>
        <w:rPr>
          <w:i/>
        </w:rPr>
        <w:t>(vezi secțiunea 10 de mai jos)</w:t>
      </w:r>
      <w:r>
        <w:t>;</w:t>
      </w:r>
    </w:p>
    <w:p w14:paraId="3F26E914" w14:textId="77777777" w:rsidR="006E2A2A" w:rsidRPr="003B1582" w:rsidRDefault="006E2A2A" w:rsidP="008B1F42">
      <w:pPr>
        <w:widowControl w:val="0"/>
        <w:numPr>
          <w:ilvl w:val="0"/>
          <w:numId w:val="35"/>
        </w:numPr>
        <w:spacing w:after="120"/>
        <w:jc w:val="left"/>
        <w:rPr>
          <w:rFonts w:cs="Verdana"/>
        </w:rPr>
      </w:pPr>
      <w:r>
        <w:t xml:space="preserve">prefinanțare achitată în tranșe; </w:t>
      </w:r>
    </w:p>
    <w:p w14:paraId="52C87A22" w14:textId="77777777" w:rsidR="006E2A2A" w:rsidRPr="003B1582" w:rsidRDefault="006E2A2A" w:rsidP="008B1F42">
      <w:pPr>
        <w:widowControl w:val="0"/>
        <w:numPr>
          <w:ilvl w:val="0"/>
          <w:numId w:val="35"/>
        </w:numPr>
        <w:spacing w:after="120"/>
        <w:jc w:val="left"/>
        <w:rPr>
          <w:rFonts w:cs="Verdana"/>
        </w:rPr>
      </w:pPr>
      <w:r>
        <w:t xml:space="preserve">(una sau mai multe) garanții de prefinanțare </w:t>
      </w:r>
      <w:r>
        <w:rPr>
          <w:i/>
        </w:rPr>
        <w:t>(vezi secțiunea 10 de mai jos)</w:t>
      </w:r>
      <w:r>
        <w:t>;</w:t>
      </w:r>
    </w:p>
    <w:p w14:paraId="70024A55" w14:textId="77777777" w:rsidR="006E2A2A" w:rsidRPr="003B1582" w:rsidRDefault="006E2A2A" w:rsidP="006526A5">
      <w:pPr>
        <w:autoSpaceDE w:val="0"/>
        <w:autoSpaceDN w:val="0"/>
        <w:adjustRightInd w:val="0"/>
        <w:spacing w:after="120"/>
        <w:ind w:left="360"/>
        <w:rPr>
          <w:rFonts w:cs="Verdana"/>
        </w:rPr>
      </w:pPr>
      <w:r>
        <w:t>sau</w:t>
      </w:r>
    </w:p>
    <w:p w14:paraId="22EA92DF" w14:textId="77777777" w:rsidR="006E2A2A" w:rsidRPr="003B1582" w:rsidRDefault="00F82473" w:rsidP="008B1F42">
      <w:pPr>
        <w:widowControl w:val="0"/>
        <w:numPr>
          <w:ilvl w:val="0"/>
          <w:numId w:val="35"/>
        </w:numPr>
        <w:spacing w:after="120"/>
        <w:jc w:val="left"/>
        <w:rPr>
          <w:rFonts w:cs="Verdana"/>
        </w:rPr>
      </w:pPr>
      <w:r>
        <w:t>să propunem renunțarea la prefinanțare;</w:t>
      </w:r>
    </w:p>
    <w:p w14:paraId="1C112F62" w14:textId="77777777" w:rsidR="004872A5" w:rsidRPr="003B1582" w:rsidRDefault="00F82473" w:rsidP="008B1F42">
      <w:pPr>
        <w:widowControl w:val="0"/>
        <w:numPr>
          <w:ilvl w:val="0"/>
          <w:numId w:val="35"/>
        </w:numPr>
        <w:ind w:left="714" w:hanging="357"/>
        <w:jc w:val="left"/>
        <w:rPr>
          <w:rFonts w:cs="Verdana"/>
        </w:rPr>
      </w:pPr>
      <w:r>
        <w:lastRenderedPageBreak/>
        <w:t>să cerem înlocuirea dumneavoastră sau, dacă este necesar, să respingem întreaga propunere.</w:t>
      </w:r>
    </w:p>
    <w:p w14:paraId="51C2ADF5" w14:textId="266ECE2F" w:rsidR="004872A5" w:rsidRPr="004872A5" w:rsidRDefault="005A3754" w:rsidP="004872A5">
      <w:pPr>
        <w:autoSpaceDE w:val="0"/>
        <w:autoSpaceDN w:val="0"/>
        <w:adjustRightInd w:val="0"/>
        <w:rPr>
          <w:rFonts w:cs="Verdana"/>
        </w:rPr>
      </w:pPr>
      <w:r>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Pentru mai multe informații, </w:t>
      </w:r>
      <w:r>
        <w:rPr>
          <w:i/>
          <w:iCs/>
        </w:rPr>
        <w:t xml:space="preserve">consultați </w:t>
      </w:r>
      <w:hyperlink r:id="rId45">
        <w:r>
          <w:rPr>
            <w:rStyle w:val="Hyperlink"/>
            <w:i/>
            <w:iCs/>
          </w:rPr>
          <w:t>Normele pentru validarea entității juridice, numirea LEAR și evaluarea capacității financiare</w:t>
        </w:r>
      </w:hyperlink>
      <w:r>
        <w:t xml:space="preserve">. </w:t>
      </w:r>
    </w:p>
    <w:p w14:paraId="3ACB9AAA" w14:textId="77777777" w:rsidR="006E2A2A" w:rsidRPr="00510B7E" w:rsidRDefault="006E2A2A" w:rsidP="00510B7E">
      <w:pPr>
        <w:pStyle w:val="Heading3"/>
      </w:pPr>
      <w:bookmarkStart w:id="22" w:name="_Toc92975192"/>
      <w:r>
        <w:t>Capacitatea operațională</w:t>
      </w:r>
      <w:bookmarkEnd w:id="22"/>
    </w:p>
    <w:p w14:paraId="2FF93796" w14:textId="77777777" w:rsidR="006E2A2A" w:rsidRDefault="00C3565C" w:rsidP="006E2A2A">
      <w:pPr>
        <w:pStyle w:val="Text3"/>
        <w:ind w:left="0"/>
      </w:pPr>
      <w:r>
        <w:t xml:space="preserve">Solicitanții trebuie să aibă </w:t>
      </w:r>
      <w:r>
        <w:rPr>
          <w:b/>
          <w:bCs/>
        </w:rPr>
        <w:t>know-how-ul, calificările</w:t>
      </w:r>
      <w:r>
        <w:t xml:space="preserve"> și </w:t>
      </w:r>
      <w:r>
        <w:rPr>
          <w:b/>
          <w:bCs/>
        </w:rPr>
        <w:t>resursele</w:t>
      </w:r>
      <w:r>
        <w:t xml:space="preserve"> necesare pentru a implementa cu succes proiectele și a-și aduce propria contribuție (inclusiv o experiență suficientă în proiecte de natură și dimensiuni comparabile). </w:t>
      </w:r>
    </w:p>
    <w:p w14:paraId="2201BC88" w14:textId="782EDE19" w:rsidR="00ED6A73" w:rsidRPr="000540F7" w:rsidRDefault="00B63826" w:rsidP="00B63826">
      <w:pPr>
        <w:pStyle w:val="Text3"/>
        <w:ind w:left="0"/>
      </w:pPr>
      <w:r>
        <w:t xml:space="preserve">Această capacitate va fi evaluată, împreună cu criteriul de atribuire „Calitate”, pe baza competenței și a experienței solicitanților și a echipelor lor de proiect, inclusiv a resurselor operaționale (umane, tehnice și de altă natură) sau, în mod excepțional, pe baza măsurilor propuse pentru a obține această capacitate înainte de începerea realizării sarcinilor. </w:t>
      </w:r>
    </w:p>
    <w:p w14:paraId="4FA70017" w14:textId="4406A1FB" w:rsidR="00B63826" w:rsidRPr="000540F7" w:rsidRDefault="00B63826" w:rsidP="00B63826">
      <w:pPr>
        <w:pStyle w:val="Text3"/>
        <w:ind w:left="0"/>
        <w:rPr>
          <w:iCs/>
        </w:rPr>
      </w:pPr>
      <w:r>
        <w:t xml:space="preserve">Dacă evaluarea criteriului de atribuire este pozitivă, se consideră că solicitanții dețin o capacitate operațională suficientă. </w:t>
      </w:r>
    </w:p>
    <w:p w14:paraId="100BC74F" w14:textId="210545B4" w:rsidR="006E2A2A" w:rsidRPr="00B57534" w:rsidRDefault="006E2A2A" w:rsidP="006E2A2A">
      <w:pPr>
        <w:pStyle w:val="Text3"/>
        <w:spacing w:after="120"/>
        <w:ind w:left="0"/>
        <w:rPr>
          <w:iCs/>
        </w:rPr>
      </w:pPr>
      <w:r>
        <w:t>Solicitanții vor trebui să-și demonstreze capacitatea operațională prin următoarele informații:</w:t>
      </w:r>
    </w:p>
    <w:p w14:paraId="2EE9C956" w14:textId="77777777" w:rsidR="006E2A2A" w:rsidRPr="008B2566" w:rsidRDefault="006E2A2A" w:rsidP="008B1F42">
      <w:pPr>
        <w:widowControl w:val="0"/>
        <w:numPr>
          <w:ilvl w:val="0"/>
          <w:numId w:val="39"/>
        </w:numPr>
        <w:spacing w:after="120"/>
        <w:ind w:left="709"/>
        <w:rPr>
          <w:iCs/>
        </w:rPr>
      </w:pPr>
      <w:r>
        <w:t>profilurile generale (calificările și experiența) ale personalului responsabil cu gestionarea și derularea proiectului;</w:t>
      </w:r>
    </w:p>
    <w:p w14:paraId="59DDC574" w14:textId="11BA162A" w:rsidR="006E2A2A" w:rsidRPr="00B57534" w:rsidRDefault="003D41B5" w:rsidP="008B1F42">
      <w:pPr>
        <w:widowControl w:val="0"/>
        <w:numPr>
          <w:ilvl w:val="0"/>
          <w:numId w:val="39"/>
        </w:numPr>
        <w:spacing w:after="120"/>
        <w:ind w:left="709"/>
        <w:jc w:val="left"/>
        <w:rPr>
          <w:iCs/>
        </w:rPr>
      </w:pPr>
      <w:r>
        <w:t>descrierea participanților la consorțiu (dacă este cazul);</w:t>
      </w:r>
    </w:p>
    <w:p w14:paraId="636FD13C" w14:textId="34E49CF9" w:rsidR="0091480A" w:rsidRPr="0049436F" w:rsidRDefault="009F0186" w:rsidP="008B1F42">
      <w:pPr>
        <w:widowControl w:val="0"/>
        <w:numPr>
          <w:ilvl w:val="0"/>
          <w:numId w:val="39"/>
        </w:numPr>
        <w:spacing w:after="120"/>
        <w:ind w:left="709"/>
        <w:jc w:val="left"/>
        <w:rPr>
          <w:iCs/>
        </w:rPr>
      </w:pPr>
      <w:r>
        <w:t>lista proiectelor anterioare (principalele proiecte din ultimii 4 ani).</w:t>
      </w:r>
    </w:p>
    <w:p w14:paraId="4146F9AB" w14:textId="77777777" w:rsidR="00500DB3" w:rsidRDefault="00FD4F03" w:rsidP="006E2A2A">
      <w:pPr>
        <w:pStyle w:val="Text3"/>
        <w:ind w:left="0"/>
        <w:rPr>
          <w:iCs/>
        </w:rPr>
      </w:pPr>
      <w:r>
        <w:t>Se pot solicita documente justificative suplimentare dacă va fi necesar pentru a confirma capacitatea operațională a unui solicitant.</w:t>
      </w:r>
    </w:p>
    <w:p w14:paraId="5AE4F088" w14:textId="4829F045" w:rsidR="006E2A2A" w:rsidRDefault="006E2A2A" w:rsidP="006E2A2A">
      <w:pPr>
        <w:pStyle w:val="Text3"/>
        <w:ind w:left="0"/>
        <w:rPr>
          <w:iCs/>
        </w:rPr>
      </w:pPr>
      <w:r>
        <w:t xml:space="preserve">Organismele publice, organizațiile statelor membre și organizațiile internaționale sunt exceptate de la verificarea capacității operaționale. </w:t>
      </w:r>
    </w:p>
    <w:p w14:paraId="66520A48" w14:textId="77777777" w:rsidR="00276AD7" w:rsidRPr="00510B7E" w:rsidRDefault="00267836" w:rsidP="00510B7E">
      <w:pPr>
        <w:pStyle w:val="Heading3"/>
      </w:pPr>
      <w:bookmarkStart w:id="23" w:name="_Toc92975193"/>
      <w:r>
        <w:t>Excluderea</w:t>
      </w:r>
      <w:bookmarkEnd w:id="23"/>
    </w:p>
    <w:p w14:paraId="746153C7" w14:textId="77777777" w:rsidR="00267836" w:rsidRPr="00163978" w:rsidRDefault="0030065F" w:rsidP="002B5DFF">
      <w:pPr>
        <w:pStyle w:val="Text1"/>
        <w:spacing w:after="120"/>
        <w:ind w:left="0"/>
        <w:rPr>
          <w:rFonts w:eastAsia="Calibri"/>
        </w:rPr>
      </w:pPr>
      <w:r>
        <w:t xml:space="preserve">NU pot participa solicitanții care fac obiectul unei </w:t>
      </w:r>
      <w:r>
        <w:rPr>
          <w:b/>
        </w:rPr>
        <w:t>decizii de excludere din partea UE</w:t>
      </w:r>
      <w:r>
        <w:t xml:space="preserve"> sau care se află în una dintre următoarele </w:t>
      </w:r>
      <w:r>
        <w:rPr>
          <w:b/>
        </w:rPr>
        <w:t>situații de excludere</w:t>
      </w:r>
      <w:r>
        <w:t xml:space="preserve"> care îi împiedică să primească finanțare UE</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t>faliment, lichidare, afaceri administrate de instanțe, concordat cu creditorii, activități comerciale suspendate sau alte proceduri similare (inclusiv proceduri pentru persoane cu răspundere nelimitată pentru datoriile solicitantului)</w:t>
      </w:r>
    </w:p>
    <w:p w14:paraId="1ECF36A2" w14:textId="77777777" w:rsidR="00267836" w:rsidRPr="006E2A2A" w:rsidRDefault="00267836" w:rsidP="00584316">
      <w:pPr>
        <w:numPr>
          <w:ilvl w:val="2"/>
          <w:numId w:val="20"/>
        </w:numPr>
        <w:snapToGrid w:val="0"/>
        <w:spacing w:after="120"/>
        <w:ind w:left="709"/>
        <w:rPr>
          <w:rFonts w:eastAsia="Calibri"/>
        </w:rPr>
      </w:pPr>
      <w:r>
        <w:t>și-au încălcat obligațiile de securitate socială sau fiscale (inclusiv dacă sunt persoane cu răspundere nelimitată pentru datoriile solicitantului)</w:t>
      </w:r>
    </w:p>
    <w:p w14:paraId="0E6FACB6" w14:textId="32F9B49C" w:rsidR="00267836" w:rsidRPr="00FE58D1" w:rsidRDefault="00267836" w:rsidP="00584316">
      <w:pPr>
        <w:numPr>
          <w:ilvl w:val="2"/>
          <w:numId w:val="20"/>
        </w:numPr>
        <w:snapToGrid w:val="0"/>
        <w:spacing w:after="120"/>
        <w:ind w:left="709"/>
        <w:rPr>
          <w:rFonts w:eastAsia="Calibri"/>
        </w:rPr>
      </w:pPr>
      <w:r>
        <w:t>sunt vinovați de abateri profesionale grave</w:t>
      </w:r>
      <w:r w:rsidRPr="006E2A2A">
        <w:rPr>
          <w:rFonts w:eastAsia="Calibri"/>
          <w:vertAlign w:val="superscript"/>
          <w:lang w:eastAsia="zh-CN"/>
        </w:rPr>
        <w:footnoteReference w:id="20"/>
      </w:r>
      <w:r>
        <w:t xml:space="preserve"> (inclusiv dacă sunt persoane cu puteri de reprezentare, de decizie sau de control, beneficiari efectivi sau persoane care sunt esențiale pentru acordarea/implementarea grantului) </w:t>
      </w:r>
    </w:p>
    <w:p w14:paraId="0465AD17" w14:textId="74F042D4" w:rsidR="00267836" w:rsidRPr="006E38A9" w:rsidRDefault="00FE58D1" w:rsidP="00584316">
      <w:pPr>
        <w:numPr>
          <w:ilvl w:val="2"/>
          <w:numId w:val="20"/>
        </w:numPr>
        <w:snapToGrid w:val="0"/>
        <w:spacing w:after="120"/>
        <w:ind w:left="709"/>
        <w:rPr>
          <w:rFonts w:eastAsia="Calibri"/>
        </w:rPr>
      </w:pPr>
      <w:r>
        <w:t xml:space="preserve">au comis fraude sau fapte de corupție, au legături cu o organizație criminală, infracțiuni de spălare de bani, de terorism (inclusiv finanțarea terorismului), de exploatare prin muncă a copiilor sau trafic de persoane (inclusiv dacă sunt </w:t>
      </w:r>
      <w:r>
        <w:lastRenderedPageBreak/>
        <w:t>comise de persoane cu puteri de reprezentare, de decizie sau de control, beneficiari efectivi sau persoane care sunt esențiale pentru acordarea/implementarea grantului)</w:t>
      </w:r>
    </w:p>
    <w:p w14:paraId="4BAE0C78" w14:textId="1064C024" w:rsidR="00267836" w:rsidRPr="006E38A9" w:rsidRDefault="00267836" w:rsidP="00584316">
      <w:pPr>
        <w:numPr>
          <w:ilvl w:val="1"/>
          <w:numId w:val="19"/>
        </w:numPr>
        <w:snapToGrid w:val="0"/>
        <w:spacing w:after="120"/>
        <w:ind w:left="709" w:hanging="357"/>
        <w:rPr>
          <w:rFonts w:eastAsia="Calibri"/>
        </w:rPr>
      </w:pPr>
      <w:r>
        <w:t>au arătat deficiențe semnificative în ceea ce privește respectarea obligațiilor principale în temeiul unui contract UE de achiziții publice, al unui acord de grant, al unui contract de premiere, de expertiză sau al unui alt contract similar (inclusiv dacă sunt persoane cu puteri de reprezentare, de decizie sau de control, beneficiari efectivi sau persoane care sunt esențiale pentru acordarea/implementarea grantului)</w:t>
      </w:r>
    </w:p>
    <w:p w14:paraId="6F212B83" w14:textId="62D42E8A" w:rsidR="00E94DFF" w:rsidRDefault="00267836" w:rsidP="00584316">
      <w:pPr>
        <w:numPr>
          <w:ilvl w:val="1"/>
          <w:numId w:val="19"/>
        </w:numPr>
        <w:snapToGrid w:val="0"/>
        <w:ind w:left="709" w:hanging="357"/>
        <w:rPr>
          <w:rFonts w:eastAsia="Calibri"/>
        </w:rPr>
      </w:pPr>
      <w:r>
        <w:t>sunt vinovați de abateri în sensul articolului 1 alineatul (2) din Regulamentul nr. </w:t>
      </w:r>
      <w:hyperlink r:id="rId46" w:history="1">
        <w:r>
          <w:rPr>
            <w:rStyle w:val="Hyperlink"/>
          </w:rPr>
          <w:t>2988/95</w:t>
        </w:r>
      </w:hyperlink>
      <w:r>
        <w:t xml:space="preserve"> (inclusiv dacă sunt persoane cu puteri de reprezentare, de decizie sau de control, beneficiari efectivi sau persoane care sunt esențiale pentru acordarea/implementarea grantului)</w:t>
      </w:r>
    </w:p>
    <w:p w14:paraId="668F2B36" w14:textId="65F190E1" w:rsidR="00276AD7" w:rsidRDefault="00E94DFF" w:rsidP="00584316">
      <w:pPr>
        <w:numPr>
          <w:ilvl w:val="1"/>
          <w:numId w:val="19"/>
        </w:numPr>
        <w:snapToGrid w:val="0"/>
        <w:ind w:left="709" w:hanging="357"/>
        <w:rPr>
          <w:rFonts w:eastAsia="Calibri"/>
        </w:rPr>
      </w:pPr>
      <w:r>
        <w:t>s-au constituit sub o altă jurisdicție cu intenția de a eluda obligațiile fiscale, sociale sau de altă natură în țara de origine sau au creat o altă entitate cu acest scop (inclusiv dacă sunt persoane cu puteri de reprezentare, de decizie‑sau de control, beneficiari efectivi sau persoane care sunt esențiale pentru acordarea/implementarea grantului).</w:t>
      </w:r>
    </w:p>
    <w:p w14:paraId="1D79A2BE" w14:textId="77777777" w:rsidR="000844D0" w:rsidRPr="00B57534" w:rsidRDefault="000844D0" w:rsidP="00F81E91">
      <w:pPr>
        <w:snapToGrid w:val="0"/>
      </w:pPr>
      <w:r>
        <w:t>De asemenea, solicitanții vor fi respinși dacă se dovedește că</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în cadrul procedurii de atribuire, au denaturat informațiile necesare ca condiție pentru participare sau nu au furnizat informațiile respective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au fost implicați anterior în pregătirea cererii de propuneri, iar acest lucru implică o denaturare a concurenței care nu poate fi remediată în alt mod (conflict de interese).</w:t>
      </w:r>
    </w:p>
    <w:p w14:paraId="52FA627E" w14:textId="6564E345" w:rsidR="0076737E" w:rsidRPr="00975A34" w:rsidRDefault="00510B7E" w:rsidP="000579AF">
      <w:pPr>
        <w:pStyle w:val="Heading1"/>
        <w:numPr>
          <w:ilvl w:val="0"/>
          <w:numId w:val="54"/>
        </w:numPr>
        <w:tabs>
          <w:tab w:val="left" w:pos="284"/>
        </w:tabs>
        <w:ind w:left="0" w:firstLine="0"/>
      </w:pPr>
      <w:bookmarkStart w:id="24" w:name="_Toc92975194"/>
      <w:r>
        <w:t>Procedura de evaluare și de atribuire</w:t>
      </w:r>
      <w:bookmarkEnd w:id="24"/>
    </w:p>
    <w:p w14:paraId="4AEDF33E" w14:textId="2A21C125" w:rsidR="001A2CE3" w:rsidRPr="001A2CE3" w:rsidRDefault="001E6C28" w:rsidP="001A2CE3">
      <w:r>
        <w:t xml:space="preserve">Propunerile vor trebui să urmeze </w:t>
      </w:r>
      <w:r>
        <w:rPr>
          <w:b/>
        </w:rPr>
        <w:t>procedura standard de depunere și evaluare</w:t>
      </w:r>
      <w:r>
        <w:t xml:space="preserve"> (depunere într-o singură etapă + evaluare într-o singură etapă). </w:t>
      </w:r>
    </w:p>
    <w:p w14:paraId="1D076F53" w14:textId="1FE6714E" w:rsidR="00BD67F7" w:rsidRPr="00163978" w:rsidRDefault="00593F0C" w:rsidP="0015357F">
      <w:r>
        <w:t xml:space="preserve">Cererile de finanțare vor fi evaluate de o </w:t>
      </w:r>
      <w:r>
        <w:rPr>
          <w:b/>
        </w:rPr>
        <w:t>comisie de evaluare</w:t>
      </w:r>
      <w:r>
        <w:t xml:space="preserve"> (asistată de experți externi independenți). Propunerile vor fi verificate mai întâi din punctul de vedere al cerințelor formale (admisibilitate și eligibilitate, </w:t>
      </w:r>
      <w:r>
        <w:rPr>
          <w:i/>
        </w:rPr>
        <w:t>vezi secțiunile 5 și 6</w:t>
      </w:r>
      <w:r>
        <w:t xml:space="preserve">). Propunerile considerate admisibile și eligibile vor fi evaluate (pentru fiecare temă) din punctul de vedere al capacității operaționale și al criteriilor de atribuire </w:t>
      </w:r>
      <w:r>
        <w:rPr>
          <w:i/>
        </w:rPr>
        <w:t>(vezi secțiunile 7 și 9)</w:t>
      </w:r>
      <w:r>
        <w:t>, apoi vor fi ierarhizate în funcție de punctajul obținut.</w:t>
      </w:r>
    </w:p>
    <w:p w14:paraId="4BC27C4D" w14:textId="77777777" w:rsidR="00BE09D3" w:rsidRDefault="00500DB3" w:rsidP="00211623">
      <w:pPr>
        <w:autoSpaceDE w:val="0"/>
        <w:autoSpaceDN w:val="0"/>
        <w:adjustRightInd w:val="0"/>
        <w:rPr>
          <w:rFonts w:cs="Arial"/>
        </w:rPr>
      </w:pPr>
      <w:r>
        <w:t xml:space="preserve">Pentru propunerile cu același punctaj (din cadrul aceleiași teme sau al aceluiași pachet bugetar) se va stabili o </w:t>
      </w:r>
      <w:r>
        <w:rPr>
          <w:b/>
        </w:rPr>
        <w:t>ordine de prioritate</w:t>
      </w:r>
      <w:r>
        <w:t xml:space="preserve">, pe baza abordării următoare: </w:t>
      </w:r>
    </w:p>
    <w:p w14:paraId="7F276C70" w14:textId="4CF76B9F" w:rsidR="00500DB3" w:rsidRPr="009945CC" w:rsidRDefault="00BE09D3" w:rsidP="00BD5FB0">
      <w:pPr>
        <w:autoSpaceDE w:val="0"/>
        <w:autoSpaceDN w:val="0"/>
        <w:adjustRightInd w:val="0"/>
        <w:ind w:left="284"/>
        <w:rPr>
          <w:rFonts w:cs="Arial"/>
        </w:rPr>
      </w:pPr>
      <w:r>
        <w:t xml:space="preserve">Succesiv pentru fiecare grup de propuneri </w:t>
      </w:r>
      <w:r>
        <w:rPr>
          <w:i/>
          <w:iCs/>
        </w:rPr>
        <w:t>ex aequo</w:t>
      </w:r>
      <w:r>
        <w:t xml:space="preserve">, începând cu grupul cu punctajul cel mai mare și continuând în ordine descrescătoare: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Propunerile ex aequo din cadrul aceleiași teme vor fi ordonate în funcție de punctajele care le-au fost acordate pentru criteriul de atribuire „Relevanță”. Dacă aceste punctaje sunt egale, prioritatea se va baza pe punctajele obținute pentru criteriul „Calitate”. Dacă aceste punctaje sunt egale, prioritatea se va baza pe punctajele obținute pentru criteriul „Impact”. </w:t>
      </w:r>
    </w:p>
    <w:p w14:paraId="309BB099" w14:textId="0A549492" w:rsidR="00A53E20" w:rsidRDefault="00510B7E" w:rsidP="00A32077">
      <w:pPr>
        <w:shd w:val="clear" w:color="auto" w:fill="FFFFFF"/>
      </w:pPr>
      <w:r>
        <w:lastRenderedPageBreak/>
        <w:t>Toate propunerile vor primi răspuns cu privire la rezultatul evaluării (</w:t>
      </w:r>
      <w:r>
        <w:rPr>
          <w:b/>
          <w:bCs/>
        </w:rPr>
        <w:t>scrisoare cu rezultatul evaluării</w:t>
      </w:r>
      <w:r>
        <w:t xml:space="preserve">). Propunerile selectate vor fi invitate pentru pregătirea grantului; celelalte vor fi înscrise pe lista de rezervă sau vor fi respinse. </w:t>
      </w:r>
    </w:p>
    <w:p w14:paraId="300D5057" w14:textId="45043F45" w:rsidR="006004D2" w:rsidRPr="006F137B" w:rsidRDefault="005A3754" w:rsidP="006004D2">
      <w:pPr>
        <w:ind w:right="-31"/>
      </w:pPr>
      <w:r>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Inexistența unui angajament de finanțare – Invitația la pregătirea grantului NU constituie un angajament formal de finanțare. Înaintea atribuirii grantului va fi necesar să facem diverse alte verificări juridice: </w:t>
      </w:r>
      <w:r>
        <w:rPr>
          <w:i/>
          <w:iCs/>
        </w:rPr>
        <w:t>validarea entității juridice, capacitatea financiară, verificarea criteriilor de excludere etc.</w:t>
      </w:r>
    </w:p>
    <w:p w14:paraId="3A6DC8C6" w14:textId="25AE1349" w:rsidR="002B5DFF" w:rsidRDefault="002B5DFF" w:rsidP="002B5DFF">
      <w:pPr>
        <w:ind w:right="-31"/>
      </w:pPr>
      <w:r>
        <w:rPr>
          <w:b/>
        </w:rPr>
        <w:t>Pregătirea grantului</w:t>
      </w:r>
      <w:r>
        <w:t xml:space="preserve"> va presupune un dialog menit să regleze anumite aspecte tehnice sau financiare ale proiectului, putând necesita furnizarea de noi informații din partea dumneavoastră. De asemenea, poate presupune ajustări ale propunerii pentru a da curs recomandărilor comisiei de evaluare sau pentru a soluționa alte probleme. Conformitatea va fi o condiție preliminară pentru semnarea grantului.</w:t>
      </w:r>
    </w:p>
    <w:p w14:paraId="20BC1964" w14:textId="77777777" w:rsidR="006004D2" w:rsidRPr="002B5DFF" w:rsidRDefault="006004D2" w:rsidP="002B5DFF">
      <w:pPr>
        <w:ind w:right="-31"/>
      </w:pPr>
      <w:r>
        <w:t xml:space="preserve">În cazul în care considerați că procedura de evaluare a fost viciată, puteți depune o </w:t>
      </w:r>
      <w:r>
        <w:rPr>
          <w:b/>
        </w:rPr>
        <w:t>plângere</w:t>
      </w:r>
      <w:r>
        <w:t xml:space="preserve"> (respectând termenele și procedurile menționate în scrisoarea cu rezultatul evaluării). Vă rugăm să rețineți că notificările care nu au fost deschise în termen de 10 zile de la trimitere sunt considerate ca fiind accesate și că termenele încep să curgă de la deschiderea/accesarea acestor notificări </w:t>
      </w:r>
      <w:r>
        <w:rPr>
          <w:i/>
        </w:rPr>
        <w:t xml:space="preserve">(vezi și secțiunea </w:t>
      </w:r>
      <w:hyperlink r:id="rId47" w:history="1">
        <w:r>
          <w:rPr>
            <w:rStyle w:val="Hyperlink"/>
            <w:i/>
          </w:rPr>
          <w:t>Termene și condiții de pe portalul Finanțare și licitații</w:t>
        </w:r>
      </w:hyperlink>
      <w:r>
        <w:rPr>
          <w:i/>
        </w:rPr>
        <w:t>)</w:t>
      </w:r>
      <w:r>
        <w:t>. Rețineți, de asemenea, că pentru reclamațiile transmise electronic poate exista o limită a numărului de caractere.</w:t>
      </w:r>
    </w:p>
    <w:p w14:paraId="6B26D36A" w14:textId="263DE822" w:rsidR="00417F25" w:rsidRPr="00975A34" w:rsidRDefault="00417F25" w:rsidP="000579AF">
      <w:pPr>
        <w:pStyle w:val="Heading1"/>
        <w:numPr>
          <w:ilvl w:val="0"/>
          <w:numId w:val="54"/>
        </w:numPr>
        <w:tabs>
          <w:tab w:val="left" w:pos="284"/>
        </w:tabs>
        <w:ind w:left="0" w:firstLine="0"/>
      </w:pPr>
      <w:bookmarkStart w:id="25" w:name="_Toc92975195"/>
      <w:r>
        <w:t>Criterii de atribuire</w:t>
      </w:r>
      <w:bookmarkEnd w:id="25"/>
    </w:p>
    <w:p w14:paraId="71E5D15E" w14:textId="6A12DD70" w:rsidR="00417F25" w:rsidRDefault="00510B7E" w:rsidP="00417F25">
      <w:pPr>
        <w:pStyle w:val="Text1"/>
        <w:ind w:left="0"/>
        <w:rPr>
          <w:rFonts w:cs="Arial"/>
        </w:rPr>
      </w:pPr>
      <w:r>
        <w:rPr>
          <w:b/>
        </w:rPr>
        <w:t>Criteriile de atribuire</w:t>
      </w:r>
      <w:r>
        <w:t xml:space="preserve"> pentru prezenta cerere de propuneri sunt următoarele:</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 xml:space="preserve">Relevanță: </w:t>
      </w:r>
      <w:r>
        <w:t xml:space="preserve">măsura în care propunerea corespunde priorităților și obiectivelor cererii de propuneri; nevoi clar definite și evaluare solidă a nevoilor; grup țintă clar definit, cu luarea în considerare a perspectivei de gen în mod corespunzător; contribuție la contextul strategic și legislativ al UE; dimensiune europeană/transnațională; impact/interes în mai multe țări (din UE sau țări eligibile din afara UE); posibilitatea de a utiliza rezultatele în alte țări (potențial de transfer al bunelor practici); potențial de dezvoltare a încrederii reciproce/a cooperării transfrontaliere. </w:t>
      </w:r>
      <w:r>
        <w:rPr>
          <w:color w:val="4AA55B"/>
          <w:sz w:val="19"/>
          <w:szCs w:val="19"/>
        </w:rPr>
        <w:t>(40 de puncte)</w:t>
      </w:r>
    </w:p>
    <w:p w14:paraId="0B54B54E" w14:textId="5C3C8A79" w:rsidR="0036370D" w:rsidRPr="0036370D" w:rsidRDefault="00C3341E" w:rsidP="42BB08A3">
      <w:pPr>
        <w:numPr>
          <w:ilvl w:val="0"/>
          <w:numId w:val="22"/>
        </w:numPr>
        <w:ind w:left="720"/>
        <w:rPr>
          <w:rFonts w:cs="Arial"/>
        </w:rPr>
      </w:pPr>
      <w:r>
        <w:rPr>
          <w:b/>
          <w:bCs/>
          <w:color w:val="A50021"/>
        </w:rPr>
        <w:t>Calitate:</w:t>
      </w:r>
      <w:r>
        <w:t xml:space="preserve"> claritatea și coerența proiectului; legături logice între problemele și nevoile identificate și soluțiile propuse (conceptul cadrului logic); metodologie de implementare a proiectului care ține seama în mod adecvat de perspectiva de gen (organizarea muncii, calendarul, alocarea resurselor și distribuirea sarcinilor între parteneri, riscurile și gestionarea riscurilor, monitorizarea și evaluarea); soluționarea problemelor etice; fezabilitatea proiectului în intervalul de timp propus. </w:t>
      </w:r>
      <w:r>
        <w:rPr>
          <w:color w:val="4AA55B"/>
          <w:sz w:val="19"/>
          <w:szCs w:val="19"/>
        </w:rPr>
        <w:t>(40 de puncte)</w:t>
      </w:r>
    </w:p>
    <w:p w14:paraId="245A3914" w14:textId="174240EB" w:rsidR="00417F25" w:rsidRPr="0072792C" w:rsidRDefault="00C3341E" w:rsidP="42BB08A3">
      <w:pPr>
        <w:numPr>
          <w:ilvl w:val="0"/>
          <w:numId w:val="22"/>
        </w:numPr>
        <w:ind w:left="720"/>
        <w:rPr>
          <w:rFonts w:cs="Arial"/>
        </w:rPr>
      </w:pPr>
      <w:r>
        <w:rPr>
          <w:b/>
          <w:bCs/>
          <w:color w:val="A50021"/>
        </w:rPr>
        <w:t>Impact:</w:t>
      </w:r>
      <w:r>
        <w:rPr>
          <w:color w:val="A50021"/>
        </w:rPr>
        <w:t xml:space="preserve"> </w:t>
      </w:r>
      <w:r>
        <w:t xml:space="preserve">nivelul de ambiție și impactul preconizat pe termen lung al rezultatelor asupra grupurilor-țintă/publicului larg; strategie de diseminare adecvată pentru asigurarea durabilității și a impactului pe termen lung; potențialul unui efect multiplicator pozitiv; durabilitatea rezultatelor după încheierea finanțării UE. </w:t>
      </w:r>
      <w:r>
        <w:rPr>
          <w:color w:val="4AA55B"/>
          <w:sz w:val="19"/>
          <w:szCs w:val="19"/>
        </w:rPr>
        <w:t>(20 de puncte)</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B85204" w:rsidRDefault="00417F25" w:rsidP="00417F25">
            <w:pPr>
              <w:spacing w:before="120" w:after="120"/>
              <w:rPr>
                <w:rFonts w:cs="Arial"/>
                <w:color w:val="595959"/>
                <w:sz w:val="16"/>
                <w:szCs w:val="16"/>
              </w:rPr>
            </w:pPr>
            <w:r>
              <w:rPr>
                <w:b/>
                <w:bCs/>
                <w:color w:val="000000"/>
                <w:sz w:val="16"/>
                <w:szCs w:val="16"/>
              </w:rPr>
              <w:t>Criterii de atribuire</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B85204" w:rsidRDefault="00417F25" w:rsidP="7EABDF9A">
            <w:pPr>
              <w:spacing w:before="120" w:after="120"/>
              <w:jc w:val="center"/>
              <w:rPr>
                <w:rFonts w:cs="Arial"/>
                <w:b/>
                <w:bCs/>
                <w:color w:val="595959"/>
                <w:sz w:val="16"/>
                <w:szCs w:val="16"/>
              </w:rPr>
            </w:pPr>
            <w:r>
              <w:rPr>
                <w:b/>
                <w:bCs/>
                <w:color w:val="000000"/>
                <w:sz w:val="16"/>
                <w:szCs w:val="16"/>
              </w:rPr>
              <w:t>Punctaj minim necesar</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B85204" w:rsidRDefault="00417F25" w:rsidP="00417F25">
            <w:pPr>
              <w:spacing w:before="120" w:after="120"/>
              <w:jc w:val="center"/>
              <w:rPr>
                <w:rFonts w:cs="Arial"/>
                <w:b/>
                <w:bCs/>
                <w:color w:val="595959"/>
                <w:sz w:val="16"/>
              </w:rPr>
            </w:pPr>
            <w:r>
              <w:rPr>
                <w:b/>
                <w:bCs/>
                <w:color w:val="595959"/>
                <w:sz w:val="16"/>
              </w:rPr>
              <w:t>Punctaj maxim</w:t>
            </w:r>
          </w:p>
        </w:tc>
      </w:tr>
      <w:tr w:rsidR="00417F25"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B85204" w:rsidRDefault="00417F25" w:rsidP="00417F25">
            <w:pPr>
              <w:spacing w:before="120" w:after="120"/>
              <w:rPr>
                <w:rFonts w:cs="Arial"/>
                <w:color w:val="595959"/>
                <w:sz w:val="16"/>
              </w:rPr>
            </w:pPr>
            <w:r>
              <w:rPr>
                <w:color w:val="595959"/>
                <w:sz w:val="16"/>
              </w:rPr>
              <w:t xml:space="preserve">Relevanță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163978" w:rsidRDefault="77501A39" w:rsidP="006F137B">
            <w:pPr>
              <w:spacing w:before="120" w:after="120"/>
              <w:jc w:val="center"/>
              <w:rPr>
                <w:rFonts w:cs="Arial"/>
                <w:vanish/>
                <w:color w:val="595959"/>
                <w:sz w:val="16"/>
                <w:szCs w:val="16"/>
              </w:rPr>
            </w:pPr>
            <w:r>
              <w:rPr>
                <w:vanish/>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63978" w:rsidRDefault="7A1506A9" w:rsidP="006F137B">
            <w:pPr>
              <w:spacing w:before="120" w:after="120" w:line="259" w:lineRule="auto"/>
              <w:jc w:val="center"/>
              <w:rPr>
                <w:vanish/>
                <w:sz w:val="16"/>
                <w:szCs w:val="16"/>
              </w:rPr>
            </w:pPr>
            <w:r>
              <w:rPr>
                <w:vanish/>
                <w:color w:val="000000"/>
                <w:sz w:val="16"/>
                <w:szCs w:val="16"/>
              </w:rPr>
              <w:t>40</w:t>
            </w:r>
          </w:p>
        </w:tc>
      </w:tr>
      <w:tr w:rsidR="00417F25"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B85204" w:rsidRDefault="00417F25" w:rsidP="00417F25">
            <w:pPr>
              <w:spacing w:before="120" w:after="120"/>
              <w:rPr>
                <w:rFonts w:cs="Arial"/>
                <w:color w:val="595959"/>
                <w:sz w:val="16"/>
                <w:vertAlign w:val="superscript"/>
              </w:rPr>
            </w:pPr>
            <w:r>
              <w:rPr>
                <w:color w:val="595959"/>
                <w:sz w:val="16"/>
              </w:rPr>
              <w:lastRenderedPageBreak/>
              <w:t>Calitate – Conceperea și implementarea proiectului</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A32077" w:rsidRDefault="001411B2" w:rsidP="42BB08A3">
            <w:pPr>
              <w:spacing w:before="120" w:after="120"/>
              <w:jc w:val="center"/>
              <w:rPr>
                <w:rFonts w:cs="Arial"/>
                <w:color w:val="595959"/>
                <w:sz w:val="16"/>
                <w:szCs w:val="16"/>
              </w:rPr>
            </w:pPr>
            <w:r>
              <w:rPr>
                <w:color w:val="000000"/>
                <w:sz w:val="16"/>
                <w:szCs w:val="16"/>
              </w:rPr>
              <w:t>nu este cazul</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63978" w:rsidRDefault="5A0A8866" w:rsidP="00142C5E">
            <w:pPr>
              <w:spacing w:before="120" w:after="120" w:line="259" w:lineRule="auto"/>
              <w:jc w:val="center"/>
              <w:rPr>
                <w:vanish/>
                <w:sz w:val="16"/>
                <w:szCs w:val="16"/>
              </w:rPr>
            </w:pPr>
            <w:r>
              <w:rPr>
                <w:vanish/>
                <w:color w:val="595959"/>
                <w:sz w:val="16"/>
                <w:szCs w:val="16"/>
              </w:rPr>
              <w:t>40</w:t>
            </w:r>
          </w:p>
        </w:tc>
      </w:tr>
      <w:tr w:rsidR="00417F25"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B85204" w:rsidRDefault="00417F25" w:rsidP="00417F25">
            <w:pPr>
              <w:spacing w:before="120" w:after="120"/>
              <w:rPr>
                <w:rFonts w:cs="Arial"/>
                <w:color w:val="595959"/>
                <w:sz w:val="16"/>
              </w:rPr>
            </w:pPr>
            <w:r>
              <w:rPr>
                <w:color w:val="595959"/>
                <w:sz w:val="16"/>
              </w:rPr>
              <w:t>Impact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A32077" w:rsidRDefault="001411B2" w:rsidP="42BB08A3">
            <w:pPr>
              <w:spacing w:before="120" w:after="120"/>
              <w:jc w:val="center"/>
              <w:rPr>
                <w:rFonts w:cs="Arial"/>
                <w:color w:val="595959"/>
                <w:sz w:val="16"/>
                <w:szCs w:val="16"/>
              </w:rPr>
            </w:pPr>
            <w:r>
              <w:rPr>
                <w:color w:val="000000"/>
                <w:sz w:val="16"/>
                <w:szCs w:val="16"/>
              </w:rPr>
              <w:t>nu este cazul</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63978" w:rsidRDefault="1689B5CD" w:rsidP="00142C5E">
            <w:pPr>
              <w:spacing w:before="120" w:after="120" w:line="259" w:lineRule="auto"/>
              <w:jc w:val="center"/>
              <w:rPr>
                <w:vanish/>
                <w:sz w:val="16"/>
                <w:szCs w:val="16"/>
              </w:rPr>
            </w:pPr>
            <w:r>
              <w:rPr>
                <w:vanish/>
                <w:color w:val="595959"/>
                <w:sz w:val="16"/>
                <w:szCs w:val="16"/>
              </w:rPr>
              <w:t>20</w:t>
            </w:r>
          </w:p>
        </w:tc>
      </w:tr>
      <w:tr w:rsidR="00417F25"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B85204" w:rsidRDefault="00417F25" w:rsidP="00417F25">
            <w:pPr>
              <w:spacing w:before="120" w:after="120"/>
              <w:rPr>
                <w:rFonts w:cs="Arial"/>
                <w:color w:val="595959"/>
                <w:sz w:val="16"/>
              </w:rPr>
            </w:pPr>
            <w:r>
              <w:rPr>
                <w:b/>
                <w:bCs/>
                <w:color w:val="595959"/>
                <w:sz w:val="16"/>
              </w:rPr>
              <w:t>Punctaje (minime necesare) totale</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63978" w:rsidRDefault="00417F25" w:rsidP="00417F25">
            <w:pPr>
              <w:spacing w:before="120" w:after="120"/>
              <w:jc w:val="center"/>
              <w:rPr>
                <w:rFonts w:cs="Arial"/>
                <w:vanish/>
                <w:color w:val="595959"/>
                <w:sz w:val="16"/>
                <w:szCs w:val="16"/>
              </w:rPr>
            </w:pPr>
            <w:r>
              <w:rPr>
                <w:b/>
                <w:bCs/>
                <w:vanish/>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63978" w:rsidRDefault="00417F25" w:rsidP="00417F25">
            <w:pPr>
              <w:spacing w:before="120" w:after="120"/>
              <w:jc w:val="center"/>
              <w:rPr>
                <w:rFonts w:cs="Arial"/>
                <w:b/>
                <w:bCs/>
                <w:vanish/>
                <w:color w:val="595959"/>
                <w:sz w:val="16"/>
              </w:rPr>
            </w:pPr>
            <w:r>
              <w:rPr>
                <w:b/>
                <w:bCs/>
                <w:vanish/>
                <w:color w:val="595959"/>
                <w:sz w:val="16"/>
              </w:rPr>
              <w:t>100</w:t>
            </w:r>
          </w:p>
        </w:tc>
      </w:tr>
    </w:tbl>
    <w:p w14:paraId="3A91549A" w14:textId="77777777" w:rsidR="00417F25" w:rsidRDefault="00417F25"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Număr maxim de puncte: 100 de puncte.</w:t>
      </w:r>
    </w:p>
    <w:p w14:paraId="54D540AD" w14:textId="25B25F2B" w:rsidR="00417F25" w:rsidRPr="00142C5E" w:rsidRDefault="00417F25" w:rsidP="42BB08A3">
      <w:pPr>
        <w:pStyle w:val="Text1"/>
        <w:ind w:left="0"/>
        <w:rPr>
          <w:rFonts w:cs="Arial"/>
        </w:rPr>
      </w:pPr>
      <w:r>
        <w:t>Prag individual pentru criteriul „Relevanță”: 25/40 de puncte.</w:t>
      </w:r>
    </w:p>
    <w:p w14:paraId="088F1A3D" w14:textId="77777777" w:rsidR="00417F25" w:rsidRDefault="00417F25" w:rsidP="00417F25">
      <w:pPr>
        <w:pStyle w:val="Text1"/>
        <w:ind w:left="0"/>
        <w:rPr>
          <w:rFonts w:cs="Arial"/>
        </w:rPr>
      </w:pPr>
      <w:r>
        <w:t xml:space="preserve">Prag general: 70 de puncte. </w:t>
      </w:r>
    </w:p>
    <w:p w14:paraId="743867A2" w14:textId="5FB32EC7" w:rsidR="00417F25" w:rsidRDefault="000A7529" w:rsidP="42BB08A3">
      <w:pPr>
        <w:pStyle w:val="Text1"/>
        <w:ind w:left="0"/>
        <w:rPr>
          <w:rFonts w:cs="Arial"/>
        </w:rPr>
      </w:pPr>
      <w:r>
        <w:t xml:space="preserve">Propunerile care depășesc pragul individual pentru criteriul „Relevanță” ȘI pragul global vor fi luate în considerare pentru finanțare – în limitele bugetului disponibil al cererii de propuneri. Celelalte propuneri vor fi respinse. </w:t>
      </w:r>
    </w:p>
    <w:p w14:paraId="32ECB61A" w14:textId="407D4955" w:rsidR="00276AD7" w:rsidRPr="00975A34" w:rsidRDefault="00276AD7" w:rsidP="000579AF">
      <w:pPr>
        <w:pStyle w:val="Heading1"/>
        <w:numPr>
          <w:ilvl w:val="0"/>
          <w:numId w:val="54"/>
        </w:numPr>
        <w:tabs>
          <w:tab w:val="left" w:pos="426"/>
        </w:tabs>
        <w:ind w:left="0" w:firstLine="0"/>
      </w:pPr>
      <w:bookmarkStart w:id="26" w:name="_Toc92975196"/>
      <w:r>
        <w:t>Structura juridică și financiară a acordurilor de grant</w:t>
      </w:r>
      <w:bookmarkEnd w:id="26"/>
    </w:p>
    <w:p w14:paraId="3E12CDD9" w14:textId="77777777" w:rsidR="00F468B9" w:rsidRPr="00F468B9" w:rsidRDefault="00510B7E" w:rsidP="00F468B9">
      <w:r>
        <w:t xml:space="preserve">Dacă treceți faza de evaluare, proiectul dumneavoastră va fi invitat pentru pregătirea grantului, etapă în care vi se va solicita să pregătiți Acordul de grant împreună cu responsabilul de proiect al UE. </w:t>
      </w:r>
    </w:p>
    <w:p w14:paraId="726FE5D4" w14:textId="77777777" w:rsidR="00A55E10" w:rsidRDefault="009A4762" w:rsidP="00F468B9">
      <w:r>
        <w:t xml:space="preserve">Acest acord de grant va stabili cadrul pentru grantul dumneavoastră, precum și termenele și condițiile acestuia, îndeosebi în ceea ce privește rezultatele preconizate, raportările și plățile. </w:t>
      </w:r>
    </w:p>
    <w:p w14:paraId="49D0FAB7" w14:textId="77777777" w:rsidR="00F468B9" w:rsidRPr="009A4762" w:rsidRDefault="004E3F9E" w:rsidP="00F468B9">
      <w:r>
        <w:t xml:space="preserve">Modelul de acord de grant care va fi utilizat (și toate celelalte șabloane și documente de orientare relevante) pot fi găsite la secțiunea </w:t>
      </w:r>
      <w:hyperlink r:id="rId48" w:history="1">
        <w:r>
          <w:rPr>
            <w:rStyle w:val="Hyperlink"/>
          </w:rPr>
          <w:t>Documente de referință</w:t>
        </w:r>
      </w:hyperlink>
      <w:r>
        <w:t xml:space="preserve"> din portal.</w:t>
      </w:r>
    </w:p>
    <w:p w14:paraId="712F0C54" w14:textId="77777777" w:rsidR="00F468B9" w:rsidRPr="00510B7E" w:rsidRDefault="00EF5018" w:rsidP="00510B7E">
      <w:pPr>
        <w:pStyle w:val="Heading3"/>
      </w:pPr>
      <w:bookmarkStart w:id="27" w:name="_Toc92975197"/>
      <w:r>
        <w:t>Data de începere și durata proiectului</w:t>
      </w:r>
      <w:bookmarkEnd w:id="27"/>
      <w:r>
        <w:t xml:space="preserve"> </w:t>
      </w:r>
    </w:p>
    <w:p w14:paraId="34F8E827" w14:textId="193AA9A8" w:rsidR="00EF5018" w:rsidRDefault="00EF5018" w:rsidP="00EF5018">
      <w:r>
        <w:t xml:space="preserve">Data de începere și durata proiectului vor fi stabilite în Acordul de grant </w:t>
      </w:r>
      <w:r>
        <w:rPr>
          <w:i/>
          <w:iCs/>
        </w:rPr>
        <w:t>(Fișa de date, punctul 1)</w:t>
      </w:r>
      <w:r>
        <w:t>. În mod normal, data de începere va fi ulterioară datei de semnare a grantului. O cerere retroactivă poate fi acceptată în mod excepțional pe baza unor motive justificate în mod corespunzător – dar niciodată mai devreme de data de depunere a propunerii.</w:t>
      </w:r>
    </w:p>
    <w:p w14:paraId="15D66063" w14:textId="51D1D632" w:rsidR="00CB07A3" w:rsidRDefault="00CB07A3" w:rsidP="00EF5018">
      <w:pPr>
        <w:rPr>
          <w:rFonts w:cs="Arial"/>
        </w:rPr>
      </w:pPr>
      <w:r>
        <w:t xml:space="preserve">Durata proiectului: </w:t>
      </w:r>
    </w:p>
    <w:p w14:paraId="2429D9A2" w14:textId="7FD8DB37" w:rsidR="00273AA8" w:rsidRPr="00C83A32" w:rsidRDefault="00273AA8" w:rsidP="00273AA8">
      <w:pPr>
        <w:rPr>
          <w:rFonts w:cs="Arial"/>
        </w:rPr>
      </w:pPr>
      <w:r>
        <w:rPr>
          <w:color w:val="A50021"/>
        </w:rPr>
        <w:t>CERV-2022-CITIZENS-TOWN-TT – Înfrățirea orașelor:</w:t>
      </w:r>
      <w:r>
        <w:t xml:space="preserve"> până la 12 luni.</w:t>
      </w:r>
    </w:p>
    <w:p w14:paraId="748ED34C" w14:textId="21136B02" w:rsidR="00273AA8" w:rsidRDefault="00273AA8" w:rsidP="00273AA8">
      <w:pPr>
        <w:rPr>
          <w:rFonts w:cs="Arial"/>
        </w:rPr>
      </w:pPr>
      <w:r>
        <w:rPr>
          <w:color w:val="A50021"/>
        </w:rPr>
        <w:t>CERV-2022-CITIZENS-TOWN-NT – Rețele de orașe:</w:t>
      </w:r>
      <w:r>
        <w:t xml:space="preserve"> între 12 și 24 de luni. </w:t>
      </w:r>
    </w:p>
    <w:p w14:paraId="264CF456" w14:textId="407B2FF3" w:rsidR="00273AA8" w:rsidRDefault="00273AA8" w:rsidP="00273AA8">
      <w:pPr>
        <w:rPr>
          <w:rFonts w:cs="Arial"/>
        </w:rPr>
      </w:pPr>
      <w:r>
        <w:t>(Vor fi posibile prelungiri doar în mod excepțional, dacă sunt justificate în mod corespunzător și formalizate printr-un amendament).</w:t>
      </w:r>
    </w:p>
    <w:p w14:paraId="77CA20A6" w14:textId="77777777" w:rsidR="002D1390" w:rsidRPr="0019779F" w:rsidRDefault="002D1390" w:rsidP="00510B7E">
      <w:pPr>
        <w:pStyle w:val="Heading3"/>
      </w:pPr>
      <w:bookmarkStart w:id="28" w:name="_Toc92975198"/>
      <w:r>
        <w:t>Obiective intermediare și livrabile</w:t>
      </w:r>
      <w:bookmarkEnd w:id="28"/>
    </w:p>
    <w:p w14:paraId="2053727F" w14:textId="44C43A76" w:rsidR="002D1390" w:rsidRDefault="002D1390" w:rsidP="002D1390">
      <w:pPr>
        <w:rPr>
          <w:rFonts w:cs="Arial"/>
        </w:rPr>
      </w:pPr>
      <w:r>
        <w:t xml:space="preserve">Obiectivele intermediare și livrabilele pentru fiecare proiect vor fi gestionate prin intermediul sistemului de gestionare a granturilor din portal și vor figura în </w:t>
      </w:r>
      <w:r w:rsidR="005F203A">
        <w:t>A</w:t>
      </w:r>
      <w:r>
        <w:t>nexa</w:t>
      </w:r>
      <w:r w:rsidR="005F203A">
        <w:t xml:space="preserve"> </w:t>
      </w:r>
      <w:r>
        <w:t>1 la Acordul de grant.</w:t>
      </w:r>
    </w:p>
    <w:p w14:paraId="14B285DB" w14:textId="77777777" w:rsidR="00F468B9" w:rsidRPr="0019779F" w:rsidRDefault="00D20E76" w:rsidP="00510B7E">
      <w:pPr>
        <w:pStyle w:val="Heading3"/>
      </w:pPr>
      <w:bookmarkStart w:id="29" w:name="_Toc92975199"/>
      <w:r>
        <w:t>Forma grantului, rata de finanțare și cuantumul maxim al grantului</w:t>
      </w:r>
      <w:bookmarkEnd w:id="29"/>
    </w:p>
    <w:p w14:paraId="1FC5D80F" w14:textId="77777777" w:rsidR="00F243C2" w:rsidRPr="00F243C2" w:rsidRDefault="002D1390" w:rsidP="009C7F6F">
      <w:r>
        <w:t xml:space="preserve">Parametrii grantului </w:t>
      </w:r>
      <w:r>
        <w:rPr>
          <w:i/>
        </w:rPr>
        <w:t>(cuantumul maxim al grantului, rata de finanțare, costurile eligibile totale etc.)</w:t>
      </w:r>
      <w:r>
        <w:t xml:space="preserve"> vor fi stabiliți în Acordul de grant </w:t>
      </w:r>
      <w:r>
        <w:rPr>
          <w:i/>
        </w:rPr>
        <w:t>(Fișa de date, punctul 3 și articolul 5)</w:t>
      </w:r>
      <w:r>
        <w:t>.</w:t>
      </w:r>
    </w:p>
    <w:p w14:paraId="6D2C45B2" w14:textId="73D0FA7A" w:rsidR="00273AA8" w:rsidRDefault="00CB07A3" w:rsidP="009C7F6F">
      <w:r>
        <w:lastRenderedPageBreak/>
        <w:t xml:space="preserve">Bugetul proiectului (cuantumul maxim al grantului): </w:t>
      </w:r>
    </w:p>
    <w:p w14:paraId="7C5032A3" w14:textId="3D2CC9FE" w:rsidR="00273AA8" w:rsidRPr="00C83A32" w:rsidRDefault="00273AA8" w:rsidP="00273AA8">
      <w:r>
        <w:rPr>
          <w:b/>
          <w:bCs/>
          <w:color w:val="A50021"/>
        </w:rPr>
        <w:t>CERV-2022-CITIZENS-TOWN-TT – Înfrățirea orașelor</w:t>
      </w:r>
      <w:r>
        <w:t>: 30</w:t>
      </w:r>
      <w:r w:rsidR="00407134">
        <w:t xml:space="preserve"> </w:t>
      </w:r>
      <w:r>
        <w:t>000</w:t>
      </w:r>
      <w:r w:rsidR="00407134">
        <w:t xml:space="preserve"> </w:t>
      </w:r>
      <w:r>
        <w:t>EUR pentru fiecare proiect.</w:t>
      </w:r>
    </w:p>
    <w:p w14:paraId="2BB38450" w14:textId="044F40F5" w:rsidR="00273AA8" w:rsidRPr="00C83A32" w:rsidRDefault="00E81CEB" w:rsidP="00273AA8">
      <w:pPr>
        <w:rPr>
          <w:b/>
          <w:color w:val="A50021"/>
        </w:rPr>
      </w:pPr>
      <w:r>
        <w:rPr>
          <w:b/>
          <w:bCs/>
          <w:color w:val="A50021"/>
        </w:rPr>
        <w:t>CERV-2022-CITIZENS-TOWN-NT – Rețele de orașe</w:t>
      </w:r>
      <w:r>
        <w:t xml:space="preserve">: Fără limită. </w:t>
      </w:r>
    </w:p>
    <w:p w14:paraId="03FE8574" w14:textId="5AC33A9A" w:rsidR="009C7F6F" w:rsidRDefault="009C7F6F" w:rsidP="009C7F6F">
      <w:r>
        <w:t>Grantul atribuit poate fi mai mic decât suma solicitată.</w:t>
      </w:r>
      <w:r>
        <w:rPr>
          <w:highlight w:val="yellow"/>
        </w:rPr>
        <w:t xml:space="preserve"> </w:t>
      </w:r>
    </w:p>
    <w:p w14:paraId="032903FC" w14:textId="762E8A78" w:rsidR="009C7F6F" w:rsidRDefault="002D1390" w:rsidP="00EF5018">
      <w:r>
        <w:t>Grantul va consta într-o sumă forfetară. Prin urmare, se va rambursa o sumă fixă, calculată pe baza unei sume forfetare sau a unei finanțări care nu este legată de costuri. Suma va fi stabilită de autoritatea care acordă grantul pe baza sumelor variabile pe care le-a stabilit în prealabil și a estimărilor indicate de beneficiari în bugetul lor de proiect.</w:t>
      </w:r>
    </w:p>
    <w:p w14:paraId="23ACF302" w14:textId="77777777" w:rsidR="00C35FDF" w:rsidRPr="0019779F" w:rsidRDefault="002D1390" w:rsidP="00510B7E">
      <w:pPr>
        <w:pStyle w:val="Heading3"/>
      </w:pPr>
      <w:bookmarkStart w:id="30" w:name="_Toc92975200"/>
      <w:r>
        <w:t>Categorii bugetare și reguli privind eligibilitatea costurilor</w:t>
      </w:r>
      <w:bookmarkEnd w:id="30"/>
    </w:p>
    <w:p w14:paraId="0D9CC84A" w14:textId="33242D5E" w:rsidR="00965369" w:rsidRDefault="00965369" w:rsidP="00C35FDF">
      <w:pPr>
        <w:rPr>
          <w:szCs w:val="21"/>
        </w:rPr>
      </w:pPr>
      <w:r>
        <w:t xml:space="preserve">Categoriile bugetare și regulile privind eligibilitatea costurilor sunt stabilite în Acordul de grant </w:t>
      </w:r>
      <w:r>
        <w:rPr>
          <w:i/>
          <w:szCs w:val="21"/>
        </w:rPr>
        <w:t xml:space="preserve">(Fișa de date, punctul 3, articolul 6 și </w:t>
      </w:r>
      <w:r w:rsidR="00A71DEC">
        <w:rPr>
          <w:i/>
          <w:szCs w:val="21"/>
        </w:rPr>
        <w:t>A</w:t>
      </w:r>
      <w:r>
        <w:rPr>
          <w:i/>
          <w:szCs w:val="21"/>
        </w:rPr>
        <w:t>nexa 2)</w:t>
      </w:r>
      <w:r>
        <w:t>.</w:t>
      </w:r>
    </w:p>
    <w:p w14:paraId="09C2A6BD" w14:textId="77777777" w:rsidR="00E85C9D" w:rsidRDefault="00E85C9D" w:rsidP="00E85C9D">
      <w:pPr>
        <w:spacing w:after="120"/>
        <w:rPr>
          <w:i/>
        </w:rPr>
      </w:pPr>
      <w:r>
        <w:rPr>
          <w:i/>
        </w:rPr>
        <w:t>Categorii bugetare pentru prezenta cerere de propuneri:</w:t>
      </w:r>
    </w:p>
    <w:p w14:paraId="5AA85092" w14:textId="5699AD8F" w:rsidR="00273AA8" w:rsidRPr="00273AA8" w:rsidRDefault="00E85C9D" w:rsidP="00273AA8">
      <w:pPr>
        <w:widowControl w:val="0"/>
        <w:numPr>
          <w:ilvl w:val="0"/>
          <w:numId w:val="31"/>
        </w:numPr>
        <w:ind w:left="709" w:hanging="357"/>
        <w:jc w:val="left"/>
        <w:rPr>
          <w:b/>
        </w:rPr>
      </w:pPr>
      <w:r>
        <w:rPr>
          <w:b/>
        </w:rPr>
        <w:t>Contribuții forfetare</w:t>
      </w:r>
      <w:r w:rsidR="00D77F61" w:rsidRPr="00273AA8">
        <w:rPr>
          <w:rStyle w:val="FootnoteReference"/>
          <w:b/>
        </w:rPr>
        <w:footnoteReference w:id="22"/>
      </w:r>
    </w:p>
    <w:p w14:paraId="1DFE5A16" w14:textId="4F08AA43" w:rsidR="00273AA8" w:rsidRPr="00C83A32" w:rsidRDefault="00273AA8" w:rsidP="00273AA8">
      <w:pPr>
        <w:spacing w:after="120"/>
        <w:rPr>
          <w:b/>
          <w:bCs/>
          <w:color w:val="A50021"/>
        </w:rPr>
      </w:pPr>
      <w:r>
        <w:rPr>
          <w:b/>
          <w:bCs/>
          <w:color w:val="A50021"/>
        </w:rPr>
        <w:t>CERV-2022-CITIZENS-TOWN-TT – Înfrățirea orașelor</w:t>
      </w:r>
    </w:p>
    <w:p w14:paraId="41D2CC4B" w14:textId="306D1EAA" w:rsidR="00273AA8" w:rsidRDefault="00273AA8" w:rsidP="00273AA8">
      <w:pPr>
        <w:spacing w:after="120"/>
        <w:rPr>
          <w:rFonts w:eastAsia="Verdana" w:cs="Verdana"/>
          <w:iCs/>
        </w:rPr>
      </w:pPr>
      <w:r>
        <w:t>Calculul sumei forfetare se bazează pe un singur parametru: numărul participanților internaționali (sau „invitați”) (numărul de participanți care călătoresc din țări eligibile ale proiectului, altele decât țara care găzduiește evenimentul de înfrățire a orașelor).</w:t>
      </w:r>
    </w:p>
    <w:p w14:paraId="0241D98C" w14:textId="77777777" w:rsidR="00273AA8" w:rsidRPr="00170A7A" w:rsidRDefault="00273AA8" w:rsidP="00273AA8">
      <w:pPr>
        <w:spacing w:after="120"/>
      </w:pPr>
      <w:r>
        <w:t xml:space="preserve">Un eveniment corespunde unui singur pachet de lucru din formularul cererii de finanțare.  </w:t>
      </w:r>
    </w:p>
    <w:p w14:paraId="653E3972" w14:textId="01D2E985" w:rsidR="00273AA8" w:rsidRPr="00273AA8" w:rsidRDefault="00273AA8" w:rsidP="00273AA8">
      <w:pPr>
        <w:widowControl w:val="0"/>
        <w:jc w:val="left"/>
      </w:pPr>
      <w:r>
        <w:t xml:space="preserve">1 pachet de lucru = 1 eveniment = una sau mai multe activități </w:t>
      </w:r>
      <w:r>
        <w:rPr>
          <w:rFonts w:ascii="Segoe UI" w:hAnsi="Segoe UI"/>
        </w:rPr>
        <w:t xml:space="preserve"> </w:t>
      </w:r>
    </w:p>
    <w:p w14:paraId="4EF42BF7" w14:textId="56AB1036" w:rsidR="00273AA8" w:rsidRDefault="00273AA8" w:rsidP="00273AA8">
      <w:pPr>
        <w:spacing w:after="120"/>
        <w:rPr>
          <w:rFonts w:eastAsia="Verdana" w:cs="Verdana"/>
          <w:iCs/>
        </w:rPr>
      </w:pPr>
      <w:r>
        <w:rPr>
          <w:b/>
          <w:bCs/>
          <w:color w:val="A50021"/>
        </w:rPr>
        <w:t>CERV-2022-CITIZENS-TOWN-NT – Rețele de orașe</w:t>
      </w:r>
    </w:p>
    <w:p w14:paraId="084790F4" w14:textId="77777777" w:rsidR="00273AA8" w:rsidRPr="00170A7A" w:rsidRDefault="00273AA8" w:rsidP="00273AA8">
      <w:pPr>
        <w:spacing w:after="120"/>
      </w:pPr>
      <w:r>
        <w:t>Calculul sumei forfetare se bazează pe doi parametri: numărul participanților direcți și numărul țărilor eligibile pentru fiecare eveniment (in situ sau online).</w:t>
      </w:r>
    </w:p>
    <w:p w14:paraId="3C909B89" w14:textId="77777777" w:rsidR="00273AA8" w:rsidRPr="00170A7A" w:rsidRDefault="00273AA8" w:rsidP="00273AA8">
      <w:pPr>
        <w:spacing w:after="120"/>
      </w:pPr>
      <w:r>
        <w:t xml:space="preserve">Un eveniment are loc într-un interval de timp definit și poate include diferite tipuri de activități (conferințe, ateliere, instructaje, seminare, dezbateri, webinare, expoziții, proiecții/realizări de filme, campanii, publicații, sondaje, cercetări, acțiuni de tip flashmob etc.). </w:t>
      </w:r>
    </w:p>
    <w:p w14:paraId="12ABA7C5" w14:textId="77777777" w:rsidR="00273AA8" w:rsidRPr="00170A7A" w:rsidRDefault="00273AA8" w:rsidP="00273AA8">
      <w:pPr>
        <w:spacing w:after="120"/>
      </w:pPr>
      <w:r>
        <w:t xml:space="preserve">Un eveniment corespunde unui singur pachet de lucru din formularul cererii de finanțare.  </w:t>
      </w:r>
    </w:p>
    <w:p w14:paraId="757C1A00" w14:textId="5E4FF19A" w:rsidR="00273AA8" w:rsidRPr="008814FB" w:rsidRDefault="00273AA8" w:rsidP="00273AA8">
      <w:pPr>
        <w:widowControl w:val="0"/>
        <w:jc w:val="left"/>
      </w:pPr>
      <w:r>
        <w:t xml:space="preserve">1 pachet de lucru = 1 eveniment = una sau mai multe activități </w:t>
      </w:r>
      <w:r>
        <w:rPr>
          <w:rFonts w:ascii="Segoe UI" w:hAnsi="Segoe UI"/>
        </w:rPr>
        <w:t xml:space="preserve"> </w:t>
      </w:r>
    </w:p>
    <w:p w14:paraId="14EC2EA5" w14:textId="14E12378" w:rsidR="00741682" w:rsidRPr="0019779F" w:rsidRDefault="00F243C2" w:rsidP="00510B7E">
      <w:pPr>
        <w:pStyle w:val="Heading3"/>
      </w:pPr>
      <w:bookmarkStart w:id="31" w:name="_Toc92975201"/>
      <w:r>
        <w:t>Regimul de raportări și de plăți</w:t>
      </w:r>
      <w:bookmarkEnd w:id="31"/>
      <w:r>
        <w:t xml:space="preserve"> </w:t>
      </w:r>
    </w:p>
    <w:p w14:paraId="43C62C09" w14:textId="0BF1CA1B" w:rsidR="00F243C2" w:rsidRDefault="00F243C2" w:rsidP="00741682">
      <w:pPr>
        <w:pStyle w:val="Text2"/>
        <w:ind w:left="0"/>
        <w:rPr>
          <w:rFonts w:cs="Arial"/>
        </w:rPr>
      </w:pPr>
      <w:r>
        <w:t xml:space="preserve">Regimul de raportări și de plăți este stabilit în acordul de grant </w:t>
      </w:r>
      <w:r>
        <w:rPr>
          <w:i/>
        </w:rPr>
        <w:t>(Fișa de date, punctul 4 și articolele 21 și 22)</w:t>
      </w:r>
      <w:r>
        <w:t>.</w:t>
      </w:r>
    </w:p>
    <w:p w14:paraId="03D37E60" w14:textId="6DF5E4B5" w:rsidR="00273AA8" w:rsidRPr="00C83A32" w:rsidRDefault="00273AA8" w:rsidP="00273AA8">
      <w:pPr>
        <w:spacing w:after="120"/>
        <w:rPr>
          <w:b/>
          <w:bCs/>
          <w:color w:val="A50021"/>
        </w:rPr>
      </w:pPr>
      <w:r>
        <w:rPr>
          <w:b/>
          <w:bCs/>
          <w:color w:val="A50021"/>
        </w:rPr>
        <w:t>CERV-2022-CITIZENS-TOWN-TT – Înfrățirea orașelor</w:t>
      </w:r>
    </w:p>
    <w:p w14:paraId="63A3CB57" w14:textId="77777777" w:rsidR="00273AA8" w:rsidRPr="00C83A32" w:rsidRDefault="00273AA8" w:rsidP="00273AA8">
      <w:pPr>
        <w:pStyle w:val="Text2"/>
        <w:ind w:left="0"/>
      </w:pPr>
      <w:r>
        <w:t>După semnarea grantului, nu veți primi o prefinanțare.</w:t>
      </w:r>
    </w:p>
    <w:p w14:paraId="1DBCB7BA" w14:textId="77777777" w:rsidR="00273AA8" w:rsidRPr="00C83A32" w:rsidRDefault="00273AA8" w:rsidP="00273AA8">
      <w:r>
        <w:t xml:space="preserve">Restul de plată: La finalul proiectului, vom calcula cuantumul final al grantului. Dacă totalul plăților anterioare este mai mare decât cuantumul final al grantului, vă vom </w:t>
      </w:r>
      <w:r>
        <w:lastRenderedPageBreak/>
        <w:t>solicita (vom solicita coordonatorului) să rambursați (să ramburseze) diferența (recuperare).</w:t>
      </w:r>
    </w:p>
    <w:p w14:paraId="6BE11C5B" w14:textId="5E8F163B" w:rsidR="00273AA8" w:rsidRPr="00C83A32" w:rsidRDefault="00273AA8" w:rsidP="00273AA8">
      <w:pPr>
        <w:spacing w:after="120"/>
        <w:rPr>
          <w:b/>
          <w:bCs/>
          <w:color w:val="A50021"/>
        </w:rPr>
      </w:pPr>
      <w:r>
        <w:rPr>
          <w:b/>
          <w:bCs/>
          <w:color w:val="A50021"/>
        </w:rPr>
        <w:t xml:space="preserve">CERV-2022-CITIZENS-TOWN-NT – Rețele de orașe </w:t>
      </w:r>
    </w:p>
    <w:p w14:paraId="55E312F9" w14:textId="696F180F" w:rsidR="00273AA8" w:rsidRDefault="00273AA8" w:rsidP="00273AA8">
      <w:pPr>
        <w:widowControl w:val="0"/>
        <w:rPr>
          <w:rFonts w:cs="Arial"/>
        </w:rPr>
      </w:pPr>
      <w:r>
        <w:t xml:space="preserve">În mod normal, după semnarea grantului veți primi o </w:t>
      </w:r>
      <w:r>
        <w:rPr>
          <w:b/>
        </w:rPr>
        <w:t>prefinanțare</w:t>
      </w:r>
      <w:r>
        <w:t xml:space="preserve"> pentru a începe să lucrați la proiect (de obicei un fond de rulment de </w:t>
      </w:r>
      <w:r>
        <w:rPr>
          <w:b/>
        </w:rPr>
        <w:t>60 %</w:t>
      </w:r>
      <w:r>
        <w:t xml:space="preserve"> din valoarea maximă a grantului; în mod excepțional, o prefinanțare mai mică sau deloc). Prefinanțarea va fi plătită la 30 de zile de la intrarea în vigoare/plata garanției financiare (dacă se solicită) – se va lua în calcul data mai cea mai recentă dintre cele două.</w:t>
      </w:r>
    </w:p>
    <w:p w14:paraId="6177614D" w14:textId="40FBA4EA" w:rsidR="00741682" w:rsidRDefault="00AE5C30" w:rsidP="00741682">
      <w:pPr>
        <w:pStyle w:val="Text2"/>
        <w:ind w:left="0"/>
        <w:rPr>
          <w:rFonts w:cs="Arial"/>
        </w:rPr>
      </w:pPr>
      <w:r>
        <w:rPr>
          <w:b/>
        </w:rPr>
        <w:t>Restul de plată</w:t>
      </w:r>
      <w:r>
        <w:t>: La finalul proiectului, vom calcula cuantumul final al grantului. Dacă totalul plăților anterioare este mai mare decât cuantumul final al grantului, vă vom solicita (vom solicita coordonatorului) să rambursați (să ramburseze) diferența (recuperare).</w:t>
      </w:r>
    </w:p>
    <w:p w14:paraId="3BDCBF75" w14:textId="77777777" w:rsidR="00B21F85" w:rsidRDefault="00B21F85" w:rsidP="00741682">
      <w:pPr>
        <w:pStyle w:val="Text2"/>
        <w:ind w:left="0"/>
      </w:pPr>
      <w:r>
        <w:t>Toate plățile vor fi efectuate către coordonator.</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Rețineți că plățile vor fi reduse în mod automat dacă unul dintre membrii consorțiului dvs. are datorii restante față de UE (autoritatea care acordă grantul sau alte organisme ale UE). Noi vom compensa aceste datorii – în conformitate cu condițiile stabilite în Acordul de grant </w:t>
      </w:r>
      <w:r>
        <w:rPr>
          <w:i/>
        </w:rPr>
        <w:t>(vezi articolul 22)</w:t>
      </w:r>
      <w:r>
        <w:t>.</w:t>
      </w:r>
    </w:p>
    <w:p w14:paraId="1EA9C858" w14:textId="1424599E" w:rsidR="000C6DE8" w:rsidRPr="00B57534" w:rsidRDefault="000C6DE8" w:rsidP="00A82A58">
      <w:pPr>
        <w:pStyle w:val="Text2"/>
        <w:ind w:left="0"/>
        <w:rPr>
          <w:rFonts w:cs="Arial"/>
        </w:rPr>
      </w:pPr>
      <w:r>
        <w:t xml:space="preserve">Vă rugăm să rețineți și că aveți obligația de a păstra evidențe pentru întreaga activitate desfășurată. </w:t>
      </w:r>
    </w:p>
    <w:p w14:paraId="6F7B0297" w14:textId="77777777" w:rsidR="00C038C5" w:rsidRPr="0019779F" w:rsidRDefault="00C038C5" w:rsidP="00C038C5">
      <w:pPr>
        <w:pStyle w:val="Heading3"/>
      </w:pPr>
      <w:bookmarkStart w:id="32" w:name="_Toc92975202"/>
      <w:r>
        <w:t>Garanții pentru prefinanțare</w:t>
      </w:r>
      <w:bookmarkEnd w:id="32"/>
      <w:r>
        <w:t xml:space="preserve"> </w:t>
      </w:r>
    </w:p>
    <w:p w14:paraId="5D1F5E81" w14:textId="77777777" w:rsidR="00C038C5" w:rsidRDefault="00C038C5" w:rsidP="00C038C5">
      <w:pPr>
        <w:pStyle w:val="Text2"/>
        <w:ind w:left="0"/>
      </w:pPr>
      <w:r>
        <w:t xml:space="preserve">Dacă este necesară o garanție pentru prefinanțare, aceasta va fi stabilită în Acordul de grant </w:t>
      </w:r>
      <w:r>
        <w:rPr>
          <w:i/>
        </w:rPr>
        <w:t>(Fișa de date, punctul 4)</w:t>
      </w:r>
      <w:r>
        <w:t>. Cuantumul său va fi stabilit în cursul pregătirii grantului și în mod normal va fi mai mic sau egal cu prefinanțarea pentru grant.</w:t>
      </w:r>
    </w:p>
    <w:p w14:paraId="17795A40" w14:textId="77777777" w:rsidR="00C038C5" w:rsidRDefault="00C038C5" w:rsidP="00C038C5">
      <w:pPr>
        <w:pStyle w:val="Text2"/>
        <w:ind w:left="0"/>
      </w:pPr>
      <w:r>
        <w:t>Garanția trebuie să fie în moneda EUR și să fie emisă de o bancă/instituție financiară autorizată stabilită într-un stat membru al UE. Dacă aveți sediul într-o țară din afara UE și doriți să depuneți această garanție la o bancă/instituție financiară din țara dumneavoastră, vă rugăm să ne contactați (acest lucru poate fi acceptat în mod excepțional, dacă se oferă o garanție echivalentă).</w:t>
      </w:r>
    </w:p>
    <w:p w14:paraId="2588057F" w14:textId="77777777" w:rsidR="00C038C5" w:rsidRPr="00C75E22" w:rsidRDefault="00C038C5" w:rsidP="00C038C5">
      <w:pPr>
        <w:pStyle w:val="Text2"/>
        <w:ind w:left="0"/>
      </w:pPr>
      <w:r>
        <w:t>Sumele blocate în conturi bancare NU vor fi acceptate drept garanții financiare.</w:t>
      </w:r>
    </w:p>
    <w:p w14:paraId="6E478E1C" w14:textId="77777777" w:rsidR="00C038C5" w:rsidRPr="001F0FF9" w:rsidRDefault="00C038C5" w:rsidP="00C038C5">
      <w:pPr>
        <w:pStyle w:val="Text2"/>
        <w:ind w:left="0"/>
      </w:pPr>
      <w:r>
        <w:t xml:space="preserve">Garanțiile pentru prefinanțare NU sunt în mod oficial legate de membrii individuali ai consorțiului, ceea ce înseamnă că aveți libertatea de a organiza modalitatea de depunere a acestei garanții </w:t>
      </w:r>
      <w:r>
        <w:rPr>
          <w:i/>
        </w:rPr>
        <w:t>(de către unul sau mai mulți beneficiari, pentru suma totală sau mai multe garanții pentru sume parțiale, de către beneficiarul respectiv sau de către alt beneficiar etc.)</w:t>
      </w:r>
      <w:r>
        <w:t>. Este important însă ca garanția (garanțiile) să acopere suma solicitată și să ne fie trimisă (trimise) în timp util pentru efectuarea prefinanțării (copie scanată prin intermediul portalului ȘI original prin poștă).</w:t>
      </w:r>
    </w:p>
    <w:p w14:paraId="5675231B" w14:textId="77777777" w:rsidR="00C038C5" w:rsidRPr="00B57534" w:rsidRDefault="00C038C5" w:rsidP="00C038C5">
      <w:pPr>
        <w:pStyle w:val="Text2"/>
        <w:ind w:left="0"/>
      </w:pPr>
      <w:r>
        <w:t>Dacă primiți acordul nostru în acest sens, garanția bancară poate fi înlocuită cu o garanție din partea unui terț.</w:t>
      </w:r>
    </w:p>
    <w:p w14:paraId="66D0A676" w14:textId="77777777" w:rsidR="00C038C5" w:rsidRPr="00B57534" w:rsidRDefault="00C038C5" w:rsidP="00C038C5">
      <w:pPr>
        <w:pStyle w:val="Text2"/>
        <w:ind w:left="0"/>
      </w:pPr>
      <w:r>
        <w:t>Garanția va fi eliberată la sfârșitul grantului, în conformitate cu condițiile stabilite în Acordul de grant.</w:t>
      </w:r>
    </w:p>
    <w:p w14:paraId="6D8EED08" w14:textId="77777777" w:rsidR="00EE2BCF" w:rsidRPr="00EE2BCF" w:rsidRDefault="00EE2BCF" w:rsidP="00510B7E">
      <w:pPr>
        <w:pStyle w:val="Heading3"/>
      </w:pPr>
      <w:bookmarkStart w:id="33" w:name="_Toc92975203"/>
      <w:r>
        <w:t>Adeverințe</w:t>
      </w:r>
      <w:bookmarkEnd w:id="33"/>
    </w:p>
    <w:p w14:paraId="1F2848E4" w14:textId="48031B10" w:rsidR="005224A7" w:rsidRPr="005224A7" w:rsidRDefault="005224A7" w:rsidP="00D16BC1">
      <w:pPr>
        <w:spacing w:after="120"/>
        <w:rPr>
          <w:highlight w:val="yellow"/>
        </w:rPr>
      </w:pPr>
      <w:r>
        <w:t xml:space="preserve">În funcție de tipul acțiunii, de mărimea cuantumului grantului și de tipul de beneficiari, este posibil să vi se solicite să depuneți diferite adeverințe. Tipurile, calendarele și pragurile pentru fiecare adeverință sunt stabilite în acordul de grant </w:t>
      </w:r>
      <w:r>
        <w:rPr>
          <w:i/>
        </w:rPr>
        <w:t>(Fișa de date, punctul 4 și articolul 24)</w:t>
      </w:r>
      <w:r>
        <w:t>.</w:t>
      </w:r>
    </w:p>
    <w:p w14:paraId="67810567" w14:textId="77777777" w:rsidR="007C1E0D" w:rsidRPr="0019779F" w:rsidRDefault="007C1E0D" w:rsidP="00510B7E">
      <w:pPr>
        <w:pStyle w:val="Heading3"/>
      </w:pPr>
      <w:bookmarkStart w:id="34" w:name="_Toc92975204"/>
      <w:r>
        <w:lastRenderedPageBreak/>
        <w:t>Regim de răspundere pentru recuperări</w:t>
      </w:r>
      <w:bookmarkEnd w:id="34"/>
    </w:p>
    <w:p w14:paraId="5BB9318F" w14:textId="77777777" w:rsidR="002D1390" w:rsidRPr="00C75E22" w:rsidRDefault="007C1E0D" w:rsidP="0015357F">
      <w:pPr>
        <w:widowControl w:val="0"/>
        <w:spacing w:after="120"/>
        <w:rPr>
          <w:i/>
        </w:rPr>
      </w:pPr>
      <w:r>
        <w:t xml:space="preserve">Regimul de răspundere pentru recuperări va fi stabilit în acordul de grant </w:t>
      </w:r>
      <w:r>
        <w:rPr>
          <w:i/>
        </w:rPr>
        <w:t>(Fișa de date, punctul 4.4 și articolul 22)</w:t>
      </w:r>
      <w:r>
        <w:t>.</w:t>
      </w:r>
    </w:p>
    <w:p w14:paraId="6AAF1F6D" w14:textId="78BE0A71" w:rsidR="007C1E0D" w:rsidRPr="00C75E22" w:rsidRDefault="00196064" w:rsidP="0015357F">
      <w:pPr>
        <w:widowControl w:val="0"/>
        <w:spacing w:after="120"/>
      </w:pPr>
      <w:r>
        <w:t>Pentru beneficiari, este unul dintre următoarele:</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răspundere în solidar limitată cu praguri individuale — </w:t>
      </w:r>
      <w:r>
        <w:rPr>
          <w:i/>
        </w:rPr>
        <w:t>fiecare beneficiar până la valoarea maximă a grantului</w:t>
      </w:r>
    </w:p>
    <w:p w14:paraId="22A8F057" w14:textId="77777777" w:rsidR="007C1E0D" w:rsidRPr="00C75E22" w:rsidRDefault="007C1E0D" w:rsidP="00584316">
      <w:pPr>
        <w:widowControl w:val="0"/>
        <w:numPr>
          <w:ilvl w:val="0"/>
          <w:numId w:val="31"/>
        </w:numPr>
        <w:spacing w:after="120"/>
        <w:ind w:left="709"/>
        <w:jc w:val="left"/>
        <w:rPr>
          <w:bCs/>
        </w:rPr>
      </w:pPr>
      <w:r>
        <w:t xml:space="preserve">răspundere în solidar necondiționată — </w:t>
      </w:r>
      <w:r>
        <w:rPr>
          <w:i/>
          <w:szCs w:val="18"/>
        </w:rPr>
        <w:t>fiecare beneficiar până la valoarea maximă a grantului pentru acțiune</w:t>
      </w:r>
      <w:r>
        <w:t xml:space="preserve"> </w:t>
      </w:r>
    </w:p>
    <w:p w14:paraId="46190429" w14:textId="77777777" w:rsidR="00E85905" w:rsidRPr="00C75E22" w:rsidRDefault="00E85905" w:rsidP="00E85905">
      <w:pPr>
        <w:widowControl w:val="0"/>
        <w:spacing w:after="120"/>
        <w:ind w:left="435"/>
        <w:rPr>
          <w:bCs/>
        </w:rPr>
      </w:pPr>
      <w:r>
        <w:t>sau</w:t>
      </w:r>
    </w:p>
    <w:p w14:paraId="48C16878" w14:textId="2DA3851E" w:rsidR="007C1E0D" w:rsidRPr="00C75E22" w:rsidRDefault="007C1E0D" w:rsidP="00584316">
      <w:pPr>
        <w:widowControl w:val="0"/>
        <w:numPr>
          <w:ilvl w:val="0"/>
          <w:numId w:val="31"/>
        </w:numPr>
        <w:spacing w:after="120"/>
        <w:ind w:left="709"/>
        <w:jc w:val="left"/>
        <w:rPr>
          <w:bCs/>
        </w:rPr>
      </w:pPr>
      <w:r>
        <w:t xml:space="preserve">responsabilitate financiară individuală – </w:t>
      </w:r>
      <w:r>
        <w:rPr>
          <w:i/>
          <w:szCs w:val="18"/>
        </w:rPr>
        <w:t>fiecare beneficiar, numai pentru propriile sale datorii</w:t>
      </w:r>
      <w:r>
        <w:t xml:space="preserve">. </w:t>
      </w:r>
    </w:p>
    <w:p w14:paraId="3ED199B0" w14:textId="77777777" w:rsidR="00196064" w:rsidRDefault="00196064" w:rsidP="00196064">
      <w:pPr>
        <w:widowControl w:val="0"/>
        <w:rPr>
          <w:bCs/>
        </w:rPr>
      </w:pPr>
      <w:r>
        <w:t>În plus, autoritatea care acordă grantul poate impune răspunderea solidară a entităților afiliate (cu beneficiarii lor).</w:t>
      </w:r>
    </w:p>
    <w:p w14:paraId="0A01C377" w14:textId="77777777" w:rsidR="002D1390" w:rsidRPr="0019779F" w:rsidRDefault="002D1390" w:rsidP="00510B7E">
      <w:pPr>
        <w:pStyle w:val="Heading3"/>
      </w:pPr>
      <w:bookmarkStart w:id="35" w:name="_Toc92975205"/>
      <w:r>
        <w:t>Dispoziții privind derularea proiectului</w:t>
      </w:r>
      <w:bookmarkEnd w:id="35"/>
    </w:p>
    <w:p w14:paraId="41C36EDF" w14:textId="51FC3793" w:rsidR="00C36932" w:rsidRDefault="00C36932" w:rsidP="00C36932">
      <w:pPr>
        <w:widowControl w:val="0"/>
        <w:rPr>
          <w:bCs/>
          <w:i/>
        </w:rPr>
      </w:pPr>
      <w:r>
        <w:t xml:space="preserve">Reguli DPI: </w:t>
      </w:r>
      <w:r>
        <w:rPr>
          <w:bCs/>
          <w:i/>
        </w:rPr>
        <w:t xml:space="preserve">vezi modelul de acord de grant (articolul 16 și </w:t>
      </w:r>
      <w:r w:rsidR="000E64DC">
        <w:rPr>
          <w:bCs/>
          <w:i/>
        </w:rPr>
        <w:t>A</w:t>
      </w:r>
      <w:r>
        <w:rPr>
          <w:bCs/>
          <w:i/>
        </w:rPr>
        <w:t>nexa 5):</w:t>
      </w:r>
    </w:p>
    <w:p w14:paraId="255EA0A4" w14:textId="769E98BA" w:rsidR="00C36932" w:rsidRPr="00310A7B" w:rsidRDefault="00C36932" w:rsidP="008C3D9D">
      <w:pPr>
        <w:widowControl w:val="0"/>
        <w:numPr>
          <w:ilvl w:val="0"/>
          <w:numId w:val="31"/>
        </w:numPr>
        <w:ind w:left="709"/>
        <w:jc w:val="left"/>
        <w:rPr>
          <w:bCs/>
        </w:rPr>
      </w:pPr>
      <w:r>
        <w:t>drepturi de utilizare a rezultatelor: Da</w:t>
      </w:r>
    </w:p>
    <w:p w14:paraId="1203D3C9" w14:textId="0430B0DD" w:rsidR="00C36932" w:rsidRPr="00310A7B" w:rsidRDefault="00C36932" w:rsidP="008C3D9D">
      <w:pPr>
        <w:widowControl w:val="0"/>
        <w:rPr>
          <w:bCs/>
          <w:i/>
        </w:rPr>
      </w:pPr>
      <w:r>
        <w:t xml:space="preserve">Comunicarea, diseminarea și vizibilitatea finanțării: </w:t>
      </w:r>
      <w:r>
        <w:rPr>
          <w:bCs/>
          <w:i/>
        </w:rPr>
        <w:t xml:space="preserve">vezi modelul de acord de grant (articolul 17 și </w:t>
      </w:r>
      <w:r w:rsidR="002619D4">
        <w:rPr>
          <w:bCs/>
          <w:i/>
        </w:rPr>
        <w:t>A</w:t>
      </w:r>
      <w:r>
        <w:rPr>
          <w:bCs/>
          <w:i/>
        </w:rPr>
        <w:t>nexa 5):</w:t>
      </w:r>
    </w:p>
    <w:p w14:paraId="3B53DB48" w14:textId="081061C3" w:rsidR="006C2D98" w:rsidRPr="00310A7B" w:rsidRDefault="006C2D98" w:rsidP="008C3D9D">
      <w:pPr>
        <w:widowControl w:val="0"/>
        <w:numPr>
          <w:ilvl w:val="0"/>
          <w:numId w:val="31"/>
        </w:numPr>
        <w:ind w:left="709" w:hanging="357"/>
        <w:jc w:val="left"/>
        <w:rPr>
          <w:bCs/>
          <w:i/>
        </w:rPr>
      </w:pPr>
      <w:r>
        <w:t xml:space="preserve">activități suplimentare de comunicare și diseminare: Da </w:t>
      </w:r>
    </w:p>
    <w:p w14:paraId="79092A73" w14:textId="77777777" w:rsidR="00E752E3" w:rsidRPr="002D1390" w:rsidRDefault="00E752E3" w:rsidP="00510B7E">
      <w:pPr>
        <w:pStyle w:val="Heading3"/>
      </w:pPr>
      <w:bookmarkStart w:id="36" w:name="_Toc92975206"/>
      <w:r>
        <w:t>Alte aspecte specifice</w:t>
      </w:r>
      <w:bookmarkEnd w:id="36"/>
      <w:r>
        <w:t xml:space="preserve"> </w:t>
      </w:r>
    </w:p>
    <w:p w14:paraId="6FAE6CF8" w14:textId="3320AC1C" w:rsidR="006C2D98" w:rsidRDefault="006C2D98" w:rsidP="006C2D98">
      <w:pPr>
        <w:widowControl w:val="0"/>
        <w:rPr>
          <w:bCs/>
        </w:rPr>
      </w:pPr>
      <w:r>
        <w:t>nu este cazul</w:t>
      </w:r>
    </w:p>
    <w:p w14:paraId="550096E5" w14:textId="77777777" w:rsidR="00E752E3" w:rsidRPr="0019779F" w:rsidRDefault="00E752E3" w:rsidP="00510B7E">
      <w:pPr>
        <w:pStyle w:val="Heading3"/>
      </w:pPr>
      <w:bookmarkStart w:id="37" w:name="_Toc92975207"/>
      <w:r>
        <w:t>Nerespectarea și încălcarea contractului</w:t>
      </w:r>
      <w:bookmarkEnd w:id="37"/>
    </w:p>
    <w:p w14:paraId="12A9A690" w14:textId="77777777" w:rsidR="00E85C9D" w:rsidRPr="00E85C9D" w:rsidRDefault="00E752E3" w:rsidP="00E85C9D">
      <w:pPr>
        <w:widowControl w:val="0"/>
        <w:rPr>
          <w:bCs/>
        </w:rPr>
      </w:pPr>
      <w:r>
        <w:t>Acordul de grant (capitolul 5) prevede măsurile pe care le putem lua în caz de încălcare a contractului (și alte probleme de neconformitate).</w:t>
      </w:r>
    </w:p>
    <w:p w14:paraId="11678DD9" w14:textId="1C3D0D2D" w:rsidR="00E752E3" w:rsidRPr="00E752E3" w:rsidRDefault="005A3754" w:rsidP="00E752E3">
      <w:pPr>
        <w:autoSpaceDE w:val="0"/>
        <w:autoSpaceDN w:val="0"/>
        <w:adjustRightInd w:val="0"/>
        <w:rPr>
          <w:rFonts w:cs="Verdana"/>
        </w:rPr>
      </w:pPr>
      <w:r>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Pentru mai multe informații, </w:t>
      </w:r>
      <w:r>
        <w:rPr>
          <w:i/>
          <w:iCs/>
        </w:rPr>
        <w:t xml:space="preserve">consultați </w:t>
      </w:r>
      <w:hyperlink r:id="rId49">
        <w:r>
          <w:rPr>
            <w:rStyle w:val="Hyperlink"/>
            <w:i/>
            <w:iCs/>
          </w:rPr>
          <w:t>Acordul de grant adnotat – AGA</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92975208"/>
      <w:r>
        <w:t>Depunerea cererii de finanțare</w:t>
      </w:r>
      <w:bookmarkEnd w:id="38"/>
    </w:p>
    <w:p w14:paraId="761BA98F" w14:textId="77777777" w:rsidR="00A82A58" w:rsidRPr="00173BD7" w:rsidRDefault="00A82A58" w:rsidP="00A82A58">
      <w:pPr>
        <w:widowControl w:val="0"/>
      </w:pPr>
      <w:r>
        <w:t xml:space="preserve">Toate propunerile trebuie depuse direct online prin intermediul sistemului de depunere electronică din portalul Finanțare și licitații. NU se acceptă cereri de finanțare depuse pe suport de hârtie. </w:t>
      </w:r>
    </w:p>
    <w:p w14:paraId="1E44B7CE" w14:textId="77777777" w:rsidR="00A82A58" w:rsidRPr="00173BD7" w:rsidRDefault="00A82A58" w:rsidP="00A82A58">
      <w:r>
        <w:t xml:space="preserve">Depunerea este un </w:t>
      </w:r>
      <w:r>
        <w:rPr>
          <w:b/>
        </w:rPr>
        <w:t>proces în două etape</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crearea unui cont de utilizator și înregistrarea organizației</w:t>
      </w:r>
      <w:r>
        <w:rPr>
          <w:sz w:val="20"/>
          <w:szCs w:val="20"/>
        </w:rPr>
        <w:t xml:space="preserve"> </w:t>
      </w:r>
    </w:p>
    <w:p w14:paraId="7C7BE724" w14:textId="77777777" w:rsidR="00A82A58" w:rsidRPr="00173BD7" w:rsidRDefault="00A82A58" w:rsidP="00965369">
      <w:r>
        <w:t xml:space="preserve">Pentru a utiliza sistemul de depunere (singurul mod de a depune o cerere de finanțare), toți participanții trebuie </w:t>
      </w:r>
      <w:hyperlink r:id="rId50" w:history="1">
        <w:r>
          <w:rPr>
            <w:color w:val="0088CC"/>
            <w:u w:val="single"/>
          </w:rPr>
          <w:t>să creeze un cont de utilizator EU Login</w:t>
        </w:r>
      </w:hyperlink>
      <w:r>
        <w:t>.</w:t>
      </w:r>
    </w:p>
    <w:p w14:paraId="385F4D22" w14:textId="77777777" w:rsidR="00A82A58" w:rsidRPr="00173BD7" w:rsidRDefault="00A82A58" w:rsidP="00A82A58">
      <w:r>
        <w:t xml:space="preserve">După ce ați creat un cont EU Login, vă puteți </w:t>
      </w:r>
      <w:hyperlink r:id="rId51" w:history="1">
        <w:r>
          <w:rPr>
            <w:color w:val="0088CC"/>
            <w:u w:val="single"/>
          </w:rPr>
          <w:t>înregistra organizația</w:t>
        </w:r>
      </w:hyperlink>
      <w:r>
        <w:t xml:space="preserve"> în Registrul participanților. După finalizarea înregistrării veți primi un cod de identificare a participantului format din 9 cifre (număr PIC).</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depunerea propunerii</w:t>
      </w:r>
    </w:p>
    <w:p w14:paraId="2D1D3DDF" w14:textId="77777777" w:rsidR="00A82A58" w:rsidRPr="00965369" w:rsidRDefault="00A82A58" w:rsidP="00A82A58">
      <w:pPr>
        <w:tabs>
          <w:tab w:val="left" w:pos="142"/>
        </w:tabs>
      </w:pPr>
      <w:r>
        <w:lastRenderedPageBreak/>
        <w:t xml:space="preserve">Accesați sistemul de depunere electronică prin intermediul paginii Teme din secțiunea </w:t>
      </w:r>
      <w:hyperlink r:id="rId52" w:history="1">
        <w:r>
          <w:rPr>
            <w:rStyle w:val="Hyperlink"/>
          </w:rPr>
          <w:t>Căutare finanțare și licitații</w:t>
        </w:r>
      </w:hyperlink>
      <w:r>
        <w:t xml:space="preserve"> (sau, în cazul cererilor de propuneri notificate prin intermediul unor invitații de depunere de propuneri, prin linkul furnizat în scrisoarea de invitație).</w:t>
      </w:r>
    </w:p>
    <w:p w14:paraId="55DB4E61" w14:textId="04712426" w:rsidR="00A82A58" w:rsidRPr="00173BD7" w:rsidRDefault="00A82A58" w:rsidP="00A82A58">
      <w:r>
        <w:t xml:space="preserve">Depuneți propunerea în patru părți, astfel: </w:t>
      </w:r>
    </w:p>
    <w:p w14:paraId="595ACC2F" w14:textId="28D80272" w:rsidR="00A82A58" w:rsidRPr="00173BD7" w:rsidRDefault="00A850B4" w:rsidP="00A82A58">
      <w:pPr>
        <w:numPr>
          <w:ilvl w:val="0"/>
          <w:numId w:val="20"/>
        </w:numPr>
        <w:tabs>
          <w:tab w:val="num" w:pos="765"/>
        </w:tabs>
        <w:ind w:left="765"/>
      </w:pPr>
      <w:r>
        <w:t>P</w:t>
      </w:r>
      <w:r w:rsidR="00A82A58">
        <w:t>artea A cuprinde informații administrative despre organizațiile solicitante (viitorul coordonator, viitorii beneficiari, viitoarele entități afiliate și viitorii parteneri asociați) și bugetul sintetizat al proiectului. Completați-o direct online</w:t>
      </w:r>
    </w:p>
    <w:p w14:paraId="0B5804F7" w14:textId="106E9844" w:rsidR="00A82A58" w:rsidRPr="00173BD7" w:rsidRDefault="00A850B4" w:rsidP="00A82A58">
      <w:pPr>
        <w:numPr>
          <w:ilvl w:val="0"/>
          <w:numId w:val="20"/>
        </w:numPr>
        <w:tabs>
          <w:tab w:val="num" w:pos="765"/>
        </w:tabs>
        <w:ind w:left="765"/>
      </w:pPr>
      <w:r>
        <w:t>P</w:t>
      </w:r>
      <w:r w:rsidR="00A82A58">
        <w:t>artea B (descrierea acțiunii) cuprinde conținutul tehnic al propunerii. Descărcați modelul obligatoriu în Word din sistemul de depunere, completați-l și încărcați-l sub formă de fișier PDF</w:t>
      </w:r>
    </w:p>
    <w:p w14:paraId="4AC31BB2" w14:textId="465C2790" w:rsidR="00A82A58" w:rsidRPr="00173BD7" w:rsidRDefault="00A850B4" w:rsidP="00A82A58">
      <w:pPr>
        <w:numPr>
          <w:ilvl w:val="0"/>
          <w:numId w:val="20"/>
        </w:numPr>
        <w:tabs>
          <w:tab w:val="num" w:pos="765"/>
        </w:tabs>
        <w:ind w:left="765"/>
      </w:pPr>
      <w:r>
        <w:t>P</w:t>
      </w:r>
      <w:r w:rsidR="00A82A58">
        <w:t>artea C conține date suplimentare despre proiect. Se completează direct online.</w:t>
      </w:r>
    </w:p>
    <w:p w14:paraId="3A0A5CB2" w14:textId="208E32B1" w:rsidR="00A82A58" w:rsidRPr="00173BD7" w:rsidRDefault="00A850B4" w:rsidP="00A82A58">
      <w:pPr>
        <w:numPr>
          <w:ilvl w:val="0"/>
          <w:numId w:val="20"/>
        </w:numPr>
        <w:tabs>
          <w:tab w:val="num" w:pos="765"/>
        </w:tabs>
        <w:ind w:left="765"/>
      </w:pPr>
      <w:r>
        <w:t>A</w:t>
      </w:r>
      <w:r w:rsidR="00A82A58">
        <w:t xml:space="preserve">nexele </w:t>
      </w:r>
      <w:r w:rsidR="00A82A58">
        <w:rPr>
          <w:i/>
        </w:rPr>
        <w:t>(vezi secțiunea 5)</w:t>
      </w:r>
      <w:r w:rsidR="00A82A58">
        <w:t xml:space="preserve">. Încărcați-le sub formă de fișier PDF (unic sau multiplu, în funcție de sloturi). Uneori este posibilă încărcarea sub formă de fișier Excel, în funcție de tipul fișierului. </w:t>
      </w:r>
    </w:p>
    <w:p w14:paraId="3A92FB1F" w14:textId="77777777" w:rsidR="00A82A58" w:rsidRPr="000564AA" w:rsidRDefault="00A82A58" w:rsidP="00A82A58">
      <w:r>
        <w:t xml:space="preserve">Propunerea trebuie să se încadreze în </w:t>
      </w:r>
      <w:r>
        <w:rPr>
          <w:b/>
        </w:rPr>
        <w:t>numărul limită de pagini</w:t>
      </w:r>
      <w:r>
        <w:t xml:space="preserve"> </w:t>
      </w:r>
      <w:r>
        <w:rPr>
          <w:i/>
        </w:rPr>
        <w:t>(vezi secțiunea 5)</w:t>
      </w:r>
      <w:r>
        <w:t xml:space="preserve">; paginile care depășesc această limită nu vor fi luate în considerare. </w:t>
      </w:r>
    </w:p>
    <w:p w14:paraId="20D3A891" w14:textId="3BD2430A" w:rsidR="00774448" w:rsidRPr="000564AA" w:rsidRDefault="00774448" w:rsidP="00A82A58">
      <w:r>
        <w:t xml:space="preserve">Documentele trebuie încărcate în </w:t>
      </w:r>
      <w:r>
        <w:rPr>
          <w:b/>
        </w:rPr>
        <w:t>categoria corectă</w:t>
      </w:r>
      <w:r>
        <w:t xml:space="preserve"> din sistemul de depunere; în caz contrar, propunerea ar putea fi considerată incompletă și, prin urmare, inadmisibilă.</w:t>
      </w:r>
    </w:p>
    <w:p w14:paraId="72F683C9" w14:textId="595C49FB" w:rsidR="00774448" w:rsidRPr="000564AA" w:rsidRDefault="00774448" w:rsidP="00774448">
      <w:r>
        <w:t xml:space="preserve">Propunerile trebuie depuse </w:t>
      </w:r>
      <w:r>
        <w:rPr>
          <w:b/>
        </w:rPr>
        <w:t>înainte de termenul prevăzut în cererea de propuneri</w:t>
      </w:r>
      <w:r>
        <w:t xml:space="preserve"> </w:t>
      </w:r>
      <w:r>
        <w:rPr>
          <w:i/>
        </w:rPr>
        <w:t>(vezi secțiunea</w:t>
      </w:r>
      <w:r w:rsidR="005E2E23">
        <w:rPr>
          <w:i/>
        </w:rPr>
        <w:t xml:space="preserve"> </w:t>
      </w:r>
      <w:r>
        <w:rPr>
          <w:i/>
        </w:rPr>
        <w:t>4)</w:t>
      </w:r>
      <w:r>
        <w:t xml:space="preserve">. După acest termen, sistemul se închide și nu se mai pot depune propuneri. </w:t>
      </w:r>
    </w:p>
    <w:p w14:paraId="762AB04D" w14:textId="77777777" w:rsidR="00774448" w:rsidRPr="000564AA" w:rsidRDefault="00774448" w:rsidP="00774448">
      <w:r>
        <w:t xml:space="preserve">După depunerea propunerii, veți primi un </w:t>
      </w:r>
      <w:r>
        <w:rPr>
          <w:b/>
        </w:rPr>
        <w:t>e-mail de confirmare</w:t>
      </w:r>
      <w:r>
        <w:t xml:space="preserve"> (în care vor fi precizate data și ora la care ați depus cererea de finanțare). Dacă nu primiți acest e-mail de confirmare, înseamnă că propunerea NU a fost depusă. Dacă credeți că acest lucru se datorează unei defecțiuni a sistemului de depunere, ar trebui să depuneți imediat o reclamație prin intermediul </w:t>
      </w:r>
      <w:hyperlink r:id="rId53" w:history="1">
        <w:r>
          <w:rPr>
            <w:color w:val="0088CC"/>
            <w:u w:val="single"/>
          </w:rPr>
          <w:t>formularului web al Biroului de asistență IT</w:t>
        </w:r>
      </w:hyperlink>
      <w:r>
        <w:t>, explicând situația și atașând o copie a propunerii (și, dacă este posibil, capturi de ecran pentru a arăta ce s-a întâmplat).</w:t>
      </w:r>
    </w:p>
    <w:p w14:paraId="5EBA6498" w14:textId="14ED899A" w:rsidR="00774448" w:rsidRDefault="00774448" w:rsidP="00774448">
      <w:r>
        <w:t xml:space="preserve">Mai multe detalii despre procese și proceduri sunt prezentate în </w:t>
      </w:r>
      <w:hyperlink r:id="rId54" w:history="1">
        <w:r>
          <w:rPr>
            <w:rStyle w:val="Hyperlink"/>
          </w:rPr>
          <w:t>Manualul online</w:t>
        </w:r>
      </w:hyperlink>
      <w:r>
        <w:t xml:space="preserve">. Manualul online conține, de asemenea, linkuri către răspunsuri la întrebări frecvente și instrucțiuni detaliate referitoare la </w:t>
      </w:r>
      <w:r w:rsidR="00BB6039">
        <w:t>S</w:t>
      </w:r>
      <w:r>
        <w:t xml:space="preserve">istemul de </w:t>
      </w:r>
      <w:r w:rsidR="00BB6039">
        <w:t>S</w:t>
      </w:r>
      <w:r>
        <w:t xml:space="preserve">chimb </w:t>
      </w:r>
      <w:r w:rsidR="00BB6039">
        <w:t>E</w:t>
      </w:r>
      <w:r>
        <w:t>lectronic de pe portal.</w:t>
      </w:r>
    </w:p>
    <w:p w14:paraId="2FB20757" w14:textId="11484925" w:rsidR="002D1390" w:rsidRPr="00975A34" w:rsidRDefault="002D1390" w:rsidP="000579AF">
      <w:pPr>
        <w:pStyle w:val="Heading1"/>
        <w:numPr>
          <w:ilvl w:val="0"/>
          <w:numId w:val="54"/>
        </w:numPr>
        <w:tabs>
          <w:tab w:val="left" w:pos="426"/>
        </w:tabs>
        <w:ind w:left="0" w:firstLine="0"/>
      </w:pPr>
      <w:bookmarkStart w:id="39" w:name="_Toc92975209"/>
      <w:r>
        <w:t>Ajutor</w:t>
      </w:r>
      <w:bookmarkEnd w:id="39"/>
    </w:p>
    <w:p w14:paraId="5BD07290" w14:textId="77777777" w:rsidR="00B870D7" w:rsidRDefault="00B870D7" w:rsidP="00B870D7">
      <w:pPr>
        <w:spacing w:after="120"/>
        <w:rPr>
          <w:szCs w:val="21"/>
        </w:rPr>
      </w:pPr>
      <w:r>
        <w:t xml:space="preserve">În măsura posibilului, </w:t>
      </w:r>
      <w:r>
        <w:rPr>
          <w:b/>
          <w:i/>
          <w:szCs w:val="21"/>
        </w:rPr>
        <w:t>vă rugăm să găsiți singuri răspunsurile de care aveți nevoie</w:t>
      </w:r>
      <w:r>
        <w:t>, în acest document și în restul documentației (dispunem de resurse limitate pentru gestionarea întrebărilor directe):</w:t>
      </w:r>
    </w:p>
    <w:p w14:paraId="66C7F5F9" w14:textId="77777777" w:rsidR="00B870D7" w:rsidRPr="000F5190" w:rsidRDefault="00184E75" w:rsidP="00584316">
      <w:pPr>
        <w:widowControl w:val="0"/>
        <w:numPr>
          <w:ilvl w:val="0"/>
          <w:numId w:val="31"/>
        </w:numPr>
        <w:spacing w:after="120"/>
        <w:ind w:left="709"/>
        <w:jc w:val="left"/>
        <w:rPr>
          <w:szCs w:val="21"/>
        </w:rPr>
      </w:pPr>
      <w:hyperlink r:id="rId55" w:history="1">
        <w:r w:rsidR="00D9124D">
          <w:rPr>
            <w:rStyle w:val="Hyperlink"/>
          </w:rPr>
          <w:t>Manual online</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Întrebări frecvente pe pagina Teme (pentru întrebări specifice pentru cererea de propuneri în procedurile deschise; nu se aplică pentru acțiunile prin intermediul unor invitații)</w:t>
      </w:r>
    </w:p>
    <w:p w14:paraId="15BC9D11" w14:textId="77777777" w:rsidR="00B870D7" w:rsidRPr="00310A7B" w:rsidRDefault="00184E75" w:rsidP="00584316">
      <w:pPr>
        <w:widowControl w:val="0"/>
        <w:numPr>
          <w:ilvl w:val="0"/>
          <w:numId w:val="31"/>
        </w:numPr>
        <w:ind w:left="709" w:hanging="357"/>
        <w:jc w:val="left"/>
        <w:rPr>
          <w:szCs w:val="21"/>
          <w:u w:val="single"/>
        </w:rPr>
      </w:pPr>
      <w:hyperlink r:id="rId56" w:history="1">
        <w:r w:rsidR="00D9124D">
          <w:rPr>
            <w:rStyle w:val="Hyperlink"/>
          </w:rPr>
          <w:t>răspunsurile la întrebări frecvente de pe portal</w:t>
        </w:r>
      </w:hyperlink>
      <w:r w:rsidR="00D9124D">
        <w:t xml:space="preserve"> (pentru întrebări generale).</w:t>
      </w:r>
    </w:p>
    <w:p w14:paraId="7FE24C65" w14:textId="77777777" w:rsidR="00A53E20" w:rsidRPr="00310A7B" w:rsidRDefault="00A53E20" w:rsidP="00A53E20">
      <w:pPr>
        <w:rPr>
          <w:color w:val="000000"/>
          <w:szCs w:val="21"/>
        </w:rPr>
      </w:pPr>
      <w:r>
        <w:rPr>
          <w:color w:val="000000"/>
          <w:szCs w:val="21"/>
        </w:rPr>
        <w:lastRenderedPageBreak/>
        <w:t>De asemenea, vă invităm să consultați periodic pagina Teme, deoarece o vom folosi pentru a publica actualizările cererilor de propuneri. (În cazul invitațiilor, vă vom contacta direct dacă apar actualizări ale cererii de propuneri).</w:t>
      </w:r>
    </w:p>
    <w:p w14:paraId="2799B9E0" w14:textId="77777777" w:rsidR="00A53E20" w:rsidRPr="002D1390" w:rsidRDefault="00A53E20" w:rsidP="00A53E20">
      <w:pPr>
        <w:widowControl w:val="0"/>
        <w:rPr>
          <w:i/>
        </w:rPr>
      </w:pPr>
      <w:r>
        <w:rPr>
          <w:i/>
        </w:rPr>
        <w:t>Persoană de contact</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t xml:space="preserve">Pentru întrebări punctuale despre sistemul de depunere prin intermediul portalului, vă rugăm să contactați </w:t>
      </w:r>
      <w:hyperlink r:id="rId57" w:history="1">
        <w:r>
          <w:rPr>
            <w:rStyle w:val="Hyperlink"/>
            <w:rFonts w:ascii="Verdana" w:hAnsi="Verdana"/>
            <w:sz w:val="20"/>
            <w:szCs w:val="20"/>
          </w:rPr>
          <w:t>Biroul de asistență IT</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t xml:space="preserve">Întrebările care nu sunt legate de IT se trimit la următoarea adresă de e-mail: </w:t>
      </w:r>
    </w:p>
    <w:p w14:paraId="78E7C8FF" w14:textId="75E2D1C4" w:rsidR="00CD6C4F" w:rsidRDefault="00184E75"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Vă rugăm să indicați clar referința cererii de propuneri și tema la care se referă întrebarea dumneavoastră </w:t>
      </w:r>
      <w:r>
        <w:rPr>
          <w:i/>
        </w:rPr>
        <w:t>(vezi prima pagină)</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92975210"/>
      <w:r>
        <w:lastRenderedPageBreak/>
        <w:t>Important</w:t>
      </w:r>
      <w:bookmarkEnd w:id="40"/>
    </w:p>
    <w:p w14:paraId="27573CC2" w14:textId="66C18F3F" w:rsidR="000579AF" w:rsidRDefault="00E02E47" w:rsidP="00DC47B2">
      <w:pPr>
        <w:widowControl w:val="0"/>
        <w:ind w:right="366"/>
        <w:rPr>
          <w:b/>
          <w:color w:val="595959"/>
          <w:sz w:val="18"/>
          <w:szCs w:val="18"/>
        </w:rPr>
      </w:pPr>
      <w:r>
        <w:rPr>
          <w:noProof/>
          <w:lang w:val="en-IE" w:eastAsia="en-IE"/>
        </w:rPr>
        <mc:AlternateContent>
          <mc:Choice Requires="wps">
            <w:drawing>
              <wp:inline distT="0" distB="0" distL="0" distR="0" wp14:anchorId="2AA15A6D" wp14:editId="3ECA3292">
                <wp:extent cx="5473065" cy="8562975"/>
                <wp:effectExtent l="0" t="0" r="13335" b="28575"/>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562975"/>
                        </a:xfrm>
                        <a:prstGeom prst="rect">
                          <a:avLst/>
                        </a:prstGeom>
                        <a:solidFill>
                          <a:srgbClr val="F2F2F2"/>
                        </a:solidFill>
                        <a:ln w="19050">
                          <a:solidFill>
                            <a:srgbClr val="BFBFBF"/>
                          </a:solidFill>
                          <a:miter lim="800000"/>
                          <a:headEnd/>
                          <a:tailEnd/>
                        </a:ln>
                      </wps:spPr>
                      <wps:txbx>
                        <w:txbxContent>
                          <w:p w14:paraId="6B03D364" w14:textId="77777777" w:rsidR="00E02E47" w:rsidRPr="00310A7B" w:rsidRDefault="00E02E47" w:rsidP="00E02E47">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IMPORTANT </w:t>
                            </w:r>
                          </w:p>
                          <w:p w14:paraId="0CD199A5" w14:textId="77777777" w:rsidR="00E02E47" w:rsidRPr="00310A7B" w:rsidRDefault="00E02E47" w:rsidP="00E02E47">
                            <w:pPr>
                              <w:numPr>
                                <w:ilvl w:val="0"/>
                                <w:numId w:val="25"/>
                              </w:numPr>
                              <w:spacing w:after="120"/>
                              <w:ind w:left="567" w:right="79" w:hanging="447"/>
                              <w:rPr>
                                <w:color w:val="595959"/>
                                <w:sz w:val="18"/>
                                <w:szCs w:val="18"/>
                              </w:rPr>
                            </w:pPr>
                            <w:r>
                              <w:rPr>
                                <w:b/>
                                <w:color w:val="595959"/>
                                <w:sz w:val="18"/>
                                <w:szCs w:val="18"/>
                              </w:rPr>
                              <w:t>Nu așteptați până în ultimul moment</w:t>
                            </w:r>
                            <w:r>
                              <w:rPr>
                                <w:color w:val="595959"/>
                                <w:sz w:val="18"/>
                                <w:szCs w:val="18"/>
                              </w:rPr>
                              <w:t xml:space="preserve"> – Completați cererea de finanțare cu suficient timp înainte de termenul-limită pentru a evita eventualele </w:t>
                            </w:r>
                            <w:r>
                              <w:rPr>
                                <w:b/>
                                <w:color w:val="595959"/>
                                <w:sz w:val="18"/>
                                <w:szCs w:val="18"/>
                              </w:rPr>
                              <w:t>probleme tehnice</w:t>
                            </w:r>
                            <w:r>
                              <w:rPr>
                                <w:color w:val="595959"/>
                                <w:sz w:val="18"/>
                                <w:szCs w:val="18"/>
                              </w:rPr>
                              <w:t xml:space="preserve"> de ultim moment. Vă asumați în totalitate riscul pentru problemele apărute din cauza depunerilor în ultimul moment </w:t>
                            </w:r>
                            <w:r>
                              <w:rPr>
                                <w:i/>
                                <w:color w:val="595959"/>
                                <w:sz w:val="18"/>
                                <w:szCs w:val="18"/>
                              </w:rPr>
                              <w:t>(de exemplu, trafic aglomerat etc.)</w:t>
                            </w:r>
                            <w:r>
                              <w:rPr>
                                <w:color w:val="595959"/>
                                <w:sz w:val="18"/>
                                <w:szCs w:val="18"/>
                              </w:rPr>
                              <w:t>. Termenele menționate în cererea de propuneri NU pot fi prelungite.</w:t>
                            </w:r>
                          </w:p>
                          <w:p w14:paraId="5FFFFB39" w14:textId="77777777" w:rsidR="00E02E47" w:rsidRPr="006E643A" w:rsidRDefault="00E02E47" w:rsidP="00E02E47">
                            <w:pPr>
                              <w:numPr>
                                <w:ilvl w:val="0"/>
                                <w:numId w:val="25"/>
                              </w:numPr>
                              <w:ind w:left="567" w:right="79" w:hanging="447"/>
                              <w:rPr>
                                <w:color w:val="595959"/>
                                <w:sz w:val="18"/>
                                <w:szCs w:val="18"/>
                              </w:rPr>
                            </w:pPr>
                            <w:r>
                              <w:rPr>
                                <w:b/>
                                <w:color w:val="595959"/>
                                <w:sz w:val="18"/>
                                <w:szCs w:val="18"/>
                              </w:rPr>
                              <w:t>Consultați</w:t>
                            </w:r>
                            <w:r>
                              <w:rPr>
                                <w:color w:val="595959"/>
                                <w:sz w:val="18"/>
                                <w:szCs w:val="18"/>
                              </w:rPr>
                              <w:t xml:space="preserve"> periodic pagina Teme a portalului. Vom folosi această pagină pentru a publica actualizări și informații suplimentare cu privire la cererea de propuneri (actualizări ale cererii și temelor).</w:t>
                            </w:r>
                          </w:p>
                          <w:p w14:paraId="7A55A0F4" w14:textId="77777777" w:rsidR="00E02E47" w:rsidRPr="00F701D1" w:rsidRDefault="00E02E47" w:rsidP="00E02E47">
                            <w:pPr>
                              <w:numPr>
                                <w:ilvl w:val="0"/>
                                <w:numId w:val="25"/>
                              </w:numPr>
                              <w:ind w:left="567" w:right="79" w:hanging="447"/>
                              <w:rPr>
                                <w:rFonts w:cs="Arial"/>
                                <w:color w:val="595959"/>
                                <w:sz w:val="18"/>
                                <w:szCs w:val="18"/>
                              </w:rPr>
                            </w:pPr>
                            <w:r>
                              <w:rPr>
                                <w:color w:val="595959"/>
                                <w:sz w:val="18"/>
                                <w:szCs w:val="18"/>
                              </w:rPr>
                              <w:t xml:space="preserve">Sistemul de schimb electronic pe portalul Finanțare și licitații — Prin depunerea cererii, toți participanții </w:t>
                            </w:r>
                            <w:r>
                              <w:rPr>
                                <w:b/>
                                <w:color w:val="595959"/>
                                <w:sz w:val="18"/>
                                <w:szCs w:val="18"/>
                              </w:rPr>
                              <w:t>acceptă</w:t>
                            </w:r>
                            <w:r>
                              <w:rPr>
                                <w:color w:val="595959"/>
                                <w:sz w:val="18"/>
                                <w:szCs w:val="18"/>
                              </w:rPr>
                              <w:t xml:space="preserve"> să utilizeze sistemul de schimb electronic în conformitate cu</w:t>
                            </w:r>
                            <w:r>
                              <w:rPr>
                                <w:color w:val="595959"/>
                              </w:rPr>
                              <w:t xml:space="preserve"> </w:t>
                            </w:r>
                            <w:hyperlink r:id="rId59" w:history="1">
                              <w:r>
                                <w:rPr>
                                  <w:rStyle w:val="Hyperlink"/>
                                  <w:sz w:val="18"/>
                                  <w:szCs w:val="18"/>
                                </w:rPr>
                                <w:t>Termenele și condițiile portalului</w:t>
                              </w:r>
                            </w:hyperlink>
                            <w:r>
                              <w:rPr>
                                <w:color w:val="7F7F7F"/>
                                <w:sz w:val="18"/>
                                <w:szCs w:val="18"/>
                              </w:rPr>
                              <w:t>.</w:t>
                            </w:r>
                          </w:p>
                          <w:p w14:paraId="420CBC62" w14:textId="77777777" w:rsidR="00E02E47" w:rsidRPr="00F701D1" w:rsidRDefault="00E02E47" w:rsidP="00E02E47">
                            <w:pPr>
                              <w:numPr>
                                <w:ilvl w:val="0"/>
                                <w:numId w:val="25"/>
                              </w:numPr>
                              <w:ind w:left="567" w:right="79" w:hanging="447"/>
                              <w:rPr>
                                <w:rFonts w:cs="Arial"/>
                                <w:color w:val="595959"/>
                                <w:sz w:val="18"/>
                                <w:szCs w:val="18"/>
                              </w:rPr>
                            </w:pPr>
                            <w:r>
                              <w:rPr>
                                <w:b/>
                                <w:color w:val="595959"/>
                                <w:sz w:val="18"/>
                                <w:szCs w:val="18"/>
                              </w:rPr>
                              <w:t>Înregistrare</w:t>
                            </w:r>
                            <w:r>
                              <w:rPr>
                                <w:color w:val="595959"/>
                                <w:sz w:val="18"/>
                                <w:szCs w:val="18"/>
                              </w:rPr>
                              <w:t xml:space="preserve"> – Înainte de a depune cererea, toți beneficiarii, toate entitățile asociate și toți partenerii asociați trebuie să se înregistreze în </w:t>
                            </w:r>
                            <w:hyperlink r:id="rId60" w:history="1">
                              <w:r>
                                <w:rPr>
                                  <w:rStyle w:val="Hyperlink"/>
                                  <w:sz w:val="18"/>
                                  <w:szCs w:val="18"/>
                                </w:rPr>
                                <w:t>Registrul participanților</w:t>
                              </w:r>
                            </w:hyperlink>
                            <w:r>
                              <w:rPr>
                                <w:color w:val="595959"/>
                                <w:sz w:val="18"/>
                                <w:szCs w:val="18"/>
                              </w:rPr>
                              <w:t>. Codul de identificare a participantului (PIC) (unul pentru fiecare participant) este obligatoriu pentru formularul de cerere.</w:t>
                            </w:r>
                          </w:p>
                          <w:p w14:paraId="7DA3CC4C" w14:textId="77777777" w:rsidR="00E02E47" w:rsidRPr="00F701D1" w:rsidRDefault="00E02E47" w:rsidP="00E02E47">
                            <w:pPr>
                              <w:numPr>
                                <w:ilvl w:val="0"/>
                                <w:numId w:val="25"/>
                              </w:numPr>
                              <w:spacing w:after="120"/>
                              <w:ind w:left="567" w:right="79" w:hanging="445"/>
                              <w:rPr>
                                <w:rFonts w:cs="Arial"/>
                                <w:iCs/>
                                <w:color w:val="595959"/>
                                <w:sz w:val="18"/>
                                <w:szCs w:val="18"/>
                              </w:rPr>
                            </w:pPr>
                            <w:r>
                              <w:rPr>
                                <w:b/>
                                <w:iCs/>
                                <w:color w:val="595959"/>
                                <w:sz w:val="18"/>
                                <w:szCs w:val="18"/>
                              </w:rPr>
                              <w:t>Rolurile din cadrul consorțiului</w:t>
                            </w:r>
                            <w:r>
                              <w:rPr>
                                <w:iCs/>
                                <w:color w:val="595959"/>
                                <w:sz w:val="18"/>
                                <w:szCs w:val="18"/>
                              </w:rPr>
                              <w:t xml:space="preserve"> – Când înființați consorțiul, trebuie să aveți în vedere organizații care vă ajută să vă atingeți obiectivele și să rezolvați probleme.</w:t>
                            </w:r>
                          </w:p>
                          <w:p w14:paraId="0FE17181" w14:textId="77777777" w:rsidR="00E02E47" w:rsidRPr="00F701D1" w:rsidRDefault="00E02E47" w:rsidP="00E02E47">
                            <w:pPr>
                              <w:spacing w:after="120"/>
                              <w:ind w:left="567" w:right="79"/>
                              <w:rPr>
                                <w:rFonts w:eastAsia="Calibri"/>
                                <w:sz w:val="18"/>
                                <w:szCs w:val="18"/>
                              </w:rPr>
                            </w:pPr>
                            <w:r>
                              <w:rPr>
                                <w:color w:val="595959"/>
                                <w:sz w:val="18"/>
                                <w:szCs w:val="18"/>
                              </w:rPr>
                              <w:t xml:space="preserve">Rolurile ar trebui atribuite în funcție de nivelul de participare la proiect. Participanții principali ar trebui să participe în calitate de </w:t>
                            </w:r>
                            <w:r>
                              <w:rPr>
                                <w:b/>
                                <w:color w:val="595959"/>
                                <w:sz w:val="18"/>
                                <w:szCs w:val="18"/>
                              </w:rPr>
                              <w:t>beneficiari</w:t>
                            </w:r>
                            <w:r>
                              <w:rPr>
                                <w:color w:val="595959"/>
                                <w:sz w:val="18"/>
                                <w:szCs w:val="18"/>
                              </w:rPr>
                              <w:t xml:space="preserve"> sau de </w:t>
                            </w:r>
                            <w:r>
                              <w:rPr>
                                <w:b/>
                                <w:color w:val="595959"/>
                                <w:sz w:val="18"/>
                                <w:szCs w:val="18"/>
                              </w:rPr>
                              <w:t>entități afiliate</w:t>
                            </w:r>
                            <w:r>
                              <w:rPr>
                                <w:color w:val="595959"/>
                                <w:sz w:val="18"/>
                                <w:szCs w:val="18"/>
                              </w:rPr>
                              <w:t xml:space="preserve">; pot să participe și alte entități în calitate de parteneri asociați, de subcontractanți sau de terți care acordă contribuții în natură. </w:t>
                            </w:r>
                            <w:r>
                              <w:rPr>
                                <w:b/>
                                <w:color w:val="595959"/>
                                <w:sz w:val="18"/>
                                <w:szCs w:val="18"/>
                              </w:rPr>
                              <w:t>Partenerii asociați</w:t>
                            </w:r>
                            <w:r>
                              <w:rPr>
                                <w:color w:val="595959"/>
                                <w:sz w:val="18"/>
                                <w:szCs w:val="18"/>
                              </w:rPr>
                              <w:t xml:space="preserve"> și terții care acordă contribuții în natură ar trebui să își suporte costurile proprii (nu vor deveni beneficiari oficiali ai finanțării din partea UE). </w:t>
                            </w:r>
                            <w:r>
                              <w:rPr>
                                <w:b/>
                                <w:color w:val="595959"/>
                                <w:sz w:val="18"/>
                                <w:szCs w:val="18"/>
                              </w:rPr>
                              <w:t>Subcontractarea</w:t>
                            </w:r>
                            <w:r>
                              <w:rPr>
                                <w:color w:val="595959"/>
                                <w:sz w:val="18"/>
                                <w:szCs w:val="18"/>
                              </w:rPr>
                              <w:t xml:space="preserve"> ar trebui să reprezinte, în mod normal, o parte redusă și trebuie realizată de terți (nu de unul dintre beneficiari sau de una dintre entitățile afiliate). Dacă subcontractarea depășește 30 % din costurile eligibile totale, cererea de finanțare depusă trebuie să conțină o justificare în acest sens.</w:t>
                            </w:r>
                          </w:p>
                          <w:p w14:paraId="56CC18EF" w14:textId="77777777" w:rsidR="00E02E47" w:rsidRPr="00072FAA" w:rsidRDefault="00E02E47" w:rsidP="00E02E47">
                            <w:pPr>
                              <w:numPr>
                                <w:ilvl w:val="0"/>
                                <w:numId w:val="25"/>
                              </w:numPr>
                              <w:ind w:left="567" w:right="78" w:hanging="445"/>
                              <w:rPr>
                                <w:rFonts w:cs="Arial"/>
                                <w:iCs/>
                                <w:color w:val="595959"/>
                                <w:sz w:val="18"/>
                                <w:szCs w:val="18"/>
                              </w:rPr>
                            </w:pPr>
                            <w:r>
                              <w:rPr>
                                <w:b/>
                                <w:color w:val="595959"/>
                                <w:sz w:val="18"/>
                                <w:szCs w:val="18"/>
                              </w:rPr>
                              <w:t>Coordonatorul</w:t>
                            </w:r>
                            <w:r>
                              <w:rPr>
                                <w:color w:val="595959"/>
                                <w:sz w:val="18"/>
                                <w:szCs w:val="18"/>
                              </w:rPr>
                              <w:t xml:space="preserve"> – În cadrul granturilor cu mai mulți beneficiari, beneficiarii participă în calitate de consorțiu (grup de beneficiari). Aceștia vor trebui să aleagă un coordonator, care se va ocupa de gestionarea și coordonarea proiectului și va reprezenta consorțiul față de autoritatea care acordă grantul. În cazul granturilor cu un singur beneficiar, beneficiarul unic va fi automat coordonator.</w:t>
                            </w:r>
                          </w:p>
                          <w:p w14:paraId="6EE57611"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Entitățile afiliate</w:t>
                            </w:r>
                            <w:r>
                              <w:rPr>
                                <w:color w:val="595959"/>
                                <w:sz w:val="18"/>
                                <w:szCs w:val="18"/>
                              </w:rPr>
                              <w:t xml:space="preserve"> – Solicitanții pot să participe cu entități afiliate (entități care au legături cu un beneficiar care participă la acțiune, au drepturi și obligații similare cu beneficiarii, dar nu semnează grantul și, prin urmare, nu devin ele însele beneficiari). Acestea vor primi o parte din fondurile din grant și, prin urmare, trebuie să respecte toate condițiile prevăzute în cererea de propuneri și să fie validate (la fel ca beneficiarii); nu sunt însă luate în considerare la validarea criteriilor minime de eligibilitate pentru alcătuirea consorțiului (dacă există).</w:t>
                            </w:r>
                          </w:p>
                          <w:p w14:paraId="73EF63EE"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Parteneri asociați</w:t>
                            </w:r>
                            <w:r>
                              <w:rPr>
                                <w:color w:val="595959"/>
                                <w:sz w:val="18"/>
                                <w:szCs w:val="18"/>
                              </w:rPr>
                              <w:t xml:space="preserve"> — Solicitanții pot participa cu parteneri asociați (adică organizații partenere care participă la acțiune, dar fără dreptul de a primi fonduri din grant). Aceștia participă fără finanțare și, prin urmare, nu este necesar să fie validați.</w:t>
                            </w:r>
                          </w:p>
                          <w:p w14:paraId="41D9A81B" w14:textId="77777777" w:rsidR="00E02E47" w:rsidRPr="00F43CEE" w:rsidRDefault="00E02E47" w:rsidP="00E02E47">
                            <w:pPr>
                              <w:numPr>
                                <w:ilvl w:val="0"/>
                                <w:numId w:val="25"/>
                              </w:numPr>
                              <w:ind w:left="567" w:right="79" w:hanging="445"/>
                              <w:rPr>
                                <w:rFonts w:cs="Arial"/>
                                <w:color w:val="595959"/>
                                <w:sz w:val="18"/>
                                <w:szCs w:val="18"/>
                              </w:rPr>
                            </w:pPr>
                            <w:r>
                              <w:rPr>
                                <w:b/>
                                <w:color w:val="595959"/>
                                <w:sz w:val="18"/>
                                <w:szCs w:val="18"/>
                              </w:rPr>
                              <w:t>Acord de consorțiu</w:t>
                            </w:r>
                            <w:r>
                              <w:rPr>
                                <w:color w:val="595959"/>
                                <w:sz w:val="18"/>
                                <w:szCs w:val="18"/>
                              </w:rPr>
                              <w:t xml:space="preserve"> — Din motive practice și juridice, se recomandă stabilirea unor mecanisme interne care să vă permită să faceți față unor circumstanțe excepționale sau neprevăzute (în toate cazurile, chiar dacă nu sunt obligatorii în temeiul acordului de grant). Acordul de consorțiu vă oferă, de asemenea, posibilitatea de a redistribui fondurile grantului în conformitate cu principiile interne și parametrii interni ai consorțiului (de exemplu, un beneficiar poate să reatribuie propriile fonduri din grant unui alt beneficiar). Acordul de consorțiu vă permite astfel să personalizați grantul UE în funcție de nevoile din cadrul consorțiului și vă poate ajuta, de asemenea, să vă protejați în caz de litigii.</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AA15A6D">
                <v:stroke joinstyle="miter"/>
                <v:path gradientshapeok="t" o:connecttype="rect"/>
              </v:shapetype>
              <v:shape id="Text Box 85" style="width:430.95pt;height:674.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">
                <v:textbox>
                  <w:txbxContent>
                    <w:p w:rsidRPr="00310A7B" w:rsidR="00E02E47" w:rsidP="00E02E47" w:rsidRDefault="00E02E47" w14:paraId="6B03D364" w14:textId="77777777">
                      <w:pPr>
                        <w:pStyle w:val="Text1"/>
                        <w:spacing w:before="120" w:after="120"/>
                        <w:ind w:left="0"/>
                        <w:rPr>
                          <w:rFonts w:cs="Arial"/>
                          <w:color w:val="595959"/>
                          <w:sz w:val="16"/>
                          <w:szCs w:val="18"/>
                        </w:rPr>
                      </w:pPr>
                      <w:r>
                        <w:rPr>
                          <w:b/>
                          <w:noProof/>
                          <w:color w:val="7F7F7F"/>
                          <w:sz w:val="18"/>
                          <w:szCs w:val="21"/>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IMPORTANT </w:t>
                      </w:r>
                    </w:p>
                    <w:p w:rsidRPr="00310A7B" w:rsidR="00E02E47" w:rsidP="00E02E47" w:rsidRDefault="00E02E47" w14:paraId="0CD199A5" w14:textId="77777777">
                      <w:pPr>
                        <w:numPr>
                          <w:ilvl w:val="0"/>
                          <w:numId w:val="25"/>
                        </w:numPr>
                        <w:spacing w:after="120"/>
                        <w:ind w:left="567" w:right="79" w:hanging="447"/>
                        <w:rPr>
                          <w:color w:val="595959"/>
                          <w:sz w:val="18"/>
                          <w:szCs w:val="18"/>
                        </w:rPr>
                      </w:pPr>
                      <w:r>
                        <w:rPr>
                          <w:b/>
                          <w:color w:val="595959"/>
                          <w:sz w:val="18"/>
                          <w:szCs w:val="18"/>
                        </w:rPr>
                        <w:t>Nu așteptați până în ultimul moment</w:t>
                      </w:r>
                      <w:r>
                        <w:rPr>
                          <w:color w:val="595959"/>
                          <w:sz w:val="18"/>
                          <w:szCs w:val="18"/>
                        </w:rPr>
                        <w:t xml:space="preserve"> – Completați cererea de finanțare cu suficient timp înainte de termenul-limită pentru a evita eventualele </w:t>
                      </w:r>
                      <w:r>
                        <w:rPr>
                          <w:b/>
                          <w:color w:val="595959"/>
                          <w:sz w:val="18"/>
                          <w:szCs w:val="18"/>
                        </w:rPr>
                        <w:t>probleme tehnice</w:t>
                      </w:r>
                      <w:r>
                        <w:rPr>
                          <w:color w:val="595959"/>
                          <w:sz w:val="18"/>
                          <w:szCs w:val="18"/>
                        </w:rPr>
                        <w:t xml:space="preserve"> de ultim moment. Vă asumați în totalitate riscul pentru problemele apărute din cauza depunerilor în ultimul moment </w:t>
                      </w:r>
                      <w:r>
                        <w:rPr>
                          <w:i/>
                          <w:color w:val="595959"/>
                          <w:sz w:val="18"/>
                          <w:szCs w:val="18"/>
                        </w:rPr>
                        <w:t>(de exemplu, trafic aglomerat etc.)</w:t>
                      </w:r>
                      <w:r>
                        <w:rPr>
                          <w:color w:val="595959"/>
                          <w:sz w:val="18"/>
                          <w:szCs w:val="18"/>
                        </w:rPr>
                        <w:t>. Termenele menționate în cererea de propuneri NU pot fi prelungite.</w:t>
                      </w:r>
                    </w:p>
                    <w:p w:rsidRPr="006E643A" w:rsidR="00E02E47" w:rsidP="00E02E47" w:rsidRDefault="00E02E47" w14:paraId="5FFFFB39" w14:textId="77777777">
                      <w:pPr>
                        <w:numPr>
                          <w:ilvl w:val="0"/>
                          <w:numId w:val="25"/>
                        </w:numPr>
                        <w:ind w:left="567" w:right="79" w:hanging="447"/>
                        <w:rPr>
                          <w:color w:val="595959"/>
                          <w:sz w:val="18"/>
                          <w:szCs w:val="18"/>
                        </w:rPr>
                      </w:pPr>
                      <w:r>
                        <w:rPr>
                          <w:b/>
                          <w:color w:val="595959"/>
                          <w:sz w:val="18"/>
                          <w:szCs w:val="18"/>
                        </w:rPr>
                        <w:t>Consultați</w:t>
                      </w:r>
                      <w:r>
                        <w:rPr>
                          <w:color w:val="595959"/>
                          <w:sz w:val="18"/>
                          <w:szCs w:val="18"/>
                        </w:rPr>
                        <w:t xml:space="preserve"> periodic pagina Teme a portalului. Vom folosi această pagină pentru a publica actualizări și informații suplimentare cu privire la cererea de propuneri (actualizări ale cererii și temelor).</w:t>
                      </w:r>
                    </w:p>
                    <w:p w:rsidRPr="00F701D1" w:rsidR="00E02E47" w:rsidP="00E02E47" w:rsidRDefault="00E02E47" w14:paraId="7A55A0F4" w14:textId="77777777">
                      <w:pPr>
                        <w:numPr>
                          <w:ilvl w:val="0"/>
                          <w:numId w:val="25"/>
                        </w:numPr>
                        <w:ind w:left="567" w:right="79" w:hanging="447"/>
                        <w:rPr>
                          <w:rFonts w:cs="Arial"/>
                          <w:color w:val="595959"/>
                          <w:sz w:val="18"/>
                          <w:szCs w:val="18"/>
                        </w:rPr>
                      </w:pPr>
                      <w:r>
                        <w:rPr>
                          <w:color w:val="595959"/>
                          <w:sz w:val="18"/>
                          <w:szCs w:val="18"/>
                        </w:rPr>
                        <w:t xml:space="preserve">Sistemul de schimb electronic pe portalul Finanțare și licitații — Prin depunerea cererii, toți participanții </w:t>
                      </w:r>
                      <w:r>
                        <w:rPr>
                          <w:b/>
                          <w:color w:val="595959"/>
                          <w:sz w:val="18"/>
                          <w:szCs w:val="18"/>
                        </w:rPr>
                        <w:t>acceptă</w:t>
                      </w:r>
                      <w:r>
                        <w:rPr>
                          <w:color w:val="595959"/>
                          <w:sz w:val="18"/>
                          <w:szCs w:val="18"/>
                        </w:rPr>
                        <w:t xml:space="preserve"> să utilizeze sistemul de schimb electronic în conformitate cu</w:t>
                      </w:r>
                      <w:r>
                        <w:rPr>
                          <w:color w:val="595959"/>
                        </w:rPr>
                        <w:t xml:space="preserve"> </w:t>
                      </w:r>
                      <w:hyperlink w:history="1" r:id="rId62">
                        <w:r>
                          <w:rPr>
                            <w:rStyle w:val="Hyperlink"/>
                            <w:sz w:val="18"/>
                            <w:szCs w:val="18"/>
                          </w:rPr>
                          <w:t>Termenele și condițiile portalului</w:t>
                        </w:r>
                      </w:hyperlink>
                      <w:r>
                        <w:rPr>
                          <w:color w:val="7F7F7F"/>
                          <w:sz w:val="18"/>
                          <w:szCs w:val="18"/>
                        </w:rPr>
                        <w:t>.</w:t>
                      </w:r>
                    </w:p>
                    <w:p w:rsidRPr="00F701D1" w:rsidR="00E02E47" w:rsidP="00E02E47" w:rsidRDefault="00E02E47" w14:paraId="420CBC62" w14:textId="77777777">
                      <w:pPr>
                        <w:numPr>
                          <w:ilvl w:val="0"/>
                          <w:numId w:val="25"/>
                        </w:numPr>
                        <w:ind w:left="567" w:right="79" w:hanging="447"/>
                        <w:rPr>
                          <w:rFonts w:cs="Arial"/>
                          <w:color w:val="595959"/>
                          <w:sz w:val="18"/>
                          <w:szCs w:val="18"/>
                        </w:rPr>
                      </w:pPr>
                      <w:r>
                        <w:rPr>
                          <w:b/>
                          <w:color w:val="595959"/>
                          <w:sz w:val="18"/>
                          <w:szCs w:val="18"/>
                        </w:rPr>
                        <w:t>Înregistrare</w:t>
                      </w:r>
                      <w:r>
                        <w:rPr>
                          <w:color w:val="595959"/>
                          <w:sz w:val="18"/>
                          <w:szCs w:val="18"/>
                        </w:rPr>
                        <w:t xml:space="preserve"> – Înainte de a depune cererea, toți beneficiarii, toate entitățile asociate și toți partenerii asociați trebuie să se înregistreze în </w:t>
                      </w:r>
                      <w:hyperlink w:history="1" r:id="rId63">
                        <w:r>
                          <w:rPr>
                            <w:rStyle w:val="Hyperlink"/>
                            <w:sz w:val="18"/>
                            <w:szCs w:val="18"/>
                          </w:rPr>
                          <w:t>Registrul participanților</w:t>
                        </w:r>
                      </w:hyperlink>
                      <w:r>
                        <w:rPr>
                          <w:color w:val="595959"/>
                          <w:sz w:val="18"/>
                          <w:szCs w:val="18"/>
                        </w:rPr>
                        <w:t>. Codul de identificare a participantului (PIC) (unul pentru fiecare participant) este obligatoriu pentru formularul de cerere.</w:t>
                      </w:r>
                    </w:p>
                    <w:p w:rsidRPr="00F701D1" w:rsidR="00E02E47" w:rsidP="00E02E47" w:rsidRDefault="00E02E47" w14:paraId="7DA3CC4C" w14:textId="77777777">
                      <w:pPr>
                        <w:numPr>
                          <w:ilvl w:val="0"/>
                          <w:numId w:val="25"/>
                        </w:numPr>
                        <w:spacing w:after="120"/>
                        <w:ind w:left="567" w:right="79" w:hanging="445"/>
                        <w:rPr>
                          <w:rFonts w:cs="Arial"/>
                          <w:iCs/>
                          <w:color w:val="595959"/>
                          <w:sz w:val="18"/>
                          <w:szCs w:val="18"/>
                        </w:rPr>
                      </w:pPr>
                      <w:r>
                        <w:rPr>
                          <w:b/>
                          <w:iCs/>
                          <w:color w:val="595959"/>
                          <w:sz w:val="18"/>
                          <w:szCs w:val="18"/>
                        </w:rPr>
                        <w:t>Rolurile din cadrul consorțiului</w:t>
                      </w:r>
                      <w:r>
                        <w:rPr>
                          <w:iCs/>
                          <w:color w:val="595959"/>
                          <w:sz w:val="18"/>
                          <w:szCs w:val="18"/>
                        </w:rPr>
                        <w:t xml:space="preserve"> – Când înființați consorțiul, trebuie să aveți în vedere organizații care vă ajută să vă atingeți obiectivele și să rezolvați probleme.</w:t>
                      </w:r>
                    </w:p>
                    <w:p w:rsidRPr="00F701D1" w:rsidR="00E02E47" w:rsidP="00E02E47" w:rsidRDefault="00E02E47" w14:paraId="0FE17181" w14:textId="77777777">
                      <w:pPr>
                        <w:spacing w:after="120"/>
                        <w:ind w:left="567" w:right="79"/>
                        <w:rPr>
                          <w:rFonts w:eastAsia="Calibri"/>
                          <w:sz w:val="18"/>
                          <w:szCs w:val="18"/>
                        </w:rPr>
                      </w:pPr>
                      <w:r>
                        <w:rPr>
                          <w:color w:val="595959"/>
                          <w:sz w:val="18"/>
                          <w:szCs w:val="18"/>
                        </w:rPr>
                        <w:t xml:space="preserve">Rolurile ar trebui atribuite în funcție de nivelul de participare la proiect. Participanții principali ar trebui să participe în calitate de </w:t>
                      </w:r>
                      <w:r>
                        <w:rPr>
                          <w:b/>
                          <w:color w:val="595959"/>
                          <w:sz w:val="18"/>
                          <w:szCs w:val="18"/>
                        </w:rPr>
                        <w:t>beneficiari</w:t>
                      </w:r>
                      <w:r>
                        <w:rPr>
                          <w:color w:val="595959"/>
                          <w:sz w:val="18"/>
                          <w:szCs w:val="18"/>
                        </w:rPr>
                        <w:t xml:space="preserve"> sau de </w:t>
                      </w:r>
                      <w:r>
                        <w:rPr>
                          <w:b/>
                          <w:color w:val="595959"/>
                          <w:sz w:val="18"/>
                          <w:szCs w:val="18"/>
                        </w:rPr>
                        <w:t>entități afiliate</w:t>
                      </w:r>
                      <w:r>
                        <w:rPr>
                          <w:color w:val="595959"/>
                          <w:sz w:val="18"/>
                          <w:szCs w:val="18"/>
                        </w:rPr>
                        <w:t xml:space="preserve">; pot să participe și alte entități în calitate de parteneri asociați, de subcontractanți sau de terți care acordă contribuții în natură. </w:t>
                      </w:r>
                      <w:r>
                        <w:rPr>
                          <w:b/>
                          <w:color w:val="595959"/>
                          <w:sz w:val="18"/>
                          <w:szCs w:val="18"/>
                        </w:rPr>
                        <w:t>Partenerii asociați</w:t>
                      </w:r>
                      <w:r>
                        <w:rPr>
                          <w:color w:val="595959"/>
                          <w:sz w:val="18"/>
                          <w:szCs w:val="18"/>
                        </w:rPr>
                        <w:t xml:space="preserve"> și terții care acordă contribuții în natură ar trebui să își suporte costurile proprii (nu vor deveni beneficiari oficiali ai finanțării din partea UE). </w:t>
                      </w:r>
                      <w:r>
                        <w:rPr>
                          <w:b/>
                          <w:color w:val="595959"/>
                          <w:sz w:val="18"/>
                          <w:szCs w:val="18"/>
                        </w:rPr>
                        <w:t>Subcontractarea</w:t>
                      </w:r>
                      <w:r>
                        <w:rPr>
                          <w:color w:val="595959"/>
                          <w:sz w:val="18"/>
                          <w:szCs w:val="18"/>
                        </w:rPr>
                        <w:t xml:space="preserve"> ar trebui să reprezinte, în mod normal, o parte redusă și trebuie realizată de terți (nu de unul dintre beneficiari sau de una dintre entitățile afiliate). Dacă subcontractarea depășește 30 % din costurile eligibile totale, cererea de finanțare depusă trebuie să conțină o justificare în acest sens.</w:t>
                      </w:r>
                    </w:p>
                    <w:p w:rsidRPr="00072FAA" w:rsidR="00E02E47" w:rsidP="00E02E47" w:rsidRDefault="00E02E47" w14:paraId="56CC18EF" w14:textId="77777777">
                      <w:pPr>
                        <w:numPr>
                          <w:ilvl w:val="0"/>
                          <w:numId w:val="25"/>
                        </w:numPr>
                        <w:ind w:left="567" w:right="78" w:hanging="445"/>
                        <w:rPr>
                          <w:rFonts w:cs="Arial"/>
                          <w:iCs/>
                          <w:color w:val="595959"/>
                          <w:sz w:val="18"/>
                          <w:szCs w:val="18"/>
                        </w:rPr>
                      </w:pPr>
                      <w:r>
                        <w:rPr>
                          <w:b/>
                          <w:color w:val="595959"/>
                          <w:sz w:val="18"/>
                          <w:szCs w:val="18"/>
                        </w:rPr>
                        <w:t>Coordonatorul</w:t>
                      </w:r>
                      <w:r>
                        <w:rPr>
                          <w:color w:val="595959"/>
                          <w:sz w:val="18"/>
                          <w:szCs w:val="18"/>
                        </w:rPr>
                        <w:t xml:space="preserve"> – În cadrul granturilor cu mai mulți beneficiari, beneficiarii participă în calitate de consorțiu (grup de beneficiari). Aceștia vor trebui să aleagă un coordonator, care se va ocupa de gestionarea și coordonarea proiectului și va reprezenta consorțiul față de autoritatea care acordă grantul. În cazul granturilor cu un singur beneficiar, beneficiarul unic va fi automat coordonator.</w:t>
                      </w:r>
                    </w:p>
                    <w:p w:rsidRPr="00310A7B" w:rsidR="00E02E47" w:rsidP="00E02E47" w:rsidRDefault="00E02E47" w14:paraId="6EE57611" w14:textId="77777777">
                      <w:pPr>
                        <w:numPr>
                          <w:ilvl w:val="0"/>
                          <w:numId w:val="25"/>
                        </w:numPr>
                        <w:ind w:left="567" w:right="78" w:hanging="445"/>
                        <w:rPr>
                          <w:rFonts w:eastAsia="Verdana" w:cs="Verdana"/>
                          <w:color w:val="595959"/>
                          <w:sz w:val="18"/>
                          <w:szCs w:val="18"/>
                        </w:rPr>
                      </w:pPr>
                      <w:r>
                        <w:rPr>
                          <w:b/>
                          <w:color w:val="595959"/>
                          <w:sz w:val="18"/>
                          <w:szCs w:val="18"/>
                        </w:rPr>
                        <w:t>Entitățile afiliate</w:t>
                      </w:r>
                      <w:r>
                        <w:rPr>
                          <w:color w:val="595959"/>
                          <w:sz w:val="18"/>
                          <w:szCs w:val="18"/>
                        </w:rPr>
                        <w:t xml:space="preserve"> – Solicitanții pot să participe cu entități afiliate (entități care au legături cu un beneficiar care participă la acțiune, au drepturi și obligații similare cu beneficiarii, dar nu semnează grantul și, prin urmare, nu devin ele însele beneficiari). Acestea vor primi o parte din fondurile din grant și, prin urmare, trebuie să respecte toate condițiile prevăzute în cererea de propuneri și să fie validate (la fel ca beneficiarii); nu sunt însă luate în considerare la validarea criteriilor minime de eligibilitate pentru alcătuirea consorțiului (dacă există).</w:t>
                      </w:r>
                    </w:p>
                    <w:p w:rsidRPr="00310A7B" w:rsidR="00E02E47" w:rsidP="00E02E47" w:rsidRDefault="00E02E47" w14:paraId="73EF63EE" w14:textId="77777777">
                      <w:pPr>
                        <w:numPr>
                          <w:ilvl w:val="0"/>
                          <w:numId w:val="25"/>
                        </w:numPr>
                        <w:ind w:left="567" w:right="78" w:hanging="445"/>
                        <w:rPr>
                          <w:rFonts w:eastAsia="Verdana" w:cs="Verdana"/>
                          <w:color w:val="595959"/>
                          <w:sz w:val="18"/>
                          <w:szCs w:val="18"/>
                        </w:rPr>
                      </w:pPr>
                      <w:r>
                        <w:rPr>
                          <w:b/>
                          <w:color w:val="595959"/>
                          <w:sz w:val="18"/>
                          <w:szCs w:val="18"/>
                        </w:rPr>
                        <w:t>Parteneri asociați</w:t>
                      </w:r>
                      <w:r>
                        <w:rPr>
                          <w:color w:val="595959"/>
                          <w:sz w:val="18"/>
                          <w:szCs w:val="18"/>
                        </w:rPr>
                        <w:t xml:space="preserve"> — Solicitanții pot participa cu parteneri asociați (adică organizații partenere care participă la acțiune, dar fără dreptul de a primi fonduri din grant). Aceștia participă fără finanțare și, prin urmare, nu este necesar să fie validați.</w:t>
                      </w:r>
                    </w:p>
                    <w:p w:rsidRPr="00F43CEE" w:rsidR="00E02E47" w:rsidP="00E02E47" w:rsidRDefault="00E02E47" w14:paraId="41D9A81B" w14:textId="77777777">
                      <w:pPr>
                        <w:numPr>
                          <w:ilvl w:val="0"/>
                          <w:numId w:val="25"/>
                        </w:numPr>
                        <w:ind w:left="567" w:right="79" w:hanging="445"/>
                        <w:rPr>
                          <w:rFonts w:cs="Arial"/>
                          <w:color w:val="595959"/>
                          <w:sz w:val="18"/>
                          <w:szCs w:val="18"/>
                        </w:rPr>
                      </w:pPr>
                      <w:r>
                        <w:rPr>
                          <w:b/>
                          <w:color w:val="595959"/>
                          <w:sz w:val="18"/>
                          <w:szCs w:val="18"/>
                        </w:rPr>
                        <w:t>Acord de consorțiu</w:t>
                      </w:r>
                      <w:r>
                        <w:rPr>
                          <w:color w:val="595959"/>
                          <w:sz w:val="18"/>
                          <w:szCs w:val="18"/>
                        </w:rPr>
                        <w:t xml:space="preserve"> — Din motive practice și juridice, se recomandă stabilirea unor mecanisme interne care să vă permită să faceți față unor circumstanțe excepționale sau neprevăzute (în toate cazurile, chiar dacă nu sunt obligatorii în temeiul acordului de grant). Acordul de consorțiu vă oferă, de asemenea, posibilitatea de a redistribui fondurile grantului în conformitate cu principiile interne și parametrii interni ai consorțiului (de exemplu, un beneficiar poate să reatribuie propriile fonduri din grant unui alt beneficiar). Acordul de consorțiu vă permite astfel să personalizați grantul UE în funcție de nevoile din cadrul consorțiului și vă poate ajuta, de asemenea, să vă protejați în caz de litigii.</w:t>
                      </w:r>
                    </w:p>
                  </w:txbxContent>
                </v:textbox>
                <w10:anchorlock/>
              </v:shape>
            </w:pict>
          </mc:Fallback>
        </mc:AlternateContent>
      </w:r>
      <w:r>
        <w:br w:type="page"/>
      </w:r>
    </w:p>
    <w:p w14:paraId="3FF23AF0" w14:textId="6DD5712C" w:rsidR="000579AF" w:rsidRDefault="000579AF" w:rsidP="00E02E47">
      <w:pPr>
        <w:widowControl w:val="0"/>
        <w:spacing w:after="0"/>
        <w:ind w:right="366"/>
        <w:rPr>
          <w:rFonts w:cs="Arial"/>
        </w:rPr>
      </w:pPr>
    </w:p>
    <w:p w14:paraId="32872E1E" w14:textId="431B8397" w:rsidR="00E02E47" w:rsidRDefault="00E02E47" w:rsidP="00C939CD">
      <w:pPr>
        <w:widowControl w:val="0"/>
        <w:ind w:right="366"/>
        <w:rPr>
          <w:rFonts w:cs="Arial"/>
        </w:rPr>
      </w:pPr>
      <w:r>
        <w:rPr>
          <w:noProof/>
          <w:lang w:val="en-IE" w:eastAsia="en-IE"/>
        </w:rPr>
        <mc:AlternateContent>
          <mc:Choice Requires="wps">
            <w:drawing>
              <wp:inline distT="0" distB="0" distL="0" distR="0" wp14:anchorId="5CF682EB" wp14:editId="6447F9EB">
                <wp:extent cx="5473065" cy="8439150"/>
                <wp:effectExtent l="0" t="0" r="13335" b="19050"/>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439150"/>
                        </a:xfrm>
                        <a:prstGeom prst="rect">
                          <a:avLst/>
                        </a:prstGeom>
                        <a:solidFill>
                          <a:srgbClr val="F2F2F2"/>
                        </a:solidFill>
                        <a:ln w="19050">
                          <a:solidFill>
                            <a:srgbClr val="BFBFBF"/>
                          </a:solidFill>
                          <a:miter lim="800000"/>
                          <a:headEnd/>
                          <a:tailEnd/>
                        </a:ln>
                      </wps:spPr>
                      <wps:txbx>
                        <w:txbxContent>
                          <w:p w14:paraId="44C0A553" w14:textId="77777777" w:rsidR="00E02E47" w:rsidRPr="00310A7B" w:rsidRDefault="00E02E47" w:rsidP="00E02E47">
                            <w:pPr>
                              <w:numPr>
                                <w:ilvl w:val="0"/>
                                <w:numId w:val="25"/>
                              </w:numPr>
                              <w:ind w:left="567" w:right="78" w:hanging="445"/>
                              <w:rPr>
                                <w:color w:val="595959"/>
                                <w:sz w:val="18"/>
                                <w:szCs w:val="18"/>
                              </w:rPr>
                            </w:pPr>
                            <w:r>
                              <w:rPr>
                                <w:b/>
                                <w:color w:val="595959"/>
                                <w:sz w:val="18"/>
                                <w:szCs w:val="18"/>
                              </w:rPr>
                              <w:t>Buget echilibrat al proiectului</w:t>
                            </w:r>
                            <w:r>
                              <w:rPr>
                                <w:i/>
                                <w:color w:val="4AA55B"/>
                                <w:sz w:val="18"/>
                                <w:szCs w:val="18"/>
                              </w:rPr>
                              <w:t xml:space="preserve"> </w:t>
                            </w:r>
                            <w:r>
                              <w:rPr>
                                <w:b/>
                                <w:color w:val="595959"/>
                                <w:sz w:val="18"/>
                                <w:szCs w:val="18"/>
                              </w:rPr>
                              <w:t>–</w:t>
                            </w:r>
                            <w:r>
                              <w:rPr>
                                <w:color w:val="595959"/>
                                <w:sz w:val="18"/>
                                <w:szCs w:val="18"/>
                              </w:rPr>
                              <w:t xml:space="preserve"> Cererile de grant trebuie să asigure un buget echilibrat al proiectului și suficiente alte resurse pentru a derula proiectul cu succes </w:t>
                            </w:r>
                            <w:r>
                              <w:rPr>
                                <w:i/>
                                <w:color w:val="595959"/>
                                <w:sz w:val="18"/>
                                <w:szCs w:val="18"/>
                              </w:rPr>
                              <w:t>(de exemplu, contribuții proprii, venituri generate de acțiune, contribuții financiare din partea unor terți etc.)</w:t>
                            </w:r>
                            <w:r>
                              <w:rPr>
                                <w:color w:val="595959"/>
                                <w:sz w:val="18"/>
                                <w:szCs w:val="18"/>
                              </w:rPr>
                              <w:t xml:space="preserve">. Este posibil să vi se solicite să reduceți costurile estimate, dacă acestea nu sunt eligibile (inclusiv dacă sunt excesive). </w:t>
                            </w:r>
                          </w:p>
                          <w:p w14:paraId="2D934BC7" w14:textId="77777777" w:rsidR="00E02E47" w:rsidRPr="00376DCA" w:rsidRDefault="00E02E47" w:rsidP="00E02E47">
                            <w:pPr>
                              <w:numPr>
                                <w:ilvl w:val="0"/>
                                <w:numId w:val="25"/>
                              </w:numPr>
                              <w:ind w:left="567" w:right="78" w:hanging="445"/>
                              <w:rPr>
                                <w:color w:val="595959"/>
                                <w:sz w:val="18"/>
                                <w:szCs w:val="18"/>
                              </w:rPr>
                            </w:pPr>
                            <w:r>
                              <w:rPr>
                                <w:b/>
                                <w:bCs/>
                                <w:color w:val="595959"/>
                                <w:sz w:val="18"/>
                                <w:szCs w:val="18"/>
                              </w:rPr>
                              <w:t>Regula „fără</w:t>
                            </w:r>
                            <w:r>
                              <w:rPr>
                                <w:color w:val="595959"/>
                                <w:sz w:val="18"/>
                                <w:szCs w:val="18"/>
                              </w:rPr>
                              <w:t xml:space="preserve"> </w:t>
                            </w:r>
                            <w:r>
                              <w:rPr>
                                <w:b/>
                                <w:color w:val="595959"/>
                                <w:sz w:val="18"/>
                                <w:szCs w:val="18"/>
                              </w:rPr>
                              <w:t xml:space="preserve">profit” — </w:t>
                            </w:r>
                            <w:r>
                              <w:rPr>
                                <w:color w:val="595959"/>
                                <w:sz w:val="18"/>
                                <w:szCs w:val="18"/>
                              </w:rPr>
                              <w:t xml:space="preserve">Granturile NU pot să aducă profit (adică excedent de venituri + grant UE care să depășească costurile). Acest lucru va fi verificat de noi la finalul proiectului. </w:t>
                            </w:r>
                          </w:p>
                          <w:p w14:paraId="06CED6FB"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Fără dublă finanțare —</w:t>
                            </w:r>
                            <w:r>
                              <w:rPr>
                                <w:color w:val="595959"/>
                                <w:sz w:val="18"/>
                                <w:szCs w:val="18"/>
                              </w:rPr>
                              <w:t xml:space="preserve"> Există o interdicție strictă privind dubla finanțare de la bugetul UE (cu excepția granturilor UE pentru sinergii). În afara unor astfel de acțiuni care vizează sinergii, orice acțiune poate primi doar UN SINGUR grant de la bugetul UE, iar elementele de cost nu pot fi declarate în NICIO situație pentru două acțiuni diferite ale UE.</w:t>
                            </w:r>
                          </w:p>
                          <w:p w14:paraId="481A0BD0" w14:textId="77777777" w:rsidR="00E02E47" w:rsidRPr="006010BA" w:rsidRDefault="00E02E47" w:rsidP="00E02E47">
                            <w:pPr>
                              <w:numPr>
                                <w:ilvl w:val="0"/>
                                <w:numId w:val="25"/>
                              </w:numPr>
                              <w:ind w:left="567" w:right="78" w:hanging="445"/>
                              <w:rPr>
                                <w:rFonts w:eastAsia="Verdana" w:cs="Verdana"/>
                                <w:color w:val="595959"/>
                                <w:sz w:val="18"/>
                                <w:szCs w:val="18"/>
                              </w:rPr>
                            </w:pPr>
                            <w:r>
                              <w:rPr>
                                <w:b/>
                                <w:color w:val="595959"/>
                                <w:sz w:val="18"/>
                                <w:szCs w:val="18"/>
                              </w:rPr>
                              <w:t xml:space="preserve">Proiecte finalizate/în derulare — </w:t>
                            </w:r>
                            <w:r>
                              <w:rPr>
                                <w:color w:val="595959"/>
                                <w:sz w:val="18"/>
                                <w:szCs w:val="18"/>
                              </w:rPr>
                              <w:t>Propunerile de proiecte care au fost deja finalizate vor fi respinse; propunerile de proiecte care au început deja vor fi evaluate individual (în acest caz, nu pot fi rambursate costuri pentru activitățile care au avut loc înainte de data de începere a proiectului/depunere a propunerii).</w:t>
                            </w:r>
                          </w:p>
                          <w:p w14:paraId="2A43FFFB" w14:textId="77777777" w:rsidR="00E02E47" w:rsidRPr="005C626D" w:rsidRDefault="00E02E47" w:rsidP="00E02E47">
                            <w:pPr>
                              <w:numPr>
                                <w:ilvl w:val="0"/>
                                <w:numId w:val="25"/>
                              </w:numPr>
                              <w:ind w:left="567" w:right="79" w:hanging="445"/>
                              <w:rPr>
                                <w:color w:val="595959"/>
                                <w:sz w:val="18"/>
                                <w:szCs w:val="18"/>
                              </w:rPr>
                            </w:pPr>
                            <w:r>
                              <w:rPr>
                                <w:b/>
                                <w:bCs/>
                                <w:color w:val="595959"/>
                                <w:sz w:val="18"/>
                                <w:szCs w:val="18"/>
                              </w:rPr>
                              <w:t>Combinație cu granturi de funcționare ale UE</w:t>
                            </w:r>
                            <w:r>
                              <w:rPr>
                                <w:b/>
                                <w:color w:val="595959"/>
                                <w:sz w:val="18"/>
                                <w:szCs w:val="18"/>
                              </w:rPr>
                              <w:t xml:space="preserve"> —</w:t>
                            </w:r>
                            <w:r>
                              <w:rPr>
                                <w:color w:val="595959"/>
                                <w:sz w:val="18"/>
                                <w:szCs w:val="18"/>
                              </w:rPr>
                              <w:t xml:space="preserve"> Combinația cu granturi de funcționare ale UE este posibilă dacă proiectul rămâne în afara programului de lucru al grantului de funcționare și dacă vă asigurați că elementele de cost sunt clar separate în contabilitate și NU sunt declarate de două ori </w:t>
                            </w:r>
                            <w:r>
                              <w:rPr>
                                <w:i/>
                                <w:color w:val="595959"/>
                                <w:sz w:val="18"/>
                                <w:szCs w:val="18"/>
                              </w:rPr>
                              <w:t xml:space="preserve">(vezi </w:t>
                            </w:r>
                            <w:hyperlink r:id="rId64" w:history="1">
                              <w:r>
                                <w:rPr>
                                  <w:rStyle w:val="Hyperlink"/>
                                  <w:i/>
                                  <w:sz w:val="18"/>
                                  <w:szCs w:val="18"/>
                                </w:rPr>
                                <w:t>AGA — model de Acord de grant adnotat, articolul 6.2.E</w:t>
                              </w:r>
                            </w:hyperlink>
                            <w:r>
                              <w:rPr>
                                <w:i/>
                                <w:color w:val="595959"/>
                                <w:sz w:val="18"/>
                                <w:szCs w:val="18"/>
                              </w:rPr>
                              <w:t>).</w:t>
                            </w:r>
                            <w:r>
                              <w:rPr>
                                <w:color w:val="4AA55B"/>
                                <w:sz w:val="18"/>
                                <w:szCs w:val="18"/>
                                <w:highlight w:val="yellow"/>
                              </w:rPr>
                              <w:t xml:space="preserve"> </w:t>
                            </w:r>
                          </w:p>
                          <w:p w14:paraId="0DC01CB9"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 xml:space="preserve">Propuneri multiple — </w:t>
                            </w:r>
                            <w:r>
                              <w:rPr>
                                <w:color w:val="595959"/>
                                <w:sz w:val="18"/>
                                <w:szCs w:val="18"/>
                              </w:rPr>
                              <w:t xml:space="preserve">Solicitanții pot depune mai multe propuneri pentru proiecte </w:t>
                            </w:r>
                            <w:r>
                              <w:rPr>
                                <w:i/>
                                <w:color w:val="595959"/>
                                <w:sz w:val="18"/>
                                <w:szCs w:val="18"/>
                              </w:rPr>
                              <w:t>diferite</w:t>
                            </w:r>
                            <w:r>
                              <w:rPr>
                                <w:color w:val="595959"/>
                                <w:sz w:val="18"/>
                                <w:szCs w:val="18"/>
                              </w:rPr>
                              <w:t xml:space="preserve"> în cadrul aceleiași cereri de propuneri (și li se va acorda o finanțare pentru acestea).</w:t>
                            </w:r>
                          </w:p>
                          <w:p w14:paraId="1E1AA533" w14:textId="77777777" w:rsidR="00E02E47" w:rsidRPr="00AB05C4" w:rsidRDefault="00E02E47" w:rsidP="00E02E47">
                            <w:pPr>
                              <w:spacing w:after="120"/>
                              <w:ind w:left="567" w:right="79"/>
                              <w:rPr>
                                <w:color w:val="595959"/>
                                <w:sz w:val="18"/>
                                <w:szCs w:val="18"/>
                              </w:rPr>
                            </w:pPr>
                            <w:r>
                              <w:rPr>
                                <w:color w:val="595959"/>
                                <w:sz w:val="18"/>
                                <w:szCs w:val="18"/>
                              </w:rPr>
                              <w:t>Organizațiile pot participa în cadrul mai multor propuneri.</w:t>
                            </w:r>
                          </w:p>
                          <w:p w14:paraId="7F404DA5" w14:textId="77777777" w:rsidR="00E02E47" w:rsidRPr="00AB05C4" w:rsidRDefault="00E02E47" w:rsidP="00E02E47">
                            <w:pPr>
                              <w:ind w:left="567" w:right="79"/>
                              <w:rPr>
                                <w:color w:val="595959"/>
                                <w:sz w:val="18"/>
                                <w:szCs w:val="18"/>
                              </w:rPr>
                            </w:pPr>
                            <w:r>
                              <w:rPr>
                                <w:color w:val="595959"/>
                                <w:sz w:val="18"/>
                                <w:szCs w:val="18"/>
                              </w:rPr>
                              <w:t xml:space="preserve">DAR: dacă există mai multe propuneri de proiecte </w:t>
                            </w:r>
                            <w:r>
                              <w:rPr>
                                <w:i/>
                                <w:color w:val="595959"/>
                                <w:sz w:val="18"/>
                                <w:szCs w:val="18"/>
                              </w:rPr>
                              <w:t>foarte asemănătoare</w:t>
                            </w:r>
                            <w:r>
                              <w:rPr>
                                <w:color w:val="595959"/>
                                <w:sz w:val="18"/>
                                <w:szCs w:val="18"/>
                              </w:rPr>
                              <w:t>, va fi acceptată și evaluată doar o singură cerere de finanțare; solicitanților li se va solicita să retragă una dintre ele (sau aceasta va fi respinsă).</w:t>
                            </w:r>
                          </w:p>
                          <w:p w14:paraId="60EFB504" w14:textId="77777777" w:rsidR="00E02E47" w:rsidRDefault="00E02E47" w:rsidP="00E02E47">
                            <w:pPr>
                              <w:numPr>
                                <w:ilvl w:val="0"/>
                                <w:numId w:val="25"/>
                              </w:numPr>
                              <w:ind w:left="567" w:right="79" w:hanging="445"/>
                              <w:rPr>
                                <w:rFonts w:cs="Arial"/>
                                <w:b/>
                                <w:iCs/>
                                <w:color w:val="595959"/>
                                <w:sz w:val="18"/>
                                <w:szCs w:val="18"/>
                              </w:rPr>
                            </w:pPr>
                            <w:r>
                              <w:rPr>
                                <w:b/>
                                <w:color w:val="595959"/>
                                <w:sz w:val="18"/>
                              </w:rPr>
                              <w:t>Redepunere</w:t>
                            </w:r>
                            <w:r>
                              <w:rPr>
                                <w:color w:val="595959"/>
                                <w:sz w:val="18"/>
                              </w:rPr>
                              <w:t xml:space="preserve"> </w:t>
                            </w:r>
                            <w:r>
                              <w:rPr>
                                <w:b/>
                                <w:color w:val="595959"/>
                                <w:sz w:val="18"/>
                                <w:szCs w:val="18"/>
                              </w:rPr>
                              <w:t>—</w:t>
                            </w:r>
                            <w:r>
                              <w:rPr>
                                <w:color w:val="595959"/>
                                <w:sz w:val="18"/>
                              </w:rPr>
                              <w:t xml:space="preserve"> Propunerile pot fi modificate și depuse din nou până la termenul de depunere.</w:t>
                            </w:r>
                          </w:p>
                          <w:p w14:paraId="670040E1" w14:textId="77777777" w:rsidR="00E02E47" w:rsidRPr="00310A7B" w:rsidRDefault="00E02E47" w:rsidP="00E02E47">
                            <w:pPr>
                              <w:numPr>
                                <w:ilvl w:val="0"/>
                                <w:numId w:val="25"/>
                              </w:numPr>
                              <w:spacing w:after="120"/>
                              <w:ind w:left="567" w:right="79" w:hanging="447"/>
                              <w:rPr>
                                <w:b/>
                                <w:bCs/>
                                <w:noProof/>
                                <w:sz w:val="18"/>
                                <w:szCs w:val="18"/>
                              </w:rPr>
                            </w:pPr>
                            <w:r>
                              <w:rPr>
                                <w:b/>
                                <w:color w:val="595959"/>
                                <w:sz w:val="18"/>
                                <w:szCs w:val="18"/>
                              </w:rPr>
                              <w:t>Respingere —</w:t>
                            </w:r>
                            <w:r>
                              <w:rPr>
                                <w:color w:val="595959"/>
                                <w:sz w:val="18"/>
                                <w:szCs w:val="18"/>
                              </w:rPr>
                              <w:t xml:space="preserve"> Prin depunerea cererii de finanțare, toți solicitanții acceptă condițiile cererii de propuneri stabilite în prezentul document (și în documentele la care face referire cererea de propuneri). Propunerile care nu respectă toate condițiile cererii de propuneri vor fi </w:t>
                            </w:r>
                            <w:r>
                              <w:rPr>
                                <w:b/>
                                <w:color w:val="595959"/>
                                <w:sz w:val="18"/>
                                <w:szCs w:val="18"/>
                              </w:rPr>
                              <w:t>respinse</w:t>
                            </w:r>
                            <w:r>
                              <w:rPr>
                                <w:color w:val="595959"/>
                                <w:sz w:val="18"/>
                                <w:szCs w:val="18"/>
                              </w:rPr>
                              <w:t>. Acest lucru se aplică și solicitanților: toți solicitanții trebuie să îndeplinească criteriile; dacă oricare dintre aceștia nu le respectă, el va trebui înlocuit sau întreaga propunere va fi respinsă.</w:t>
                            </w:r>
                          </w:p>
                          <w:p w14:paraId="0FC5DD32" w14:textId="77777777" w:rsidR="00E02E47" w:rsidRPr="00310A7B" w:rsidRDefault="00E02E47" w:rsidP="00E02E47">
                            <w:pPr>
                              <w:numPr>
                                <w:ilvl w:val="0"/>
                                <w:numId w:val="25"/>
                              </w:numPr>
                              <w:spacing w:after="120"/>
                              <w:ind w:left="567" w:right="79" w:hanging="447"/>
                              <w:rPr>
                                <w:color w:val="595959"/>
                                <w:sz w:val="18"/>
                                <w:szCs w:val="18"/>
                              </w:rPr>
                            </w:pPr>
                            <w:r>
                              <w:rPr>
                                <w:b/>
                                <w:color w:val="595959"/>
                                <w:sz w:val="18"/>
                                <w:szCs w:val="18"/>
                              </w:rPr>
                              <w:t>Anulare</w:t>
                            </w:r>
                            <w:r>
                              <w:rPr>
                                <w:color w:val="595959"/>
                                <w:sz w:val="18"/>
                                <w:szCs w:val="18"/>
                              </w:rPr>
                              <w:t xml:space="preserve"> — Pot exista circumstanțe care pot necesita anularea cererii de propuneri. În acest caz, veți fi informat printr-o actualizare a cererii de propuneri sau a unei teme. Vă rugăm să rețineți că anulările exclud dreptul la despăgubiri.</w:t>
                            </w:r>
                          </w:p>
                          <w:p w14:paraId="34C37865"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Limba —</w:t>
                            </w:r>
                            <w:r>
                              <w:rPr>
                                <w:color w:val="595959"/>
                                <w:sz w:val="18"/>
                                <w:szCs w:val="18"/>
                              </w:rPr>
                              <w:t xml:space="preserve"> Puteți depune propunerea în orice limbă oficială a UE (totuși, rezumatul proiectului ar trebui să fie întotdeauna în limba engleză). Din motive de eficiență, vă recomandăm insistent să folosiți limba engleză pentru întreaga cerere de finanțare. Dacă aveți nevoie de documentația cererii de propuneri într-o altă limbă oficială a UE, vă rugăm să trimiteți o solicitare în termen de 10 zile de la publicarea cererii de propuneri (pentru datele de contact, </w:t>
                            </w:r>
                            <w:r>
                              <w:rPr>
                                <w:i/>
                                <w:color w:val="595959"/>
                                <w:sz w:val="18"/>
                                <w:szCs w:val="18"/>
                              </w:rPr>
                              <w:t>consultați secțiunea 12</w:t>
                            </w:r>
                            <w:r>
                              <w:rPr>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69" style="width:430.95pt;height:664.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" w14:anchorId="5CF682EB">
                <v:textbox>
                  <w:txbxContent>
                    <w:p w:rsidRPr="00310A7B" w:rsidR="00E02E47" w:rsidP="00E02E47" w:rsidRDefault="00E02E47" w14:paraId="44C0A553" w14:textId="77777777">
                      <w:pPr>
                        <w:numPr>
                          <w:ilvl w:val="0"/>
                          <w:numId w:val="25"/>
                        </w:numPr>
                        <w:ind w:left="567" w:right="78" w:hanging="445"/>
                        <w:rPr>
                          <w:color w:val="595959"/>
                          <w:sz w:val="18"/>
                          <w:szCs w:val="18"/>
                        </w:rPr>
                      </w:pPr>
                      <w:r>
                        <w:rPr>
                          <w:b/>
                          <w:color w:val="595959"/>
                          <w:sz w:val="18"/>
                          <w:szCs w:val="18"/>
                        </w:rPr>
                        <w:t>Buget echilibrat al proiectului</w:t>
                      </w:r>
                      <w:r>
                        <w:rPr>
                          <w:i/>
                          <w:color w:val="4AA55B"/>
                          <w:sz w:val="18"/>
                          <w:szCs w:val="18"/>
                        </w:rPr>
                        <w:t xml:space="preserve"> </w:t>
                      </w:r>
                      <w:r>
                        <w:rPr>
                          <w:b/>
                          <w:color w:val="595959"/>
                          <w:sz w:val="18"/>
                          <w:szCs w:val="18"/>
                        </w:rPr>
                        <w:t>–</w:t>
                      </w:r>
                      <w:r>
                        <w:rPr>
                          <w:color w:val="595959"/>
                          <w:sz w:val="18"/>
                          <w:szCs w:val="18"/>
                        </w:rPr>
                        <w:t xml:space="preserve"> Cererile de grant trebuie să asigure un buget echilibrat al proiectului și suficiente alte resurse pentru a derula proiectul cu succes </w:t>
                      </w:r>
                      <w:r>
                        <w:rPr>
                          <w:i/>
                          <w:color w:val="595959"/>
                          <w:sz w:val="18"/>
                          <w:szCs w:val="18"/>
                        </w:rPr>
                        <w:t>(de exemplu, contribuții proprii, venituri generate de acțiune, contribuții financiare din partea unor terți etc.)</w:t>
                      </w:r>
                      <w:r>
                        <w:rPr>
                          <w:color w:val="595959"/>
                          <w:sz w:val="18"/>
                          <w:szCs w:val="18"/>
                        </w:rPr>
                        <w:t xml:space="preserve">. Este posibil să vi se solicite să reduceți costurile estimate, dacă acestea nu sunt eligibile (inclusiv dacă sunt excesive). </w:t>
                      </w:r>
                    </w:p>
                    <w:p w:rsidRPr="00376DCA" w:rsidR="00E02E47" w:rsidP="00E02E47" w:rsidRDefault="00E02E47" w14:paraId="2D934BC7" w14:textId="77777777">
                      <w:pPr>
                        <w:numPr>
                          <w:ilvl w:val="0"/>
                          <w:numId w:val="25"/>
                        </w:numPr>
                        <w:ind w:left="567" w:right="78" w:hanging="445"/>
                        <w:rPr>
                          <w:color w:val="595959"/>
                          <w:sz w:val="18"/>
                          <w:szCs w:val="18"/>
                        </w:rPr>
                      </w:pPr>
                      <w:r>
                        <w:rPr>
                          <w:b/>
                          <w:bCs/>
                          <w:color w:val="595959"/>
                          <w:sz w:val="18"/>
                          <w:szCs w:val="18"/>
                        </w:rPr>
                        <w:t>Regula „fără</w:t>
                      </w:r>
                      <w:r>
                        <w:rPr>
                          <w:color w:val="595959"/>
                          <w:sz w:val="18"/>
                          <w:szCs w:val="18"/>
                        </w:rPr>
                        <w:t xml:space="preserve"> </w:t>
                      </w:r>
                      <w:r>
                        <w:rPr>
                          <w:b/>
                          <w:color w:val="595959"/>
                          <w:sz w:val="18"/>
                          <w:szCs w:val="18"/>
                        </w:rPr>
                        <w:t xml:space="preserve">profit” — </w:t>
                      </w:r>
                      <w:r>
                        <w:rPr>
                          <w:color w:val="595959"/>
                          <w:sz w:val="18"/>
                          <w:szCs w:val="18"/>
                        </w:rPr>
                        <w:t xml:space="preserve">Granturile NU pot să aducă profit (adică excedent de venituri + grant UE care să depășească costurile). Acest lucru va fi verificat de noi la finalul proiectului. </w:t>
                      </w:r>
                    </w:p>
                    <w:p w:rsidRPr="00310A7B" w:rsidR="00E02E47" w:rsidP="00E02E47" w:rsidRDefault="00E02E47" w14:paraId="06CED6FB" w14:textId="77777777">
                      <w:pPr>
                        <w:numPr>
                          <w:ilvl w:val="0"/>
                          <w:numId w:val="25"/>
                        </w:numPr>
                        <w:ind w:left="567" w:right="79" w:hanging="445"/>
                        <w:rPr>
                          <w:color w:val="595959"/>
                          <w:sz w:val="18"/>
                          <w:szCs w:val="18"/>
                        </w:rPr>
                      </w:pPr>
                      <w:r>
                        <w:rPr>
                          <w:b/>
                          <w:color w:val="595959"/>
                          <w:sz w:val="18"/>
                          <w:szCs w:val="18"/>
                        </w:rPr>
                        <w:t>Fără dublă finanțare —</w:t>
                      </w:r>
                      <w:r>
                        <w:rPr>
                          <w:color w:val="595959"/>
                          <w:sz w:val="18"/>
                          <w:szCs w:val="18"/>
                        </w:rPr>
                        <w:t xml:space="preserve"> Există o interdicție strictă privind dubla finanțare de la bugetul UE (cu excepția granturilor UE pentru sinergii). În afara unor astfel de acțiuni care vizează sinergii, orice acțiune poate primi doar UN SINGUR grant de la bugetul UE, iar elementele de cost nu pot fi declarate în NICIO situație pentru două acțiuni diferite ale UE.</w:t>
                      </w:r>
                    </w:p>
                    <w:p w:rsidRPr="006010BA" w:rsidR="00E02E47" w:rsidP="00E02E47" w:rsidRDefault="00E02E47" w14:paraId="481A0BD0" w14:textId="77777777">
                      <w:pPr>
                        <w:numPr>
                          <w:ilvl w:val="0"/>
                          <w:numId w:val="25"/>
                        </w:numPr>
                        <w:ind w:left="567" w:right="78" w:hanging="445"/>
                        <w:rPr>
                          <w:rFonts w:eastAsia="Verdana" w:cs="Verdana"/>
                          <w:color w:val="595959"/>
                          <w:sz w:val="18"/>
                          <w:szCs w:val="18"/>
                        </w:rPr>
                      </w:pPr>
                      <w:r>
                        <w:rPr>
                          <w:b/>
                          <w:color w:val="595959"/>
                          <w:sz w:val="18"/>
                          <w:szCs w:val="18"/>
                        </w:rPr>
                        <w:t xml:space="preserve">Proiecte finalizate/în derulare — </w:t>
                      </w:r>
                      <w:r>
                        <w:rPr>
                          <w:color w:val="595959"/>
                          <w:sz w:val="18"/>
                          <w:szCs w:val="18"/>
                        </w:rPr>
                        <w:t>Propunerile de proiecte care au fost deja finalizate vor fi respinse; propunerile de proiecte care au început deja vor fi evaluate individual (în acest caz, nu pot fi rambursate costuri pentru activitățile care au avut loc înainte de data de începere a proiectului/depunere a propunerii).</w:t>
                      </w:r>
                    </w:p>
                    <w:p w:rsidRPr="005C626D" w:rsidR="00E02E47" w:rsidP="00E02E47" w:rsidRDefault="00E02E47" w14:paraId="2A43FFFB" w14:textId="77777777">
                      <w:pPr>
                        <w:numPr>
                          <w:ilvl w:val="0"/>
                          <w:numId w:val="25"/>
                        </w:numPr>
                        <w:ind w:left="567" w:right="79" w:hanging="445"/>
                        <w:rPr>
                          <w:color w:val="595959"/>
                          <w:sz w:val="18"/>
                          <w:szCs w:val="18"/>
                        </w:rPr>
                      </w:pPr>
                      <w:r>
                        <w:rPr>
                          <w:b/>
                          <w:bCs/>
                          <w:color w:val="595959"/>
                          <w:sz w:val="18"/>
                          <w:szCs w:val="18"/>
                        </w:rPr>
                        <w:t>Combinație cu granturi de funcționare ale UE</w:t>
                      </w:r>
                      <w:r>
                        <w:rPr>
                          <w:b/>
                          <w:color w:val="595959"/>
                          <w:sz w:val="18"/>
                          <w:szCs w:val="18"/>
                        </w:rPr>
                        <w:t xml:space="preserve"> —</w:t>
                      </w:r>
                      <w:r>
                        <w:rPr>
                          <w:color w:val="595959"/>
                          <w:sz w:val="18"/>
                          <w:szCs w:val="18"/>
                        </w:rPr>
                        <w:t xml:space="preserve"> Combinația cu granturi de funcționare ale UE este posibilă dacă proiectul rămâne în afara programului de lucru al grantului de funcționare și dacă vă asigurați că elementele de cost sunt clar separate în contabilitate și NU sunt declarate de două ori </w:t>
                      </w:r>
                      <w:r>
                        <w:rPr>
                          <w:i/>
                          <w:color w:val="595959"/>
                          <w:sz w:val="18"/>
                          <w:szCs w:val="18"/>
                        </w:rPr>
                        <w:t xml:space="preserve">(vezi </w:t>
                      </w:r>
                      <w:hyperlink w:history="1" r:id="rId65">
                        <w:r>
                          <w:rPr>
                            <w:rStyle w:val="Hyperlink"/>
                            <w:i/>
                            <w:sz w:val="18"/>
                            <w:szCs w:val="18"/>
                          </w:rPr>
                          <w:t>AGA — model de Acord de grant adnotat, articolul 6.2.E</w:t>
                        </w:r>
                      </w:hyperlink>
                      <w:r>
                        <w:rPr>
                          <w:i/>
                          <w:color w:val="595959"/>
                          <w:sz w:val="18"/>
                          <w:szCs w:val="18"/>
                        </w:rPr>
                        <w:t>).</w:t>
                      </w:r>
                      <w:r>
                        <w:rPr>
                          <w:color w:val="4AA55B"/>
                          <w:sz w:val="18"/>
                          <w:szCs w:val="18"/>
                          <w:highlight w:val="yellow"/>
                        </w:rPr>
                        <w:t xml:space="preserve"> </w:t>
                      </w:r>
                    </w:p>
                    <w:p w:rsidRPr="00310A7B" w:rsidR="00E02E47" w:rsidP="00E02E47" w:rsidRDefault="00E02E47" w14:paraId="0DC01CB9" w14:textId="77777777">
                      <w:pPr>
                        <w:numPr>
                          <w:ilvl w:val="0"/>
                          <w:numId w:val="25"/>
                        </w:numPr>
                        <w:ind w:left="567" w:right="79" w:hanging="445"/>
                        <w:rPr>
                          <w:color w:val="595959"/>
                          <w:sz w:val="18"/>
                          <w:szCs w:val="18"/>
                        </w:rPr>
                      </w:pPr>
                      <w:r>
                        <w:rPr>
                          <w:b/>
                          <w:color w:val="595959"/>
                          <w:sz w:val="18"/>
                          <w:szCs w:val="18"/>
                        </w:rPr>
                        <w:t xml:space="preserve">Propuneri multiple — </w:t>
                      </w:r>
                      <w:r>
                        <w:rPr>
                          <w:color w:val="595959"/>
                          <w:sz w:val="18"/>
                          <w:szCs w:val="18"/>
                        </w:rPr>
                        <w:t xml:space="preserve">Solicitanții pot depune mai multe propuneri pentru proiecte </w:t>
                      </w:r>
                      <w:r>
                        <w:rPr>
                          <w:i/>
                          <w:color w:val="595959"/>
                          <w:sz w:val="18"/>
                          <w:szCs w:val="18"/>
                        </w:rPr>
                        <w:t>diferite</w:t>
                      </w:r>
                      <w:r>
                        <w:rPr>
                          <w:color w:val="595959"/>
                          <w:sz w:val="18"/>
                          <w:szCs w:val="18"/>
                        </w:rPr>
                        <w:t xml:space="preserve"> în cadrul aceleiași cereri de propuneri (și li se va acorda o finanțare pentru acestea).</w:t>
                      </w:r>
                    </w:p>
                    <w:p w:rsidRPr="00AB05C4" w:rsidR="00E02E47" w:rsidP="00E02E47" w:rsidRDefault="00E02E47" w14:paraId="1E1AA533" w14:textId="77777777">
                      <w:pPr>
                        <w:spacing w:after="120"/>
                        <w:ind w:left="567" w:right="79"/>
                        <w:rPr>
                          <w:color w:val="595959"/>
                          <w:sz w:val="18"/>
                          <w:szCs w:val="18"/>
                        </w:rPr>
                      </w:pPr>
                      <w:r>
                        <w:rPr>
                          <w:color w:val="595959"/>
                          <w:sz w:val="18"/>
                          <w:szCs w:val="18"/>
                        </w:rPr>
                        <w:t>Organizațiile pot participa în cadrul mai multor propuneri.</w:t>
                      </w:r>
                    </w:p>
                    <w:p w:rsidRPr="00AB05C4" w:rsidR="00E02E47" w:rsidP="00E02E47" w:rsidRDefault="00E02E47" w14:paraId="7F404DA5" w14:textId="77777777">
                      <w:pPr>
                        <w:ind w:left="567" w:right="79"/>
                        <w:rPr>
                          <w:color w:val="595959"/>
                          <w:sz w:val="18"/>
                          <w:szCs w:val="18"/>
                        </w:rPr>
                      </w:pPr>
                      <w:r>
                        <w:rPr>
                          <w:color w:val="595959"/>
                          <w:sz w:val="18"/>
                          <w:szCs w:val="18"/>
                        </w:rPr>
                        <w:t xml:space="preserve">DAR: dacă există mai multe propuneri de proiecte </w:t>
                      </w:r>
                      <w:r>
                        <w:rPr>
                          <w:i/>
                          <w:color w:val="595959"/>
                          <w:sz w:val="18"/>
                          <w:szCs w:val="18"/>
                        </w:rPr>
                        <w:t>foarte asemănătoare</w:t>
                      </w:r>
                      <w:r>
                        <w:rPr>
                          <w:color w:val="595959"/>
                          <w:sz w:val="18"/>
                          <w:szCs w:val="18"/>
                        </w:rPr>
                        <w:t>, va fi acceptată și evaluată doar o singură cerere de finanțare; solicitanților li se va solicita să retragă una dintre ele (sau aceasta va fi respinsă).</w:t>
                      </w:r>
                    </w:p>
                    <w:p w:rsidR="00E02E47" w:rsidP="00E02E47" w:rsidRDefault="00E02E47" w14:paraId="60EFB504" w14:textId="77777777">
                      <w:pPr>
                        <w:numPr>
                          <w:ilvl w:val="0"/>
                          <w:numId w:val="25"/>
                        </w:numPr>
                        <w:ind w:left="567" w:right="79" w:hanging="445"/>
                        <w:rPr>
                          <w:rFonts w:cs="Arial"/>
                          <w:b/>
                          <w:iCs/>
                          <w:color w:val="595959"/>
                          <w:sz w:val="18"/>
                          <w:szCs w:val="18"/>
                        </w:rPr>
                      </w:pPr>
                      <w:r>
                        <w:rPr>
                          <w:b/>
                          <w:color w:val="595959"/>
                          <w:sz w:val="18"/>
                        </w:rPr>
                        <w:t>Redepunere</w:t>
                      </w:r>
                      <w:r>
                        <w:rPr>
                          <w:color w:val="595959"/>
                          <w:sz w:val="18"/>
                        </w:rPr>
                        <w:t xml:space="preserve"> </w:t>
                      </w:r>
                      <w:r>
                        <w:rPr>
                          <w:b/>
                          <w:color w:val="595959"/>
                          <w:sz w:val="18"/>
                          <w:szCs w:val="18"/>
                        </w:rPr>
                        <w:t>—</w:t>
                      </w:r>
                      <w:r>
                        <w:rPr>
                          <w:color w:val="595959"/>
                          <w:sz w:val="18"/>
                        </w:rPr>
                        <w:t xml:space="preserve"> Propunerile pot fi modificate și depuse din nou până la termenul de depunere.</w:t>
                      </w:r>
                    </w:p>
                    <w:p w:rsidRPr="00310A7B" w:rsidR="00E02E47" w:rsidP="00E02E47" w:rsidRDefault="00E02E47" w14:paraId="670040E1" w14:textId="77777777">
                      <w:pPr>
                        <w:numPr>
                          <w:ilvl w:val="0"/>
                          <w:numId w:val="25"/>
                        </w:numPr>
                        <w:spacing w:after="120"/>
                        <w:ind w:left="567" w:right="79" w:hanging="447"/>
                        <w:rPr>
                          <w:b/>
                          <w:bCs/>
                          <w:noProof/>
                          <w:sz w:val="18"/>
                          <w:szCs w:val="18"/>
                        </w:rPr>
                      </w:pPr>
                      <w:r>
                        <w:rPr>
                          <w:b/>
                          <w:color w:val="595959"/>
                          <w:sz w:val="18"/>
                          <w:szCs w:val="18"/>
                        </w:rPr>
                        <w:t>Respingere —</w:t>
                      </w:r>
                      <w:r>
                        <w:rPr>
                          <w:color w:val="595959"/>
                          <w:sz w:val="18"/>
                          <w:szCs w:val="18"/>
                        </w:rPr>
                        <w:t xml:space="preserve"> Prin depunerea cererii de finanțare, toți solicitanții acceptă condițiile cererii de propuneri stabilite în prezentul document (și în documentele la care face referire cererea de propuneri). Propunerile care nu respectă toate condițiile cererii de propuneri vor fi </w:t>
                      </w:r>
                      <w:r>
                        <w:rPr>
                          <w:b/>
                          <w:color w:val="595959"/>
                          <w:sz w:val="18"/>
                          <w:szCs w:val="18"/>
                        </w:rPr>
                        <w:t>respinse</w:t>
                      </w:r>
                      <w:r>
                        <w:rPr>
                          <w:color w:val="595959"/>
                          <w:sz w:val="18"/>
                          <w:szCs w:val="18"/>
                        </w:rPr>
                        <w:t>. Acest lucru se aplică și solicitanților: toți solicitanții trebuie să îndeplinească criteriile; dacă oricare dintre aceștia nu le respectă, el va trebui înlocuit sau întreaga propunere va fi respinsă.</w:t>
                      </w:r>
                    </w:p>
                    <w:p w:rsidRPr="00310A7B" w:rsidR="00E02E47" w:rsidP="00E02E47" w:rsidRDefault="00E02E47" w14:paraId="0FC5DD32" w14:textId="77777777">
                      <w:pPr>
                        <w:numPr>
                          <w:ilvl w:val="0"/>
                          <w:numId w:val="25"/>
                        </w:numPr>
                        <w:spacing w:after="120"/>
                        <w:ind w:left="567" w:right="79" w:hanging="447"/>
                        <w:rPr>
                          <w:color w:val="595959"/>
                          <w:sz w:val="18"/>
                          <w:szCs w:val="18"/>
                        </w:rPr>
                      </w:pPr>
                      <w:r>
                        <w:rPr>
                          <w:b/>
                          <w:color w:val="595959"/>
                          <w:sz w:val="18"/>
                          <w:szCs w:val="18"/>
                        </w:rPr>
                        <w:t>Anulare</w:t>
                      </w:r>
                      <w:r>
                        <w:rPr>
                          <w:color w:val="595959"/>
                          <w:sz w:val="18"/>
                          <w:szCs w:val="18"/>
                        </w:rPr>
                        <w:t xml:space="preserve"> — Pot exista circumstanțe care pot necesita anularea cererii de propuneri. În acest caz, veți fi informat printr-o actualizare a cererii de propuneri sau a unei teme. Vă rugăm să rețineți că anulările exclud dreptul la despăgubiri.</w:t>
                      </w:r>
                    </w:p>
                    <w:p w:rsidRPr="00310A7B" w:rsidR="00E02E47" w:rsidP="00E02E47" w:rsidRDefault="00E02E47" w14:paraId="34C37865" w14:textId="77777777">
                      <w:pPr>
                        <w:numPr>
                          <w:ilvl w:val="0"/>
                          <w:numId w:val="25"/>
                        </w:numPr>
                        <w:ind w:left="567" w:right="79" w:hanging="445"/>
                        <w:rPr>
                          <w:color w:val="595959"/>
                          <w:sz w:val="18"/>
                          <w:szCs w:val="18"/>
                        </w:rPr>
                      </w:pPr>
                      <w:r>
                        <w:rPr>
                          <w:b/>
                          <w:color w:val="595959"/>
                          <w:sz w:val="18"/>
                          <w:szCs w:val="18"/>
                        </w:rPr>
                        <w:t>Limba —</w:t>
                      </w:r>
                      <w:r>
                        <w:rPr>
                          <w:color w:val="595959"/>
                          <w:sz w:val="18"/>
                          <w:szCs w:val="18"/>
                        </w:rPr>
                        <w:t xml:space="preserve"> Puteți depune propunerea în orice limbă oficială a UE (totuși, rezumatul proiectului ar trebui să fie întotdeauna în limba engleză). Din motive de eficiență, vă recomandăm insistent să folosiți limba engleză pentru întreaga cerere de finanțare. Dacă aveți nevoie de documentația cererii de propuneri într-o altă limbă oficială a UE, vă rugăm să trimiteți o solicitare în termen de 10 zile de la publicarea cererii de propuneri (pentru datele de contact, </w:t>
                      </w:r>
                      <w:r>
                        <w:rPr>
                          <w:i/>
                          <w:color w:val="595959"/>
                          <w:sz w:val="18"/>
                          <w:szCs w:val="18"/>
                        </w:rPr>
                        <w:t>consultați secțiunea 12</w:t>
                      </w:r>
                      <w:r>
                        <w:rPr>
                          <w:color w:val="595959"/>
                          <w:sz w:val="18"/>
                          <w:szCs w:val="18"/>
                        </w:rPr>
                        <w:t>).</w:t>
                      </w:r>
                    </w:p>
                  </w:txbxContent>
                </v:textbox>
                <w10:anchorlock/>
              </v:shape>
            </w:pict>
          </mc:Fallback>
        </mc:AlternateContent>
      </w:r>
    </w:p>
    <w:p w14:paraId="4A580B9B" w14:textId="5D79C5A8" w:rsidR="00E02E47" w:rsidRDefault="00E02E47" w:rsidP="00DC47B2">
      <w:pPr>
        <w:widowControl w:val="0"/>
        <w:ind w:right="366"/>
        <w:rPr>
          <w:rFonts w:cs="Arial"/>
        </w:rPr>
      </w:pPr>
      <w:r>
        <w:rPr>
          <w:noProof/>
          <w:lang w:val="en-IE" w:eastAsia="en-IE"/>
        </w:rPr>
        <w:lastRenderedPageBreak/>
        <mc:AlternateContent>
          <mc:Choice Requires="wps">
            <w:drawing>
              <wp:inline distT="0" distB="0" distL="0" distR="0" wp14:anchorId="23A0AE0D" wp14:editId="3634E4E1">
                <wp:extent cx="5473065" cy="3705225"/>
                <wp:effectExtent l="0" t="0" r="13335" b="2857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705225"/>
                        </a:xfrm>
                        <a:prstGeom prst="rect">
                          <a:avLst/>
                        </a:prstGeom>
                        <a:solidFill>
                          <a:srgbClr val="F2F2F2"/>
                        </a:solidFill>
                        <a:ln w="19050">
                          <a:solidFill>
                            <a:srgbClr val="BFBFBF"/>
                          </a:solidFill>
                          <a:miter lim="800000"/>
                          <a:headEnd/>
                          <a:tailEnd/>
                        </a:ln>
                      </wps:spPr>
                      <wps:txbx>
                        <w:txbxContent>
                          <w:p w14:paraId="70A0E3AE" w14:textId="4E9C6745" w:rsidR="00D9124D" w:rsidRPr="00310A7B" w:rsidRDefault="00D9124D" w:rsidP="00E02E47">
                            <w:pPr>
                              <w:numPr>
                                <w:ilvl w:val="0"/>
                                <w:numId w:val="26"/>
                              </w:numPr>
                              <w:spacing w:after="120"/>
                              <w:ind w:left="567" w:right="79" w:hanging="425"/>
                              <w:rPr>
                                <w:color w:val="595959"/>
                                <w:sz w:val="18"/>
                                <w:szCs w:val="18"/>
                              </w:rPr>
                            </w:pPr>
                            <w:r>
                              <w:rPr>
                                <w:b/>
                                <w:color w:val="595959"/>
                                <w:sz w:val="18"/>
                                <w:szCs w:val="18"/>
                              </w:rPr>
                              <w:t xml:space="preserve">Transparență — </w:t>
                            </w:r>
                            <w:r>
                              <w:rPr>
                                <w:color w:val="595959"/>
                                <w:sz w:val="18"/>
                                <w:szCs w:val="18"/>
                              </w:rPr>
                              <w:t xml:space="preserve">În conformitate cu articolul 38 din </w:t>
                            </w:r>
                            <w:hyperlink r:id="rId66" w:history="1">
                              <w:r>
                                <w:rPr>
                                  <w:color w:val="0088CC"/>
                                  <w:sz w:val="18"/>
                                  <w:szCs w:val="24"/>
                                  <w:u w:val="single"/>
                                </w:rPr>
                                <w:t>Regulamentul financiar al UE</w:t>
                              </w:r>
                            </w:hyperlink>
                            <w:r>
                              <w:rPr>
                                <w:color w:val="595959"/>
                                <w:sz w:val="18"/>
                                <w:szCs w:val="18"/>
                              </w:rPr>
                              <w:t xml:space="preserve">, informații cu privire la granturile UE atribuite sunt publicate în fiecare an pe </w:t>
                            </w:r>
                            <w:hyperlink r:id="rId67" w:history="1">
                              <w:r>
                                <w:rPr>
                                  <w:rStyle w:val="Hyperlink"/>
                                  <w:sz w:val="18"/>
                                  <w:szCs w:val="18"/>
                                </w:rPr>
                                <w:t>site-ul web Europa</w:t>
                              </w:r>
                            </w:hyperlink>
                            <w:r>
                              <w:rPr>
                                <w:color w:val="595959"/>
                                <w:sz w:val="18"/>
                                <w:szCs w:val="18"/>
                              </w:rPr>
                              <w:t>.</w:t>
                            </w:r>
                          </w:p>
                          <w:p w14:paraId="65E9D009" w14:textId="77777777" w:rsidR="00E02E47" w:rsidRPr="00310A7B" w:rsidRDefault="00E02E47" w:rsidP="00E02E47">
                            <w:pPr>
                              <w:spacing w:after="60"/>
                              <w:ind w:left="567" w:right="79"/>
                              <w:rPr>
                                <w:color w:val="595959"/>
                                <w:sz w:val="18"/>
                                <w:szCs w:val="18"/>
                              </w:rPr>
                            </w:pPr>
                            <w:r>
                              <w:rPr>
                                <w:color w:val="595959"/>
                                <w:sz w:val="18"/>
                                <w:szCs w:val="18"/>
                              </w:rPr>
                              <w:t>Aceste informații cuprind:</w:t>
                            </w:r>
                          </w:p>
                          <w:p w14:paraId="55DEDA69"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numele beneficiarilor;</w:t>
                            </w:r>
                          </w:p>
                          <w:p w14:paraId="616DD29F"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adresele beneficiarilor;</w:t>
                            </w:r>
                          </w:p>
                          <w:p w14:paraId="4D360DDB"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scopul pentru care a fost atribuit grantul;</w:t>
                            </w:r>
                          </w:p>
                          <w:p w14:paraId="2DBE5A35" w14:textId="77777777" w:rsidR="00E02E47" w:rsidRPr="00310A7B" w:rsidRDefault="00E02E47" w:rsidP="00E02E47">
                            <w:pPr>
                              <w:widowControl w:val="0"/>
                              <w:numPr>
                                <w:ilvl w:val="0"/>
                                <w:numId w:val="27"/>
                              </w:numPr>
                              <w:spacing w:after="120"/>
                              <w:ind w:left="1134" w:hanging="380"/>
                              <w:jc w:val="left"/>
                              <w:rPr>
                                <w:color w:val="595959"/>
                                <w:sz w:val="18"/>
                                <w:szCs w:val="18"/>
                              </w:rPr>
                            </w:pPr>
                            <w:r>
                              <w:rPr>
                                <w:color w:val="595959"/>
                                <w:sz w:val="18"/>
                                <w:szCs w:val="18"/>
                              </w:rPr>
                              <w:t>cuantumul maxim atribuit.</w:t>
                            </w:r>
                          </w:p>
                          <w:p w14:paraId="7A978050" w14:textId="77777777" w:rsidR="00E02E47" w:rsidRPr="00310A7B" w:rsidRDefault="00E02E47" w:rsidP="00E02E47">
                            <w:pPr>
                              <w:widowControl w:val="0"/>
                              <w:ind w:left="567"/>
                              <w:rPr>
                                <w:color w:val="595959"/>
                                <w:sz w:val="18"/>
                                <w:szCs w:val="18"/>
                              </w:rPr>
                            </w:pPr>
                            <w:r>
                              <w:rPr>
                                <w:color w:val="595959"/>
                                <w:sz w:val="18"/>
                                <w:szCs w:val="18"/>
                              </w:rPr>
                              <w:t>În mod excepțional, se poate renunța la publicare (pe baza unei solicitări motivate și justificate în mod corespunzător), dacă există riscul ca divulgarea să vă afecteze drepturile și libertățile în temeiul Cartei drepturilor fundamentale a UE sau să vă lezeze interesele comerciale.</w:t>
                            </w:r>
                          </w:p>
                          <w:p w14:paraId="3CE68070" w14:textId="50F2A162" w:rsidR="00830E63" w:rsidRPr="00830E63" w:rsidRDefault="00830E63" w:rsidP="00E02E47">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Protecția datelor</w:t>
                            </w:r>
                            <w:r>
                              <w:rPr>
                                <w:rFonts w:ascii="Verdana" w:hAnsi="Verdana"/>
                                <w:color w:val="595959"/>
                                <w:sz w:val="18"/>
                                <w:szCs w:val="18"/>
                              </w:rPr>
                              <w:t xml:space="preserve"> — Depunerea unei propuneri în cadrul prezentei cereri de propuneri implică culegerea, utilizarea și prelucrarea datelor cu caracter personal. Aceste date vor fi prelucrate în conformitate cu cadrul juridic aplicabil. Ele vor fi prelucrate exclusiv în scopul evaluării propunerii dumneavoastră, al gestionării ulterioare a grantului și, dacă este necesar, al monitorizării, al evaluării și al comunicării aferente programului. Detaliile sunt explicate în </w:t>
                            </w:r>
                            <w:hyperlink r:id="rId68" w:history="1">
                              <w:r>
                                <w:rPr>
                                  <w:rStyle w:val="Hyperlink"/>
                                  <w:rFonts w:ascii="Verdana" w:hAnsi="Verdana"/>
                                  <w:sz w:val="18"/>
                                  <w:szCs w:val="20"/>
                                </w:rPr>
                                <w:t>Declarația de confidențialitate de pe portalul Finanțare și licitații</w:t>
                              </w:r>
                            </w:hyperlink>
                            <w:r>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21" style="width:430.95pt;height:291.75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" w14:anchorId="23A0AE0D">
                <v:textbox>
                  <w:txbxContent>
                    <w:p w:rsidRPr="00310A7B" w:rsidR="00D9124D" w:rsidP="00E02E47" w:rsidRDefault="00D9124D" w14:paraId="70A0E3AE" w14:textId="4E9C6745">
                      <w:pPr>
                        <w:numPr>
                          <w:ilvl w:val="0"/>
                          <w:numId w:val="26"/>
                        </w:numPr>
                        <w:spacing w:after="120"/>
                        <w:ind w:left="567" w:right="79" w:hanging="425"/>
                        <w:rPr>
                          <w:color w:val="595959"/>
                          <w:sz w:val="18"/>
                          <w:szCs w:val="18"/>
                        </w:rPr>
                      </w:pPr>
                      <w:r>
                        <w:rPr>
                          <w:b/>
                          <w:color w:val="595959"/>
                          <w:sz w:val="18"/>
                          <w:szCs w:val="18"/>
                        </w:rPr>
                        <w:t xml:space="preserve">Transparență — </w:t>
                      </w:r>
                      <w:r>
                        <w:rPr>
                          <w:color w:val="595959"/>
                          <w:sz w:val="18"/>
                          <w:szCs w:val="18"/>
                        </w:rPr>
                        <w:t xml:space="preserve">În conformitate cu articolul 38 din </w:t>
                      </w:r>
                      <w:hyperlink w:history="1" r:id="rId69">
                        <w:r>
                          <w:rPr>
                            <w:color w:val="0088CC"/>
                            <w:sz w:val="18"/>
                            <w:szCs w:val="24"/>
                            <w:u w:val="single"/>
                          </w:rPr>
                          <w:t>Regulamentul financiar al UE</w:t>
                        </w:r>
                      </w:hyperlink>
                      <w:r>
                        <w:rPr>
                          <w:color w:val="595959"/>
                          <w:sz w:val="18"/>
                          <w:szCs w:val="18"/>
                        </w:rPr>
                        <w:t xml:space="preserve">, informații cu privire la granturile UE atribuite sunt publicate în fiecare an pe </w:t>
                      </w:r>
                      <w:hyperlink w:history="1" r:id="rId70">
                        <w:r>
                          <w:rPr>
                            <w:rStyle w:val="Hyperlink"/>
                            <w:sz w:val="18"/>
                            <w:szCs w:val="18"/>
                          </w:rPr>
                          <w:t>site-ul web Europa</w:t>
                        </w:r>
                      </w:hyperlink>
                      <w:r>
                        <w:rPr>
                          <w:color w:val="595959"/>
                          <w:sz w:val="18"/>
                          <w:szCs w:val="18"/>
                        </w:rPr>
                        <w:t>.</w:t>
                      </w:r>
                    </w:p>
                    <w:p w:rsidRPr="00310A7B" w:rsidR="00E02E47" w:rsidP="00E02E47" w:rsidRDefault="00E02E47" w14:paraId="65E9D009" w14:textId="77777777">
                      <w:pPr>
                        <w:spacing w:after="60"/>
                        <w:ind w:left="567" w:right="79"/>
                        <w:rPr>
                          <w:color w:val="595959"/>
                          <w:sz w:val="18"/>
                          <w:szCs w:val="18"/>
                        </w:rPr>
                      </w:pPr>
                      <w:r>
                        <w:rPr>
                          <w:color w:val="595959"/>
                          <w:sz w:val="18"/>
                          <w:szCs w:val="18"/>
                        </w:rPr>
                        <w:t>Aceste informații cuprind:</w:t>
                      </w:r>
                    </w:p>
                    <w:p w:rsidRPr="00310A7B" w:rsidR="00E02E47" w:rsidP="00E02E47" w:rsidRDefault="00E02E47" w14:paraId="55DEDA69" w14:textId="77777777">
                      <w:pPr>
                        <w:widowControl w:val="0"/>
                        <w:numPr>
                          <w:ilvl w:val="0"/>
                          <w:numId w:val="27"/>
                        </w:numPr>
                        <w:spacing w:after="60"/>
                        <w:ind w:left="1134" w:hanging="380"/>
                        <w:jc w:val="left"/>
                        <w:rPr>
                          <w:color w:val="595959"/>
                          <w:sz w:val="18"/>
                          <w:szCs w:val="18"/>
                        </w:rPr>
                      </w:pPr>
                      <w:r>
                        <w:rPr>
                          <w:color w:val="595959"/>
                          <w:sz w:val="18"/>
                          <w:szCs w:val="18"/>
                        </w:rPr>
                        <w:t>numele beneficiarilor;</w:t>
                      </w:r>
                    </w:p>
                    <w:p w:rsidRPr="00310A7B" w:rsidR="00E02E47" w:rsidP="00E02E47" w:rsidRDefault="00E02E47" w14:paraId="616DD29F" w14:textId="77777777">
                      <w:pPr>
                        <w:widowControl w:val="0"/>
                        <w:numPr>
                          <w:ilvl w:val="0"/>
                          <w:numId w:val="27"/>
                        </w:numPr>
                        <w:spacing w:after="60"/>
                        <w:ind w:left="1134" w:hanging="380"/>
                        <w:jc w:val="left"/>
                        <w:rPr>
                          <w:color w:val="595959"/>
                          <w:sz w:val="18"/>
                          <w:szCs w:val="18"/>
                        </w:rPr>
                      </w:pPr>
                      <w:r>
                        <w:rPr>
                          <w:color w:val="595959"/>
                          <w:sz w:val="18"/>
                          <w:szCs w:val="18"/>
                        </w:rPr>
                        <w:t>adresele beneficiarilor;</w:t>
                      </w:r>
                    </w:p>
                    <w:p w:rsidRPr="00310A7B" w:rsidR="00E02E47" w:rsidP="00E02E47" w:rsidRDefault="00E02E47" w14:paraId="4D360DDB" w14:textId="77777777">
                      <w:pPr>
                        <w:widowControl w:val="0"/>
                        <w:numPr>
                          <w:ilvl w:val="0"/>
                          <w:numId w:val="27"/>
                        </w:numPr>
                        <w:spacing w:after="60"/>
                        <w:ind w:left="1134" w:hanging="380"/>
                        <w:jc w:val="left"/>
                        <w:rPr>
                          <w:color w:val="595959"/>
                          <w:sz w:val="18"/>
                          <w:szCs w:val="18"/>
                        </w:rPr>
                      </w:pPr>
                      <w:r>
                        <w:rPr>
                          <w:color w:val="595959"/>
                          <w:sz w:val="18"/>
                          <w:szCs w:val="18"/>
                        </w:rPr>
                        <w:t>scopul pentru care a fost atribuit grantul;</w:t>
                      </w:r>
                    </w:p>
                    <w:p w:rsidRPr="00310A7B" w:rsidR="00E02E47" w:rsidP="00E02E47" w:rsidRDefault="00E02E47" w14:paraId="2DBE5A35" w14:textId="77777777">
                      <w:pPr>
                        <w:widowControl w:val="0"/>
                        <w:numPr>
                          <w:ilvl w:val="0"/>
                          <w:numId w:val="27"/>
                        </w:numPr>
                        <w:spacing w:after="120"/>
                        <w:ind w:left="1134" w:hanging="380"/>
                        <w:jc w:val="left"/>
                        <w:rPr>
                          <w:color w:val="595959"/>
                          <w:sz w:val="18"/>
                          <w:szCs w:val="18"/>
                        </w:rPr>
                      </w:pPr>
                      <w:r>
                        <w:rPr>
                          <w:color w:val="595959"/>
                          <w:sz w:val="18"/>
                          <w:szCs w:val="18"/>
                        </w:rPr>
                        <w:t>cuantumul maxim atribuit.</w:t>
                      </w:r>
                    </w:p>
                    <w:p w:rsidRPr="00310A7B" w:rsidR="00E02E47" w:rsidP="00E02E47" w:rsidRDefault="00E02E47" w14:paraId="7A978050" w14:textId="77777777">
                      <w:pPr>
                        <w:widowControl w:val="0"/>
                        <w:ind w:left="567"/>
                        <w:rPr>
                          <w:color w:val="595959"/>
                          <w:sz w:val="18"/>
                          <w:szCs w:val="18"/>
                        </w:rPr>
                      </w:pPr>
                      <w:r>
                        <w:rPr>
                          <w:color w:val="595959"/>
                          <w:sz w:val="18"/>
                          <w:szCs w:val="18"/>
                        </w:rPr>
                        <w:t>În mod excepțional, se poate renunța la publicare (pe baza unei solicitări motivate și justificate în mod corespunzător), dacă există riscul ca divulgarea să vă afecteze drepturile și libertățile în temeiul Cartei drepturilor fundamentale a UE sau să vă lezeze interesele comerciale.</w:t>
                      </w:r>
                    </w:p>
                    <w:p w:rsidRPr="00830E63" w:rsidR="00830E63" w:rsidP="00E02E47" w:rsidRDefault="00830E63" w14:paraId="3CE68070" w14:textId="50F2A162">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Protecția datelor</w:t>
                      </w:r>
                      <w:r>
                        <w:rPr>
                          <w:rFonts w:ascii="Verdana" w:hAnsi="Verdana"/>
                          <w:color w:val="595959"/>
                          <w:sz w:val="18"/>
                          <w:szCs w:val="18"/>
                        </w:rPr>
                        <w:t xml:space="preserve"> — Depunerea unei propuneri în cadrul prezentei cereri de propuneri implică culegerea, utilizarea și prelucrarea datelor cu caracter personal. Aceste date vor fi prelucrate în conformitate cu cadrul juridic aplicabil. Ele vor fi prelucrate exclusiv în scopul evaluării propunerii dumneavoastră, al gestionării ulterioare a grantului și, dacă este necesar, al monitorizării, al evaluării și al comunicării aferente programului. Detaliile sunt explicate în </w:t>
                      </w:r>
                      <w:hyperlink w:history="1" r:id="rId71">
                        <w:r>
                          <w:rPr>
                            <w:rStyle w:val="Hyperlink"/>
                            <w:rFonts w:ascii="Verdana" w:hAnsi="Verdana"/>
                            <w:sz w:val="18"/>
                            <w:szCs w:val="20"/>
                          </w:rPr>
                          <w:t>Declarația de confidențialitate de pe portalul Finanțare și licitații</w:t>
                        </w:r>
                      </w:hyperlink>
                      <w:r>
                        <w:rPr>
                          <w:rFonts w:ascii="Verdana" w:hAnsi="Verdana"/>
                          <w:color w:val="595959"/>
                          <w:sz w:val="18"/>
                          <w:szCs w:val="18"/>
                        </w:rPr>
                        <w:t>.</w:t>
                      </w:r>
                    </w:p>
                  </w:txbxContent>
                </v:textbox>
                <w10:anchorlock/>
              </v:shape>
            </w:pict>
          </mc:Fallback>
        </mc:AlternateContent>
      </w:r>
    </w:p>
    <w:sectPr w:rsidR="00E02E47"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6F0A3D19"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184E75">
      <w:rPr>
        <w:rFonts w:ascii="Verdana" w:hAnsi="Verdana"/>
        <w:noProof/>
      </w:rPr>
      <w:t>22</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307792" w:rsidRDefault="000579AF" w:rsidP="00924362">
      <w:pPr>
        <w:pStyle w:val="FootnoteText"/>
        <w:spacing w:after="0"/>
        <w:ind w:left="284" w:hanging="284"/>
        <w:rPr>
          <w:color w:val="000000"/>
          <w:sz w:val="16"/>
          <w:szCs w:val="16"/>
        </w:rPr>
      </w:pPr>
      <w:r>
        <w:rPr>
          <w:rStyle w:val="FootnoteReference"/>
          <w:sz w:val="16"/>
          <w:szCs w:val="16"/>
        </w:rPr>
        <w:footnoteRef/>
      </w:r>
      <w:r>
        <w:rPr>
          <w:sz w:val="16"/>
          <w:szCs w:val="16"/>
        </w:rPr>
        <w:t xml:space="preserve"> </w:t>
      </w:r>
      <w:r>
        <w:rPr>
          <w:sz w:val="16"/>
          <w:szCs w:val="16"/>
        </w:rPr>
        <w:tab/>
        <w:t>Regulamentul (UE) 2021/692 al Parlamentului European și al Consiliului din 28 aprilie 2021 de instituire a programului „Cetățeni, egalitate, drepturi și valori” (JO L 156, 5.5.2021, p. 1).</w:t>
      </w:r>
    </w:p>
  </w:footnote>
  <w:footnote w:id="3">
    <w:p w14:paraId="61A4F60E" w14:textId="3164B12C" w:rsidR="000579AF" w:rsidRPr="00EC2EA5" w:rsidRDefault="000579AF" w:rsidP="00924362">
      <w:pPr>
        <w:pStyle w:val="FootnoteText"/>
        <w:spacing w:after="0"/>
        <w:ind w:left="284" w:hanging="284"/>
        <w:rPr>
          <w:sz w:val="16"/>
          <w:szCs w:val="16"/>
        </w:rPr>
      </w:pPr>
      <w:r>
        <w:rPr>
          <w:rStyle w:val="FootnoteReference"/>
          <w:sz w:val="16"/>
        </w:rPr>
        <w:footnoteRef/>
      </w:r>
      <w:r>
        <w:t xml:space="preserve"> </w:t>
      </w:r>
      <w:r>
        <w:tab/>
      </w:r>
      <w:r>
        <w:rPr>
          <w:sz w:val="16"/>
          <w:szCs w:val="16"/>
        </w:rPr>
        <w:t>Decizia de punere în aplicare C(2021)2583 final a Comisiei din 19.4.2021 privind finanțarea programului „Cetățeni, egalitate, drepturi și valori” și adoptarea programului multianual de lucru pentru perioada 2021-2022.</w:t>
      </w:r>
    </w:p>
  </w:footnote>
  <w:footnote w:id="4">
    <w:p w14:paraId="190283C3" w14:textId="11605722" w:rsidR="000579AF" w:rsidRPr="00924362" w:rsidRDefault="000579AF" w:rsidP="00924362">
      <w:pPr>
        <w:pStyle w:val="FootnoteText"/>
        <w:spacing w:after="0"/>
        <w:ind w:left="284" w:hanging="284"/>
        <w:rPr>
          <w:sz w:val="16"/>
          <w:szCs w:val="16"/>
        </w:rPr>
      </w:pPr>
      <w:r>
        <w:rPr>
          <w:sz w:val="16"/>
          <w:szCs w:val="16"/>
          <w:vertAlign w:val="superscript"/>
        </w:rPr>
        <w:footnoteRef/>
      </w:r>
      <w:r>
        <w:rPr>
          <w:sz w:val="16"/>
          <w:szCs w:val="16"/>
        </w:rPr>
        <w:tab/>
        <w:t>Regulamentul (UE) nr. 1381/2013 al Parlamentului European și al Consiliului din 17 decembrie 2013 de instituire a programului „Drepturi, egalitate și cetățenie” pentru perioada 2014-2020 (JO L 354, 28.12.2013, p. 62).</w:t>
      </w:r>
    </w:p>
  </w:footnote>
  <w:footnote w:id="5">
    <w:p w14:paraId="10858EDC" w14:textId="37FB5CA3" w:rsidR="000579AF" w:rsidRPr="00924362" w:rsidRDefault="000579AF" w:rsidP="00924362">
      <w:pPr>
        <w:pStyle w:val="FootnoteText"/>
        <w:spacing w:after="0"/>
        <w:ind w:left="284" w:hanging="284"/>
        <w:rPr>
          <w:sz w:val="16"/>
          <w:szCs w:val="16"/>
        </w:rPr>
      </w:pPr>
      <w:r>
        <w:rPr>
          <w:sz w:val="16"/>
          <w:szCs w:val="16"/>
          <w:vertAlign w:val="superscript"/>
        </w:rPr>
        <w:footnoteRef/>
      </w:r>
      <w:r>
        <w:rPr>
          <w:sz w:val="16"/>
          <w:szCs w:val="16"/>
        </w:rPr>
        <w:t xml:space="preserve"> </w:t>
      </w:r>
      <w:r>
        <w:rPr>
          <w:sz w:val="16"/>
          <w:szCs w:val="16"/>
          <w:vertAlign w:val="superscript"/>
        </w:rPr>
        <w:tab/>
      </w:r>
      <w:r>
        <w:rPr>
          <w:sz w:val="16"/>
          <w:szCs w:val="16"/>
        </w:rPr>
        <w:t>Regulamentul (UE) nr. 390/2014 al Consiliului din 14 aprilie 2014 de instituire a programului „Europa pentru cetățeni” pentru perioada 2014-2020 (JO L 115, 17.4.2014, p. 3).</w:t>
      </w:r>
    </w:p>
  </w:footnote>
  <w:footnote w:id="6">
    <w:p w14:paraId="6EC6382E" w14:textId="411DB647"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w:anchor=":~:text=The%20European%20Democracy%20Action%20Plan%20is%20designed%20to,the%20EU%20by%20promoting%20free%20and%20fair%20elections" w:history="1">
        <w:r>
          <w:rPr>
            <w:rStyle w:val="Hyperlink"/>
            <w:sz w:val="16"/>
            <w:szCs w:val="16"/>
          </w:rPr>
          <w:t xml:space="preserve">Planul de acțiune pentru democrația europeană </w:t>
        </w:r>
      </w:hyperlink>
    </w:p>
  </w:footnote>
  <w:footnote w:id="7">
    <w:p w14:paraId="456627A2" w14:textId="2BE68C33"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r:id="rId1" w:history="1">
        <w:r>
          <w:rPr>
            <w:rStyle w:val="Hyperlink"/>
            <w:sz w:val="16"/>
            <w:szCs w:val="16"/>
          </w:rPr>
          <w:t xml:space="preserve">Cadrul strategic al UE pentru egalitatea, incluziunea și participarea romilor </w:t>
        </w:r>
      </w:hyperlink>
    </w:p>
  </w:footnote>
  <w:footnote w:id="8">
    <w:p w14:paraId="7B0B537B" w14:textId="527C1A3D"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r:id="rId2" w:history="1">
        <w:r>
          <w:rPr>
            <w:rStyle w:val="Hyperlink"/>
            <w:sz w:val="16"/>
            <w:szCs w:val="16"/>
          </w:rPr>
          <w:t xml:space="preserve">Strategia UE pentru consolidarea aplicării Cartei drepturilor fundamentale </w:t>
        </w:r>
      </w:hyperlink>
    </w:p>
  </w:footnote>
  <w:footnote w:id="9">
    <w:p w14:paraId="7C8E8985" w14:textId="7E077265" w:rsidR="000579AF" w:rsidRPr="00924362" w:rsidRDefault="000579AF" w:rsidP="00924362">
      <w:pPr>
        <w:pStyle w:val="FootnoteText"/>
        <w:spacing w:after="0"/>
        <w:ind w:left="284" w:hanging="284"/>
        <w:jc w:val="left"/>
        <w:rPr>
          <w:sz w:val="16"/>
          <w:szCs w:val="16"/>
        </w:rPr>
      </w:pPr>
      <w:r>
        <w:rPr>
          <w:rStyle w:val="FootnoteReference"/>
          <w:sz w:val="16"/>
          <w:szCs w:val="16"/>
        </w:rPr>
        <w:footnoteRef/>
      </w:r>
      <w:r>
        <w:rPr>
          <w:sz w:val="16"/>
          <w:szCs w:val="16"/>
        </w:rPr>
        <w:t xml:space="preserve"> </w:t>
      </w:r>
      <w:r>
        <w:rPr>
          <w:sz w:val="16"/>
          <w:szCs w:val="16"/>
        </w:rPr>
        <w:tab/>
      </w:r>
      <w:hyperlink r:id="rId3" w:history="1">
        <w:r>
          <w:rPr>
            <w:rStyle w:val="Hyperlink"/>
            <w:sz w:val="16"/>
            <w:szCs w:val="16"/>
          </w:rPr>
          <w:t>Raportul privind cetățenia UE - 2020</w:t>
        </w:r>
      </w:hyperlink>
    </w:p>
  </w:footnote>
  <w:footnote w:id="10">
    <w:p w14:paraId="5A4970F1" w14:textId="7EEDAE09" w:rsidR="000579AF" w:rsidRDefault="000579AF" w:rsidP="00732A4F">
      <w:pPr>
        <w:keepLines/>
        <w:spacing w:after="0"/>
        <w:ind w:left="284" w:hanging="284"/>
      </w:pPr>
      <w:r>
        <w:rPr>
          <w:rStyle w:val="FootnoteReference"/>
          <w:sz w:val="16"/>
          <w:szCs w:val="16"/>
        </w:rPr>
        <w:footnoteRef/>
      </w:r>
      <w:r>
        <w:rPr>
          <w:color w:val="2F5496"/>
          <w:sz w:val="16"/>
          <w:szCs w:val="16"/>
        </w:rPr>
        <w:t xml:space="preserve"> </w:t>
      </w:r>
      <w:r>
        <w:rPr>
          <w:color w:val="2F5496"/>
          <w:sz w:val="16"/>
          <w:szCs w:val="16"/>
        </w:rPr>
        <w:tab/>
      </w:r>
      <w:hyperlink r:id="rId4" w:history="1">
        <w:r>
          <w:rPr>
            <w:rStyle w:val="Hyperlink"/>
            <w:sz w:val="16"/>
            <w:szCs w:val="16"/>
          </w:rPr>
          <w:t>Conferința privind viitorul Europei</w:t>
        </w:r>
      </w:hyperlink>
      <w:r>
        <w:rPr>
          <w:sz w:val="16"/>
          <w:szCs w:val="16"/>
        </w:rPr>
        <w:t xml:space="preserve"> este un exercițiu bazat pe o abordare ascendentă, axat pe cetățeni, menit să le permită europenilor să aibă un cuvânt de spus cu privire la ce așteptări au ei de la Uniunea Europeană. Conferința va oferi cetățenilor un rol mai important în conturarea politicilor și a ambițiilor viitoare ale Uniunii, pentru a îmbunătăți reziliența acesteia. Acest lucru se va realiza printr-o multitudine de evenimente și dezbateri organizate în întreaga Uniune sub auspiciile conferinței, precum și printr-o platformă digitală interactivă în mai multe limbi. Evenimentele din cadrul conferinței – reuniuni fizice sau în mediul digital – pot fi organizate la diferite niveluri, inclusiv la nivel transnațional și european. Se dorește ca participarea cetățenilor la aceste evenimente să reflecte diversitatea Europei. Municipalitățile înfrățite sunt încurajate să participe la Conferința privind viitorul Europei.</w:t>
      </w:r>
    </w:p>
  </w:footnote>
  <w:footnote w:id="11">
    <w:p w14:paraId="0F69B04E" w14:textId="1D8FFFBA" w:rsidR="000579AF" w:rsidRPr="00732A4F" w:rsidRDefault="000579AF" w:rsidP="00924362">
      <w:pPr>
        <w:pStyle w:val="FootnoteText"/>
        <w:spacing w:after="0"/>
        <w:ind w:left="284" w:hanging="284"/>
        <w:rPr>
          <w:sz w:val="16"/>
          <w:szCs w:val="16"/>
          <w:highlight w:val="green"/>
        </w:rPr>
      </w:pPr>
      <w:r>
        <w:rPr>
          <w:rStyle w:val="FootnoteReference"/>
          <w:sz w:val="16"/>
          <w:szCs w:val="16"/>
        </w:rPr>
        <w:footnoteRef/>
      </w:r>
      <w:r>
        <w:rPr>
          <w:sz w:val="16"/>
          <w:szCs w:val="16"/>
        </w:rPr>
        <w:t xml:space="preserve"> </w:t>
      </w:r>
      <w:r>
        <w:rPr>
          <w:sz w:val="16"/>
          <w:szCs w:val="16"/>
        </w:rPr>
        <w:tab/>
        <w:t xml:space="preserve">Pentru informații suplimentare, consultați secțiunea </w:t>
      </w:r>
      <w:r>
        <w:rPr>
          <w:i/>
          <w:sz w:val="16"/>
          <w:szCs w:val="16"/>
        </w:rPr>
        <w:t>Etica și valorile UE.</w:t>
      </w:r>
    </w:p>
  </w:footnote>
  <w:footnote w:id="12">
    <w:p w14:paraId="17D7FFB5" w14:textId="79853DA1"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t>„Participanții invitați” sunt delegații care călătoresc din țări partenere eligibile din cadrul proiectului, altele decât țara care găzduiește evenimentul de înfrățire a orașelor.</w:t>
      </w:r>
    </w:p>
  </w:footnote>
  <w:footnote w:id="13">
    <w:p w14:paraId="228A0A98" w14:textId="079A3B62"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t>Coordonatorul este solicitantul principal al consorțiului.</w:t>
      </w:r>
    </w:p>
  </w:footnote>
  <w:footnote w:id="14">
    <w:p w14:paraId="527456B7" w14:textId="1E33C53A" w:rsidR="00683BCF" w:rsidRPr="00736C6F" w:rsidRDefault="000579AF" w:rsidP="00924362">
      <w:pPr>
        <w:pStyle w:val="FootnoteText"/>
        <w:spacing w:after="0"/>
        <w:ind w:left="284" w:hanging="284"/>
        <w:rPr>
          <w:sz w:val="16"/>
        </w:rPr>
      </w:pPr>
      <w:r>
        <w:rPr>
          <w:rStyle w:val="FootnoteReference"/>
          <w:sz w:val="16"/>
          <w:szCs w:val="16"/>
        </w:rPr>
        <w:footnoteRef/>
      </w:r>
      <w:r>
        <w:rPr>
          <w:sz w:val="16"/>
          <w:szCs w:val="16"/>
        </w:rPr>
        <w:t xml:space="preserve"> </w:t>
      </w:r>
      <w:r>
        <w:rPr>
          <w:sz w:val="16"/>
          <w:szCs w:val="16"/>
        </w:rPr>
        <w:tab/>
      </w:r>
      <w:r>
        <w:rPr>
          <w:sz w:val="16"/>
        </w:rPr>
        <w:t xml:space="preserve">Vezi articolul 197 alineatul (2) litera (c) din Regulamentul financiar al UE </w:t>
      </w:r>
      <w:hyperlink r:id="rId5" w:history="1">
        <w:r>
          <w:rPr>
            <w:bCs/>
            <w:color w:val="0088CC"/>
            <w:sz w:val="16"/>
            <w:szCs w:val="16"/>
            <w:u w:val="single"/>
          </w:rPr>
          <w:t>2018/1046</w:t>
        </w:r>
      </w:hyperlink>
      <w:r>
        <w:rPr>
          <w:sz w:val="16"/>
        </w:rPr>
        <w:t>.</w:t>
      </w:r>
    </w:p>
  </w:footnote>
  <w:footnote w:id="15">
    <w:p w14:paraId="58E63D84" w14:textId="4C88F785" w:rsidR="002D27D8" w:rsidRPr="003E0309"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t xml:space="preserve">Pentru definiții, vezi articolul 187 alineatul (2) și articolul 197 alineatul (2) litera (c) din Regulamentul financiar al UE </w:t>
      </w:r>
      <w:hyperlink r:id="rId6" w:history="1">
        <w:r>
          <w:rPr>
            <w:bCs/>
            <w:color w:val="0088CC"/>
            <w:sz w:val="16"/>
            <w:szCs w:val="16"/>
            <w:u w:val="single"/>
          </w:rPr>
          <w:t>2018/1046</w:t>
        </w:r>
      </w:hyperlink>
      <w:r>
        <w:rPr>
          <w:sz w:val="16"/>
          <w:szCs w:val="16"/>
        </w:rPr>
        <w:t>.</w:t>
      </w:r>
    </w:p>
  </w:footnote>
  <w:footnote w:id="16">
    <w:p w14:paraId="52822DD7" w14:textId="37AE3EF0" w:rsidR="000579AF" w:rsidRPr="006E4427" w:rsidRDefault="000579AF" w:rsidP="000579AF">
      <w:pPr>
        <w:pStyle w:val="FootnoteText"/>
        <w:spacing w:after="0"/>
        <w:ind w:left="284" w:hanging="284"/>
      </w:pPr>
      <w:r>
        <w:rPr>
          <w:rStyle w:val="FootnoteReference"/>
          <w:sz w:val="16"/>
        </w:rPr>
        <w:footnoteRef/>
      </w:r>
      <w:r>
        <w:tab/>
      </w:r>
      <w:r>
        <w:rPr>
          <w:sz w:val="16"/>
          <w:szCs w:val="16"/>
        </w:rPr>
        <w:t xml:space="preserve">Vă rugăm să rețineți că Jurnalul Oficial al UE conține lista oficială și, în caz de conflict, conținutul său prevalează asupra celui din </w:t>
      </w:r>
      <w:hyperlink r:id="rId7" w:history="1">
        <w:r>
          <w:rPr>
            <w:rStyle w:val="Hyperlink"/>
            <w:sz w:val="16"/>
            <w:szCs w:val="16"/>
          </w:rPr>
          <w:t>Harta sancțiunilor UE</w:t>
        </w:r>
      </w:hyperlink>
      <w:r>
        <w:rPr>
          <w:sz w:val="16"/>
          <w:szCs w:val="16"/>
        </w:rPr>
        <w:t>.</w:t>
      </w:r>
    </w:p>
  </w:footnote>
  <w:footnote w:id="17">
    <w:p w14:paraId="67257775" w14:textId="77777777" w:rsidR="000579AF" w:rsidRPr="009F51AC" w:rsidRDefault="000579AF" w:rsidP="000579AF">
      <w:pPr>
        <w:pStyle w:val="CM1"/>
        <w:ind w:left="284" w:hanging="284"/>
        <w:jc w:val="both"/>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w:t>
      </w:r>
      <w:r>
        <w:tab/>
      </w:r>
      <w:r>
        <w:rPr>
          <w:rFonts w:ascii="Verdana" w:hAnsi="Verdana"/>
          <w:sz w:val="16"/>
          <w:szCs w:val="16"/>
        </w:rPr>
        <w:t xml:space="preserve">Orientările Comisiei nr. </w:t>
      </w:r>
      <w:hyperlink r:id="rId8" w:history="1">
        <w:r>
          <w:rPr>
            <w:rStyle w:val="Hyperlink"/>
            <w:rFonts w:ascii="Verdana" w:hAnsi="Verdana"/>
            <w:sz w:val="16"/>
            <w:szCs w:val="16"/>
          </w:rPr>
          <w:t>2013/C 205/05</w:t>
        </w:r>
      </w:hyperlink>
      <w:r>
        <w:rPr>
          <w:rFonts w:ascii="Verdana" w:hAnsi="Verdana"/>
          <w:sz w:val="16"/>
          <w:szCs w:val="16"/>
        </w:rPr>
        <w:t xml:space="preserve"> privind eligibilitatea entităților israeliene și a activităților acestora în teritoriile ocupate de Israel începând cu iunie 1967 pentru granturi, premii și instrumente financiare finanțate de UE începând cu 2014 (JO UE C 205, 19.7.2013, pp. 9-11). </w:t>
      </w:r>
    </w:p>
  </w:footnote>
  <w:footnote w:id="18">
    <w:p w14:paraId="2364A1FE" w14:textId="3D521EE2" w:rsidR="000579AF" w:rsidRPr="00557219" w:rsidRDefault="000579AF" w:rsidP="000579AF">
      <w:pPr>
        <w:pStyle w:val="CM1"/>
        <w:ind w:left="284" w:hanging="284"/>
        <w:jc w:val="both"/>
        <w:rPr>
          <w:rFonts w:ascii="Verdana" w:hAnsi="Verdana"/>
          <w:sz w:val="16"/>
          <w:szCs w:val="16"/>
        </w:rPr>
      </w:pPr>
      <w:r>
        <w:rPr>
          <w:rStyle w:val="FootnoteReference"/>
          <w:sz w:val="16"/>
          <w:szCs w:val="16"/>
        </w:rPr>
        <w:footnoteRef/>
      </w:r>
      <w:r>
        <w:rPr>
          <w:sz w:val="16"/>
          <w:szCs w:val="16"/>
        </w:rPr>
        <w:t xml:space="preserve"> </w:t>
      </w:r>
      <w:r>
        <w:rPr>
          <w:sz w:val="16"/>
          <w:szCs w:val="16"/>
        </w:rPr>
        <w:tab/>
      </w:r>
      <w:hyperlink r:id="rId9" w:anchor=":~:text=Non-discrimination%20mainstreaming%20is%20about%20%E2%80%98placing%20equality%20considerations%20at,the%20EU-%20wide%20network%20of%20specialised%20equality%20bodies%29." w:history="1">
        <w:r>
          <w:rPr>
            <w:rStyle w:val="Hyperlink"/>
            <w:rFonts w:ascii="Verdana" w:hAnsi="Verdana"/>
            <w:sz w:val="16"/>
            <w:szCs w:val="16"/>
          </w:rPr>
          <w:t>Integrarea nediscriminării – instrumente, studii de caz și căi de urmat</w:t>
        </w:r>
      </w:hyperlink>
    </w:p>
  </w:footnote>
  <w:footnote w:id="19">
    <w:p w14:paraId="39B3B430" w14:textId="128A6EE4" w:rsidR="000579AF" w:rsidRPr="00163978" w:rsidRDefault="000579AF" w:rsidP="00163978">
      <w:pPr>
        <w:pStyle w:val="FootnoteText"/>
        <w:spacing w:after="0"/>
        <w:ind w:left="284" w:hanging="284"/>
        <w:rPr>
          <w:rStyle w:val="FootnoteReference"/>
          <w:sz w:val="16"/>
          <w:szCs w:val="16"/>
          <w:vertAlign w:val="baseline"/>
        </w:rPr>
      </w:pPr>
      <w:r>
        <w:rPr>
          <w:rStyle w:val="FootnoteReference"/>
          <w:sz w:val="16"/>
          <w:szCs w:val="16"/>
        </w:rPr>
        <w:footnoteRef/>
      </w:r>
      <w:r>
        <w:rPr>
          <w:sz w:val="16"/>
          <w:szCs w:val="16"/>
        </w:rPr>
        <w:tab/>
        <w:t xml:space="preserve">Vezi articolele 136 și 141 din Regulamentul financiar </w:t>
      </w:r>
      <w:hyperlink r:id="rId10" w:history="1">
        <w:r>
          <w:rPr>
            <w:bCs/>
            <w:color w:val="0088CC"/>
            <w:sz w:val="16"/>
            <w:szCs w:val="16"/>
            <w:u w:val="single"/>
          </w:rPr>
          <w:t>2018/1046</w:t>
        </w:r>
      </w:hyperlink>
      <w:r>
        <w:rPr>
          <w:sz w:val="16"/>
          <w:szCs w:val="16"/>
        </w:rPr>
        <w:t xml:space="preserve"> al UE.</w:t>
      </w:r>
    </w:p>
  </w:footnote>
  <w:footnote w:id="20">
    <w:p w14:paraId="3E147AE4" w14:textId="77777777" w:rsidR="000579AF" w:rsidRPr="009C6A77" w:rsidRDefault="000579AF" w:rsidP="000579AF">
      <w:pPr>
        <w:pStyle w:val="FootnoteText"/>
        <w:spacing w:after="0"/>
        <w:ind w:left="284" w:hanging="284"/>
        <w:rPr>
          <w:sz w:val="16"/>
          <w:szCs w:val="16"/>
        </w:rPr>
      </w:pPr>
      <w:r>
        <w:rPr>
          <w:rStyle w:val="FootnoteReference"/>
          <w:sz w:val="16"/>
          <w:szCs w:val="16"/>
        </w:rPr>
        <w:footnoteRef/>
      </w:r>
      <w:r>
        <w:rPr>
          <w:sz w:val="16"/>
          <w:szCs w:val="16"/>
        </w:rPr>
        <w:tab/>
        <w:t>Abaterile profesionale includ: încălcarea standardelor etice ale profesiei, conduită culpabilă cu impact asupra credibilității profesionale, fals în declarații/denaturarea informațiilor, participarea la un cartel sau la un alt acord care denaturează concurența, încălcarea DPI, tentativa de a influența procese de luare a deciziilor sau de a obține informații confidențiale de la autorități publice în scopul obținerii de avantaje.</w:t>
      </w:r>
    </w:p>
  </w:footnote>
  <w:footnote w:id="21">
    <w:p w14:paraId="32BB546C" w14:textId="77777777" w:rsidR="000579AF" w:rsidRPr="009C6A77" w:rsidRDefault="000579AF" w:rsidP="00C9027A">
      <w:pPr>
        <w:pStyle w:val="FootnoteText"/>
        <w:spacing w:after="0"/>
        <w:ind w:left="360" w:hanging="360"/>
        <w:rPr>
          <w:sz w:val="16"/>
          <w:szCs w:val="16"/>
        </w:rPr>
      </w:pPr>
      <w:r>
        <w:rPr>
          <w:rStyle w:val="FootnoteReference"/>
          <w:sz w:val="16"/>
          <w:szCs w:val="16"/>
        </w:rPr>
        <w:footnoteRef/>
      </w:r>
      <w:r>
        <w:rPr>
          <w:sz w:val="16"/>
          <w:szCs w:val="16"/>
        </w:rPr>
        <w:t xml:space="preserve"> </w:t>
      </w:r>
      <w:r>
        <w:rPr>
          <w:sz w:val="16"/>
          <w:szCs w:val="16"/>
        </w:rPr>
        <w:tab/>
        <w:t xml:space="preserve">Vezi articolul 141 din Regulamentul financiar al UE </w:t>
      </w:r>
      <w:hyperlink r:id="rId11" w:history="1">
        <w:r>
          <w:rPr>
            <w:bCs/>
            <w:color w:val="0088CC"/>
            <w:sz w:val="16"/>
            <w:szCs w:val="16"/>
            <w:u w:val="single"/>
          </w:rPr>
          <w:t>2018/1046</w:t>
        </w:r>
      </w:hyperlink>
      <w:r>
        <w:rPr>
          <w:sz w:val="16"/>
          <w:szCs w:val="16"/>
        </w:rPr>
        <w:t>.</w:t>
      </w:r>
    </w:p>
  </w:footnote>
  <w:footnote w:id="22">
    <w:p w14:paraId="482E0888" w14:textId="11DAA1E3" w:rsidR="000579AF" w:rsidRPr="00965369" w:rsidRDefault="000579AF" w:rsidP="00686978">
      <w:pPr>
        <w:pStyle w:val="FootnoteText"/>
        <w:spacing w:after="0"/>
        <w:ind w:left="360" w:hanging="360"/>
        <w:rPr>
          <w:sz w:val="16"/>
          <w:szCs w:val="16"/>
        </w:rPr>
      </w:pPr>
      <w:r>
        <w:rPr>
          <w:rStyle w:val="FootnoteReference"/>
          <w:sz w:val="16"/>
        </w:rPr>
        <w:footnoteRef/>
      </w:r>
      <w:r>
        <w:tab/>
      </w:r>
      <w:hyperlink r:id="rId12" w:history="1">
        <w:r>
          <w:rPr>
            <w:rStyle w:val="Hyperlink"/>
            <w:sz w:val="16"/>
            <w:szCs w:val="16"/>
          </w:rPr>
          <w:t>Decizia</w:t>
        </w:r>
      </w:hyperlink>
      <w:r>
        <w:rPr>
          <w:sz w:val="16"/>
          <w:szCs w:val="16"/>
        </w:rPr>
        <w:t xml:space="preserve"> din 26 martie 2021 </w:t>
      </w:r>
      <w:r>
        <w:rPr>
          <w:iCs/>
          <w:sz w:val="16"/>
          <w:szCs w:val="16"/>
        </w:rPr>
        <w:t>de autorizare a utilizării de sume forfetare pentru acțiunile din cadrul programului „Cetățeni, egalitate, drepturi și valori”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0E365358" w:rsidR="000579AF" w:rsidRPr="00322207" w:rsidRDefault="00D47016" w:rsidP="00322207">
    <w:pPr>
      <w:tabs>
        <w:tab w:val="center" w:pos="4536"/>
        <w:tab w:val="right" w:pos="9072"/>
      </w:tabs>
      <w:spacing w:after="0"/>
      <w:rPr>
        <w:rFonts w:eastAsia="Calibri"/>
        <w:sz w:val="16"/>
      </w:rPr>
    </w:pPr>
    <w:r>
      <w:rPr>
        <w:sz w:val="16"/>
      </w:rPr>
      <w:t>Cerere de propuneri: [CE</w:t>
    </w:r>
    <w:r w:rsidR="00FE4E5B">
      <w:rPr>
        <w:sz w:val="16"/>
      </w:rPr>
      <w:t>R</w:t>
    </w:r>
    <w:r>
      <w:rPr>
        <w:sz w:val="16"/>
      </w:rPr>
      <w:t>V-2022-CITIZENS-TOWN] — [Înfrățirea orașelor și rețele de orașe]</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E912F20"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Granturi UE</w:t>
    </w:r>
    <w:r>
      <w:rPr>
        <w:color w:val="808080"/>
        <w:sz w:val="16"/>
        <w:szCs w:val="16"/>
      </w:rPr>
      <w:t xml:space="preserve">: Document de cerere de propuneri </w:t>
    </w:r>
    <w:r>
      <w:rPr>
        <w:color w:val="7F7F7F"/>
        <w:sz w:val="16"/>
        <w:szCs w:val="16"/>
      </w:rPr>
      <w:t>(CE</w:t>
    </w:r>
    <w:r w:rsidR="009101DE">
      <w:rPr>
        <w:color w:val="7F7F7F"/>
        <w:sz w:val="16"/>
        <w:szCs w:val="16"/>
      </w:rPr>
      <w:t>R</w:t>
    </w:r>
    <w:r>
      <w:rPr>
        <w:color w:val="7F7F7F"/>
        <w:sz w:val="16"/>
        <w:szCs w:val="16"/>
      </w:rPr>
      <w:t>V)</w:t>
    </w:r>
    <w:r>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3AA"/>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4862"/>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64DC"/>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4E75"/>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6D2"/>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1F15"/>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19D4"/>
    <w:rsid w:val="00263630"/>
    <w:rsid w:val="00264DEA"/>
    <w:rsid w:val="00265517"/>
    <w:rsid w:val="00265DC9"/>
    <w:rsid w:val="00267060"/>
    <w:rsid w:val="00267836"/>
    <w:rsid w:val="00267F07"/>
    <w:rsid w:val="002708CB"/>
    <w:rsid w:val="00270BB3"/>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424F"/>
    <w:rsid w:val="0040586A"/>
    <w:rsid w:val="0040589D"/>
    <w:rsid w:val="00405FC0"/>
    <w:rsid w:val="00406905"/>
    <w:rsid w:val="00407134"/>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1A79"/>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2E23"/>
    <w:rsid w:val="005E3615"/>
    <w:rsid w:val="005E363C"/>
    <w:rsid w:val="005E4378"/>
    <w:rsid w:val="005E447B"/>
    <w:rsid w:val="005E5D68"/>
    <w:rsid w:val="005E6063"/>
    <w:rsid w:val="005E6551"/>
    <w:rsid w:val="005E7737"/>
    <w:rsid w:val="005E7B90"/>
    <w:rsid w:val="005F08FC"/>
    <w:rsid w:val="005F0EF2"/>
    <w:rsid w:val="005F203A"/>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4255"/>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1217"/>
    <w:rsid w:val="0090225F"/>
    <w:rsid w:val="00902697"/>
    <w:rsid w:val="009035F2"/>
    <w:rsid w:val="00903B12"/>
    <w:rsid w:val="00903F3F"/>
    <w:rsid w:val="00904018"/>
    <w:rsid w:val="00904473"/>
    <w:rsid w:val="00904912"/>
    <w:rsid w:val="00905D4D"/>
    <w:rsid w:val="00906C25"/>
    <w:rsid w:val="009101DE"/>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5ED1"/>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1DEC"/>
    <w:rsid w:val="00A727C8"/>
    <w:rsid w:val="00A73503"/>
    <w:rsid w:val="00A7478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0B4"/>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08E"/>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039"/>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29EC"/>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9CD"/>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0F20"/>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5E1"/>
    <w:rsid w:val="00CE1CBA"/>
    <w:rsid w:val="00CE2CE0"/>
    <w:rsid w:val="00CE39DF"/>
    <w:rsid w:val="00CE3DE2"/>
    <w:rsid w:val="00CE50BC"/>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8F7"/>
    <w:rsid w:val="00D20E76"/>
    <w:rsid w:val="00D21026"/>
    <w:rsid w:val="00D21641"/>
    <w:rsid w:val="00D216E6"/>
    <w:rsid w:val="00D22174"/>
    <w:rsid w:val="00D22257"/>
    <w:rsid w:val="00D22642"/>
    <w:rsid w:val="00D2655B"/>
    <w:rsid w:val="00D300D5"/>
    <w:rsid w:val="00D316B7"/>
    <w:rsid w:val="00D31A6F"/>
    <w:rsid w:val="00D32546"/>
    <w:rsid w:val="00D33E97"/>
    <w:rsid w:val="00D3407A"/>
    <w:rsid w:val="00D345BD"/>
    <w:rsid w:val="00D35C30"/>
    <w:rsid w:val="00D36E20"/>
    <w:rsid w:val="00D37470"/>
    <w:rsid w:val="00D37706"/>
    <w:rsid w:val="00D406B8"/>
    <w:rsid w:val="00D412C1"/>
    <w:rsid w:val="00D414DB"/>
    <w:rsid w:val="00D422C1"/>
    <w:rsid w:val="00D42784"/>
    <w:rsid w:val="00D43991"/>
    <w:rsid w:val="00D44222"/>
    <w:rsid w:val="00D46C73"/>
    <w:rsid w:val="00D47016"/>
    <w:rsid w:val="00D4744C"/>
    <w:rsid w:val="00D51B6C"/>
    <w:rsid w:val="00D52C0E"/>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1B61"/>
    <w:rsid w:val="00DB2588"/>
    <w:rsid w:val="00DB4494"/>
    <w:rsid w:val="00DB458C"/>
    <w:rsid w:val="00DB5278"/>
    <w:rsid w:val="00DB5FBF"/>
    <w:rsid w:val="00DC1C43"/>
    <w:rsid w:val="00DC3A61"/>
    <w:rsid w:val="00DC4301"/>
    <w:rsid w:val="00DC47B2"/>
    <w:rsid w:val="00DC4BA1"/>
    <w:rsid w:val="00DC5513"/>
    <w:rsid w:val="00DC58CC"/>
    <w:rsid w:val="00DC6275"/>
    <w:rsid w:val="00DC75A9"/>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17E"/>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4E5B"/>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 w:type="character" w:customStyle="1" w:styleId="jlqj4b">
    <w:name w:val="jlqj4b"/>
    <w:basedOn w:val="DefaultParagraphFont"/>
    <w:rsid w:val="00D4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3.xml><?xml version="1.0" encoding="utf-8"?>
<LongProperties xmlns="http://schemas.microsoft.com/office/2006/metadata/longProperties"/>
</file>

<file path=customXml/item4.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5.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A5B75-1EA7-4628-935C-286E27E0EEEB}">
  <ds:schemaRefs/>
</ds:datastoreItem>
</file>

<file path=customXml/itemProps3.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4.xml><?xml version="1.0" encoding="utf-8"?>
<ds:datastoreItem xmlns:ds="http://schemas.openxmlformats.org/officeDocument/2006/customXml" ds:itemID="{A64404DA-45EE-468F-9B83-25C3DBD29BC4}">
  <ds:schemaRefs/>
</ds:datastoreItem>
</file>

<file path=customXml/itemProps5.xml><?xml version="1.0" encoding="utf-8"?>
<ds:datastoreItem xmlns:ds="http://schemas.openxmlformats.org/officeDocument/2006/customXml" ds:itemID="{9034E5F8-F5C8-4DD5-B73A-9040160523CA}">
  <ds:schemaRefs/>
</ds:datastoreItem>
</file>

<file path=customXml/itemProps6.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7.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8.xml><?xml version="1.0" encoding="utf-8"?>
<ds:datastoreItem xmlns:ds="http://schemas.openxmlformats.org/officeDocument/2006/customXml" ds:itemID="{5BA07159-BE61-4FA2-A22D-CEFE11CA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215</TotalTime>
  <Pages>28</Pages>
  <Words>7995</Words>
  <Characters>55598</Characters>
  <Application>Microsoft Office Word</Application>
  <DocSecurity>0</DocSecurity>
  <PresentationFormat>Microsoft Word 14.0</PresentationFormat>
  <Lines>463</Lines>
  <Paragraphs>126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71</cp:revision>
  <cp:lastPrinted>2017-11-06T13:30:00Z</cp:lastPrinted>
  <dcterms:created xsi:type="dcterms:W3CDTF">2021-12-09T12:20:00Z</dcterms:created>
  <dcterms:modified xsi:type="dcterms:W3CDTF">2022-01-24T12:00:00Z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