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CDCDD" w14:textId="6A2EB2D9" w:rsidR="00F9780D" w:rsidRPr="00751C57" w:rsidRDefault="00751C57" w:rsidP="00BC77C3">
      <w:pPr>
        <w:jc w:val="center"/>
        <w:rPr>
          <w:b/>
        </w:rPr>
      </w:pPr>
      <w:r w:rsidRPr="00751C57">
        <w:rPr>
          <w:rFonts w:ascii="EC Square Sans Pro" w:hAnsi="EC Square Sans Pro"/>
          <w:b/>
          <w:color w:val="00B0F0"/>
          <w:sz w:val="30"/>
          <w:szCs w:val="30"/>
        </w:rPr>
        <w:t>Em caso de discrepâncias entre as diferentes versões linguísticas, prevalece a versão inglesa.</w:t>
      </w:r>
    </w:p>
    <w:p w14:paraId="0385DD63" w14:textId="0B891229" w:rsidR="00BC77C3" w:rsidRDefault="00BC77C3" w:rsidP="00BC77C3">
      <w:pPr>
        <w:jc w:val="center"/>
      </w:pPr>
    </w:p>
    <w:p w14:paraId="248A5BB4" w14:textId="77777777" w:rsidR="00751C57" w:rsidRPr="00BC77C3" w:rsidRDefault="00751C57" w:rsidP="00BC77C3">
      <w:pPr>
        <w:jc w:val="center"/>
      </w:pPr>
    </w:p>
    <w:p w14:paraId="418ADFA1" w14:textId="75C8365F" w:rsidR="00BC77C3" w:rsidRPr="00BC77C3" w:rsidRDefault="005A3754" w:rsidP="00091DCA">
      <w:pPr>
        <w:jc w:val="center"/>
        <w:rPr>
          <w:rFonts w:ascii="Arial" w:hAnsi="Arial"/>
        </w:rPr>
      </w:pPr>
      <w:r>
        <w:rPr>
          <w:noProof/>
          <w:lang w:val="en-IE" w:eastAsia="en-IE"/>
        </w:rPr>
        <w:drawing>
          <wp:inline distT="0" distB="0" distL="0" distR="0" wp14:anchorId="3A69CB9C" wp14:editId="4CD3D611">
            <wp:extent cx="3198873" cy="2175753"/>
            <wp:effectExtent l="0" t="0" r="0" b="0"/>
            <wp:docPr id="1" name="Picture 1307357487" title="Title: Title: Title: Title: flag_yellow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7357487" name="Picture 1307357487" title="Title: Title: Title: Title: flag_yellow_low"/>
                    <pic:cNvPicPr/>
                  </pic:nvPicPr>
                  <pic:blipFill>
                    <a:blip r:embed="rId15">
                      <a:extLst>
                        <a:ext uri="{28A0092B-C50C-407E-A947-70E740481C1C}">
                          <a14:useLocalDpi xmlns:a14="http://schemas.microsoft.com/office/drawing/2010/main" val="0"/>
                        </a:ext>
                      </a:extLst>
                    </a:blip>
                    <a:srcRect r="-59" b="-115"/>
                    <a:stretch>
                      <a:fillRect/>
                    </a:stretch>
                  </pic:blipFill>
                  <pic:spPr>
                    <a:xfrm>
                      <a:off x="0" y="0"/>
                      <a:ext cx="3198495" cy="2175510"/>
                    </a:xfrm>
                    <a:prstGeom prst="rect">
                      <a:avLst/>
                    </a:prstGeom>
                  </pic:spPr>
                </pic:pic>
              </a:graphicData>
            </a:graphic>
          </wp:inline>
        </w:drawing>
      </w:r>
    </w:p>
    <w:p w14:paraId="5C568077" w14:textId="77777777" w:rsidR="00BC77C3" w:rsidRPr="00BC77C3" w:rsidRDefault="00BC77C3" w:rsidP="00F9780D">
      <w:pPr>
        <w:jc w:val="center"/>
        <w:rPr>
          <w:rFonts w:ascii="Arial" w:hAnsi="Arial"/>
        </w:rPr>
      </w:pPr>
    </w:p>
    <w:p w14:paraId="7D8B3237" w14:textId="77777777" w:rsidR="00BC77C3" w:rsidRPr="00BC77C3" w:rsidRDefault="00BC77C3" w:rsidP="00F9780D">
      <w:pPr>
        <w:jc w:val="center"/>
        <w:rPr>
          <w:rFonts w:ascii="Arial" w:hAnsi="Arial"/>
        </w:rPr>
      </w:pPr>
    </w:p>
    <w:p w14:paraId="35065F78" w14:textId="17DB65C8" w:rsidR="00877924" w:rsidRPr="00A90E6D" w:rsidRDefault="00DE39DA" w:rsidP="42BB08A3">
      <w:pPr>
        <w:jc w:val="center"/>
        <w:rPr>
          <w:rFonts w:ascii="EC Square Sans Pro Light" w:hAnsi="EC Square Sans Pro Light"/>
          <w:b/>
          <w:bCs/>
          <w:sz w:val="48"/>
          <w:szCs w:val="48"/>
        </w:rPr>
      </w:pPr>
      <w:r>
        <w:rPr>
          <w:rFonts w:ascii="EC Square Sans Pro Medium" w:hAnsi="EC Square Sans Pro Medium"/>
          <w:b/>
          <w:bCs/>
          <w:sz w:val="48"/>
          <w:szCs w:val="48"/>
        </w:rPr>
        <w:t>Programa Cidadãos, Igualdade, Direitos e Valores (CERV)</w:t>
      </w:r>
    </w:p>
    <w:p w14:paraId="50894FE4" w14:textId="77777777" w:rsidR="00877924" w:rsidRPr="00877924" w:rsidRDefault="00877924" w:rsidP="00874AFD">
      <w:pPr>
        <w:jc w:val="center"/>
        <w:rPr>
          <w:rFonts w:ascii="EC Square Sans Pro Light" w:hAnsi="EC Square Sans Pro Light"/>
          <w:b/>
        </w:rPr>
      </w:pPr>
    </w:p>
    <w:p w14:paraId="3ECABABD" w14:textId="43646D72" w:rsidR="00877924" w:rsidRPr="00462AC2" w:rsidRDefault="00874AFD" w:rsidP="009E0E8F">
      <w:pPr>
        <w:spacing w:after="320"/>
        <w:jc w:val="center"/>
        <w:rPr>
          <w:rFonts w:ascii="EC Square Sans Pro Light" w:hAnsi="EC Square Sans Pro Light"/>
          <w:b/>
          <w:bCs/>
          <w:sz w:val="48"/>
          <w:szCs w:val="48"/>
        </w:rPr>
      </w:pPr>
      <w:r>
        <w:rPr>
          <w:rFonts w:ascii="EC Square Sans Pro Light" w:hAnsi="EC Square Sans Pro Light"/>
          <w:b/>
          <w:bCs/>
          <w:sz w:val="48"/>
          <w:szCs w:val="48"/>
        </w:rPr>
        <w:t xml:space="preserve">Convite à apresentação de propostas </w:t>
      </w:r>
    </w:p>
    <w:p w14:paraId="026AC77F" w14:textId="77777777" w:rsidR="00BA69DD" w:rsidRPr="00592A3E" w:rsidRDefault="00BA69DD" w:rsidP="00BA69DD">
      <w:pPr>
        <w:spacing w:after="320"/>
        <w:jc w:val="center"/>
        <w:rPr>
          <w:rFonts w:ascii="EC Square Sans Pro Light" w:hAnsi="EC Square Sans Pro Light"/>
          <w:b/>
          <w:bCs/>
          <w:sz w:val="48"/>
          <w:szCs w:val="48"/>
          <w:lang w:val="fr-BE"/>
        </w:rPr>
      </w:pPr>
    </w:p>
    <w:p w14:paraId="5D3C2DA6" w14:textId="7FDDFAD8" w:rsidR="00BE4CEF" w:rsidRDefault="00BE4CEF" w:rsidP="00BE4CEF">
      <w:pPr>
        <w:jc w:val="center"/>
        <w:rPr>
          <w:rFonts w:ascii="EC Square Sans Pro" w:eastAsia="EC Square Sans Pro" w:hAnsi="EC Square Sans Pro" w:cs="EC Square Sans Pro"/>
          <w:color w:val="000000"/>
          <w:sz w:val="30"/>
          <w:szCs w:val="30"/>
        </w:rPr>
      </w:pPr>
      <w:r>
        <w:rPr>
          <w:rFonts w:ascii="EC Square Sans Pro" w:hAnsi="EC Square Sans Pro"/>
          <w:color w:val="000000"/>
          <w:sz w:val="30"/>
          <w:szCs w:val="30"/>
        </w:rPr>
        <w:t>Geminação de Cidades e Redes de Cidades</w:t>
      </w:r>
    </w:p>
    <w:p w14:paraId="7A38AB7F" w14:textId="32C6C549" w:rsidR="00BE4CEF" w:rsidRDefault="00E81CEB" w:rsidP="00BE4CEF">
      <w:pPr>
        <w:jc w:val="center"/>
        <w:rPr>
          <w:rFonts w:ascii="EC Square Sans Pro" w:hAnsi="EC Square Sans Pro" w:cs="EC Square Sans Pro"/>
          <w:color w:val="000000"/>
          <w:sz w:val="30"/>
          <w:szCs w:val="30"/>
        </w:rPr>
      </w:pPr>
      <w:r>
        <w:rPr>
          <w:rFonts w:ascii="EC Square Sans Pro" w:hAnsi="EC Square Sans Pro"/>
          <w:color w:val="000000"/>
          <w:sz w:val="30"/>
          <w:szCs w:val="30"/>
        </w:rPr>
        <w:t xml:space="preserve">(CERV-2022-CITIZENS-TOWN: </w:t>
      </w:r>
    </w:p>
    <w:p w14:paraId="68B0281F" w14:textId="4C206E2A" w:rsidR="00BE4CEF" w:rsidRDefault="00E81CEB" w:rsidP="00BE4CEF">
      <w:pPr>
        <w:jc w:val="center"/>
        <w:rPr>
          <w:rFonts w:ascii="EC Square Sans Pro" w:eastAsia="EC Square Sans Pro" w:hAnsi="EC Square Sans Pro" w:cs="EC Square Sans Pro"/>
          <w:color w:val="000000"/>
          <w:sz w:val="30"/>
          <w:szCs w:val="30"/>
        </w:rPr>
      </w:pPr>
      <w:r>
        <w:rPr>
          <w:rFonts w:ascii="EC Square Sans Pro" w:hAnsi="EC Square Sans Pro"/>
          <w:color w:val="000000"/>
          <w:sz w:val="30"/>
          <w:szCs w:val="30"/>
        </w:rPr>
        <w:t>CERV-2022-TOWN-TT, CERV-2022-TOWN-NT)</w:t>
      </w:r>
    </w:p>
    <w:p w14:paraId="3EDE395E" w14:textId="77777777" w:rsidR="007A412A" w:rsidRPr="00917559" w:rsidRDefault="007A412A" w:rsidP="007A412A">
      <w:pPr>
        <w:jc w:val="center"/>
        <w:rPr>
          <w:rFonts w:ascii="EC Square Sans Pro Light" w:hAnsi="EC Square Sans Pro Light"/>
          <w:b/>
        </w:rPr>
      </w:pPr>
    </w:p>
    <w:p w14:paraId="6525452D" w14:textId="77777777" w:rsidR="007A412A" w:rsidRPr="00917559" w:rsidRDefault="007A412A" w:rsidP="007A412A">
      <w:pPr>
        <w:jc w:val="center"/>
        <w:rPr>
          <w:rFonts w:ascii="EC Square Sans Pro Light" w:hAnsi="EC Square Sans Pro Light"/>
          <w:b/>
        </w:rPr>
      </w:pPr>
      <w:bookmarkStart w:id="0" w:name="_GoBack"/>
      <w:bookmarkEnd w:id="0"/>
    </w:p>
    <w:p w14:paraId="61DBCCDA" w14:textId="77777777" w:rsidR="007A412A" w:rsidRPr="00917559" w:rsidRDefault="007A412A" w:rsidP="007A412A">
      <w:pPr>
        <w:jc w:val="center"/>
        <w:rPr>
          <w:rFonts w:ascii="EC Square Sans Pro Light" w:hAnsi="EC Square Sans Pro Light"/>
          <w:b/>
        </w:rPr>
      </w:pPr>
    </w:p>
    <w:p w14:paraId="5FB6A2F5" w14:textId="51B3A1A9" w:rsidR="00877924" w:rsidRPr="00877924" w:rsidRDefault="00877924" w:rsidP="007A412A">
      <w:pPr>
        <w:spacing w:after="0"/>
        <w:jc w:val="center"/>
        <w:rPr>
          <w:rFonts w:ascii="EC Square Sans Pro Light" w:hAnsi="EC Square Sans Pro Light"/>
          <w:b/>
        </w:rPr>
      </w:pPr>
      <w:r>
        <w:rPr>
          <w:rFonts w:ascii="EC Square Sans Pro Light" w:hAnsi="EC Square Sans Pro Light"/>
          <w:b/>
        </w:rPr>
        <w:t>Versão 1.0</w:t>
      </w:r>
    </w:p>
    <w:p w14:paraId="6AA6E93A" w14:textId="5A75814B" w:rsidR="00A2572D" w:rsidRDefault="0086598B" w:rsidP="00A2572D">
      <w:pPr>
        <w:spacing w:after="0"/>
        <w:jc w:val="center"/>
        <w:rPr>
          <w:rFonts w:ascii="EC Square Sans Pro Light" w:hAnsi="EC Square Sans Pro Light"/>
          <w:b/>
        </w:rPr>
      </w:pPr>
      <w:r>
        <w:rPr>
          <w:rFonts w:ascii="EC Square Sans Pro Light" w:hAnsi="EC Square Sans Pro Light"/>
          <w:b/>
        </w:rPr>
        <w:t>16 de novembro de 2021</w:t>
      </w:r>
    </w:p>
    <w:p w14:paraId="048B71E5" w14:textId="77777777" w:rsidR="00A2572D" w:rsidRDefault="00A2572D" w:rsidP="00A2572D">
      <w:pPr>
        <w:spacing w:after="0"/>
        <w:jc w:val="center"/>
        <w:rPr>
          <w:rFonts w:ascii="EC Square Sans Pro Light" w:hAnsi="EC Square Sans Pro Light"/>
          <w:bCs/>
          <w:lang w:val="en-US" w:eastAsia="en-GB"/>
        </w:rPr>
        <w:sectPr w:rsidR="00A2572D" w:rsidSect="007E6BA0">
          <w:headerReference w:type="default" r:id="rId16"/>
          <w:footerReference w:type="default" r:id="rId17"/>
          <w:headerReference w:type="first" r:id="rId18"/>
          <w:footerReference w:type="first" r:id="rId19"/>
          <w:pgSz w:w="11906" w:h="16838" w:code="9"/>
          <w:pgMar w:top="1560" w:right="1588" w:bottom="1276" w:left="1588" w:header="567" w:footer="737" w:gutter="0"/>
          <w:cols w:space="720"/>
          <w:titlePg/>
          <w:docGrid w:linePitch="381"/>
        </w:sectPr>
      </w:pPr>
    </w:p>
    <w:tbl>
      <w:tblPr>
        <w:tblW w:w="9000"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45" w:type="dxa"/>
          <w:right w:w="45" w:type="dxa"/>
        </w:tblCellMar>
        <w:tblLook w:val="04A0" w:firstRow="1" w:lastRow="0" w:firstColumn="1" w:lastColumn="0" w:noHBand="0" w:noVBand="1"/>
      </w:tblPr>
      <w:tblGrid>
        <w:gridCol w:w="975"/>
        <w:gridCol w:w="1350"/>
        <w:gridCol w:w="6000"/>
        <w:gridCol w:w="675"/>
      </w:tblGrid>
      <w:tr w:rsidR="002F6C8E" w:rsidRPr="002F6C8E" w14:paraId="366E97BE" w14:textId="77777777" w:rsidTr="002F6C8E">
        <w:trPr>
          <w:jc w:val="center"/>
        </w:trPr>
        <w:tc>
          <w:tcPr>
            <w:tcW w:w="9000" w:type="dxa"/>
            <w:gridSpan w:val="4"/>
            <w:hideMark/>
          </w:tcPr>
          <w:p w14:paraId="6DE6483F" w14:textId="77777777" w:rsidR="00877924" w:rsidRPr="002F6C8E" w:rsidRDefault="00877924" w:rsidP="00877924">
            <w:pPr>
              <w:spacing w:before="160" w:after="160"/>
              <w:jc w:val="center"/>
              <w:rPr>
                <w:b/>
                <w:color w:val="595959"/>
              </w:rPr>
            </w:pPr>
            <w:r>
              <w:lastRenderedPageBreak/>
              <w:br w:type="page"/>
            </w:r>
            <w:r>
              <w:br w:type="page"/>
            </w:r>
            <w:r>
              <w:br w:type="page"/>
            </w:r>
            <w:r>
              <w:rPr>
                <w:b/>
                <w:color w:val="595959"/>
              </w:rPr>
              <w:t>HISTÓRICO DE ALTERAÇÕES</w:t>
            </w:r>
          </w:p>
        </w:tc>
      </w:tr>
      <w:tr w:rsidR="002F6C8E" w:rsidRPr="002F6C8E" w14:paraId="4E3EB65A" w14:textId="77777777" w:rsidTr="002F6C8E">
        <w:trPr>
          <w:jc w:val="center"/>
        </w:trPr>
        <w:tc>
          <w:tcPr>
            <w:tcW w:w="975" w:type="dxa"/>
            <w:vAlign w:val="center"/>
            <w:hideMark/>
          </w:tcPr>
          <w:p w14:paraId="4BC01B6E" w14:textId="77777777" w:rsidR="00877924" w:rsidRPr="002F6C8E" w:rsidRDefault="00877924" w:rsidP="00877924">
            <w:pPr>
              <w:spacing w:before="60" w:after="60"/>
              <w:jc w:val="center"/>
              <w:rPr>
                <w:b/>
                <w:color w:val="595959"/>
              </w:rPr>
            </w:pPr>
            <w:r>
              <w:rPr>
                <w:b/>
                <w:color w:val="595959"/>
              </w:rPr>
              <w:t>Versão</w:t>
            </w:r>
          </w:p>
        </w:tc>
        <w:tc>
          <w:tcPr>
            <w:tcW w:w="1350" w:type="dxa"/>
            <w:vAlign w:val="center"/>
            <w:hideMark/>
          </w:tcPr>
          <w:p w14:paraId="23E928C6" w14:textId="77777777" w:rsidR="00877924" w:rsidRPr="002F6C8E" w:rsidRDefault="00877924" w:rsidP="00877924">
            <w:pPr>
              <w:keepNext/>
              <w:tabs>
                <w:tab w:val="right" w:pos="9063"/>
              </w:tabs>
              <w:spacing w:before="60" w:after="60"/>
              <w:ind w:left="-54"/>
              <w:jc w:val="center"/>
              <w:outlineLvl w:val="1"/>
              <w:rPr>
                <w:b/>
                <w:bCs/>
                <w:iCs/>
                <w:color w:val="595959"/>
              </w:rPr>
            </w:pPr>
            <w:r>
              <w:rPr>
                <w:b/>
                <w:bCs/>
                <w:iCs/>
                <w:color w:val="595959"/>
              </w:rPr>
              <w:t>Data de publicação</w:t>
            </w:r>
          </w:p>
        </w:tc>
        <w:tc>
          <w:tcPr>
            <w:tcW w:w="6000" w:type="dxa"/>
            <w:vAlign w:val="center"/>
            <w:hideMark/>
          </w:tcPr>
          <w:p w14:paraId="42CDF74A" w14:textId="77777777" w:rsidR="00877924" w:rsidRPr="002F6C8E" w:rsidRDefault="00877924" w:rsidP="00877924">
            <w:pPr>
              <w:keepNext/>
              <w:tabs>
                <w:tab w:val="right" w:pos="9063"/>
              </w:tabs>
              <w:spacing w:before="60" w:after="60"/>
              <w:jc w:val="center"/>
              <w:outlineLvl w:val="1"/>
              <w:rPr>
                <w:b/>
                <w:bCs/>
                <w:iCs/>
                <w:color w:val="595959"/>
              </w:rPr>
            </w:pPr>
            <w:r>
              <w:rPr>
                <w:b/>
                <w:bCs/>
                <w:iCs/>
                <w:color w:val="595959"/>
              </w:rPr>
              <w:t>Alteração</w:t>
            </w:r>
          </w:p>
        </w:tc>
        <w:tc>
          <w:tcPr>
            <w:tcW w:w="675" w:type="dxa"/>
            <w:vAlign w:val="center"/>
            <w:hideMark/>
          </w:tcPr>
          <w:p w14:paraId="7294B709" w14:textId="77777777" w:rsidR="00877924" w:rsidRPr="002F6C8E" w:rsidRDefault="00877924" w:rsidP="00877924">
            <w:pPr>
              <w:spacing w:before="60" w:after="60"/>
              <w:jc w:val="center"/>
              <w:rPr>
                <w:b/>
                <w:color w:val="595959"/>
              </w:rPr>
            </w:pPr>
            <w:r>
              <w:rPr>
                <w:b/>
                <w:color w:val="595959"/>
              </w:rPr>
              <w:t>Página</w:t>
            </w:r>
          </w:p>
        </w:tc>
      </w:tr>
      <w:tr w:rsidR="002F6C8E" w:rsidRPr="002F6C8E" w14:paraId="6AD94C27" w14:textId="77777777" w:rsidTr="002F6C8E">
        <w:trPr>
          <w:jc w:val="center"/>
          <w:hidden/>
        </w:trPr>
        <w:tc>
          <w:tcPr>
            <w:tcW w:w="975" w:type="dxa"/>
            <w:hideMark/>
          </w:tcPr>
          <w:p w14:paraId="56E66BB1" w14:textId="77777777" w:rsidR="007C1E0D" w:rsidRPr="00623078" w:rsidRDefault="007C1E0D" w:rsidP="0084666C">
            <w:pPr>
              <w:spacing w:before="60" w:after="60"/>
              <w:jc w:val="center"/>
              <w:rPr>
                <w:vanish/>
                <w:color w:val="595959"/>
                <w:sz w:val="18"/>
                <w:szCs w:val="18"/>
              </w:rPr>
            </w:pPr>
            <w:r>
              <w:rPr>
                <w:vanish/>
                <w:color w:val="595959"/>
                <w:sz w:val="18"/>
                <w:szCs w:val="18"/>
              </w:rPr>
              <w:t>1.0</w:t>
            </w:r>
          </w:p>
        </w:tc>
        <w:tc>
          <w:tcPr>
            <w:tcW w:w="1350" w:type="dxa"/>
            <w:hideMark/>
          </w:tcPr>
          <w:p w14:paraId="60BE4CB3" w14:textId="30249BF1" w:rsidR="007C1E0D" w:rsidRPr="002F6C8E" w:rsidRDefault="00BE4CEF" w:rsidP="00F52256">
            <w:pPr>
              <w:keepNext/>
              <w:tabs>
                <w:tab w:val="right" w:pos="9063"/>
              </w:tabs>
              <w:spacing w:before="60" w:after="60"/>
              <w:jc w:val="center"/>
              <w:outlineLvl w:val="1"/>
              <w:rPr>
                <w:color w:val="595959"/>
                <w:sz w:val="18"/>
                <w:szCs w:val="18"/>
              </w:rPr>
            </w:pPr>
            <w:r>
              <w:rPr>
                <w:color w:val="595959"/>
                <w:sz w:val="18"/>
                <w:szCs w:val="18"/>
              </w:rPr>
              <w:t>16.11.2021</w:t>
            </w:r>
          </w:p>
        </w:tc>
        <w:tc>
          <w:tcPr>
            <w:tcW w:w="6000" w:type="dxa"/>
            <w:hideMark/>
          </w:tcPr>
          <w:p w14:paraId="7F916257" w14:textId="077F49C4" w:rsidR="007C1E0D" w:rsidRPr="002F6C8E" w:rsidRDefault="009E1814" w:rsidP="00584316">
            <w:pPr>
              <w:keepNext/>
              <w:numPr>
                <w:ilvl w:val="0"/>
                <w:numId w:val="23"/>
              </w:numPr>
              <w:tabs>
                <w:tab w:val="left" w:pos="318"/>
                <w:tab w:val="right" w:pos="9063"/>
              </w:tabs>
              <w:spacing w:before="60" w:after="60"/>
              <w:ind w:left="318" w:hanging="284"/>
              <w:outlineLvl w:val="1"/>
              <w:rPr>
                <w:color w:val="595959"/>
                <w:sz w:val="18"/>
                <w:szCs w:val="18"/>
              </w:rPr>
            </w:pPr>
            <w:r>
              <w:rPr>
                <w:color w:val="595959"/>
                <w:sz w:val="18"/>
                <w:szCs w:val="18"/>
              </w:rPr>
              <w:t>Versão inicial (QFP 2021-2022)</w:t>
            </w:r>
          </w:p>
        </w:tc>
        <w:tc>
          <w:tcPr>
            <w:tcW w:w="675" w:type="dxa"/>
            <w:hideMark/>
          </w:tcPr>
          <w:p w14:paraId="0776925A" w14:textId="77777777" w:rsidR="007C1E0D" w:rsidRPr="002F6C8E" w:rsidRDefault="007C1E0D" w:rsidP="00877924">
            <w:pPr>
              <w:keepNext/>
              <w:tabs>
                <w:tab w:val="right" w:pos="9063"/>
              </w:tabs>
              <w:spacing w:before="60" w:after="60"/>
              <w:jc w:val="center"/>
              <w:outlineLvl w:val="1"/>
              <w:rPr>
                <w:color w:val="595959"/>
                <w:sz w:val="18"/>
                <w:szCs w:val="18"/>
                <w:lang w:val="en-US"/>
              </w:rPr>
            </w:pPr>
          </w:p>
        </w:tc>
      </w:tr>
      <w:tr w:rsidR="002F6C8E" w:rsidRPr="002F6C8E" w14:paraId="6B8E79B0" w14:textId="77777777" w:rsidTr="002F6C8E">
        <w:trPr>
          <w:jc w:val="center"/>
        </w:trPr>
        <w:tc>
          <w:tcPr>
            <w:tcW w:w="975" w:type="dxa"/>
          </w:tcPr>
          <w:p w14:paraId="2D4B5C9F" w14:textId="77777777" w:rsidR="007C1E0D" w:rsidRPr="002F6C8E" w:rsidRDefault="007C1E0D" w:rsidP="0084666C">
            <w:pPr>
              <w:spacing w:before="60" w:after="60"/>
              <w:jc w:val="center"/>
              <w:rPr>
                <w:color w:val="595959"/>
                <w:sz w:val="18"/>
                <w:szCs w:val="18"/>
              </w:rPr>
            </w:pPr>
          </w:p>
        </w:tc>
        <w:tc>
          <w:tcPr>
            <w:tcW w:w="1350" w:type="dxa"/>
          </w:tcPr>
          <w:p w14:paraId="3F2CFB55" w14:textId="77777777" w:rsidR="007C1E0D" w:rsidRPr="002F6C8E" w:rsidRDefault="007C1E0D" w:rsidP="0084666C">
            <w:pPr>
              <w:keepNext/>
              <w:tabs>
                <w:tab w:val="right" w:pos="9063"/>
              </w:tabs>
              <w:spacing w:before="60" w:after="60"/>
              <w:jc w:val="center"/>
              <w:outlineLvl w:val="1"/>
              <w:rPr>
                <w:color w:val="595959"/>
                <w:sz w:val="18"/>
                <w:szCs w:val="18"/>
              </w:rPr>
            </w:pPr>
          </w:p>
        </w:tc>
        <w:tc>
          <w:tcPr>
            <w:tcW w:w="6000" w:type="dxa"/>
            <w:hideMark/>
          </w:tcPr>
          <w:p w14:paraId="3BB2AEDE" w14:textId="77777777" w:rsidR="007C1E0D" w:rsidRPr="002F6C8E"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50EB3CF6" w14:textId="77777777" w:rsidR="007C1E0D" w:rsidRPr="002F6C8E" w:rsidRDefault="007C1E0D" w:rsidP="00877924">
            <w:pPr>
              <w:keepNext/>
              <w:tabs>
                <w:tab w:val="right" w:pos="9063"/>
              </w:tabs>
              <w:spacing w:before="60" w:after="60"/>
              <w:jc w:val="center"/>
              <w:outlineLvl w:val="1"/>
              <w:rPr>
                <w:color w:val="595959"/>
                <w:sz w:val="18"/>
                <w:szCs w:val="18"/>
                <w:lang w:val="en-US"/>
              </w:rPr>
            </w:pPr>
          </w:p>
        </w:tc>
      </w:tr>
      <w:tr w:rsidR="002F6C8E" w:rsidRPr="002F6C8E" w14:paraId="543D7828" w14:textId="77777777" w:rsidTr="002F6C8E">
        <w:trPr>
          <w:jc w:val="center"/>
        </w:trPr>
        <w:tc>
          <w:tcPr>
            <w:tcW w:w="975" w:type="dxa"/>
          </w:tcPr>
          <w:p w14:paraId="53DF4A59" w14:textId="77777777" w:rsidR="007C1E0D" w:rsidRPr="002F6C8E" w:rsidRDefault="007C1E0D" w:rsidP="0084666C">
            <w:pPr>
              <w:spacing w:before="60" w:after="60"/>
              <w:jc w:val="center"/>
              <w:rPr>
                <w:color w:val="595959"/>
                <w:sz w:val="18"/>
                <w:szCs w:val="18"/>
              </w:rPr>
            </w:pPr>
          </w:p>
        </w:tc>
        <w:tc>
          <w:tcPr>
            <w:tcW w:w="1350" w:type="dxa"/>
          </w:tcPr>
          <w:p w14:paraId="38342A73" w14:textId="77777777" w:rsidR="007C1E0D" w:rsidRPr="002F6C8E" w:rsidRDefault="007C1E0D" w:rsidP="0084666C">
            <w:pPr>
              <w:keepNext/>
              <w:tabs>
                <w:tab w:val="right" w:pos="9063"/>
              </w:tabs>
              <w:spacing w:before="60" w:after="60"/>
              <w:jc w:val="center"/>
              <w:outlineLvl w:val="1"/>
              <w:rPr>
                <w:color w:val="595959"/>
                <w:sz w:val="18"/>
                <w:szCs w:val="18"/>
              </w:rPr>
            </w:pPr>
          </w:p>
        </w:tc>
        <w:tc>
          <w:tcPr>
            <w:tcW w:w="6000" w:type="dxa"/>
          </w:tcPr>
          <w:p w14:paraId="444D49C1" w14:textId="77777777" w:rsidR="007C1E0D" w:rsidRPr="002F6C8E"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641351FE" w14:textId="77777777" w:rsidR="007C1E0D" w:rsidRPr="002F6C8E" w:rsidRDefault="007C1E0D" w:rsidP="00877924">
            <w:pPr>
              <w:keepNext/>
              <w:tabs>
                <w:tab w:val="right" w:pos="9063"/>
              </w:tabs>
              <w:spacing w:before="60" w:after="60"/>
              <w:jc w:val="center"/>
              <w:outlineLvl w:val="1"/>
              <w:rPr>
                <w:color w:val="595959"/>
                <w:sz w:val="18"/>
                <w:szCs w:val="18"/>
                <w:lang w:val="en-US"/>
              </w:rPr>
            </w:pPr>
          </w:p>
        </w:tc>
      </w:tr>
      <w:tr w:rsidR="002F6C8E" w:rsidRPr="002F6C8E" w14:paraId="30FE2898" w14:textId="77777777" w:rsidTr="002F6C8E">
        <w:trPr>
          <w:jc w:val="center"/>
        </w:trPr>
        <w:tc>
          <w:tcPr>
            <w:tcW w:w="975" w:type="dxa"/>
          </w:tcPr>
          <w:p w14:paraId="55376C2C" w14:textId="77777777" w:rsidR="007C1E0D" w:rsidRPr="002F6C8E" w:rsidRDefault="007C1E0D" w:rsidP="0084666C">
            <w:pPr>
              <w:spacing w:before="60" w:after="60"/>
              <w:jc w:val="center"/>
              <w:rPr>
                <w:color w:val="595959"/>
                <w:sz w:val="18"/>
                <w:szCs w:val="18"/>
              </w:rPr>
            </w:pPr>
          </w:p>
        </w:tc>
        <w:tc>
          <w:tcPr>
            <w:tcW w:w="1350" w:type="dxa"/>
          </w:tcPr>
          <w:p w14:paraId="4A3DC56D" w14:textId="77777777" w:rsidR="007C1E0D" w:rsidRPr="002F6C8E" w:rsidRDefault="007C1E0D" w:rsidP="0084666C">
            <w:pPr>
              <w:keepNext/>
              <w:tabs>
                <w:tab w:val="right" w:pos="9063"/>
              </w:tabs>
              <w:spacing w:before="60" w:after="60"/>
              <w:jc w:val="center"/>
              <w:outlineLvl w:val="1"/>
              <w:rPr>
                <w:color w:val="595959"/>
                <w:sz w:val="18"/>
                <w:szCs w:val="18"/>
              </w:rPr>
            </w:pPr>
          </w:p>
        </w:tc>
        <w:tc>
          <w:tcPr>
            <w:tcW w:w="6000" w:type="dxa"/>
          </w:tcPr>
          <w:p w14:paraId="3ECBC096" w14:textId="77777777" w:rsidR="007C1E0D" w:rsidRPr="002F6C8E"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29A81A1A" w14:textId="77777777" w:rsidR="007C1E0D" w:rsidRPr="002F6C8E" w:rsidRDefault="007C1E0D" w:rsidP="00877924">
            <w:pPr>
              <w:keepNext/>
              <w:tabs>
                <w:tab w:val="right" w:pos="9063"/>
              </w:tabs>
              <w:spacing w:before="60" w:after="60"/>
              <w:jc w:val="center"/>
              <w:outlineLvl w:val="1"/>
              <w:rPr>
                <w:color w:val="595959"/>
                <w:sz w:val="18"/>
                <w:szCs w:val="18"/>
                <w:lang w:val="en-US"/>
              </w:rPr>
            </w:pPr>
          </w:p>
        </w:tc>
      </w:tr>
    </w:tbl>
    <w:p w14:paraId="21681E32" w14:textId="77777777" w:rsidR="00877924" w:rsidRPr="00877924" w:rsidRDefault="00877924" w:rsidP="00877924">
      <w:pPr>
        <w:spacing w:after="0"/>
        <w:rPr>
          <w:sz w:val="22"/>
          <w:szCs w:val="22"/>
          <w:lang w:val="en-US"/>
        </w:rPr>
      </w:pPr>
    </w:p>
    <w:p w14:paraId="129A5496" w14:textId="77777777" w:rsidR="0062273B" w:rsidRDefault="00877924" w:rsidP="00771274">
      <w:pPr>
        <w:spacing w:after="0"/>
        <w:jc w:val="center"/>
        <w:rPr>
          <w:sz w:val="22"/>
          <w:szCs w:val="22"/>
        </w:rPr>
      </w:pPr>
      <w:r>
        <w:br w:type="page"/>
      </w:r>
    </w:p>
    <w:tbl>
      <w:tblPr>
        <w:tblStyle w:val="TableLetterhead"/>
        <w:tblW w:w="9480" w:type="dxa"/>
        <w:tblLook w:val="04A0" w:firstRow="1" w:lastRow="0" w:firstColumn="1" w:lastColumn="0" w:noHBand="0" w:noVBand="1"/>
      </w:tblPr>
      <w:tblGrid>
        <w:gridCol w:w="2400"/>
        <w:gridCol w:w="7080"/>
      </w:tblGrid>
      <w:tr w:rsidR="0062273B" w:rsidRPr="0062273B" w14:paraId="63C3AADA" w14:textId="77777777" w:rsidTr="000579AF">
        <w:tc>
          <w:tcPr>
            <w:tcW w:w="2400" w:type="dxa"/>
          </w:tcPr>
          <w:p w14:paraId="45ABB2A4" w14:textId="1231702F" w:rsidR="0062273B" w:rsidRPr="0062273B" w:rsidRDefault="005A3754" w:rsidP="0062273B">
            <w:pPr>
              <w:widowControl w:val="0"/>
              <w:spacing w:after="0"/>
              <w:ind w:right="85"/>
              <w:rPr>
                <w:rFonts w:ascii="Times New Roman" w:hAnsi="Times New Roman"/>
              </w:rPr>
            </w:pPr>
            <w:r>
              <w:rPr>
                <w:rFonts w:ascii="Times New Roman" w:hAnsi="Times New Roman"/>
                <w:noProof/>
                <w:lang w:val="en-IE" w:eastAsia="en-IE"/>
              </w:rPr>
              <w:lastRenderedPageBreak/>
              <w:drawing>
                <wp:inline distT="0" distB="0" distL="0" distR="0" wp14:anchorId="09CA6CCD" wp14:editId="2A0B6514">
                  <wp:extent cx="1371600" cy="672465"/>
                  <wp:effectExtent l="0" t="0" r="0" b="0"/>
                  <wp:docPr id="3" name="Picture 3"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of the European Commission, 12 yellow stars on a blue background arranged in a circle and framed by two light grey graphic elements representing the Berlaymont building, which is the headquarter of the European Commiss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71600" cy="672465"/>
                          </a:xfrm>
                          <a:prstGeom prst="rect">
                            <a:avLst/>
                          </a:prstGeom>
                          <a:noFill/>
                          <a:ln>
                            <a:noFill/>
                          </a:ln>
                        </pic:spPr>
                      </pic:pic>
                    </a:graphicData>
                  </a:graphic>
                </wp:inline>
              </w:drawing>
            </w:r>
          </w:p>
        </w:tc>
        <w:tc>
          <w:tcPr>
            <w:tcW w:w="7080" w:type="dxa"/>
          </w:tcPr>
          <w:p w14:paraId="66F12799" w14:textId="408A0EF9" w:rsidR="0062273B" w:rsidRPr="0062273B" w:rsidRDefault="0062273B" w:rsidP="0062273B">
            <w:pPr>
              <w:widowControl w:val="0"/>
              <w:spacing w:before="90" w:after="0"/>
              <w:ind w:right="85"/>
              <w:jc w:val="left"/>
              <w:rPr>
                <w:rFonts w:ascii="Times New Roman" w:hAnsi="Times New Roman"/>
                <w:caps/>
              </w:rPr>
            </w:pPr>
            <w:r>
              <w:rPr>
                <w:rFonts w:ascii="Times New Roman" w:hAnsi="Times New Roman"/>
                <w:caps/>
              </w:rPr>
              <w:t>AGÊNCIA DE EXECUÇÃO EUROPEIA</w:t>
            </w:r>
          </w:p>
          <w:p w14:paraId="4C89199C" w14:textId="44C382F9" w:rsidR="0062273B" w:rsidRPr="0062273B" w:rsidRDefault="0062273B" w:rsidP="0062273B">
            <w:pPr>
              <w:widowControl w:val="0"/>
              <w:spacing w:after="0"/>
              <w:ind w:right="85"/>
              <w:jc w:val="left"/>
              <w:rPr>
                <w:rFonts w:ascii="Times New Roman" w:hAnsi="Times New Roman"/>
                <w:caps/>
              </w:rPr>
            </w:pPr>
            <w:r>
              <w:rPr>
                <w:rFonts w:ascii="Times New Roman" w:hAnsi="Times New Roman"/>
                <w:caps/>
              </w:rPr>
              <w:t>DA EDUCAÇÃO E DA CULTURA (EACEA)</w:t>
            </w:r>
          </w:p>
          <w:p w14:paraId="42A84745" w14:textId="77777777" w:rsidR="0062273B" w:rsidRPr="0062273B" w:rsidRDefault="0062273B" w:rsidP="0062273B">
            <w:pPr>
              <w:widowControl w:val="0"/>
              <w:spacing w:after="0"/>
              <w:ind w:right="85"/>
              <w:jc w:val="left"/>
              <w:rPr>
                <w:rFonts w:ascii="Times New Roman" w:hAnsi="Times New Roman"/>
                <w:sz w:val="16"/>
                <w:lang w:eastAsia="fr-BE"/>
              </w:rPr>
            </w:pPr>
          </w:p>
          <w:p w14:paraId="4CC2F47D" w14:textId="09BE9929" w:rsidR="0062273B" w:rsidRPr="0062273B" w:rsidRDefault="0062273B" w:rsidP="0062273B">
            <w:pPr>
              <w:widowControl w:val="0"/>
              <w:spacing w:after="0"/>
              <w:ind w:right="85"/>
              <w:jc w:val="left"/>
              <w:rPr>
                <w:rFonts w:ascii="Times New Roman" w:hAnsi="Times New Roman"/>
                <w:sz w:val="16"/>
              </w:rPr>
            </w:pPr>
            <w:r>
              <w:rPr>
                <w:rFonts w:ascii="Times New Roman" w:hAnsi="Times New Roman"/>
                <w:sz w:val="16"/>
              </w:rPr>
              <w:t>EACEA.B - Criatividade, Cidadania e Operações Conjuntas</w:t>
            </w:r>
          </w:p>
          <w:p w14:paraId="6E2A31C1" w14:textId="0B6D355C" w:rsidR="0062273B" w:rsidRPr="0062273B" w:rsidRDefault="0062273B" w:rsidP="0062273B">
            <w:pPr>
              <w:widowControl w:val="0"/>
              <w:spacing w:after="0"/>
              <w:ind w:right="85"/>
              <w:jc w:val="left"/>
              <w:rPr>
                <w:rFonts w:ascii="Times New Roman" w:hAnsi="Times New Roman"/>
                <w:b/>
                <w:sz w:val="16"/>
              </w:rPr>
            </w:pPr>
            <w:r>
              <w:rPr>
                <w:rFonts w:ascii="Times New Roman" w:hAnsi="Times New Roman"/>
                <w:b/>
                <w:sz w:val="16"/>
              </w:rPr>
              <w:t>EACEA.B.3 - Europa para os Cidadãos</w:t>
            </w:r>
          </w:p>
        </w:tc>
      </w:tr>
    </w:tbl>
    <w:p w14:paraId="60377700" w14:textId="77777777" w:rsidR="00233324" w:rsidRDefault="00233324" w:rsidP="007502F1">
      <w:pPr>
        <w:pStyle w:val="BodyText"/>
        <w:spacing w:before="8"/>
        <w:jc w:val="center"/>
        <w:rPr>
          <w:sz w:val="22"/>
          <w:szCs w:val="22"/>
        </w:rPr>
      </w:pPr>
    </w:p>
    <w:p w14:paraId="4ADD2FD0" w14:textId="77777777" w:rsidR="007502F1" w:rsidRPr="003445B7" w:rsidRDefault="00233324" w:rsidP="007502F1">
      <w:pPr>
        <w:pStyle w:val="BodyText"/>
        <w:spacing w:before="8"/>
        <w:jc w:val="center"/>
        <w:rPr>
          <w:b/>
          <w:sz w:val="22"/>
          <w:szCs w:val="22"/>
        </w:rPr>
      </w:pPr>
      <w:r>
        <w:rPr>
          <w:b/>
          <w:sz w:val="22"/>
          <w:szCs w:val="22"/>
        </w:rPr>
        <w:t xml:space="preserve">CONVITE À APRESENTAÇÃO DE PROPOSTAS </w:t>
      </w:r>
    </w:p>
    <w:p w14:paraId="22801F39" w14:textId="77777777" w:rsidR="00004B82" w:rsidRDefault="00004B82" w:rsidP="00B57534">
      <w:pPr>
        <w:widowControl w:val="0"/>
      </w:pPr>
    </w:p>
    <w:p w14:paraId="694C64CB" w14:textId="77777777" w:rsidR="0084666C" w:rsidRPr="00BE632C" w:rsidRDefault="0084666C" w:rsidP="005A543F">
      <w:pPr>
        <w:autoSpaceDE w:val="0"/>
        <w:autoSpaceDN w:val="0"/>
        <w:adjustRightInd w:val="0"/>
        <w:jc w:val="left"/>
        <w:rPr>
          <w:rFonts w:eastAsia="Calibri" w:cs="Verdana"/>
          <w:b/>
          <w:color w:val="A50021"/>
          <w:sz w:val="18"/>
        </w:rPr>
      </w:pPr>
      <w:r>
        <w:rPr>
          <w:b/>
          <w:color w:val="A50021"/>
          <w:sz w:val="18"/>
        </w:rPr>
        <w:t>ÍNDICE</w:t>
      </w:r>
    </w:p>
    <w:p w14:paraId="24088C2B" w14:textId="6A45D9BF" w:rsidR="00682EF4" w:rsidRDefault="00340A6F">
      <w:pPr>
        <w:pStyle w:val="TOC1"/>
        <w:rPr>
          <w:rFonts w:asciiTheme="minorHAnsi" w:eastAsiaTheme="minorEastAsia" w:hAnsiTheme="minorHAnsi" w:cstheme="minorBidi"/>
          <w:noProof/>
          <w:sz w:val="22"/>
          <w:szCs w:val="22"/>
          <w:lang w:val="fr-LU" w:eastAsia="fr-LU"/>
        </w:rPr>
      </w:pPr>
      <w:r>
        <w:fldChar w:fldCharType="begin"/>
      </w:r>
      <w:r>
        <w:instrText xml:space="preserve"> TOC \o "1-1" \h \z \t "Heading 2,2,Heading 3,3,Subtitle,2" </w:instrText>
      </w:r>
      <w:r>
        <w:fldChar w:fldCharType="separate"/>
      </w:r>
      <w:hyperlink w:anchor="_Toc92978862" w:history="1">
        <w:r w:rsidR="00682EF4" w:rsidRPr="00ED20C1">
          <w:rPr>
            <w:rStyle w:val="Hyperlink"/>
            <w:noProof/>
          </w:rPr>
          <w:t>0.</w:t>
        </w:r>
        <w:r w:rsidR="00682EF4">
          <w:rPr>
            <w:rFonts w:asciiTheme="minorHAnsi" w:eastAsiaTheme="minorEastAsia" w:hAnsiTheme="minorHAnsi" w:cstheme="minorBidi"/>
            <w:noProof/>
            <w:sz w:val="22"/>
            <w:szCs w:val="22"/>
            <w:lang w:val="fr-LU" w:eastAsia="fr-LU"/>
          </w:rPr>
          <w:tab/>
        </w:r>
        <w:r w:rsidR="00682EF4" w:rsidRPr="00ED20C1">
          <w:rPr>
            <w:rStyle w:val="Hyperlink"/>
            <w:noProof/>
          </w:rPr>
          <w:t>Introdução</w:t>
        </w:r>
        <w:r w:rsidR="00682EF4">
          <w:rPr>
            <w:noProof/>
            <w:webHidden/>
          </w:rPr>
          <w:tab/>
        </w:r>
        <w:r w:rsidR="00682EF4">
          <w:rPr>
            <w:noProof/>
            <w:webHidden/>
          </w:rPr>
          <w:fldChar w:fldCharType="begin"/>
        </w:r>
        <w:r w:rsidR="00682EF4">
          <w:rPr>
            <w:noProof/>
            <w:webHidden/>
          </w:rPr>
          <w:instrText xml:space="preserve"> PAGEREF _Toc92978862 \h </w:instrText>
        </w:r>
        <w:r w:rsidR="00682EF4">
          <w:rPr>
            <w:noProof/>
            <w:webHidden/>
          </w:rPr>
        </w:r>
        <w:r w:rsidR="00682EF4">
          <w:rPr>
            <w:noProof/>
            <w:webHidden/>
          </w:rPr>
          <w:fldChar w:fldCharType="separate"/>
        </w:r>
        <w:r w:rsidR="00682EF4">
          <w:rPr>
            <w:noProof/>
            <w:webHidden/>
          </w:rPr>
          <w:t>5</w:t>
        </w:r>
        <w:r w:rsidR="00682EF4">
          <w:rPr>
            <w:noProof/>
            <w:webHidden/>
          </w:rPr>
          <w:fldChar w:fldCharType="end"/>
        </w:r>
      </w:hyperlink>
    </w:p>
    <w:p w14:paraId="76F61D7E" w14:textId="5B507314" w:rsidR="00682EF4" w:rsidRDefault="00751C57">
      <w:pPr>
        <w:pStyle w:val="TOC1"/>
        <w:rPr>
          <w:rFonts w:asciiTheme="minorHAnsi" w:eastAsiaTheme="minorEastAsia" w:hAnsiTheme="minorHAnsi" w:cstheme="minorBidi"/>
          <w:noProof/>
          <w:sz w:val="22"/>
          <w:szCs w:val="22"/>
          <w:lang w:val="fr-LU" w:eastAsia="fr-LU"/>
        </w:rPr>
      </w:pPr>
      <w:hyperlink w:anchor="_Toc92978863" w:history="1">
        <w:r w:rsidR="00682EF4" w:rsidRPr="00ED20C1">
          <w:rPr>
            <w:rStyle w:val="Hyperlink"/>
            <w:noProof/>
          </w:rPr>
          <w:t>1.</w:t>
        </w:r>
        <w:r w:rsidR="00682EF4">
          <w:rPr>
            <w:rFonts w:asciiTheme="minorHAnsi" w:eastAsiaTheme="minorEastAsia" w:hAnsiTheme="minorHAnsi" w:cstheme="minorBidi"/>
            <w:noProof/>
            <w:sz w:val="22"/>
            <w:szCs w:val="22"/>
            <w:lang w:val="fr-LU" w:eastAsia="fr-LU"/>
          </w:rPr>
          <w:tab/>
        </w:r>
        <w:r w:rsidR="00682EF4" w:rsidRPr="00ED20C1">
          <w:rPr>
            <w:rStyle w:val="Hyperlink"/>
            <w:noProof/>
          </w:rPr>
          <w:t>Contexto</w:t>
        </w:r>
        <w:r w:rsidR="00682EF4">
          <w:rPr>
            <w:noProof/>
            <w:webHidden/>
          </w:rPr>
          <w:tab/>
        </w:r>
        <w:r w:rsidR="00682EF4">
          <w:rPr>
            <w:noProof/>
            <w:webHidden/>
          </w:rPr>
          <w:fldChar w:fldCharType="begin"/>
        </w:r>
        <w:r w:rsidR="00682EF4">
          <w:rPr>
            <w:noProof/>
            <w:webHidden/>
          </w:rPr>
          <w:instrText xml:space="preserve"> PAGEREF _Toc92978863 \h </w:instrText>
        </w:r>
        <w:r w:rsidR="00682EF4">
          <w:rPr>
            <w:noProof/>
            <w:webHidden/>
          </w:rPr>
        </w:r>
        <w:r w:rsidR="00682EF4">
          <w:rPr>
            <w:noProof/>
            <w:webHidden/>
          </w:rPr>
          <w:fldChar w:fldCharType="separate"/>
        </w:r>
        <w:r w:rsidR="00682EF4">
          <w:rPr>
            <w:noProof/>
            <w:webHidden/>
          </w:rPr>
          <w:t>6</w:t>
        </w:r>
        <w:r w:rsidR="00682EF4">
          <w:rPr>
            <w:noProof/>
            <w:webHidden/>
          </w:rPr>
          <w:fldChar w:fldCharType="end"/>
        </w:r>
      </w:hyperlink>
    </w:p>
    <w:p w14:paraId="5AD65CBD" w14:textId="4995F2EE" w:rsidR="00682EF4" w:rsidRDefault="00751C57">
      <w:pPr>
        <w:pStyle w:val="TOC1"/>
        <w:rPr>
          <w:rFonts w:asciiTheme="minorHAnsi" w:eastAsiaTheme="minorEastAsia" w:hAnsiTheme="minorHAnsi" w:cstheme="minorBidi"/>
          <w:noProof/>
          <w:sz w:val="22"/>
          <w:szCs w:val="22"/>
          <w:lang w:val="fr-LU" w:eastAsia="fr-LU"/>
        </w:rPr>
      </w:pPr>
      <w:hyperlink w:anchor="_Toc92978864" w:history="1">
        <w:r w:rsidR="00682EF4" w:rsidRPr="00ED20C1">
          <w:rPr>
            <w:rStyle w:val="Hyperlink"/>
            <w:noProof/>
          </w:rPr>
          <w:t>2.</w:t>
        </w:r>
        <w:r w:rsidR="00682EF4">
          <w:rPr>
            <w:rFonts w:asciiTheme="minorHAnsi" w:eastAsiaTheme="minorEastAsia" w:hAnsiTheme="minorHAnsi" w:cstheme="minorBidi"/>
            <w:noProof/>
            <w:sz w:val="22"/>
            <w:szCs w:val="22"/>
            <w:lang w:val="fr-LU" w:eastAsia="fr-LU"/>
          </w:rPr>
          <w:tab/>
        </w:r>
        <w:r w:rsidR="00682EF4" w:rsidRPr="00ED20C1">
          <w:rPr>
            <w:rStyle w:val="Hyperlink"/>
            <w:noProof/>
          </w:rPr>
          <w:t>Objetivos — Temas e prioridades — Atividades que podem ser financiadas — Impacto esperado</w:t>
        </w:r>
        <w:r w:rsidR="00682EF4">
          <w:rPr>
            <w:noProof/>
            <w:webHidden/>
          </w:rPr>
          <w:tab/>
        </w:r>
        <w:r w:rsidR="00682EF4">
          <w:rPr>
            <w:noProof/>
            <w:webHidden/>
          </w:rPr>
          <w:fldChar w:fldCharType="begin"/>
        </w:r>
        <w:r w:rsidR="00682EF4">
          <w:rPr>
            <w:noProof/>
            <w:webHidden/>
          </w:rPr>
          <w:instrText xml:space="preserve"> PAGEREF _Toc92978864 \h </w:instrText>
        </w:r>
        <w:r w:rsidR="00682EF4">
          <w:rPr>
            <w:noProof/>
            <w:webHidden/>
          </w:rPr>
        </w:r>
        <w:r w:rsidR="00682EF4">
          <w:rPr>
            <w:noProof/>
            <w:webHidden/>
          </w:rPr>
          <w:fldChar w:fldCharType="separate"/>
        </w:r>
        <w:r w:rsidR="00682EF4">
          <w:rPr>
            <w:noProof/>
            <w:webHidden/>
          </w:rPr>
          <w:t>7</w:t>
        </w:r>
        <w:r w:rsidR="00682EF4">
          <w:rPr>
            <w:noProof/>
            <w:webHidden/>
          </w:rPr>
          <w:fldChar w:fldCharType="end"/>
        </w:r>
      </w:hyperlink>
    </w:p>
    <w:p w14:paraId="6CB0A323" w14:textId="0C886F7C" w:rsidR="00682EF4" w:rsidRDefault="00751C57">
      <w:pPr>
        <w:pStyle w:val="TOC3"/>
        <w:rPr>
          <w:rFonts w:asciiTheme="minorHAnsi" w:eastAsiaTheme="minorEastAsia" w:hAnsiTheme="minorHAnsi" w:cstheme="minorBidi"/>
          <w:sz w:val="22"/>
          <w:szCs w:val="22"/>
          <w:lang w:val="fr-LU" w:eastAsia="fr-LU"/>
        </w:rPr>
      </w:pPr>
      <w:hyperlink w:anchor="_Toc92978865" w:history="1">
        <w:r w:rsidR="00682EF4" w:rsidRPr="00ED20C1">
          <w:rPr>
            <w:rStyle w:val="Hyperlink"/>
          </w:rPr>
          <w:t>Objetivos</w:t>
        </w:r>
        <w:r w:rsidR="00682EF4">
          <w:rPr>
            <w:webHidden/>
          </w:rPr>
          <w:tab/>
        </w:r>
        <w:r w:rsidR="00682EF4">
          <w:rPr>
            <w:webHidden/>
          </w:rPr>
          <w:fldChar w:fldCharType="begin"/>
        </w:r>
        <w:r w:rsidR="00682EF4">
          <w:rPr>
            <w:webHidden/>
          </w:rPr>
          <w:instrText xml:space="preserve"> PAGEREF _Toc92978865 \h </w:instrText>
        </w:r>
        <w:r w:rsidR="00682EF4">
          <w:rPr>
            <w:webHidden/>
          </w:rPr>
        </w:r>
        <w:r w:rsidR="00682EF4">
          <w:rPr>
            <w:webHidden/>
          </w:rPr>
          <w:fldChar w:fldCharType="separate"/>
        </w:r>
        <w:r w:rsidR="00682EF4">
          <w:rPr>
            <w:webHidden/>
          </w:rPr>
          <w:t>7</w:t>
        </w:r>
        <w:r w:rsidR="00682EF4">
          <w:rPr>
            <w:webHidden/>
          </w:rPr>
          <w:fldChar w:fldCharType="end"/>
        </w:r>
      </w:hyperlink>
    </w:p>
    <w:p w14:paraId="4F6F65CF" w14:textId="5923E1B2" w:rsidR="00682EF4" w:rsidRDefault="00751C57">
      <w:pPr>
        <w:pStyle w:val="TOC3"/>
        <w:rPr>
          <w:rFonts w:asciiTheme="minorHAnsi" w:eastAsiaTheme="minorEastAsia" w:hAnsiTheme="minorHAnsi" w:cstheme="minorBidi"/>
          <w:sz w:val="22"/>
          <w:szCs w:val="22"/>
          <w:lang w:val="fr-LU" w:eastAsia="fr-LU"/>
        </w:rPr>
      </w:pPr>
      <w:hyperlink w:anchor="_Toc92978866" w:history="1">
        <w:r w:rsidR="00682EF4" w:rsidRPr="00ED20C1">
          <w:rPr>
            <w:rStyle w:val="Hyperlink"/>
          </w:rPr>
          <w:t>Temas e prioridades (âmbito)</w:t>
        </w:r>
        <w:r w:rsidR="00682EF4">
          <w:rPr>
            <w:webHidden/>
          </w:rPr>
          <w:tab/>
        </w:r>
        <w:r w:rsidR="00682EF4">
          <w:rPr>
            <w:webHidden/>
          </w:rPr>
          <w:fldChar w:fldCharType="begin"/>
        </w:r>
        <w:r w:rsidR="00682EF4">
          <w:rPr>
            <w:webHidden/>
          </w:rPr>
          <w:instrText xml:space="preserve"> PAGEREF _Toc92978866 \h </w:instrText>
        </w:r>
        <w:r w:rsidR="00682EF4">
          <w:rPr>
            <w:webHidden/>
          </w:rPr>
        </w:r>
        <w:r w:rsidR="00682EF4">
          <w:rPr>
            <w:webHidden/>
          </w:rPr>
          <w:fldChar w:fldCharType="separate"/>
        </w:r>
        <w:r w:rsidR="00682EF4">
          <w:rPr>
            <w:webHidden/>
          </w:rPr>
          <w:t>7</w:t>
        </w:r>
        <w:r w:rsidR="00682EF4">
          <w:rPr>
            <w:webHidden/>
          </w:rPr>
          <w:fldChar w:fldCharType="end"/>
        </w:r>
      </w:hyperlink>
    </w:p>
    <w:p w14:paraId="7FA185D8" w14:textId="421F424E" w:rsidR="00682EF4" w:rsidRDefault="00751C57">
      <w:pPr>
        <w:pStyle w:val="TOC3"/>
        <w:rPr>
          <w:rFonts w:asciiTheme="minorHAnsi" w:eastAsiaTheme="minorEastAsia" w:hAnsiTheme="minorHAnsi" w:cstheme="minorBidi"/>
          <w:sz w:val="22"/>
          <w:szCs w:val="22"/>
          <w:lang w:val="fr-LU" w:eastAsia="fr-LU"/>
        </w:rPr>
      </w:pPr>
      <w:hyperlink w:anchor="_Toc92978867" w:history="1">
        <w:r w:rsidR="00682EF4" w:rsidRPr="00ED20C1">
          <w:rPr>
            <w:rStyle w:val="Hyperlink"/>
          </w:rPr>
          <w:t>Objetivos</w:t>
        </w:r>
        <w:r w:rsidR="00682EF4">
          <w:rPr>
            <w:webHidden/>
          </w:rPr>
          <w:tab/>
        </w:r>
        <w:r w:rsidR="00682EF4">
          <w:rPr>
            <w:webHidden/>
          </w:rPr>
          <w:fldChar w:fldCharType="begin"/>
        </w:r>
        <w:r w:rsidR="00682EF4">
          <w:rPr>
            <w:webHidden/>
          </w:rPr>
          <w:instrText xml:space="preserve"> PAGEREF _Toc92978867 \h </w:instrText>
        </w:r>
        <w:r w:rsidR="00682EF4">
          <w:rPr>
            <w:webHidden/>
          </w:rPr>
        </w:r>
        <w:r w:rsidR="00682EF4">
          <w:rPr>
            <w:webHidden/>
          </w:rPr>
          <w:fldChar w:fldCharType="separate"/>
        </w:r>
        <w:r w:rsidR="00682EF4">
          <w:rPr>
            <w:webHidden/>
          </w:rPr>
          <w:t>8</w:t>
        </w:r>
        <w:r w:rsidR="00682EF4">
          <w:rPr>
            <w:webHidden/>
          </w:rPr>
          <w:fldChar w:fldCharType="end"/>
        </w:r>
      </w:hyperlink>
    </w:p>
    <w:p w14:paraId="7298B2E4" w14:textId="7834E8BF" w:rsidR="00682EF4" w:rsidRDefault="00751C57">
      <w:pPr>
        <w:pStyle w:val="TOC3"/>
        <w:rPr>
          <w:rFonts w:asciiTheme="minorHAnsi" w:eastAsiaTheme="minorEastAsia" w:hAnsiTheme="minorHAnsi" w:cstheme="minorBidi"/>
          <w:sz w:val="22"/>
          <w:szCs w:val="22"/>
          <w:lang w:val="fr-LU" w:eastAsia="fr-LU"/>
        </w:rPr>
      </w:pPr>
      <w:hyperlink w:anchor="_Toc92978868" w:history="1">
        <w:r w:rsidR="00682EF4" w:rsidRPr="00ED20C1">
          <w:rPr>
            <w:rStyle w:val="Hyperlink"/>
          </w:rPr>
          <w:t>Temas e prioridades (âmbito)</w:t>
        </w:r>
        <w:r w:rsidR="00682EF4">
          <w:rPr>
            <w:webHidden/>
          </w:rPr>
          <w:tab/>
        </w:r>
        <w:r w:rsidR="00682EF4">
          <w:rPr>
            <w:webHidden/>
          </w:rPr>
          <w:fldChar w:fldCharType="begin"/>
        </w:r>
        <w:r w:rsidR="00682EF4">
          <w:rPr>
            <w:webHidden/>
          </w:rPr>
          <w:instrText xml:space="preserve"> PAGEREF _Toc92978868 \h </w:instrText>
        </w:r>
        <w:r w:rsidR="00682EF4">
          <w:rPr>
            <w:webHidden/>
          </w:rPr>
        </w:r>
        <w:r w:rsidR="00682EF4">
          <w:rPr>
            <w:webHidden/>
          </w:rPr>
          <w:fldChar w:fldCharType="separate"/>
        </w:r>
        <w:r w:rsidR="00682EF4">
          <w:rPr>
            <w:webHidden/>
          </w:rPr>
          <w:t>9</w:t>
        </w:r>
        <w:r w:rsidR="00682EF4">
          <w:rPr>
            <w:webHidden/>
          </w:rPr>
          <w:fldChar w:fldCharType="end"/>
        </w:r>
      </w:hyperlink>
    </w:p>
    <w:p w14:paraId="6713C5BE" w14:textId="1E5720BE" w:rsidR="00682EF4" w:rsidRDefault="00751C57">
      <w:pPr>
        <w:pStyle w:val="TOC3"/>
        <w:rPr>
          <w:rFonts w:asciiTheme="minorHAnsi" w:eastAsiaTheme="minorEastAsia" w:hAnsiTheme="minorHAnsi" w:cstheme="minorBidi"/>
          <w:sz w:val="22"/>
          <w:szCs w:val="22"/>
          <w:lang w:val="fr-LU" w:eastAsia="fr-LU"/>
        </w:rPr>
      </w:pPr>
      <w:hyperlink w:anchor="_Toc92978869" w:history="1">
        <w:r w:rsidR="00682EF4" w:rsidRPr="00ED20C1">
          <w:rPr>
            <w:rStyle w:val="Hyperlink"/>
          </w:rPr>
          <w:t>Atividades que podem ser financiadas (âmbito)</w:t>
        </w:r>
        <w:r w:rsidR="00682EF4">
          <w:rPr>
            <w:webHidden/>
          </w:rPr>
          <w:tab/>
        </w:r>
        <w:r w:rsidR="00682EF4">
          <w:rPr>
            <w:webHidden/>
          </w:rPr>
          <w:fldChar w:fldCharType="begin"/>
        </w:r>
        <w:r w:rsidR="00682EF4">
          <w:rPr>
            <w:webHidden/>
          </w:rPr>
          <w:instrText xml:space="preserve"> PAGEREF _Toc92978869 \h </w:instrText>
        </w:r>
        <w:r w:rsidR="00682EF4">
          <w:rPr>
            <w:webHidden/>
          </w:rPr>
        </w:r>
        <w:r w:rsidR="00682EF4">
          <w:rPr>
            <w:webHidden/>
          </w:rPr>
          <w:fldChar w:fldCharType="separate"/>
        </w:r>
        <w:r w:rsidR="00682EF4">
          <w:rPr>
            <w:webHidden/>
          </w:rPr>
          <w:t>10</w:t>
        </w:r>
        <w:r w:rsidR="00682EF4">
          <w:rPr>
            <w:webHidden/>
          </w:rPr>
          <w:fldChar w:fldCharType="end"/>
        </w:r>
      </w:hyperlink>
    </w:p>
    <w:p w14:paraId="7C960008" w14:textId="7A6677A6" w:rsidR="00682EF4" w:rsidRDefault="00751C57">
      <w:pPr>
        <w:pStyle w:val="TOC3"/>
        <w:rPr>
          <w:rFonts w:asciiTheme="minorHAnsi" w:eastAsiaTheme="minorEastAsia" w:hAnsiTheme="minorHAnsi" w:cstheme="minorBidi"/>
          <w:sz w:val="22"/>
          <w:szCs w:val="22"/>
          <w:lang w:val="fr-LU" w:eastAsia="fr-LU"/>
        </w:rPr>
      </w:pPr>
      <w:hyperlink w:anchor="_Toc92978870" w:history="1">
        <w:r w:rsidR="00682EF4" w:rsidRPr="00ED20C1">
          <w:rPr>
            <w:rStyle w:val="Hyperlink"/>
          </w:rPr>
          <w:t>Impacto esperado</w:t>
        </w:r>
        <w:r w:rsidR="00682EF4">
          <w:rPr>
            <w:webHidden/>
          </w:rPr>
          <w:tab/>
        </w:r>
        <w:r w:rsidR="00682EF4">
          <w:rPr>
            <w:webHidden/>
          </w:rPr>
          <w:fldChar w:fldCharType="begin"/>
        </w:r>
        <w:r w:rsidR="00682EF4">
          <w:rPr>
            <w:webHidden/>
          </w:rPr>
          <w:instrText xml:space="preserve"> PAGEREF _Toc92978870 \h </w:instrText>
        </w:r>
        <w:r w:rsidR="00682EF4">
          <w:rPr>
            <w:webHidden/>
          </w:rPr>
        </w:r>
        <w:r w:rsidR="00682EF4">
          <w:rPr>
            <w:webHidden/>
          </w:rPr>
          <w:fldChar w:fldCharType="separate"/>
        </w:r>
        <w:r w:rsidR="00682EF4">
          <w:rPr>
            <w:webHidden/>
          </w:rPr>
          <w:t>10</w:t>
        </w:r>
        <w:r w:rsidR="00682EF4">
          <w:rPr>
            <w:webHidden/>
          </w:rPr>
          <w:fldChar w:fldCharType="end"/>
        </w:r>
      </w:hyperlink>
    </w:p>
    <w:p w14:paraId="218C3655" w14:textId="40390053" w:rsidR="00682EF4" w:rsidRDefault="00751C57">
      <w:pPr>
        <w:pStyle w:val="TOC1"/>
        <w:rPr>
          <w:rFonts w:asciiTheme="minorHAnsi" w:eastAsiaTheme="minorEastAsia" w:hAnsiTheme="minorHAnsi" w:cstheme="minorBidi"/>
          <w:noProof/>
          <w:sz w:val="22"/>
          <w:szCs w:val="22"/>
          <w:lang w:val="fr-LU" w:eastAsia="fr-LU"/>
        </w:rPr>
      </w:pPr>
      <w:hyperlink w:anchor="_Toc92978871" w:history="1">
        <w:r w:rsidR="00682EF4" w:rsidRPr="00ED20C1">
          <w:rPr>
            <w:rStyle w:val="Hyperlink"/>
            <w:noProof/>
          </w:rPr>
          <w:t>3.</w:t>
        </w:r>
        <w:r w:rsidR="00682EF4">
          <w:rPr>
            <w:rFonts w:asciiTheme="minorHAnsi" w:eastAsiaTheme="minorEastAsia" w:hAnsiTheme="minorHAnsi" w:cstheme="minorBidi"/>
            <w:noProof/>
            <w:sz w:val="22"/>
            <w:szCs w:val="22"/>
            <w:lang w:val="fr-LU" w:eastAsia="fr-LU"/>
          </w:rPr>
          <w:tab/>
        </w:r>
        <w:r w:rsidR="00682EF4" w:rsidRPr="00ED20C1">
          <w:rPr>
            <w:rStyle w:val="Hyperlink"/>
            <w:noProof/>
          </w:rPr>
          <w:t>Orçamento disponível</w:t>
        </w:r>
        <w:r w:rsidR="00682EF4">
          <w:rPr>
            <w:noProof/>
            <w:webHidden/>
          </w:rPr>
          <w:tab/>
        </w:r>
        <w:r w:rsidR="00682EF4">
          <w:rPr>
            <w:noProof/>
            <w:webHidden/>
          </w:rPr>
          <w:fldChar w:fldCharType="begin"/>
        </w:r>
        <w:r w:rsidR="00682EF4">
          <w:rPr>
            <w:noProof/>
            <w:webHidden/>
          </w:rPr>
          <w:instrText xml:space="preserve"> PAGEREF _Toc92978871 \h </w:instrText>
        </w:r>
        <w:r w:rsidR="00682EF4">
          <w:rPr>
            <w:noProof/>
            <w:webHidden/>
          </w:rPr>
        </w:r>
        <w:r w:rsidR="00682EF4">
          <w:rPr>
            <w:noProof/>
            <w:webHidden/>
          </w:rPr>
          <w:fldChar w:fldCharType="separate"/>
        </w:r>
        <w:r w:rsidR="00682EF4">
          <w:rPr>
            <w:noProof/>
            <w:webHidden/>
          </w:rPr>
          <w:t>10</w:t>
        </w:r>
        <w:r w:rsidR="00682EF4">
          <w:rPr>
            <w:noProof/>
            <w:webHidden/>
          </w:rPr>
          <w:fldChar w:fldCharType="end"/>
        </w:r>
      </w:hyperlink>
    </w:p>
    <w:p w14:paraId="1B0D256F" w14:textId="60E410F4" w:rsidR="00682EF4" w:rsidRDefault="00751C57">
      <w:pPr>
        <w:pStyle w:val="TOC1"/>
        <w:rPr>
          <w:rFonts w:asciiTheme="minorHAnsi" w:eastAsiaTheme="minorEastAsia" w:hAnsiTheme="minorHAnsi" w:cstheme="minorBidi"/>
          <w:noProof/>
          <w:sz w:val="22"/>
          <w:szCs w:val="22"/>
          <w:lang w:val="fr-LU" w:eastAsia="fr-LU"/>
        </w:rPr>
      </w:pPr>
      <w:hyperlink w:anchor="_Toc92978872" w:history="1">
        <w:r w:rsidR="00682EF4" w:rsidRPr="00ED20C1">
          <w:rPr>
            <w:rStyle w:val="Hyperlink"/>
            <w:noProof/>
          </w:rPr>
          <w:t>4.</w:t>
        </w:r>
        <w:r w:rsidR="00682EF4">
          <w:rPr>
            <w:rFonts w:asciiTheme="minorHAnsi" w:eastAsiaTheme="minorEastAsia" w:hAnsiTheme="minorHAnsi" w:cstheme="minorBidi"/>
            <w:noProof/>
            <w:sz w:val="22"/>
            <w:szCs w:val="22"/>
            <w:lang w:val="fr-LU" w:eastAsia="fr-LU"/>
          </w:rPr>
          <w:tab/>
        </w:r>
        <w:r w:rsidR="00682EF4" w:rsidRPr="00ED20C1">
          <w:rPr>
            <w:rStyle w:val="Hyperlink"/>
            <w:noProof/>
          </w:rPr>
          <w:t>Calendário e prazos</w:t>
        </w:r>
        <w:r w:rsidR="00682EF4">
          <w:rPr>
            <w:noProof/>
            <w:webHidden/>
          </w:rPr>
          <w:tab/>
        </w:r>
        <w:r w:rsidR="00682EF4">
          <w:rPr>
            <w:noProof/>
            <w:webHidden/>
          </w:rPr>
          <w:fldChar w:fldCharType="begin"/>
        </w:r>
        <w:r w:rsidR="00682EF4">
          <w:rPr>
            <w:noProof/>
            <w:webHidden/>
          </w:rPr>
          <w:instrText xml:space="preserve"> PAGEREF _Toc92978872 \h </w:instrText>
        </w:r>
        <w:r w:rsidR="00682EF4">
          <w:rPr>
            <w:noProof/>
            <w:webHidden/>
          </w:rPr>
        </w:r>
        <w:r w:rsidR="00682EF4">
          <w:rPr>
            <w:noProof/>
            <w:webHidden/>
          </w:rPr>
          <w:fldChar w:fldCharType="separate"/>
        </w:r>
        <w:r w:rsidR="00682EF4">
          <w:rPr>
            <w:noProof/>
            <w:webHidden/>
          </w:rPr>
          <w:t>11</w:t>
        </w:r>
        <w:r w:rsidR="00682EF4">
          <w:rPr>
            <w:noProof/>
            <w:webHidden/>
          </w:rPr>
          <w:fldChar w:fldCharType="end"/>
        </w:r>
      </w:hyperlink>
    </w:p>
    <w:p w14:paraId="6261E2E5" w14:textId="03B05ABF" w:rsidR="00682EF4" w:rsidRDefault="00751C57">
      <w:pPr>
        <w:pStyle w:val="TOC1"/>
        <w:rPr>
          <w:rFonts w:asciiTheme="minorHAnsi" w:eastAsiaTheme="minorEastAsia" w:hAnsiTheme="minorHAnsi" w:cstheme="minorBidi"/>
          <w:noProof/>
          <w:sz w:val="22"/>
          <w:szCs w:val="22"/>
          <w:lang w:val="fr-LU" w:eastAsia="fr-LU"/>
        </w:rPr>
      </w:pPr>
      <w:hyperlink w:anchor="_Toc92978873" w:history="1">
        <w:r w:rsidR="00682EF4" w:rsidRPr="00ED20C1">
          <w:rPr>
            <w:rStyle w:val="Hyperlink"/>
            <w:noProof/>
          </w:rPr>
          <w:t>5.</w:t>
        </w:r>
        <w:r w:rsidR="00682EF4">
          <w:rPr>
            <w:rFonts w:asciiTheme="minorHAnsi" w:eastAsiaTheme="minorEastAsia" w:hAnsiTheme="minorHAnsi" w:cstheme="minorBidi"/>
            <w:noProof/>
            <w:sz w:val="22"/>
            <w:szCs w:val="22"/>
            <w:lang w:val="fr-LU" w:eastAsia="fr-LU"/>
          </w:rPr>
          <w:tab/>
        </w:r>
        <w:r w:rsidR="00682EF4" w:rsidRPr="00ED20C1">
          <w:rPr>
            <w:rStyle w:val="Hyperlink"/>
            <w:noProof/>
          </w:rPr>
          <w:t>Admissibilidade e documentos</w:t>
        </w:r>
        <w:r w:rsidR="00682EF4">
          <w:rPr>
            <w:noProof/>
            <w:webHidden/>
          </w:rPr>
          <w:tab/>
        </w:r>
        <w:r w:rsidR="00682EF4">
          <w:rPr>
            <w:noProof/>
            <w:webHidden/>
          </w:rPr>
          <w:fldChar w:fldCharType="begin"/>
        </w:r>
        <w:r w:rsidR="00682EF4">
          <w:rPr>
            <w:noProof/>
            <w:webHidden/>
          </w:rPr>
          <w:instrText xml:space="preserve"> PAGEREF _Toc92978873 \h </w:instrText>
        </w:r>
        <w:r w:rsidR="00682EF4">
          <w:rPr>
            <w:noProof/>
            <w:webHidden/>
          </w:rPr>
        </w:r>
        <w:r w:rsidR="00682EF4">
          <w:rPr>
            <w:noProof/>
            <w:webHidden/>
          </w:rPr>
          <w:fldChar w:fldCharType="separate"/>
        </w:r>
        <w:r w:rsidR="00682EF4">
          <w:rPr>
            <w:noProof/>
            <w:webHidden/>
          </w:rPr>
          <w:t>11</w:t>
        </w:r>
        <w:r w:rsidR="00682EF4">
          <w:rPr>
            <w:noProof/>
            <w:webHidden/>
          </w:rPr>
          <w:fldChar w:fldCharType="end"/>
        </w:r>
      </w:hyperlink>
    </w:p>
    <w:p w14:paraId="604A67A5" w14:textId="744D828C" w:rsidR="00682EF4" w:rsidRDefault="00751C57">
      <w:pPr>
        <w:pStyle w:val="TOC1"/>
        <w:rPr>
          <w:rFonts w:asciiTheme="minorHAnsi" w:eastAsiaTheme="minorEastAsia" w:hAnsiTheme="minorHAnsi" w:cstheme="minorBidi"/>
          <w:noProof/>
          <w:sz w:val="22"/>
          <w:szCs w:val="22"/>
          <w:lang w:val="fr-LU" w:eastAsia="fr-LU"/>
        </w:rPr>
      </w:pPr>
      <w:hyperlink w:anchor="_Toc92978874" w:history="1">
        <w:r w:rsidR="00682EF4" w:rsidRPr="00ED20C1">
          <w:rPr>
            <w:rStyle w:val="Hyperlink"/>
            <w:noProof/>
          </w:rPr>
          <w:t>6.</w:t>
        </w:r>
        <w:r w:rsidR="00682EF4">
          <w:rPr>
            <w:rFonts w:asciiTheme="minorHAnsi" w:eastAsiaTheme="minorEastAsia" w:hAnsiTheme="minorHAnsi" w:cstheme="minorBidi"/>
            <w:noProof/>
            <w:sz w:val="22"/>
            <w:szCs w:val="22"/>
            <w:lang w:val="fr-LU" w:eastAsia="fr-LU"/>
          </w:rPr>
          <w:tab/>
        </w:r>
        <w:r w:rsidR="00682EF4" w:rsidRPr="00ED20C1">
          <w:rPr>
            <w:rStyle w:val="Hyperlink"/>
            <w:noProof/>
          </w:rPr>
          <w:t>Elegibilidade</w:t>
        </w:r>
        <w:r w:rsidR="00682EF4">
          <w:rPr>
            <w:noProof/>
            <w:webHidden/>
          </w:rPr>
          <w:tab/>
        </w:r>
        <w:r w:rsidR="00682EF4">
          <w:rPr>
            <w:noProof/>
            <w:webHidden/>
          </w:rPr>
          <w:fldChar w:fldCharType="begin"/>
        </w:r>
        <w:r w:rsidR="00682EF4">
          <w:rPr>
            <w:noProof/>
            <w:webHidden/>
          </w:rPr>
          <w:instrText xml:space="preserve"> PAGEREF _Toc92978874 \h </w:instrText>
        </w:r>
        <w:r w:rsidR="00682EF4">
          <w:rPr>
            <w:noProof/>
            <w:webHidden/>
          </w:rPr>
        </w:r>
        <w:r w:rsidR="00682EF4">
          <w:rPr>
            <w:noProof/>
            <w:webHidden/>
          </w:rPr>
          <w:fldChar w:fldCharType="separate"/>
        </w:r>
        <w:r w:rsidR="00682EF4">
          <w:rPr>
            <w:noProof/>
            <w:webHidden/>
          </w:rPr>
          <w:t>12</w:t>
        </w:r>
        <w:r w:rsidR="00682EF4">
          <w:rPr>
            <w:noProof/>
            <w:webHidden/>
          </w:rPr>
          <w:fldChar w:fldCharType="end"/>
        </w:r>
      </w:hyperlink>
    </w:p>
    <w:p w14:paraId="217719D5" w14:textId="40D1320D" w:rsidR="00682EF4" w:rsidRDefault="00751C57">
      <w:pPr>
        <w:pStyle w:val="TOC3"/>
        <w:rPr>
          <w:rFonts w:asciiTheme="minorHAnsi" w:eastAsiaTheme="minorEastAsia" w:hAnsiTheme="minorHAnsi" w:cstheme="minorBidi"/>
          <w:sz w:val="22"/>
          <w:szCs w:val="22"/>
          <w:lang w:val="fr-LU" w:eastAsia="fr-LU"/>
        </w:rPr>
      </w:pPr>
      <w:hyperlink w:anchor="_Toc92978875" w:history="1">
        <w:r w:rsidR="00682EF4" w:rsidRPr="00ED20C1">
          <w:rPr>
            <w:rStyle w:val="Hyperlink"/>
          </w:rPr>
          <w:t>Participantes elegíveis (países elegíveis)</w:t>
        </w:r>
        <w:r w:rsidR="00682EF4">
          <w:rPr>
            <w:webHidden/>
          </w:rPr>
          <w:tab/>
        </w:r>
        <w:r w:rsidR="00682EF4">
          <w:rPr>
            <w:webHidden/>
          </w:rPr>
          <w:fldChar w:fldCharType="begin"/>
        </w:r>
        <w:r w:rsidR="00682EF4">
          <w:rPr>
            <w:webHidden/>
          </w:rPr>
          <w:instrText xml:space="preserve"> PAGEREF _Toc92978875 \h </w:instrText>
        </w:r>
        <w:r w:rsidR="00682EF4">
          <w:rPr>
            <w:webHidden/>
          </w:rPr>
        </w:r>
        <w:r w:rsidR="00682EF4">
          <w:rPr>
            <w:webHidden/>
          </w:rPr>
          <w:fldChar w:fldCharType="separate"/>
        </w:r>
        <w:r w:rsidR="00682EF4">
          <w:rPr>
            <w:webHidden/>
          </w:rPr>
          <w:t>12</w:t>
        </w:r>
        <w:r w:rsidR="00682EF4">
          <w:rPr>
            <w:webHidden/>
          </w:rPr>
          <w:fldChar w:fldCharType="end"/>
        </w:r>
      </w:hyperlink>
    </w:p>
    <w:p w14:paraId="7126C1A4" w14:textId="5CD081CA" w:rsidR="00682EF4" w:rsidRDefault="00751C57">
      <w:pPr>
        <w:pStyle w:val="TOC3"/>
        <w:rPr>
          <w:rFonts w:asciiTheme="minorHAnsi" w:eastAsiaTheme="minorEastAsia" w:hAnsiTheme="minorHAnsi" w:cstheme="minorBidi"/>
          <w:sz w:val="22"/>
          <w:szCs w:val="22"/>
          <w:lang w:val="fr-LU" w:eastAsia="fr-LU"/>
        </w:rPr>
      </w:pPr>
      <w:hyperlink w:anchor="_Toc92978876" w:history="1">
        <w:r w:rsidR="00682EF4" w:rsidRPr="00ED20C1">
          <w:rPr>
            <w:rStyle w:val="Hyperlink"/>
          </w:rPr>
          <w:t>Composição do consórcio</w:t>
        </w:r>
        <w:r w:rsidR="00682EF4">
          <w:rPr>
            <w:webHidden/>
          </w:rPr>
          <w:tab/>
        </w:r>
        <w:r w:rsidR="00682EF4">
          <w:rPr>
            <w:webHidden/>
          </w:rPr>
          <w:fldChar w:fldCharType="begin"/>
        </w:r>
        <w:r w:rsidR="00682EF4">
          <w:rPr>
            <w:webHidden/>
          </w:rPr>
          <w:instrText xml:space="preserve"> PAGEREF _Toc92978876 \h </w:instrText>
        </w:r>
        <w:r w:rsidR="00682EF4">
          <w:rPr>
            <w:webHidden/>
          </w:rPr>
        </w:r>
        <w:r w:rsidR="00682EF4">
          <w:rPr>
            <w:webHidden/>
          </w:rPr>
          <w:fldChar w:fldCharType="separate"/>
        </w:r>
        <w:r w:rsidR="00682EF4">
          <w:rPr>
            <w:webHidden/>
          </w:rPr>
          <w:t>14</w:t>
        </w:r>
        <w:r w:rsidR="00682EF4">
          <w:rPr>
            <w:webHidden/>
          </w:rPr>
          <w:fldChar w:fldCharType="end"/>
        </w:r>
      </w:hyperlink>
    </w:p>
    <w:p w14:paraId="76DF926E" w14:textId="7F56A663" w:rsidR="00682EF4" w:rsidRDefault="00751C57">
      <w:pPr>
        <w:pStyle w:val="TOC3"/>
        <w:rPr>
          <w:rFonts w:asciiTheme="minorHAnsi" w:eastAsiaTheme="minorEastAsia" w:hAnsiTheme="minorHAnsi" w:cstheme="minorBidi"/>
          <w:sz w:val="22"/>
          <w:szCs w:val="22"/>
          <w:lang w:val="fr-LU" w:eastAsia="fr-LU"/>
        </w:rPr>
      </w:pPr>
      <w:hyperlink w:anchor="_Toc92978877" w:history="1">
        <w:r w:rsidR="00682EF4" w:rsidRPr="00ED20C1">
          <w:rPr>
            <w:rStyle w:val="Hyperlink"/>
          </w:rPr>
          <w:t>Atividades elegíveis</w:t>
        </w:r>
        <w:r w:rsidR="00682EF4">
          <w:rPr>
            <w:webHidden/>
          </w:rPr>
          <w:tab/>
        </w:r>
        <w:r w:rsidR="00682EF4">
          <w:rPr>
            <w:webHidden/>
          </w:rPr>
          <w:fldChar w:fldCharType="begin"/>
        </w:r>
        <w:r w:rsidR="00682EF4">
          <w:rPr>
            <w:webHidden/>
          </w:rPr>
          <w:instrText xml:space="preserve"> PAGEREF _Toc92978877 \h </w:instrText>
        </w:r>
        <w:r w:rsidR="00682EF4">
          <w:rPr>
            <w:webHidden/>
          </w:rPr>
        </w:r>
        <w:r w:rsidR="00682EF4">
          <w:rPr>
            <w:webHidden/>
          </w:rPr>
          <w:fldChar w:fldCharType="separate"/>
        </w:r>
        <w:r w:rsidR="00682EF4">
          <w:rPr>
            <w:webHidden/>
          </w:rPr>
          <w:t>15</w:t>
        </w:r>
        <w:r w:rsidR="00682EF4">
          <w:rPr>
            <w:webHidden/>
          </w:rPr>
          <w:fldChar w:fldCharType="end"/>
        </w:r>
      </w:hyperlink>
    </w:p>
    <w:p w14:paraId="7A018EDA" w14:textId="590C0E0B" w:rsidR="00682EF4" w:rsidRDefault="00751C57">
      <w:pPr>
        <w:pStyle w:val="TOC3"/>
        <w:rPr>
          <w:rFonts w:asciiTheme="minorHAnsi" w:eastAsiaTheme="minorEastAsia" w:hAnsiTheme="minorHAnsi" w:cstheme="minorBidi"/>
          <w:sz w:val="22"/>
          <w:szCs w:val="22"/>
          <w:lang w:val="fr-LU" w:eastAsia="fr-LU"/>
        </w:rPr>
      </w:pPr>
      <w:hyperlink w:anchor="_Toc92978878" w:history="1">
        <w:r w:rsidR="00682EF4" w:rsidRPr="00ED20C1">
          <w:rPr>
            <w:rStyle w:val="Hyperlink"/>
          </w:rPr>
          <w:t>Localização geográfica (países-alvo)</w:t>
        </w:r>
        <w:r w:rsidR="00682EF4">
          <w:rPr>
            <w:webHidden/>
          </w:rPr>
          <w:tab/>
        </w:r>
        <w:r w:rsidR="00682EF4">
          <w:rPr>
            <w:webHidden/>
          </w:rPr>
          <w:fldChar w:fldCharType="begin"/>
        </w:r>
        <w:r w:rsidR="00682EF4">
          <w:rPr>
            <w:webHidden/>
          </w:rPr>
          <w:instrText xml:space="preserve"> PAGEREF _Toc92978878 \h </w:instrText>
        </w:r>
        <w:r w:rsidR="00682EF4">
          <w:rPr>
            <w:webHidden/>
          </w:rPr>
        </w:r>
        <w:r w:rsidR="00682EF4">
          <w:rPr>
            <w:webHidden/>
          </w:rPr>
          <w:fldChar w:fldCharType="separate"/>
        </w:r>
        <w:r w:rsidR="00682EF4">
          <w:rPr>
            <w:webHidden/>
          </w:rPr>
          <w:t>15</w:t>
        </w:r>
        <w:r w:rsidR="00682EF4">
          <w:rPr>
            <w:webHidden/>
          </w:rPr>
          <w:fldChar w:fldCharType="end"/>
        </w:r>
      </w:hyperlink>
    </w:p>
    <w:p w14:paraId="28D23C01" w14:textId="64D13789" w:rsidR="00682EF4" w:rsidRDefault="00751C57">
      <w:pPr>
        <w:pStyle w:val="TOC3"/>
        <w:rPr>
          <w:rFonts w:asciiTheme="minorHAnsi" w:eastAsiaTheme="minorEastAsia" w:hAnsiTheme="minorHAnsi" w:cstheme="minorBidi"/>
          <w:sz w:val="22"/>
          <w:szCs w:val="22"/>
          <w:lang w:val="fr-LU" w:eastAsia="fr-LU"/>
        </w:rPr>
      </w:pPr>
      <w:hyperlink w:anchor="_Toc92978879" w:history="1">
        <w:r w:rsidR="00682EF4" w:rsidRPr="00ED20C1">
          <w:rPr>
            <w:rStyle w:val="Hyperlink"/>
          </w:rPr>
          <w:t>Duração</w:t>
        </w:r>
        <w:r w:rsidR="00682EF4">
          <w:rPr>
            <w:webHidden/>
          </w:rPr>
          <w:tab/>
        </w:r>
        <w:r w:rsidR="00682EF4">
          <w:rPr>
            <w:webHidden/>
          </w:rPr>
          <w:fldChar w:fldCharType="begin"/>
        </w:r>
        <w:r w:rsidR="00682EF4">
          <w:rPr>
            <w:webHidden/>
          </w:rPr>
          <w:instrText xml:space="preserve"> PAGEREF _Toc92978879 \h </w:instrText>
        </w:r>
        <w:r w:rsidR="00682EF4">
          <w:rPr>
            <w:webHidden/>
          </w:rPr>
        </w:r>
        <w:r w:rsidR="00682EF4">
          <w:rPr>
            <w:webHidden/>
          </w:rPr>
          <w:fldChar w:fldCharType="separate"/>
        </w:r>
        <w:r w:rsidR="00682EF4">
          <w:rPr>
            <w:webHidden/>
          </w:rPr>
          <w:t>15</w:t>
        </w:r>
        <w:r w:rsidR="00682EF4">
          <w:rPr>
            <w:webHidden/>
          </w:rPr>
          <w:fldChar w:fldCharType="end"/>
        </w:r>
      </w:hyperlink>
    </w:p>
    <w:p w14:paraId="2454C11D" w14:textId="7FE8C27E" w:rsidR="00682EF4" w:rsidRDefault="00751C57">
      <w:pPr>
        <w:pStyle w:val="TOC3"/>
        <w:rPr>
          <w:rFonts w:asciiTheme="minorHAnsi" w:eastAsiaTheme="minorEastAsia" w:hAnsiTheme="minorHAnsi" w:cstheme="minorBidi"/>
          <w:sz w:val="22"/>
          <w:szCs w:val="22"/>
          <w:lang w:val="fr-LU" w:eastAsia="fr-LU"/>
        </w:rPr>
      </w:pPr>
      <w:hyperlink w:anchor="_Toc92978880" w:history="1">
        <w:r w:rsidR="00682EF4" w:rsidRPr="00ED20C1">
          <w:rPr>
            <w:rStyle w:val="Hyperlink"/>
          </w:rPr>
          <w:t>Ética e valores da UE</w:t>
        </w:r>
        <w:r w:rsidR="00682EF4">
          <w:rPr>
            <w:webHidden/>
          </w:rPr>
          <w:tab/>
        </w:r>
        <w:r w:rsidR="00682EF4">
          <w:rPr>
            <w:webHidden/>
          </w:rPr>
          <w:fldChar w:fldCharType="begin"/>
        </w:r>
        <w:r w:rsidR="00682EF4">
          <w:rPr>
            <w:webHidden/>
          </w:rPr>
          <w:instrText xml:space="preserve"> PAGEREF _Toc92978880 \h </w:instrText>
        </w:r>
        <w:r w:rsidR="00682EF4">
          <w:rPr>
            <w:webHidden/>
          </w:rPr>
        </w:r>
        <w:r w:rsidR="00682EF4">
          <w:rPr>
            <w:webHidden/>
          </w:rPr>
          <w:fldChar w:fldCharType="separate"/>
        </w:r>
        <w:r w:rsidR="00682EF4">
          <w:rPr>
            <w:webHidden/>
          </w:rPr>
          <w:t>15</w:t>
        </w:r>
        <w:r w:rsidR="00682EF4">
          <w:rPr>
            <w:webHidden/>
          </w:rPr>
          <w:fldChar w:fldCharType="end"/>
        </w:r>
      </w:hyperlink>
    </w:p>
    <w:p w14:paraId="62814BB3" w14:textId="6343EE86" w:rsidR="00682EF4" w:rsidRDefault="00751C57">
      <w:pPr>
        <w:pStyle w:val="TOC1"/>
        <w:rPr>
          <w:rFonts w:asciiTheme="minorHAnsi" w:eastAsiaTheme="minorEastAsia" w:hAnsiTheme="minorHAnsi" w:cstheme="minorBidi"/>
          <w:noProof/>
          <w:sz w:val="22"/>
          <w:szCs w:val="22"/>
          <w:lang w:val="fr-LU" w:eastAsia="fr-LU"/>
        </w:rPr>
      </w:pPr>
      <w:hyperlink w:anchor="_Toc92978881" w:history="1">
        <w:r w:rsidR="00682EF4" w:rsidRPr="00ED20C1">
          <w:rPr>
            <w:rStyle w:val="Hyperlink"/>
            <w:noProof/>
          </w:rPr>
          <w:t>7.</w:t>
        </w:r>
        <w:r w:rsidR="00682EF4">
          <w:rPr>
            <w:rFonts w:asciiTheme="minorHAnsi" w:eastAsiaTheme="minorEastAsia" w:hAnsiTheme="minorHAnsi" w:cstheme="minorBidi"/>
            <w:noProof/>
            <w:sz w:val="22"/>
            <w:szCs w:val="22"/>
            <w:lang w:val="fr-LU" w:eastAsia="fr-LU"/>
          </w:rPr>
          <w:tab/>
        </w:r>
        <w:r w:rsidR="00682EF4" w:rsidRPr="00ED20C1">
          <w:rPr>
            <w:rStyle w:val="Hyperlink"/>
            <w:noProof/>
          </w:rPr>
          <w:t>Capacidade financeira e operacional e exclusão</w:t>
        </w:r>
        <w:r w:rsidR="00682EF4">
          <w:rPr>
            <w:noProof/>
            <w:webHidden/>
          </w:rPr>
          <w:tab/>
        </w:r>
        <w:r w:rsidR="00682EF4">
          <w:rPr>
            <w:noProof/>
            <w:webHidden/>
          </w:rPr>
          <w:fldChar w:fldCharType="begin"/>
        </w:r>
        <w:r w:rsidR="00682EF4">
          <w:rPr>
            <w:noProof/>
            <w:webHidden/>
          </w:rPr>
          <w:instrText xml:space="preserve"> PAGEREF _Toc92978881 \h </w:instrText>
        </w:r>
        <w:r w:rsidR="00682EF4">
          <w:rPr>
            <w:noProof/>
            <w:webHidden/>
          </w:rPr>
        </w:r>
        <w:r w:rsidR="00682EF4">
          <w:rPr>
            <w:noProof/>
            <w:webHidden/>
          </w:rPr>
          <w:fldChar w:fldCharType="separate"/>
        </w:r>
        <w:r w:rsidR="00682EF4">
          <w:rPr>
            <w:noProof/>
            <w:webHidden/>
          </w:rPr>
          <w:t>16</w:t>
        </w:r>
        <w:r w:rsidR="00682EF4">
          <w:rPr>
            <w:noProof/>
            <w:webHidden/>
          </w:rPr>
          <w:fldChar w:fldCharType="end"/>
        </w:r>
      </w:hyperlink>
    </w:p>
    <w:p w14:paraId="15420DE3" w14:textId="55A561A4" w:rsidR="00682EF4" w:rsidRDefault="00751C57">
      <w:pPr>
        <w:pStyle w:val="TOC3"/>
        <w:rPr>
          <w:rFonts w:asciiTheme="minorHAnsi" w:eastAsiaTheme="minorEastAsia" w:hAnsiTheme="minorHAnsi" w:cstheme="minorBidi"/>
          <w:sz w:val="22"/>
          <w:szCs w:val="22"/>
          <w:lang w:val="fr-LU" w:eastAsia="fr-LU"/>
        </w:rPr>
      </w:pPr>
      <w:hyperlink w:anchor="_Toc92978882" w:history="1">
        <w:r w:rsidR="00682EF4" w:rsidRPr="00ED20C1">
          <w:rPr>
            <w:rStyle w:val="Hyperlink"/>
          </w:rPr>
          <w:t>Capacidade financeira</w:t>
        </w:r>
        <w:r w:rsidR="00682EF4">
          <w:rPr>
            <w:webHidden/>
          </w:rPr>
          <w:tab/>
        </w:r>
        <w:r w:rsidR="00682EF4">
          <w:rPr>
            <w:webHidden/>
          </w:rPr>
          <w:fldChar w:fldCharType="begin"/>
        </w:r>
        <w:r w:rsidR="00682EF4">
          <w:rPr>
            <w:webHidden/>
          </w:rPr>
          <w:instrText xml:space="preserve"> PAGEREF _Toc92978882 \h </w:instrText>
        </w:r>
        <w:r w:rsidR="00682EF4">
          <w:rPr>
            <w:webHidden/>
          </w:rPr>
        </w:r>
        <w:r w:rsidR="00682EF4">
          <w:rPr>
            <w:webHidden/>
          </w:rPr>
          <w:fldChar w:fldCharType="separate"/>
        </w:r>
        <w:r w:rsidR="00682EF4">
          <w:rPr>
            <w:webHidden/>
          </w:rPr>
          <w:t>16</w:t>
        </w:r>
        <w:r w:rsidR="00682EF4">
          <w:rPr>
            <w:webHidden/>
          </w:rPr>
          <w:fldChar w:fldCharType="end"/>
        </w:r>
      </w:hyperlink>
    </w:p>
    <w:p w14:paraId="221B7A9C" w14:textId="1AB7BADE" w:rsidR="00682EF4" w:rsidRDefault="00751C57">
      <w:pPr>
        <w:pStyle w:val="TOC3"/>
        <w:rPr>
          <w:rFonts w:asciiTheme="minorHAnsi" w:eastAsiaTheme="minorEastAsia" w:hAnsiTheme="minorHAnsi" w:cstheme="minorBidi"/>
          <w:sz w:val="22"/>
          <w:szCs w:val="22"/>
          <w:lang w:val="fr-LU" w:eastAsia="fr-LU"/>
        </w:rPr>
      </w:pPr>
      <w:hyperlink w:anchor="_Toc92978883" w:history="1">
        <w:r w:rsidR="00682EF4" w:rsidRPr="00ED20C1">
          <w:rPr>
            <w:rStyle w:val="Hyperlink"/>
          </w:rPr>
          <w:t>Capacidade operacional</w:t>
        </w:r>
        <w:r w:rsidR="00682EF4">
          <w:rPr>
            <w:webHidden/>
          </w:rPr>
          <w:tab/>
        </w:r>
        <w:r w:rsidR="00682EF4">
          <w:rPr>
            <w:webHidden/>
          </w:rPr>
          <w:fldChar w:fldCharType="begin"/>
        </w:r>
        <w:r w:rsidR="00682EF4">
          <w:rPr>
            <w:webHidden/>
          </w:rPr>
          <w:instrText xml:space="preserve"> PAGEREF _Toc92978883 \h </w:instrText>
        </w:r>
        <w:r w:rsidR="00682EF4">
          <w:rPr>
            <w:webHidden/>
          </w:rPr>
        </w:r>
        <w:r w:rsidR="00682EF4">
          <w:rPr>
            <w:webHidden/>
          </w:rPr>
          <w:fldChar w:fldCharType="separate"/>
        </w:r>
        <w:r w:rsidR="00682EF4">
          <w:rPr>
            <w:webHidden/>
          </w:rPr>
          <w:t>17</w:t>
        </w:r>
        <w:r w:rsidR="00682EF4">
          <w:rPr>
            <w:webHidden/>
          </w:rPr>
          <w:fldChar w:fldCharType="end"/>
        </w:r>
      </w:hyperlink>
    </w:p>
    <w:p w14:paraId="133B6E8B" w14:textId="2024FF0A" w:rsidR="00682EF4" w:rsidRDefault="00751C57">
      <w:pPr>
        <w:pStyle w:val="TOC3"/>
        <w:rPr>
          <w:rFonts w:asciiTheme="minorHAnsi" w:eastAsiaTheme="minorEastAsia" w:hAnsiTheme="minorHAnsi" w:cstheme="minorBidi"/>
          <w:sz w:val="22"/>
          <w:szCs w:val="22"/>
          <w:lang w:val="fr-LU" w:eastAsia="fr-LU"/>
        </w:rPr>
      </w:pPr>
      <w:hyperlink w:anchor="_Toc92978884" w:history="1">
        <w:r w:rsidR="00682EF4" w:rsidRPr="00ED20C1">
          <w:rPr>
            <w:rStyle w:val="Hyperlink"/>
          </w:rPr>
          <w:t>Exclusão</w:t>
        </w:r>
        <w:r w:rsidR="00682EF4">
          <w:rPr>
            <w:webHidden/>
          </w:rPr>
          <w:tab/>
        </w:r>
        <w:r w:rsidR="00682EF4">
          <w:rPr>
            <w:webHidden/>
          </w:rPr>
          <w:fldChar w:fldCharType="begin"/>
        </w:r>
        <w:r w:rsidR="00682EF4">
          <w:rPr>
            <w:webHidden/>
          </w:rPr>
          <w:instrText xml:space="preserve"> PAGEREF _Toc92978884 \h </w:instrText>
        </w:r>
        <w:r w:rsidR="00682EF4">
          <w:rPr>
            <w:webHidden/>
          </w:rPr>
        </w:r>
        <w:r w:rsidR="00682EF4">
          <w:rPr>
            <w:webHidden/>
          </w:rPr>
          <w:fldChar w:fldCharType="separate"/>
        </w:r>
        <w:r w:rsidR="00682EF4">
          <w:rPr>
            <w:webHidden/>
          </w:rPr>
          <w:t>18</w:t>
        </w:r>
        <w:r w:rsidR="00682EF4">
          <w:rPr>
            <w:webHidden/>
          </w:rPr>
          <w:fldChar w:fldCharType="end"/>
        </w:r>
      </w:hyperlink>
    </w:p>
    <w:p w14:paraId="6A0C82FD" w14:textId="42539127" w:rsidR="00682EF4" w:rsidRDefault="00751C57">
      <w:pPr>
        <w:pStyle w:val="TOC1"/>
        <w:rPr>
          <w:rFonts w:asciiTheme="minorHAnsi" w:eastAsiaTheme="minorEastAsia" w:hAnsiTheme="minorHAnsi" w:cstheme="minorBidi"/>
          <w:noProof/>
          <w:sz w:val="22"/>
          <w:szCs w:val="22"/>
          <w:lang w:val="fr-LU" w:eastAsia="fr-LU"/>
        </w:rPr>
      </w:pPr>
      <w:hyperlink w:anchor="_Toc92978885" w:history="1">
        <w:r w:rsidR="00682EF4" w:rsidRPr="00ED20C1">
          <w:rPr>
            <w:rStyle w:val="Hyperlink"/>
            <w:noProof/>
          </w:rPr>
          <w:t>8.</w:t>
        </w:r>
        <w:r w:rsidR="00682EF4">
          <w:rPr>
            <w:rFonts w:asciiTheme="minorHAnsi" w:eastAsiaTheme="minorEastAsia" w:hAnsiTheme="minorHAnsi" w:cstheme="minorBidi"/>
            <w:noProof/>
            <w:sz w:val="22"/>
            <w:szCs w:val="22"/>
            <w:lang w:val="fr-LU" w:eastAsia="fr-LU"/>
          </w:rPr>
          <w:tab/>
        </w:r>
        <w:r w:rsidR="00682EF4" w:rsidRPr="00ED20C1">
          <w:rPr>
            <w:rStyle w:val="Hyperlink"/>
            <w:noProof/>
          </w:rPr>
          <w:t>Procedimento de avaliação e atribuição</w:t>
        </w:r>
        <w:r w:rsidR="00682EF4">
          <w:rPr>
            <w:noProof/>
            <w:webHidden/>
          </w:rPr>
          <w:tab/>
        </w:r>
        <w:r w:rsidR="00682EF4">
          <w:rPr>
            <w:noProof/>
            <w:webHidden/>
          </w:rPr>
          <w:fldChar w:fldCharType="begin"/>
        </w:r>
        <w:r w:rsidR="00682EF4">
          <w:rPr>
            <w:noProof/>
            <w:webHidden/>
          </w:rPr>
          <w:instrText xml:space="preserve"> PAGEREF _Toc92978885 \h </w:instrText>
        </w:r>
        <w:r w:rsidR="00682EF4">
          <w:rPr>
            <w:noProof/>
            <w:webHidden/>
          </w:rPr>
        </w:r>
        <w:r w:rsidR="00682EF4">
          <w:rPr>
            <w:noProof/>
            <w:webHidden/>
          </w:rPr>
          <w:fldChar w:fldCharType="separate"/>
        </w:r>
        <w:r w:rsidR="00682EF4">
          <w:rPr>
            <w:noProof/>
            <w:webHidden/>
          </w:rPr>
          <w:t>19</w:t>
        </w:r>
        <w:r w:rsidR="00682EF4">
          <w:rPr>
            <w:noProof/>
            <w:webHidden/>
          </w:rPr>
          <w:fldChar w:fldCharType="end"/>
        </w:r>
      </w:hyperlink>
    </w:p>
    <w:p w14:paraId="7D0A2276" w14:textId="20B4A19D" w:rsidR="00682EF4" w:rsidRDefault="00751C57">
      <w:pPr>
        <w:pStyle w:val="TOC1"/>
        <w:rPr>
          <w:rFonts w:asciiTheme="minorHAnsi" w:eastAsiaTheme="minorEastAsia" w:hAnsiTheme="minorHAnsi" w:cstheme="minorBidi"/>
          <w:noProof/>
          <w:sz w:val="22"/>
          <w:szCs w:val="22"/>
          <w:lang w:val="fr-LU" w:eastAsia="fr-LU"/>
        </w:rPr>
      </w:pPr>
      <w:hyperlink w:anchor="_Toc92978886" w:history="1">
        <w:r w:rsidR="00682EF4" w:rsidRPr="00ED20C1">
          <w:rPr>
            <w:rStyle w:val="Hyperlink"/>
            <w:noProof/>
          </w:rPr>
          <w:t>9.</w:t>
        </w:r>
        <w:r w:rsidR="00682EF4">
          <w:rPr>
            <w:rFonts w:asciiTheme="minorHAnsi" w:eastAsiaTheme="minorEastAsia" w:hAnsiTheme="minorHAnsi" w:cstheme="minorBidi"/>
            <w:noProof/>
            <w:sz w:val="22"/>
            <w:szCs w:val="22"/>
            <w:lang w:val="fr-LU" w:eastAsia="fr-LU"/>
          </w:rPr>
          <w:tab/>
        </w:r>
        <w:r w:rsidR="00682EF4" w:rsidRPr="00ED20C1">
          <w:rPr>
            <w:rStyle w:val="Hyperlink"/>
            <w:noProof/>
          </w:rPr>
          <w:t>Critérios de atribuição</w:t>
        </w:r>
        <w:r w:rsidR="00682EF4">
          <w:rPr>
            <w:noProof/>
            <w:webHidden/>
          </w:rPr>
          <w:tab/>
        </w:r>
        <w:r w:rsidR="00682EF4">
          <w:rPr>
            <w:noProof/>
            <w:webHidden/>
          </w:rPr>
          <w:fldChar w:fldCharType="begin"/>
        </w:r>
        <w:r w:rsidR="00682EF4">
          <w:rPr>
            <w:noProof/>
            <w:webHidden/>
          </w:rPr>
          <w:instrText xml:space="preserve"> PAGEREF _Toc92978886 \h </w:instrText>
        </w:r>
        <w:r w:rsidR="00682EF4">
          <w:rPr>
            <w:noProof/>
            <w:webHidden/>
          </w:rPr>
        </w:r>
        <w:r w:rsidR="00682EF4">
          <w:rPr>
            <w:noProof/>
            <w:webHidden/>
          </w:rPr>
          <w:fldChar w:fldCharType="separate"/>
        </w:r>
        <w:r w:rsidR="00682EF4">
          <w:rPr>
            <w:noProof/>
            <w:webHidden/>
          </w:rPr>
          <w:t>19</w:t>
        </w:r>
        <w:r w:rsidR="00682EF4">
          <w:rPr>
            <w:noProof/>
            <w:webHidden/>
          </w:rPr>
          <w:fldChar w:fldCharType="end"/>
        </w:r>
      </w:hyperlink>
    </w:p>
    <w:p w14:paraId="08D9010E" w14:textId="0777CD52" w:rsidR="00682EF4" w:rsidRDefault="00751C57">
      <w:pPr>
        <w:pStyle w:val="TOC1"/>
        <w:rPr>
          <w:rFonts w:asciiTheme="minorHAnsi" w:eastAsiaTheme="minorEastAsia" w:hAnsiTheme="minorHAnsi" w:cstheme="minorBidi"/>
          <w:noProof/>
          <w:sz w:val="22"/>
          <w:szCs w:val="22"/>
          <w:lang w:val="fr-LU" w:eastAsia="fr-LU"/>
        </w:rPr>
      </w:pPr>
      <w:hyperlink w:anchor="_Toc92978887" w:history="1">
        <w:r w:rsidR="00682EF4" w:rsidRPr="00ED20C1">
          <w:rPr>
            <w:rStyle w:val="Hyperlink"/>
            <w:noProof/>
          </w:rPr>
          <w:t>10.</w:t>
        </w:r>
        <w:r w:rsidR="00682EF4">
          <w:rPr>
            <w:rFonts w:asciiTheme="minorHAnsi" w:eastAsiaTheme="minorEastAsia" w:hAnsiTheme="minorHAnsi" w:cstheme="minorBidi"/>
            <w:noProof/>
            <w:sz w:val="22"/>
            <w:szCs w:val="22"/>
            <w:lang w:val="fr-LU" w:eastAsia="fr-LU"/>
          </w:rPr>
          <w:tab/>
        </w:r>
        <w:r w:rsidR="00682EF4" w:rsidRPr="00ED20C1">
          <w:rPr>
            <w:rStyle w:val="Hyperlink"/>
            <w:noProof/>
          </w:rPr>
          <w:t>Estrutura jurídica e financeira das convenções de subvenção</w:t>
        </w:r>
        <w:r w:rsidR="00682EF4">
          <w:rPr>
            <w:noProof/>
            <w:webHidden/>
          </w:rPr>
          <w:tab/>
        </w:r>
        <w:r w:rsidR="00682EF4">
          <w:rPr>
            <w:noProof/>
            <w:webHidden/>
          </w:rPr>
          <w:fldChar w:fldCharType="begin"/>
        </w:r>
        <w:r w:rsidR="00682EF4">
          <w:rPr>
            <w:noProof/>
            <w:webHidden/>
          </w:rPr>
          <w:instrText xml:space="preserve"> PAGEREF _Toc92978887 \h </w:instrText>
        </w:r>
        <w:r w:rsidR="00682EF4">
          <w:rPr>
            <w:noProof/>
            <w:webHidden/>
          </w:rPr>
        </w:r>
        <w:r w:rsidR="00682EF4">
          <w:rPr>
            <w:noProof/>
            <w:webHidden/>
          </w:rPr>
          <w:fldChar w:fldCharType="separate"/>
        </w:r>
        <w:r w:rsidR="00682EF4">
          <w:rPr>
            <w:noProof/>
            <w:webHidden/>
          </w:rPr>
          <w:t>20</w:t>
        </w:r>
        <w:r w:rsidR="00682EF4">
          <w:rPr>
            <w:noProof/>
            <w:webHidden/>
          </w:rPr>
          <w:fldChar w:fldCharType="end"/>
        </w:r>
      </w:hyperlink>
    </w:p>
    <w:p w14:paraId="080A370D" w14:textId="1DD21B4E" w:rsidR="00682EF4" w:rsidRDefault="00751C57">
      <w:pPr>
        <w:pStyle w:val="TOC3"/>
        <w:rPr>
          <w:rFonts w:asciiTheme="minorHAnsi" w:eastAsiaTheme="minorEastAsia" w:hAnsiTheme="minorHAnsi" w:cstheme="minorBidi"/>
          <w:sz w:val="22"/>
          <w:szCs w:val="22"/>
          <w:lang w:val="fr-LU" w:eastAsia="fr-LU"/>
        </w:rPr>
      </w:pPr>
      <w:hyperlink w:anchor="_Toc92978888" w:history="1">
        <w:r w:rsidR="00682EF4" w:rsidRPr="00ED20C1">
          <w:rPr>
            <w:rStyle w:val="Hyperlink"/>
          </w:rPr>
          <w:t>Data de início e duração do projeto</w:t>
        </w:r>
        <w:r w:rsidR="00682EF4">
          <w:rPr>
            <w:webHidden/>
          </w:rPr>
          <w:tab/>
        </w:r>
        <w:r w:rsidR="00682EF4">
          <w:rPr>
            <w:webHidden/>
          </w:rPr>
          <w:fldChar w:fldCharType="begin"/>
        </w:r>
        <w:r w:rsidR="00682EF4">
          <w:rPr>
            <w:webHidden/>
          </w:rPr>
          <w:instrText xml:space="preserve"> PAGEREF _Toc92978888 \h </w:instrText>
        </w:r>
        <w:r w:rsidR="00682EF4">
          <w:rPr>
            <w:webHidden/>
          </w:rPr>
        </w:r>
        <w:r w:rsidR="00682EF4">
          <w:rPr>
            <w:webHidden/>
          </w:rPr>
          <w:fldChar w:fldCharType="separate"/>
        </w:r>
        <w:r w:rsidR="00682EF4">
          <w:rPr>
            <w:webHidden/>
          </w:rPr>
          <w:t>21</w:t>
        </w:r>
        <w:r w:rsidR="00682EF4">
          <w:rPr>
            <w:webHidden/>
          </w:rPr>
          <w:fldChar w:fldCharType="end"/>
        </w:r>
      </w:hyperlink>
    </w:p>
    <w:p w14:paraId="0AEEB3B6" w14:textId="0D2C674F" w:rsidR="00682EF4" w:rsidRDefault="00751C57">
      <w:pPr>
        <w:pStyle w:val="TOC3"/>
        <w:rPr>
          <w:rFonts w:asciiTheme="minorHAnsi" w:eastAsiaTheme="minorEastAsia" w:hAnsiTheme="minorHAnsi" w:cstheme="minorBidi"/>
          <w:sz w:val="22"/>
          <w:szCs w:val="22"/>
          <w:lang w:val="fr-LU" w:eastAsia="fr-LU"/>
        </w:rPr>
      </w:pPr>
      <w:hyperlink w:anchor="_Toc92978889" w:history="1">
        <w:r w:rsidR="00682EF4" w:rsidRPr="00ED20C1">
          <w:rPr>
            <w:rStyle w:val="Hyperlink"/>
          </w:rPr>
          <w:t>Etapas e prestações concretas</w:t>
        </w:r>
        <w:r w:rsidR="00682EF4">
          <w:rPr>
            <w:webHidden/>
          </w:rPr>
          <w:tab/>
        </w:r>
        <w:r w:rsidR="00682EF4">
          <w:rPr>
            <w:webHidden/>
          </w:rPr>
          <w:fldChar w:fldCharType="begin"/>
        </w:r>
        <w:r w:rsidR="00682EF4">
          <w:rPr>
            <w:webHidden/>
          </w:rPr>
          <w:instrText xml:space="preserve"> PAGEREF _Toc92978889 \h </w:instrText>
        </w:r>
        <w:r w:rsidR="00682EF4">
          <w:rPr>
            <w:webHidden/>
          </w:rPr>
        </w:r>
        <w:r w:rsidR="00682EF4">
          <w:rPr>
            <w:webHidden/>
          </w:rPr>
          <w:fldChar w:fldCharType="separate"/>
        </w:r>
        <w:r w:rsidR="00682EF4">
          <w:rPr>
            <w:webHidden/>
          </w:rPr>
          <w:t>21</w:t>
        </w:r>
        <w:r w:rsidR="00682EF4">
          <w:rPr>
            <w:webHidden/>
          </w:rPr>
          <w:fldChar w:fldCharType="end"/>
        </w:r>
      </w:hyperlink>
    </w:p>
    <w:p w14:paraId="0270F343" w14:textId="4325E526" w:rsidR="00682EF4" w:rsidRDefault="00751C57">
      <w:pPr>
        <w:pStyle w:val="TOC3"/>
        <w:rPr>
          <w:rFonts w:asciiTheme="minorHAnsi" w:eastAsiaTheme="minorEastAsia" w:hAnsiTheme="minorHAnsi" w:cstheme="minorBidi"/>
          <w:sz w:val="22"/>
          <w:szCs w:val="22"/>
          <w:lang w:val="fr-LU" w:eastAsia="fr-LU"/>
        </w:rPr>
      </w:pPr>
      <w:hyperlink w:anchor="_Toc92978890" w:history="1">
        <w:r w:rsidR="00682EF4" w:rsidRPr="00ED20C1">
          <w:rPr>
            <w:rStyle w:val="Hyperlink"/>
          </w:rPr>
          <w:t>Forma de subvenção, taxa de financiamento e montante máximo da subvenção</w:t>
        </w:r>
        <w:r w:rsidR="00682EF4">
          <w:rPr>
            <w:webHidden/>
          </w:rPr>
          <w:tab/>
        </w:r>
        <w:r w:rsidR="00682EF4">
          <w:rPr>
            <w:webHidden/>
          </w:rPr>
          <w:fldChar w:fldCharType="begin"/>
        </w:r>
        <w:r w:rsidR="00682EF4">
          <w:rPr>
            <w:webHidden/>
          </w:rPr>
          <w:instrText xml:space="preserve"> PAGEREF _Toc92978890 \h </w:instrText>
        </w:r>
        <w:r w:rsidR="00682EF4">
          <w:rPr>
            <w:webHidden/>
          </w:rPr>
        </w:r>
        <w:r w:rsidR="00682EF4">
          <w:rPr>
            <w:webHidden/>
          </w:rPr>
          <w:fldChar w:fldCharType="separate"/>
        </w:r>
        <w:r w:rsidR="00682EF4">
          <w:rPr>
            <w:webHidden/>
          </w:rPr>
          <w:t>21</w:t>
        </w:r>
        <w:r w:rsidR="00682EF4">
          <w:rPr>
            <w:webHidden/>
          </w:rPr>
          <w:fldChar w:fldCharType="end"/>
        </w:r>
      </w:hyperlink>
    </w:p>
    <w:p w14:paraId="4230EFE9" w14:textId="298A7340" w:rsidR="00682EF4" w:rsidRDefault="00751C57">
      <w:pPr>
        <w:pStyle w:val="TOC3"/>
        <w:rPr>
          <w:rFonts w:asciiTheme="minorHAnsi" w:eastAsiaTheme="minorEastAsia" w:hAnsiTheme="minorHAnsi" w:cstheme="minorBidi"/>
          <w:sz w:val="22"/>
          <w:szCs w:val="22"/>
          <w:lang w:val="fr-LU" w:eastAsia="fr-LU"/>
        </w:rPr>
      </w:pPr>
      <w:hyperlink w:anchor="_Toc92978891" w:history="1">
        <w:r w:rsidR="00682EF4" w:rsidRPr="00ED20C1">
          <w:rPr>
            <w:rStyle w:val="Hyperlink"/>
          </w:rPr>
          <w:t>Categorias orçamentais e regras de elegibilidade dos custos</w:t>
        </w:r>
        <w:r w:rsidR="00682EF4">
          <w:rPr>
            <w:webHidden/>
          </w:rPr>
          <w:tab/>
        </w:r>
        <w:r w:rsidR="00682EF4">
          <w:rPr>
            <w:webHidden/>
          </w:rPr>
          <w:fldChar w:fldCharType="begin"/>
        </w:r>
        <w:r w:rsidR="00682EF4">
          <w:rPr>
            <w:webHidden/>
          </w:rPr>
          <w:instrText xml:space="preserve"> PAGEREF _Toc92978891 \h </w:instrText>
        </w:r>
        <w:r w:rsidR="00682EF4">
          <w:rPr>
            <w:webHidden/>
          </w:rPr>
        </w:r>
        <w:r w:rsidR="00682EF4">
          <w:rPr>
            <w:webHidden/>
          </w:rPr>
          <w:fldChar w:fldCharType="separate"/>
        </w:r>
        <w:r w:rsidR="00682EF4">
          <w:rPr>
            <w:webHidden/>
          </w:rPr>
          <w:t>21</w:t>
        </w:r>
        <w:r w:rsidR="00682EF4">
          <w:rPr>
            <w:webHidden/>
          </w:rPr>
          <w:fldChar w:fldCharType="end"/>
        </w:r>
      </w:hyperlink>
    </w:p>
    <w:p w14:paraId="6A709BAE" w14:textId="16BBAB3F" w:rsidR="00682EF4" w:rsidRDefault="00751C57">
      <w:pPr>
        <w:pStyle w:val="TOC3"/>
        <w:rPr>
          <w:rFonts w:asciiTheme="minorHAnsi" w:eastAsiaTheme="minorEastAsia" w:hAnsiTheme="minorHAnsi" w:cstheme="minorBidi"/>
          <w:sz w:val="22"/>
          <w:szCs w:val="22"/>
          <w:lang w:val="fr-LU" w:eastAsia="fr-LU"/>
        </w:rPr>
      </w:pPr>
      <w:hyperlink w:anchor="_Toc92978892" w:history="1">
        <w:r w:rsidR="00682EF4" w:rsidRPr="00ED20C1">
          <w:rPr>
            <w:rStyle w:val="Hyperlink"/>
          </w:rPr>
          <w:t>Apresentação de relatórios e modalidades de pagamento</w:t>
        </w:r>
        <w:r w:rsidR="00682EF4">
          <w:rPr>
            <w:webHidden/>
          </w:rPr>
          <w:tab/>
        </w:r>
        <w:r w:rsidR="00682EF4">
          <w:rPr>
            <w:webHidden/>
          </w:rPr>
          <w:fldChar w:fldCharType="begin"/>
        </w:r>
        <w:r w:rsidR="00682EF4">
          <w:rPr>
            <w:webHidden/>
          </w:rPr>
          <w:instrText xml:space="preserve"> PAGEREF _Toc92978892 \h </w:instrText>
        </w:r>
        <w:r w:rsidR="00682EF4">
          <w:rPr>
            <w:webHidden/>
          </w:rPr>
        </w:r>
        <w:r w:rsidR="00682EF4">
          <w:rPr>
            <w:webHidden/>
          </w:rPr>
          <w:fldChar w:fldCharType="separate"/>
        </w:r>
        <w:r w:rsidR="00682EF4">
          <w:rPr>
            <w:webHidden/>
          </w:rPr>
          <w:t>22</w:t>
        </w:r>
        <w:r w:rsidR="00682EF4">
          <w:rPr>
            <w:webHidden/>
          </w:rPr>
          <w:fldChar w:fldCharType="end"/>
        </w:r>
      </w:hyperlink>
    </w:p>
    <w:p w14:paraId="7D11517A" w14:textId="5682230D" w:rsidR="00682EF4" w:rsidRDefault="00751C57">
      <w:pPr>
        <w:pStyle w:val="TOC3"/>
        <w:rPr>
          <w:rFonts w:asciiTheme="minorHAnsi" w:eastAsiaTheme="minorEastAsia" w:hAnsiTheme="minorHAnsi" w:cstheme="minorBidi"/>
          <w:sz w:val="22"/>
          <w:szCs w:val="22"/>
          <w:lang w:val="fr-LU" w:eastAsia="fr-LU"/>
        </w:rPr>
      </w:pPr>
      <w:hyperlink w:anchor="_Toc92978893" w:history="1">
        <w:r w:rsidR="00682EF4" w:rsidRPr="00ED20C1">
          <w:rPr>
            <w:rStyle w:val="Hyperlink"/>
          </w:rPr>
          <w:t>Garantias de pré-financiamento</w:t>
        </w:r>
        <w:r w:rsidR="00682EF4">
          <w:rPr>
            <w:webHidden/>
          </w:rPr>
          <w:tab/>
        </w:r>
        <w:r w:rsidR="00682EF4">
          <w:rPr>
            <w:webHidden/>
          </w:rPr>
          <w:fldChar w:fldCharType="begin"/>
        </w:r>
        <w:r w:rsidR="00682EF4">
          <w:rPr>
            <w:webHidden/>
          </w:rPr>
          <w:instrText xml:space="preserve"> PAGEREF _Toc92978893 \h </w:instrText>
        </w:r>
        <w:r w:rsidR="00682EF4">
          <w:rPr>
            <w:webHidden/>
          </w:rPr>
        </w:r>
        <w:r w:rsidR="00682EF4">
          <w:rPr>
            <w:webHidden/>
          </w:rPr>
          <w:fldChar w:fldCharType="separate"/>
        </w:r>
        <w:r w:rsidR="00682EF4">
          <w:rPr>
            <w:webHidden/>
          </w:rPr>
          <w:t>22</w:t>
        </w:r>
        <w:r w:rsidR="00682EF4">
          <w:rPr>
            <w:webHidden/>
          </w:rPr>
          <w:fldChar w:fldCharType="end"/>
        </w:r>
      </w:hyperlink>
    </w:p>
    <w:p w14:paraId="1C6FAB69" w14:textId="58905947" w:rsidR="00682EF4" w:rsidRDefault="00751C57">
      <w:pPr>
        <w:pStyle w:val="TOC3"/>
        <w:rPr>
          <w:rFonts w:asciiTheme="minorHAnsi" w:eastAsiaTheme="minorEastAsia" w:hAnsiTheme="minorHAnsi" w:cstheme="minorBidi"/>
          <w:sz w:val="22"/>
          <w:szCs w:val="22"/>
          <w:lang w:val="fr-LU" w:eastAsia="fr-LU"/>
        </w:rPr>
      </w:pPr>
      <w:hyperlink w:anchor="_Toc92978894" w:history="1">
        <w:r w:rsidR="00682EF4" w:rsidRPr="00ED20C1">
          <w:rPr>
            <w:rStyle w:val="Hyperlink"/>
          </w:rPr>
          <w:t>Certificados</w:t>
        </w:r>
        <w:r w:rsidR="00682EF4">
          <w:rPr>
            <w:webHidden/>
          </w:rPr>
          <w:tab/>
        </w:r>
        <w:r w:rsidR="00682EF4">
          <w:rPr>
            <w:webHidden/>
          </w:rPr>
          <w:fldChar w:fldCharType="begin"/>
        </w:r>
        <w:r w:rsidR="00682EF4">
          <w:rPr>
            <w:webHidden/>
          </w:rPr>
          <w:instrText xml:space="preserve"> PAGEREF _Toc92978894 \h </w:instrText>
        </w:r>
        <w:r w:rsidR="00682EF4">
          <w:rPr>
            <w:webHidden/>
          </w:rPr>
        </w:r>
        <w:r w:rsidR="00682EF4">
          <w:rPr>
            <w:webHidden/>
          </w:rPr>
          <w:fldChar w:fldCharType="separate"/>
        </w:r>
        <w:r w:rsidR="00682EF4">
          <w:rPr>
            <w:webHidden/>
          </w:rPr>
          <w:t>23</w:t>
        </w:r>
        <w:r w:rsidR="00682EF4">
          <w:rPr>
            <w:webHidden/>
          </w:rPr>
          <w:fldChar w:fldCharType="end"/>
        </w:r>
      </w:hyperlink>
    </w:p>
    <w:p w14:paraId="030F98D1" w14:textId="3389B514" w:rsidR="00682EF4" w:rsidRDefault="00751C57">
      <w:pPr>
        <w:pStyle w:val="TOC3"/>
        <w:rPr>
          <w:rFonts w:asciiTheme="minorHAnsi" w:eastAsiaTheme="minorEastAsia" w:hAnsiTheme="minorHAnsi" w:cstheme="minorBidi"/>
          <w:sz w:val="22"/>
          <w:szCs w:val="22"/>
          <w:lang w:val="fr-LU" w:eastAsia="fr-LU"/>
        </w:rPr>
      </w:pPr>
      <w:hyperlink w:anchor="_Toc92978895" w:history="1">
        <w:r w:rsidR="00682EF4" w:rsidRPr="00ED20C1">
          <w:rPr>
            <w:rStyle w:val="Hyperlink"/>
          </w:rPr>
          <w:t>Regime de responsabilidade relativo às recuperações</w:t>
        </w:r>
        <w:r w:rsidR="00682EF4">
          <w:rPr>
            <w:webHidden/>
          </w:rPr>
          <w:tab/>
        </w:r>
        <w:r w:rsidR="00682EF4">
          <w:rPr>
            <w:webHidden/>
          </w:rPr>
          <w:fldChar w:fldCharType="begin"/>
        </w:r>
        <w:r w:rsidR="00682EF4">
          <w:rPr>
            <w:webHidden/>
          </w:rPr>
          <w:instrText xml:space="preserve"> PAGEREF _Toc92978895 \h </w:instrText>
        </w:r>
        <w:r w:rsidR="00682EF4">
          <w:rPr>
            <w:webHidden/>
          </w:rPr>
        </w:r>
        <w:r w:rsidR="00682EF4">
          <w:rPr>
            <w:webHidden/>
          </w:rPr>
          <w:fldChar w:fldCharType="separate"/>
        </w:r>
        <w:r w:rsidR="00682EF4">
          <w:rPr>
            <w:webHidden/>
          </w:rPr>
          <w:t>23</w:t>
        </w:r>
        <w:r w:rsidR="00682EF4">
          <w:rPr>
            <w:webHidden/>
          </w:rPr>
          <w:fldChar w:fldCharType="end"/>
        </w:r>
      </w:hyperlink>
    </w:p>
    <w:p w14:paraId="086629D9" w14:textId="5B89B1B7" w:rsidR="00682EF4" w:rsidRDefault="00751C57">
      <w:pPr>
        <w:pStyle w:val="TOC3"/>
        <w:rPr>
          <w:rFonts w:asciiTheme="minorHAnsi" w:eastAsiaTheme="minorEastAsia" w:hAnsiTheme="minorHAnsi" w:cstheme="minorBidi"/>
          <w:sz w:val="22"/>
          <w:szCs w:val="22"/>
          <w:lang w:val="fr-LU" w:eastAsia="fr-LU"/>
        </w:rPr>
      </w:pPr>
      <w:hyperlink w:anchor="_Toc92978896" w:history="1">
        <w:r w:rsidR="00682EF4" w:rsidRPr="00ED20C1">
          <w:rPr>
            <w:rStyle w:val="Hyperlink"/>
          </w:rPr>
          <w:t>Disposições relativas à execução do projeto</w:t>
        </w:r>
        <w:r w:rsidR="00682EF4">
          <w:rPr>
            <w:webHidden/>
          </w:rPr>
          <w:tab/>
        </w:r>
        <w:r w:rsidR="00682EF4">
          <w:rPr>
            <w:webHidden/>
          </w:rPr>
          <w:fldChar w:fldCharType="begin"/>
        </w:r>
        <w:r w:rsidR="00682EF4">
          <w:rPr>
            <w:webHidden/>
          </w:rPr>
          <w:instrText xml:space="preserve"> PAGEREF _Toc92978896 \h </w:instrText>
        </w:r>
        <w:r w:rsidR="00682EF4">
          <w:rPr>
            <w:webHidden/>
          </w:rPr>
        </w:r>
        <w:r w:rsidR="00682EF4">
          <w:rPr>
            <w:webHidden/>
          </w:rPr>
          <w:fldChar w:fldCharType="separate"/>
        </w:r>
        <w:r w:rsidR="00682EF4">
          <w:rPr>
            <w:webHidden/>
          </w:rPr>
          <w:t>23</w:t>
        </w:r>
        <w:r w:rsidR="00682EF4">
          <w:rPr>
            <w:webHidden/>
          </w:rPr>
          <w:fldChar w:fldCharType="end"/>
        </w:r>
      </w:hyperlink>
    </w:p>
    <w:p w14:paraId="52602BD8" w14:textId="4747E4E4" w:rsidR="00682EF4" w:rsidRDefault="00751C57">
      <w:pPr>
        <w:pStyle w:val="TOC3"/>
        <w:rPr>
          <w:rFonts w:asciiTheme="minorHAnsi" w:eastAsiaTheme="minorEastAsia" w:hAnsiTheme="minorHAnsi" w:cstheme="minorBidi"/>
          <w:sz w:val="22"/>
          <w:szCs w:val="22"/>
          <w:lang w:val="fr-LU" w:eastAsia="fr-LU"/>
        </w:rPr>
      </w:pPr>
      <w:hyperlink w:anchor="_Toc92978897" w:history="1">
        <w:r w:rsidR="00682EF4" w:rsidRPr="00ED20C1">
          <w:rPr>
            <w:rStyle w:val="Hyperlink"/>
          </w:rPr>
          <w:t>Outras especificidades</w:t>
        </w:r>
        <w:r w:rsidR="00682EF4">
          <w:rPr>
            <w:webHidden/>
          </w:rPr>
          <w:tab/>
        </w:r>
        <w:r w:rsidR="00682EF4">
          <w:rPr>
            <w:webHidden/>
          </w:rPr>
          <w:fldChar w:fldCharType="begin"/>
        </w:r>
        <w:r w:rsidR="00682EF4">
          <w:rPr>
            <w:webHidden/>
          </w:rPr>
          <w:instrText xml:space="preserve"> PAGEREF _Toc92978897 \h </w:instrText>
        </w:r>
        <w:r w:rsidR="00682EF4">
          <w:rPr>
            <w:webHidden/>
          </w:rPr>
        </w:r>
        <w:r w:rsidR="00682EF4">
          <w:rPr>
            <w:webHidden/>
          </w:rPr>
          <w:fldChar w:fldCharType="separate"/>
        </w:r>
        <w:r w:rsidR="00682EF4">
          <w:rPr>
            <w:webHidden/>
          </w:rPr>
          <w:t>24</w:t>
        </w:r>
        <w:r w:rsidR="00682EF4">
          <w:rPr>
            <w:webHidden/>
          </w:rPr>
          <w:fldChar w:fldCharType="end"/>
        </w:r>
      </w:hyperlink>
    </w:p>
    <w:p w14:paraId="4E7EEF46" w14:textId="3AB1A291" w:rsidR="00682EF4" w:rsidRDefault="00751C57">
      <w:pPr>
        <w:pStyle w:val="TOC3"/>
        <w:rPr>
          <w:rFonts w:asciiTheme="minorHAnsi" w:eastAsiaTheme="minorEastAsia" w:hAnsiTheme="minorHAnsi" w:cstheme="minorBidi"/>
          <w:sz w:val="22"/>
          <w:szCs w:val="22"/>
          <w:lang w:val="fr-LU" w:eastAsia="fr-LU"/>
        </w:rPr>
      </w:pPr>
      <w:hyperlink w:anchor="_Toc92978898" w:history="1">
        <w:r w:rsidR="00682EF4" w:rsidRPr="00ED20C1">
          <w:rPr>
            <w:rStyle w:val="Hyperlink"/>
          </w:rPr>
          <w:t>Incumprimento e violação do contrato</w:t>
        </w:r>
        <w:r w:rsidR="00682EF4">
          <w:rPr>
            <w:webHidden/>
          </w:rPr>
          <w:tab/>
        </w:r>
        <w:r w:rsidR="00682EF4">
          <w:rPr>
            <w:webHidden/>
          </w:rPr>
          <w:fldChar w:fldCharType="begin"/>
        </w:r>
        <w:r w:rsidR="00682EF4">
          <w:rPr>
            <w:webHidden/>
          </w:rPr>
          <w:instrText xml:space="preserve"> PAGEREF _Toc92978898 \h </w:instrText>
        </w:r>
        <w:r w:rsidR="00682EF4">
          <w:rPr>
            <w:webHidden/>
          </w:rPr>
        </w:r>
        <w:r w:rsidR="00682EF4">
          <w:rPr>
            <w:webHidden/>
          </w:rPr>
          <w:fldChar w:fldCharType="separate"/>
        </w:r>
        <w:r w:rsidR="00682EF4">
          <w:rPr>
            <w:webHidden/>
          </w:rPr>
          <w:t>24</w:t>
        </w:r>
        <w:r w:rsidR="00682EF4">
          <w:rPr>
            <w:webHidden/>
          </w:rPr>
          <w:fldChar w:fldCharType="end"/>
        </w:r>
      </w:hyperlink>
    </w:p>
    <w:p w14:paraId="76AE3DF9" w14:textId="69316C1F" w:rsidR="00682EF4" w:rsidRDefault="00751C57">
      <w:pPr>
        <w:pStyle w:val="TOC1"/>
        <w:rPr>
          <w:rFonts w:asciiTheme="minorHAnsi" w:eastAsiaTheme="minorEastAsia" w:hAnsiTheme="minorHAnsi" w:cstheme="minorBidi"/>
          <w:noProof/>
          <w:sz w:val="22"/>
          <w:szCs w:val="22"/>
          <w:lang w:val="fr-LU" w:eastAsia="fr-LU"/>
        </w:rPr>
      </w:pPr>
      <w:hyperlink w:anchor="_Toc92978899" w:history="1">
        <w:r w:rsidR="00682EF4" w:rsidRPr="00ED20C1">
          <w:rPr>
            <w:rStyle w:val="Hyperlink"/>
            <w:noProof/>
          </w:rPr>
          <w:t>11.</w:t>
        </w:r>
        <w:r w:rsidR="00682EF4">
          <w:rPr>
            <w:rFonts w:asciiTheme="minorHAnsi" w:eastAsiaTheme="minorEastAsia" w:hAnsiTheme="minorHAnsi" w:cstheme="minorBidi"/>
            <w:noProof/>
            <w:sz w:val="22"/>
            <w:szCs w:val="22"/>
            <w:lang w:val="fr-LU" w:eastAsia="fr-LU"/>
          </w:rPr>
          <w:tab/>
        </w:r>
        <w:r w:rsidR="00682EF4" w:rsidRPr="00ED20C1">
          <w:rPr>
            <w:rStyle w:val="Hyperlink"/>
            <w:noProof/>
          </w:rPr>
          <w:t>Como submeter a candidatura</w:t>
        </w:r>
        <w:r w:rsidR="00682EF4">
          <w:rPr>
            <w:noProof/>
            <w:webHidden/>
          </w:rPr>
          <w:tab/>
        </w:r>
        <w:r w:rsidR="00682EF4">
          <w:rPr>
            <w:noProof/>
            <w:webHidden/>
          </w:rPr>
          <w:fldChar w:fldCharType="begin"/>
        </w:r>
        <w:r w:rsidR="00682EF4">
          <w:rPr>
            <w:noProof/>
            <w:webHidden/>
          </w:rPr>
          <w:instrText xml:space="preserve"> PAGEREF _Toc92978899 \h </w:instrText>
        </w:r>
        <w:r w:rsidR="00682EF4">
          <w:rPr>
            <w:noProof/>
            <w:webHidden/>
          </w:rPr>
        </w:r>
        <w:r w:rsidR="00682EF4">
          <w:rPr>
            <w:noProof/>
            <w:webHidden/>
          </w:rPr>
          <w:fldChar w:fldCharType="separate"/>
        </w:r>
        <w:r w:rsidR="00682EF4">
          <w:rPr>
            <w:noProof/>
            <w:webHidden/>
          </w:rPr>
          <w:t>24</w:t>
        </w:r>
        <w:r w:rsidR="00682EF4">
          <w:rPr>
            <w:noProof/>
            <w:webHidden/>
          </w:rPr>
          <w:fldChar w:fldCharType="end"/>
        </w:r>
      </w:hyperlink>
    </w:p>
    <w:p w14:paraId="158C68BA" w14:textId="2151550F" w:rsidR="00682EF4" w:rsidRDefault="00751C57">
      <w:pPr>
        <w:pStyle w:val="TOC1"/>
        <w:rPr>
          <w:rFonts w:asciiTheme="minorHAnsi" w:eastAsiaTheme="minorEastAsia" w:hAnsiTheme="minorHAnsi" w:cstheme="minorBidi"/>
          <w:noProof/>
          <w:sz w:val="22"/>
          <w:szCs w:val="22"/>
          <w:lang w:val="fr-LU" w:eastAsia="fr-LU"/>
        </w:rPr>
      </w:pPr>
      <w:hyperlink w:anchor="_Toc92978900" w:history="1">
        <w:r w:rsidR="00682EF4" w:rsidRPr="00ED20C1">
          <w:rPr>
            <w:rStyle w:val="Hyperlink"/>
            <w:noProof/>
          </w:rPr>
          <w:t>12.</w:t>
        </w:r>
        <w:r w:rsidR="00682EF4">
          <w:rPr>
            <w:rFonts w:asciiTheme="minorHAnsi" w:eastAsiaTheme="minorEastAsia" w:hAnsiTheme="minorHAnsi" w:cstheme="minorBidi"/>
            <w:noProof/>
            <w:sz w:val="22"/>
            <w:szCs w:val="22"/>
            <w:lang w:val="fr-LU" w:eastAsia="fr-LU"/>
          </w:rPr>
          <w:tab/>
        </w:r>
        <w:r w:rsidR="00682EF4" w:rsidRPr="00ED20C1">
          <w:rPr>
            <w:rStyle w:val="Hyperlink"/>
            <w:noProof/>
          </w:rPr>
          <w:t>Ajuda</w:t>
        </w:r>
        <w:r w:rsidR="00682EF4">
          <w:rPr>
            <w:noProof/>
            <w:webHidden/>
          </w:rPr>
          <w:tab/>
        </w:r>
        <w:r w:rsidR="00682EF4">
          <w:rPr>
            <w:noProof/>
            <w:webHidden/>
          </w:rPr>
          <w:fldChar w:fldCharType="begin"/>
        </w:r>
        <w:r w:rsidR="00682EF4">
          <w:rPr>
            <w:noProof/>
            <w:webHidden/>
          </w:rPr>
          <w:instrText xml:space="preserve"> PAGEREF _Toc92978900 \h </w:instrText>
        </w:r>
        <w:r w:rsidR="00682EF4">
          <w:rPr>
            <w:noProof/>
            <w:webHidden/>
          </w:rPr>
        </w:r>
        <w:r w:rsidR="00682EF4">
          <w:rPr>
            <w:noProof/>
            <w:webHidden/>
          </w:rPr>
          <w:fldChar w:fldCharType="separate"/>
        </w:r>
        <w:r w:rsidR="00682EF4">
          <w:rPr>
            <w:noProof/>
            <w:webHidden/>
          </w:rPr>
          <w:t>25</w:t>
        </w:r>
        <w:r w:rsidR="00682EF4">
          <w:rPr>
            <w:noProof/>
            <w:webHidden/>
          </w:rPr>
          <w:fldChar w:fldCharType="end"/>
        </w:r>
      </w:hyperlink>
    </w:p>
    <w:p w14:paraId="469A775E" w14:textId="7B4A3CD6" w:rsidR="00682EF4" w:rsidRDefault="00751C57">
      <w:pPr>
        <w:pStyle w:val="TOC1"/>
        <w:rPr>
          <w:rFonts w:asciiTheme="minorHAnsi" w:eastAsiaTheme="minorEastAsia" w:hAnsiTheme="minorHAnsi" w:cstheme="minorBidi"/>
          <w:noProof/>
          <w:sz w:val="22"/>
          <w:szCs w:val="22"/>
          <w:lang w:val="fr-LU" w:eastAsia="fr-LU"/>
        </w:rPr>
      </w:pPr>
      <w:hyperlink w:anchor="_Toc92978901" w:history="1">
        <w:r w:rsidR="00682EF4" w:rsidRPr="00ED20C1">
          <w:rPr>
            <w:rStyle w:val="Hyperlink"/>
            <w:noProof/>
          </w:rPr>
          <w:t>13.</w:t>
        </w:r>
        <w:r w:rsidR="00682EF4">
          <w:rPr>
            <w:rFonts w:asciiTheme="minorHAnsi" w:eastAsiaTheme="minorEastAsia" w:hAnsiTheme="minorHAnsi" w:cstheme="minorBidi"/>
            <w:noProof/>
            <w:sz w:val="22"/>
            <w:szCs w:val="22"/>
            <w:lang w:val="fr-LU" w:eastAsia="fr-LU"/>
          </w:rPr>
          <w:tab/>
        </w:r>
        <w:r w:rsidR="00682EF4" w:rsidRPr="00ED20C1">
          <w:rPr>
            <w:rStyle w:val="Hyperlink"/>
            <w:noProof/>
          </w:rPr>
          <w:t>Importante</w:t>
        </w:r>
        <w:r w:rsidR="00682EF4">
          <w:rPr>
            <w:noProof/>
            <w:webHidden/>
          </w:rPr>
          <w:tab/>
        </w:r>
        <w:r w:rsidR="00682EF4">
          <w:rPr>
            <w:noProof/>
            <w:webHidden/>
          </w:rPr>
          <w:fldChar w:fldCharType="begin"/>
        </w:r>
        <w:r w:rsidR="00682EF4">
          <w:rPr>
            <w:noProof/>
            <w:webHidden/>
          </w:rPr>
          <w:instrText xml:space="preserve"> PAGEREF _Toc92978901 \h </w:instrText>
        </w:r>
        <w:r w:rsidR="00682EF4">
          <w:rPr>
            <w:noProof/>
            <w:webHidden/>
          </w:rPr>
        </w:r>
        <w:r w:rsidR="00682EF4">
          <w:rPr>
            <w:noProof/>
            <w:webHidden/>
          </w:rPr>
          <w:fldChar w:fldCharType="separate"/>
        </w:r>
        <w:r w:rsidR="00682EF4">
          <w:rPr>
            <w:noProof/>
            <w:webHidden/>
          </w:rPr>
          <w:t>26</w:t>
        </w:r>
        <w:r w:rsidR="00682EF4">
          <w:rPr>
            <w:noProof/>
            <w:webHidden/>
          </w:rPr>
          <w:fldChar w:fldCharType="end"/>
        </w:r>
      </w:hyperlink>
    </w:p>
    <w:p w14:paraId="4D152A2B" w14:textId="0DB997FD" w:rsidR="0084666C" w:rsidRDefault="00340A6F" w:rsidP="00B57534">
      <w:pPr>
        <w:widowControl w:val="0"/>
      </w:pPr>
      <w:r>
        <w:rPr>
          <w:sz w:val="16"/>
        </w:rPr>
        <w:fldChar w:fldCharType="end"/>
      </w:r>
    </w:p>
    <w:p w14:paraId="62C1CABA" w14:textId="6C15280B" w:rsidR="0062273B" w:rsidRPr="00EC2EA5" w:rsidRDefault="0062273B" w:rsidP="00623078">
      <w:pPr>
        <w:pStyle w:val="Heading1"/>
        <w:numPr>
          <w:ilvl w:val="0"/>
          <w:numId w:val="54"/>
        </w:numPr>
        <w:tabs>
          <w:tab w:val="left" w:pos="284"/>
        </w:tabs>
        <w:ind w:left="0" w:firstLine="0"/>
      </w:pPr>
      <w:r>
        <w:br w:type="page"/>
      </w:r>
      <w:bookmarkStart w:id="1" w:name="_Toc92978862"/>
      <w:r>
        <w:lastRenderedPageBreak/>
        <w:t>Introdução</w:t>
      </w:r>
      <w:bookmarkEnd w:id="1"/>
    </w:p>
    <w:p w14:paraId="1281A2B9" w14:textId="4F8BAA46" w:rsidR="00526CED" w:rsidRPr="00B7199D" w:rsidRDefault="00494E0C" w:rsidP="00AD584E">
      <w:pPr>
        <w:widowControl w:val="0"/>
      </w:pPr>
      <w:r>
        <w:t xml:space="preserve">O presente documento é um convite à apresentação de propostas para </w:t>
      </w:r>
      <w:r>
        <w:rPr>
          <w:b/>
          <w:bCs/>
        </w:rPr>
        <w:t>subvenções de ação</w:t>
      </w:r>
      <w:r>
        <w:t xml:space="preserve"> da UE no domínio do empenho e da participação dos cidadãos no âmbito do </w:t>
      </w:r>
      <w:r>
        <w:rPr>
          <w:b/>
          <w:bCs/>
        </w:rPr>
        <w:t>Programa «Cidadãos, Igualdade, Direitos e Valores» (CERV)</w:t>
      </w:r>
      <w:r>
        <w:t>. O quadro regulamentar do presente programa de financiamento da UE encontra-se estabelecido no:</w:t>
      </w:r>
    </w:p>
    <w:p w14:paraId="124C55BF" w14:textId="77777777" w:rsidR="00526CED" w:rsidRPr="00666B16" w:rsidRDefault="00751C57" w:rsidP="00584316">
      <w:pPr>
        <w:numPr>
          <w:ilvl w:val="0"/>
          <w:numId w:val="32"/>
        </w:numPr>
        <w:spacing w:after="120"/>
        <w:ind w:left="568" w:hanging="284"/>
      </w:pPr>
      <w:hyperlink r:id="rId21" w:history="1">
        <w:r w:rsidR="00526CED">
          <w:rPr>
            <w:rStyle w:val="Hyperlink"/>
          </w:rPr>
          <w:t>Regulamento (UE, Euratom) 2018/1046</w:t>
        </w:r>
      </w:hyperlink>
      <w:r w:rsidR="00526CED">
        <w:t xml:space="preserve"> (Regulamento Financeiro da UE),</w:t>
      </w:r>
    </w:p>
    <w:p w14:paraId="15823F41" w14:textId="7B4B942A" w:rsidR="00526CED" w:rsidRPr="008814FB" w:rsidRDefault="00526CED" w:rsidP="42BB08A3">
      <w:pPr>
        <w:numPr>
          <w:ilvl w:val="0"/>
          <w:numId w:val="32"/>
        </w:numPr>
        <w:ind w:left="568" w:hanging="284"/>
        <w:rPr>
          <w:u w:val="single"/>
        </w:rPr>
      </w:pPr>
      <w:r>
        <w:t xml:space="preserve">ato de base (Regulamento (UE) </w:t>
      </w:r>
      <w:hyperlink r:id="rId22" w:history="1">
        <w:r>
          <w:rPr>
            <w:rStyle w:val="Hyperlink"/>
          </w:rPr>
          <w:t>2021/692</w:t>
        </w:r>
      </w:hyperlink>
      <w:r w:rsidR="000D6EA6" w:rsidRPr="00541B01">
        <w:rPr>
          <w:rStyle w:val="FootnoteReference"/>
        </w:rPr>
        <w:footnoteReference w:id="2"/>
      </w:r>
      <w:r>
        <w:t>).</w:t>
      </w:r>
    </w:p>
    <w:p w14:paraId="12AD4BB0" w14:textId="464B2AA2" w:rsidR="0000139E" w:rsidRPr="000807A9" w:rsidRDefault="00526CED" w:rsidP="0000139E">
      <w:pPr>
        <w:autoSpaceDE w:val="0"/>
        <w:autoSpaceDN w:val="0"/>
        <w:adjustRightInd w:val="0"/>
        <w:rPr>
          <w:bCs/>
          <w:color w:val="000000"/>
        </w:rPr>
      </w:pPr>
      <w:r>
        <w:t>O convite é lançado em conformidade com o Programa de Trabalho para 2021-2022</w:t>
      </w:r>
      <w:r w:rsidR="00494E0C" w:rsidRPr="00EC2EA5">
        <w:rPr>
          <w:vertAlign w:val="superscript"/>
        </w:rPr>
        <w:footnoteReference w:id="3"/>
      </w:r>
      <w:r>
        <w:t xml:space="preserve"> e será gerido pela </w:t>
      </w:r>
      <w:r>
        <w:rPr>
          <w:b/>
        </w:rPr>
        <w:t>Agência de Execução Europeia da Educação e da Cultura (EACEA)</w:t>
      </w:r>
      <w:r>
        <w:t xml:space="preserve"> («a Agência»).</w:t>
      </w:r>
    </w:p>
    <w:p w14:paraId="03C747D1" w14:textId="54C3BAAB" w:rsidR="00494E0C" w:rsidRPr="006F58BD" w:rsidRDefault="00330493" w:rsidP="00CC2315">
      <w:pPr>
        <w:spacing w:after="120"/>
      </w:pPr>
      <w:r>
        <w:t xml:space="preserve">O convite abrange os seguintes </w:t>
      </w:r>
      <w:r>
        <w:rPr>
          <w:b/>
        </w:rPr>
        <w:t>temas</w:t>
      </w:r>
      <w:r>
        <w:t>:</w:t>
      </w:r>
    </w:p>
    <w:p w14:paraId="0F1AE17D" w14:textId="55D45AD3" w:rsidR="00AD584E" w:rsidRPr="006F58BD" w:rsidRDefault="00AD584E" w:rsidP="42BB08A3">
      <w:pPr>
        <w:numPr>
          <w:ilvl w:val="0"/>
          <w:numId w:val="29"/>
        </w:numPr>
        <w:rPr>
          <w:b/>
          <w:bCs/>
        </w:rPr>
      </w:pPr>
      <w:r>
        <w:rPr>
          <w:b/>
          <w:bCs/>
          <w:color w:val="A50021"/>
        </w:rPr>
        <w:t>CERV-2022-CITIZENS-TOWN-TT (Tema 1)</w:t>
      </w:r>
      <w:r>
        <w:rPr>
          <w:b/>
          <w:bCs/>
        </w:rPr>
        <w:t xml:space="preserve"> — Geminação de Cidades</w:t>
      </w:r>
    </w:p>
    <w:p w14:paraId="1549339B" w14:textId="4EAD4397" w:rsidR="00AD584E" w:rsidRPr="006F58BD" w:rsidRDefault="00AD584E" w:rsidP="42BB08A3">
      <w:pPr>
        <w:numPr>
          <w:ilvl w:val="0"/>
          <w:numId w:val="29"/>
        </w:numPr>
      </w:pPr>
      <w:r>
        <w:rPr>
          <w:b/>
          <w:bCs/>
          <w:color w:val="A50021"/>
        </w:rPr>
        <w:t>CERV-2022-CITIZENS-TOWN-NT (Tema 2)</w:t>
      </w:r>
      <w:r>
        <w:rPr>
          <w:b/>
          <w:bCs/>
        </w:rPr>
        <w:t xml:space="preserve"> — Redes de Cidades</w:t>
      </w:r>
    </w:p>
    <w:p w14:paraId="52501F07" w14:textId="77777777" w:rsidR="00743E49" w:rsidRDefault="00743E49" w:rsidP="00743E49">
      <w:pPr>
        <w:autoSpaceDE w:val="0"/>
        <w:autoSpaceDN w:val="0"/>
        <w:adjustRightInd w:val="0"/>
        <w:rPr>
          <w:rFonts w:cs="Verdana"/>
          <w:color w:val="000000"/>
        </w:rPr>
      </w:pPr>
      <w:r>
        <w:t>Cada candidatura a um projeto no âmbito do convite deve abordar apenas um destes temas. Os candidatos que pretendam candidatar-se a mais de um tema devem apresentar uma proposta separada para cada um.</w:t>
      </w:r>
    </w:p>
    <w:p w14:paraId="043E9BF0" w14:textId="361D296B" w:rsidR="004D29DC" w:rsidRDefault="004D29DC" w:rsidP="004D29DC">
      <w:pPr>
        <w:autoSpaceDE w:val="0"/>
        <w:autoSpaceDN w:val="0"/>
        <w:adjustRightInd w:val="0"/>
        <w:rPr>
          <w:rFonts w:cs="Verdana"/>
          <w:color w:val="000000"/>
        </w:rPr>
      </w:pPr>
      <w:r>
        <w:rPr>
          <w:color w:val="000000"/>
        </w:rPr>
        <w:t xml:space="preserve">Convidamo-lo a ler atentamente a documentação relativa ao convite à apresentação de propostas e, em especial, o presente documento de convite, o modelo de convenção de subvenção, o </w:t>
      </w:r>
      <w:hyperlink r:id="rId23" w:history="1">
        <w:r>
          <w:rPr>
            <w:rStyle w:val="Hyperlink"/>
            <w:i/>
            <w:iCs/>
          </w:rPr>
          <w:t>EU Funding &amp; Tenders Portal Online Manual</w:t>
        </w:r>
      </w:hyperlink>
      <w:r>
        <w:t xml:space="preserve"> [manual em linha sobre financiamento e concursos do Portal de Financiamento e Concursos da UE]</w:t>
      </w:r>
      <w:r>
        <w:rPr>
          <w:bCs/>
          <w:color w:val="000000"/>
        </w:rPr>
        <w:t xml:space="preserve"> e o </w:t>
      </w:r>
      <w:hyperlink r:id="rId24" w:history="1">
        <w:r>
          <w:rPr>
            <w:rStyle w:val="Hyperlink"/>
            <w:i/>
            <w:iCs/>
          </w:rPr>
          <w:t>EU Grants AGA — Annotated Grant Agreement</w:t>
        </w:r>
      </w:hyperlink>
      <w:r>
        <w:t xml:space="preserve"> [Subvenções da UE — Convenção de Subvenção Anotada]</w:t>
      </w:r>
      <w:r>
        <w:rPr>
          <w:color w:val="000000"/>
        </w:rPr>
        <w:t>.</w:t>
      </w:r>
    </w:p>
    <w:p w14:paraId="69E91152" w14:textId="77777777" w:rsidR="00494E0C" w:rsidRPr="004A6E2E" w:rsidRDefault="00494E0C" w:rsidP="00494E0C">
      <w:pPr>
        <w:autoSpaceDE w:val="0"/>
        <w:autoSpaceDN w:val="0"/>
        <w:adjustRightInd w:val="0"/>
        <w:rPr>
          <w:rFonts w:cs="Verdana"/>
          <w:color w:val="000000"/>
        </w:rPr>
      </w:pPr>
      <w:r>
        <w:rPr>
          <w:color w:val="000000"/>
        </w:rPr>
        <w:t xml:space="preserve">Estes documentos elucidam dúvidas suscetíveis de surgir na elaboração das propostas: </w:t>
      </w:r>
    </w:p>
    <w:p w14:paraId="2D4A671C" w14:textId="77777777" w:rsidR="00494E0C" w:rsidRPr="004A6E2E" w:rsidRDefault="00E06F7E" w:rsidP="00584316">
      <w:pPr>
        <w:numPr>
          <w:ilvl w:val="0"/>
          <w:numId w:val="29"/>
        </w:numPr>
        <w:autoSpaceDE w:val="0"/>
        <w:autoSpaceDN w:val="0"/>
        <w:adjustRightInd w:val="0"/>
        <w:jc w:val="left"/>
        <w:rPr>
          <w:rFonts w:cs="Verdana"/>
          <w:color w:val="000000"/>
        </w:rPr>
      </w:pPr>
      <w:r>
        <w:rPr>
          <w:color w:val="000000"/>
        </w:rPr>
        <w:t xml:space="preserve">O </w:t>
      </w:r>
      <w:r>
        <w:rPr>
          <w:color w:val="000000"/>
          <w:u w:val="single"/>
        </w:rPr>
        <w:t>documento do convite</w:t>
      </w:r>
      <w:r>
        <w:rPr>
          <w:color w:val="000000"/>
        </w:rPr>
        <w:t xml:space="preserve"> descreve o seguinte: </w:t>
      </w:r>
    </w:p>
    <w:p w14:paraId="1A625B5D" w14:textId="77777777" w:rsidR="00E06F7E" w:rsidRPr="00E4089E" w:rsidRDefault="00E06F7E" w:rsidP="008B1F42">
      <w:pPr>
        <w:numPr>
          <w:ilvl w:val="1"/>
          <w:numId w:val="41"/>
        </w:numPr>
        <w:autoSpaceDE w:val="0"/>
        <w:autoSpaceDN w:val="0"/>
        <w:adjustRightInd w:val="0"/>
        <w:rPr>
          <w:rFonts w:cs="Verdana"/>
          <w:color w:val="000000"/>
        </w:rPr>
      </w:pPr>
      <w:r>
        <w:rPr>
          <w:color w:val="000000"/>
        </w:rPr>
        <w:t>contexto, objetivos, âmbito, atividades que podem ser financiadas e resultados esperados (secções 1 e 2),</w:t>
      </w:r>
    </w:p>
    <w:p w14:paraId="4A57CF7C" w14:textId="77777777" w:rsidR="00E06F7E" w:rsidRPr="00E4089E" w:rsidRDefault="00E06F7E" w:rsidP="008B1F42">
      <w:pPr>
        <w:numPr>
          <w:ilvl w:val="1"/>
          <w:numId w:val="41"/>
        </w:numPr>
        <w:autoSpaceDE w:val="0"/>
        <w:autoSpaceDN w:val="0"/>
        <w:adjustRightInd w:val="0"/>
        <w:rPr>
          <w:rFonts w:cs="Verdana"/>
          <w:color w:val="000000"/>
        </w:rPr>
      </w:pPr>
      <w:r>
        <w:rPr>
          <w:color w:val="000000"/>
        </w:rPr>
        <w:t xml:space="preserve">calendário e orçamento disponível (secções 3 e 4), </w:t>
      </w:r>
    </w:p>
    <w:p w14:paraId="789651DB" w14:textId="77777777" w:rsidR="00F114D2" w:rsidRPr="00F114D2" w:rsidRDefault="00F114D2" w:rsidP="008B1F42">
      <w:pPr>
        <w:numPr>
          <w:ilvl w:val="1"/>
          <w:numId w:val="41"/>
        </w:numPr>
        <w:autoSpaceDE w:val="0"/>
        <w:autoSpaceDN w:val="0"/>
        <w:adjustRightInd w:val="0"/>
        <w:rPr>
          <w:rFonts w:cs="Verdana"/>
          <w:color w:val="000000"/>
        </w:rPr>
      </w:pPr>
      <w:r>
        <w:rPr>
          <w:color w:val="000000"/>
        </w:rPr>
        <w:t>condições de admissibilidade e de elegibilidade (incluindo documentos obrigatórios, secções 5 e 6),</w:t>
      </w:r>
    </w:p>
    <w:p w14:paraId="39CF2DC1" w14:textId="77777777" w:rsidR="00F114D2" w:rsidRPr="00F114D2" w:rsidRDefault="00F114D2" w:rsidP="008B1F42">
      <w:pPr>
        <w:numPr>
          <w:ilvl w:val="1"/>
          <w:numId w:val="41"/>
        </w:numPr>
        <w:autoSpaceDE w:val="0"/>
        <w:autoSpaceDN w:val="0"/>
        <w:adjustRightInd w:val="0"/>
        <w:rPr>
          <w:rFonts w:cs="Verdana"/>
          <w:color w:val="000000"/>
        </w:rPr>
      </w:pPr>
      <w:r>
        <w:rPr>
          <w:color w:val="000000"/>
        </w:rPr>
        <w:t>critérios de capacidade financeira e operacional e de exclusão (secção 7),</w:t>
      </w:r>
    </w:p>
    <w:p w14:paraId="418D4BD7" w14:textId="77777777" w:rsidR="00E06F7E" w:rsidRPr="00F114D2" w:rsidRDefault="00E06F7E" w:rsidP="008B1F42">
      <w:pPr>
        <w:numPr>
          <w:ilvl w:val="1"/>
          <w:numId w:val="41"/>
        </w:numPr>
        <w:autoSpaceDE w:val="0"/>
        <w:autoSpaceDN w:val="0"/>
        <w:adjustRightInd w:val="0"/>
        <w:rPr>
          <w:rFonts w:cs="Verdana"/>
          <w:color w:val="000000"/>
        </w:rPr>
      </w:pPr>
      <w:r>
        <w:rPr>
          <w:color w:val="000000"/>
        </w:rPr>
        <w:t>procedimento de avaliação e atribuição (secção 8),</w:t>
      </w:r>
    </w:p>
    <w:p w14:paraId="64A33DFC" w14:textId="77777777" w:rsidR="00510B7E" w:rsidRPr="00F114D2" w:rsidRDefault="00510B7E" w:rsidP="008B1F42">
      <w:pPr>
        <w:numPr>
          <w:ilvl w:val="1"/>
          <w:numId w:val="41"/>
        </w:numPr>
        <w:autoSpaceDE w:val="0"/>
        <w:autoSpaceDN w:val="0"/>
        <w:adjustRightInd w:val="0"/>
        <w:rPr>
          <w:rFonts w:cs="Verdana"/>
          <w:color w:val="000000"/>
        </w:rPr>
      </w:pPr>
      <w:r>
        <w:rPr>
          <w:color w:val="000000"/>
        </w:rPr>
        <w:t xml:space="preserve">critérios de atribuição (secção 9), </w:t>
      </w:r>
    </w:p>
    <w:p w14:paraId="658DE64E" w14:textId="77777777" w:rsidR="00736C6F" w:rsidRPr="00F114D2" w:rsidRDefault="00E06F7E" w:rsidP="008B1F42">
      <w:pPr>
        <w:numPr>
          <w:ilvl w:val="1"/>
          <w:numId w:val="41"/>
        </w:numPr>
        <w:autoSpaceDE w:val="0"/>
        <w:autoSpaceDN w:val="0"/>
        <w:adjustRightInd w:val="0"/>
        <w:rPr>
          <w:rFonts w:cs="Verdana"/>
          <w:color w:val="000000"/>
        </w:rPr>
      </w:pPr>
      <w:r>
        <w:rPr>
          <w:color w:val="000000"/>
        </w:rPr>
        <w:t>estrutura jurídica e financeira das convenções de subvenção (secção 10),</w:t>
      </w:r>
    </w:p>
    <w:p w14:paraId="0FC91E8C" w14:textId="77777777" w:rsidR="00604FA0" w:rsidRPr="00F114D2" w:rsidRDefault="00604FA0" w:rsidP="008B1F42">
      <w:pPr>
        <w:numPr>
          <w:ilvl w:val="1"/>
          <w:numId w:val="41"/>
        </w:numPr>
        <w:autoSpaceDE w:val="0"/>
        <w:autoSpaceDN w:val="0"/>
        <w:adjustRightInd w:val="0"/>
        <w:rPr>
          <w:rFonts w:cs="Verdana"/>
          <w:color w:val="000000"/>
        </w:rPr>
      </w:pPr>
      <w:r>
        <w:t>como deve ser apresentado o pedido (secção 11).</w:t>
      </w:r>
    </w:p>
    <w:p w14:paraId="31A59D07" w14:textId="77777777" w:rsidR="00494E0C" w:rsidRDefault="00E06F7E" w:rsidP="00584316">
      <w:pPr>
        <w:numPr>
          <w:ilvl w:val="0"/>
          <w:numId w:val="29"/>
        </w:numPr>
        <w:autoSpaceDE w:val="0"/>
        <w:autoSpaceDN w:val="0"/>
        <w:adjustRightInd w:val="0"/>
        <w:jc w:val="left"/>
        <w:rPr>
          <w:rFonts w:cs="Verdana"/>
          <w:color w:val="000000"/>
        </w:rPr>
      </w:pPr>
      <w:r>
        <w:rPr>
          <w:color w:val="000000"/>
        </w:rPr>
        <w:lastRenderedPageBreak/>
        <w:t xml:space="preserve">O </w:t>
      </w:r>
      <w:r>
        <w:rPr>
          <w:color w:val="000000"/>
          <w:u w:val="single"/>
        </w:rPr>
        <w:t>Manual em Linha</w:t>
      </w:r>
      <w:r>
        <w:rPr>
          <w:color w:val="000000"/>
        </w:rPr>
        <w:t xml:space="preserve"> descreve: </w:t>
      </w:r>
    </w:p>
    <w:p w14:paraId="3985E9EA" w14:textId="77777777" w:rsidR="00494E0C" w:rsidRPr="00524F18" w:rsidRDefault="00494E0C" w:rsidP="008B1F42">
      <w:pPr>
        <w:numPr>
          <w:ilvl w:val="1"/>
          <w:numId w:val="41"/>
        </w:numPr>
        <w:autoSpaceDE w:val="0"/>
        <w:autoSpaceDN w:val="0"/>
        <w:adjustRightInd w:val="0"/>
        <w:rPr>
          <w:rFonts w:cs="Verdana"/>
        </w:rPr>
      </w:pPr>
      <w:r>
        <w:t xml:space="preserve">procedimentos para registar e apresentar propostas em linha através do Portal de Financiamento e Concursos da UE («o Portal»), </w:t>
      </w:r>
    </w:p>
    <w:p w14:paraId="616B7DB6" w14:textId="77777777" w:rsidR="00494E0C" w:rsidRPr="00330493" w:rsidRDefault="00494E0C" w:rsidP="008B1F42">
      <w:pPr>
        <w:numPr>
          <w:ilvl w:val="1"/>
          <w:numId w:val="41"/>
        </w:numPr>
        <w:autoSpaceDE w:val="0"/>
        <w:autoSpaceDN w:val="0"/>
        <w:adjustRightInd w:val="0"/>
        <w:rPr>
          <w:rFonts w:cs="Verdana"/>
          <w:color w:val="000000"/>
        </w:rPr>
      </w:pPr>
      <w:r>
        <w:rPr>
          <w:color w:val="000000"/>
        </w:rPr>
        <w:t>recomendações para a preparação da candidatura.</w:t>
      </w:r>
    </w:p>
    <w:p w14:paraId="73C2A8CC" w14:textId="79977971" w:rsidR="00494E0C" w:rsidRPr="004A6E2E" w:rsidRDefault="00524F18" w:rsidP="00584316">
      <w:pPr>
        <w:numPr>
          <w:ilvl w:val="0"/>
          <w:numId w:val="29"/>
        </w:numPr>
        <w:autoSpaceDE w:val="0"/>
        <w:autoSpaceDN w:val="0"/>
        <w:adjustRightInd w:val="0"/>
        <w:jc w:val="left"/>
        <w:rPr>
          <w:rFonts w:cs="Verdana"/>
          <w:color w:val="000000"/>
        </w:rPr>
      </w:pPr>
      <w:r>
        <w:rPr>
          <w:color w:val="000000"/>
        </w:rPr>
        <w:t xml:space="preserve">A </w:t>
      </w:r>
      <w:r>
        <w:rPr>
          <w:color w:val="000000"/>
          <w:u w:val="single"/>
        </w:rPr>
        <w:t>AGA — Convenção de Subvenção Anotada</w:t>
      </w:r>
      <w:r>
        <w:rPr>
          <w:color w:val="000000"/>
        </w:rPr>
        <w:t xml:space="preserve"> contém:</w:t>
      </w:r>
    </w:p>
    <w:p w14:paraId="0DD299B7" w14:textId="77777777" w:rsidR="00494E0C" w:rsidRDefault="00736C6F" w:rsidP="008B1F42">
      <w:pPr>
        <w:numPr>
          <w:ilvl w:val="1"/>
          <w:numId w:val="41"/>
        </w:numPr>
        <w:autoSpaceDE w:val="0"/>
        <w:autoSpaceDN w:val="0"/>
        <w:adjustRightInd w:val="0"/>
        <w:rPr>
          <w:rFonts w:cs="Verdana"/>
          <w:color w:val="000000"/>
        </w:rPr>
      </w:pPr>
      <w:r>
        <w:rPr>
          <w:color w:val="000000"/>
        </w:rPr>
        <w:t xml:space="preserve">anotações pormenorizadas sobre todas as disposições da convenção de subvenção que terá de assinar para obter a subvenção </w:t>
      </w:r>
      <w:r>
        <w:rPr>
          <w:i/>
          <w:color w:val="000000"/>
        </w:rPr>
        <w:t>(incluindo elegibilidade dos custos, calendário de pagamento, obrigações acessórias, etc.)</w:t>
      </w:r>
      <w:r>
        <w:rPr>
          <w:color w:val="000000"/>
        </w:rPr>
        <w:t xml:space="preserve">. </w:t>
      </w:r>
    </w:p>
    <w:p w14:paraId="635FC1D8" w14:textId="285C54B8" w:rsidR="00774448" w:rsidRPr="00A32077" w:rsidRDefault="00526CED" w:rsidP="42BB08A3">
      <w:pPr>
        <w:autoSpaceDE w:val="0"/>
        <w:autoSpaceDN w:val="0"/>
        <w:adjustRightInd w:val="0"/>
        <w:rPr>
          <w:rFonts w:cs="Verdana"/>
          <w:color w:val="000000"/>
        </w:rPr>
      </w:pPr>
      <w:r>
        <w:rPr>
          <w:color w:val="000000"/>
        </w:rPr>
        <w:t xml:space="preserve">Convidamo-lo também a visitar o </w:t>
      </w:r>
      <w:hyperlink r:id="rId25" w:history="1">
        <w:r>
          <w:rPr>
            <w:rStyle w:val="Hyperlink"/>
          </w:rPr>
          <w:t>sítio Web relativo aos resultados do projeto do programa Europa para os Cidadãos</w:t>
        </w:r>
      </w:hyperlink>
      <w:r>
        <w:rPr>
          <w:color w:val="000000"/>
        </w:rPr>
        <w:t xml:space="preserve">, </w:t>
      </w:r>
      <w:hyperlink r:id="rId26" w:history="1">
        <w:r>
          <w:rPr>
            <w:rStyle w:val="Hyperlink"/>
          </w:rPr>
          <w:t>a página Web dos resultados do programa REC</w:t>
        </w:r>
      </w:hyperlink>
      <w:r>
        <w:rPr>
          <w:color w:val="000000"/>
        </w:rPr>
        <w:t xml:space="preserve"> e o </w:t>
      </w:r>
      <w:hyperlink r:id="rId27" w:history="1">
        <w:r>
          <w:rPr>
            <w:rStyle w:val="Hyperlink"/>
          </w:rPr>
          <w:t>Kit de Ferramentas Daphne</w:t>
        </w:r>
      </w:hyperlink>
      <w:r>
        <w:rPr>
          <w:color w:val="000000"/>
        </w:rPr>
        <w:t xml:space="preserve"> para consultar a lista de projetos financiados anteriormente. </w:t>
      </w:r>
    </w:p>
    <w:p w14:paraId="6B9C566E" w14:textId="6F44641E" w:rsidR="00B57534" w:rsidRPr="00494E0C" w:rsidRDefault="00B57534" w:rsidP="00623078">
      <w:pPr>
        <w:pStyle w:val="Heading1"/>
        <w:numPr>
          <w:ilvl w:val="0"/>
          <w:numId w:val="54"/>
        </w:numPr>
        <w:tabs>
          <w:tab w:val="left" w:pos="284"/>
        </w:tabs>
        <w:ind w:left="0" w:firstLine="0"/>
      </w:pPr>
      <w:bookmarkStart w:id="2" w:name="_Toc92978863"/>
      <w:r>
        <w:t>Contexto</w:t>
      </w:r>
      <w:bookmarkEnd w:id="2"/>
    </w:p>
    <w:p w14:paraId="369A6579" w14:textId="3C1F1087" w:rsidR="0062273B" w:rsidRDefault="008B1F42" w:rsidP="00623078">
      <w:pPr>
        <w:pStyle w:val="paragraph"/>
        <w:spacing w:before="0" w:beforeAutospacing="0" w:after="200" w:afterAutospacing="0"/>
        <w:jc w:val="both"/>
        <w:textAlignment w:val="baseline"/>
        <w:rPr>
          <w:rStyle w:val="normaltextrun"/>
          <w:rFonts w:ascii="Verdana" w:hAnsi="Verdana"/>
          <w:sz w:val="20"/>
          <w:szCs w:val="20"/>
        </w:rPr>
      </w:pPr>
      <w:r>
        <w:rPr>
          <w:rFonts w:ascii="Verdana" w:hAnsi="Verdana"/>
          <w:sz w:val="20"/>
          <w:szCs w:val="20"/>
        </w:rPr>
        <w:t>O programa Cidadãos, Igualdade, Direitos e Valores visa a disponibilização de fundos para promoção da participação dos cidadãos, igualdade para todos e implementação dos direitos e valores da UE. O programa Cidadãos, Igualdade, Direitos e Valores (a seguir designado «o programa») integra o antigo programa Direitos, Igualdade e Cidadania</w:t>
      </w:r>
      <w:r>
        <w:rPr>
          <w:rFonts w:ascii="Verdana" w:hAnsi="Verdana"/>
          <w:sz w:val="20"/>
          <w:szCs w:val="20"/>
          <w:lang w:val="en-GB"/>
        </w:rPr>
        <w:footnoteReference w:id="4"/>
      </w:r>
      <w:r>
        <w:rPr>
          <w:rFonts w:ascii="Verdana" w:hAnsi="Verdana"/>
          <w:sz w:val="20"/>
          <w:szCs w:val="20"/>
        </w:rPr>
        <w:t> e o antigo programa Europa para os Cidadãos</w:t>
      </w:r>
      <w:r>
        <w:rPr>
          <w:rStyle w:val="FootnoteReference"/>
          <w:rFonts w:ascii="Verdana" w:hAnsi="Verdana"/>
          <w:sz w:val="20"/>
          <w:szCs w:val="20"/>
          <w:lang w:val="en-GB"/>
        </w:rPr>
        <w:footnoteReference w:id="5"/>
      </w:r>
      <w:r>
        <w:rPr>
          <w:rFonts w:ascii="Verdana" w:hAnsi="Verdana"/>
          <w:sz w:val="20"/>
          <w:szCs w:val="20"/>
        </w:rPr>
        <w:t>.</w:t>
      </w:r>
    </w:p>
    <w:p w14:paraId="516FC889" w14:textId="77777777" w:rsidR="008B1F42" w:rsidRPr="00F46931" w:rsidRDefault="008B1F42" w:rsidP="008B1F42">
      <w:pPr>
        <w:rPr>
          <w:rFonts w:eastAsia="Verdana" w:cs="Verdana"/>
        </w:rPr>
      </w:pPr>
      <w:r>
        <w:t>O programa promove o intercâmbio entre pessoas de diferentes países, reforça a compreensão mútua e a tolerância e dá-lhes a oportunidade de alargar os seus horizontes e desenvolver um sentimento de pertença e identidade europeias através da geminação de cidades e das redes de cidades. Embora mantendo uma abordagem ascendente, o programa proporciona também, em especial às redes de cidades, uma oportunidade para se centrarem nas prioridades da UE. Visa, por exemplo, melhorar o conhecimento dos cidadãos sobre a Carta dos Direitos Fundamentais da UE, contribuir para uma maior participação e candidatura inclusiva nas eleições para o Parlamento Europeu e aumentar a sensibilização para a discriminação, o racismo e as suas consequências.</w:t>
      </w:r>
    </w:p>
    <w:p w14:paraId="65A00F56" w14:textId="4DA47FF4" w:rsidR="009A57EA" w:rsidRDefault="008B1F42" w:rsidP="0062273B">
      <w:pPr>
        <w:spacing w:after="0"/>
        <w:rPr>
          <w:rFonts w:eastAsia="Verdana" w:cs="Verdana"/>
        </w:rPr>
      </w:pPr>
      <w:r>
        <w:t>O presente convite à apresentação de propostas visa apoiar as seguintes iniciativas políticas: o Plano de Ação para a Democracia Europeia</w:t>
      </w:r>
      <w:r>
        <w:rPr>
          <w:rStyle w:val="FootnoteReference"/>
          <w:rFonts w:eastAsia="Verdana" w:cs="Verdana"/>
        </w:rPr>
        <w:footnoteReference w:id="6"/>
      </w:r>
      <w:r>
        <w:t>, o Quadro Estratégico da UE para a Igualdade, a Inclusão e a Participação dos Ciganos</w:t>
      </w:r>
      <w:r>
        <w:rPr>
          <w:rStyle w:val="FootnoteReference"/>
          <w:rFonts w:eastAsia="Verdana" w:cs="Verdana"/>
        </w:rPr>
        <w:footnoteReference w:id="7"/>
      </w:r>
      <w:r>
        <w:t>, a Estratégia para Reforçar a Aplicação da Carta dos Direitos Fundamentais na UE</w:t>
      </w:r>
      <w:r>
        <w:rPr>
          <w:rStyle w:val="FootnoteReference"/>
          <w:rFonts w:eastAsia="Verdana" w:cs="Verdana"/>
        </w:rPr>
        <w:footnoteReference w:id="8"/>
      </w:r>
      <w:r>
        <w:t xml:space="preserve"> e o Relatório sobre a Cidadania da UE de 2020</w:t>
      </w:r>
      <w:r>
        <w:rPr>
          <w:rStyle w:val="FootnoteReference"/>
          <w:rFonts w:eastAsia="Verdana" w:cs="Verdana"/>
        </w:rPr>
        <w:footnoteReference w:id="9"/>
      </w:r>
      <w:r>
        <w:t xml:space="preserve">. </w:t>
      </w:r>
    </w:p>
    <w:p w14:paraId="3ACDA2AF" w14:textId="77777777" w:rsidR="0062273B" w:rsidRDefault="0062273B" w:rsidP="0062273B">
      <w:pPr>
        <w:spacing w:after="0"/>
      </w:pPr>
    </w:p>
    <w:p w14:paraId="2B0ABE9D" w14:textId="5A8C4B79" w:rsidR="00CC2315" w:rsidRDefault="00276AD7" w:rsidP="003466A0">
      <w:pPr>
        <w:pStyle w:val="Heading1"/>
        <w:keepNext/>
        <w:keepLines/>
        <w:numPr>
          <w:ilvl w:val="0"/>
          <w:numId w:val="54"/>
        </w:numPr>
        <w:tabs>
          <w:tab w:val="left" w:pos="284"/>
        </w:tabs>
        <w:ind w:left="0" w:firstLine="0"/>
      </w:pPr>
      <w:bookmarkStart w:id="3" w:name="_Toc92978864"/>
      <w:r>
        <w:t>Objetivos — Temas e prioridades — Atividades que podem ser financiadas — Impacto esperado</w:t>
      </w:r>
      <w:bookmarkEnd w:id="3"/>
    </w:p>
    <w:p w14:paraId="10C94222" w14:textId="3D5C2B6B" w:rsidR="008B1F42" w:rsidRDefault="00BF7239" w:rsidP="008B1F42">
      <w:pPr>
        <w:widowControl w:val="0"/>
        <w:outlineLvl w:val="1"/>
        <w:rPr>
          <w:b/>
          <w:bCs/>
          <w:color w:val="A50021"/>
          <w:u w:val="single"/>
        </w:rPr>
      </w:pPr>
      <w:r>
        <w:rPr>
          <w:b/>
          <w:bCs/>
          <w:color w:val="A50021"/>
          <w:u w:val="single"/>
        </w:rPr>
        <w:t>CERV-2022-CITIZENS-TOWN-TT – Geminação de Cidades</w:t>
      </w:r>
    </w:p>
    <w:p w14:paraId="13FAC18F" w14:textId="77777777" w:rsidR="008B1F42" w:rsidRDefault="008B1F42" w:rsidP="008B1F42">
      <w:pPr>
        <w:pStyle w:val="Heading3"/>
      </w:pPr>
      <w:bookmarkStart w:id="4" w:name="_Toc92978865"/>
      <w:r>
        <w:t>Objetivos</w:t>
      </w:r>
      <w:bookmarkEnd w:id="4"/>
      <w:r>
        <w:t xml:space="preserve"> </w:t>
      </w:r>
    </w:p>
    <w:p w14:paraId="15E04F10" w14:textId="77777777" w:rsidR="008B1F42" w:rsidRDefault="008B1F42" w:rsidP="008B1F42">
      <w:pPr>
        <w:pStyle w:val="ListParagraph"/>
        <w:numPr>
          <w:ilvl w:val="0"/>
          <w:numId w:val="47"/>
        </w:numPr>
        <w:snapToGrid w:val="0"/>
        <w:spacing w:after="200"/>
        <w:jc w:val="both"/>
        <w:rPr>
          <w:rFonts w:eastAsia="Verdana" w:cs="Verdana"/>
        </w:rPr>
      </w:pPr>
      <w:r>
        <w:rPr>
          <w:sz w:val="20"/>
          <w:szCs w:val="20"/>
        </w:rPr>
        <w:lastRenderedPageBreak/>
        <w:t>Promover intercâmbios entre cidadãos de diferentes países;</w:t>
      </w:r>
    </w:p>
    <w:p w14:paraId="5945D08F" w14:textId="77777777" w:rsidR="008B1F42" w:rsidRDefault="008B1F42" w:rsidP="008B1F42">
      <w:pPr>
        <w:pStyle w:val="ListParagraph"/>
        <w:numPr>
          <w:ilvl w:val="0"/>
          <w:numId w:val="47"/>
        </w:numPr>
        <w:snapToGrid w:val="0"/>
        <w:spacing w:after="200"/>
        <w:jc w:val="both"/>
        <w:rPr>
          <w:rFonts w:eastAsia="Verdana" w:cs="Verdana"/>
        </w:rPr>
      </w:pPr>
      <w:r>
        <w:rPr>
          <w:sz w:val="20"/>
          <w:szCs w:val="20"/>
        </w:rPr>
        <w:t>Dar aos cidadãos a oportunidade de descobrirem a diversidade cultural da União Europeia e sensibilizá‑los para o facto de os valores e o património cultural europeus constituírem a base de um futuro comum</w:t>
      </w:r>
      <w:r>
        <w:rPr>
          <w:iCs/>
          <w:sz w:val="20"/>
          <w:szCs w:val="20"/>
        </w:rPr>
        <w:t xml:space="preserve">; </w:t>
      </w:r>
    </w:p>
    <w:p w14:paraId="665EDD2E" w14:textId="77777777" w:rsidR="008B1F42" w:rsidRDefault="008B1F42" w:rsidP="008B1F42">
      <w:pPr>
        <w:pStyle w:val="ListParagraph"/>
        <w:numPr>
          <w:ilvl w:val="0"/>
          <w:numId w:val="47"/>
        </w:numPr>
        <w:snapToGrid w:val="0"/>
        <w:spacing w:after="200"/>
        <w:jc w:val="both"/>
        <w:rPr>
          <w:rFonts w:eastAsia="Verdana" w:cs="Verdana"/>
        </w:rPr>
      </w:pPr>
      <w:r>
        <w:rPr>
          <w:sz w:val="20"/>
          <w:szCs w:val="20"/>
        </w:rPr>
        <w:t>Garantir relações pacíficas entre os europeus e assegurar a sua participação ativa a nível local;</w:t>
      </w:r>
    </w:p>
    <w:p w14:paraId="605828BE" w14:textId="77777777" w:rsidR="008B1F42" w:rsidRDefault="008B1F42" w:rsidP="008B1F42">
      <w:pPr>
        <w:pStyle w:val="ListParagraph"/>
        <w:numPr>
          <w:ilvl w:val="0"/>
          <w:numId w:val="47"/>
        </w:numPr>
        <w:snapToGrid w:val="0"/>
        <w:spacing w:after="200"/>
        <w:jc w:val="both"/>
        <w:rPr>
          <w:rFonts w:eastAsia="Verdana" w:cs="Verdana"/>
        </w:rPr>
      </w:pPr>
      <w:r>
        <w:rPr>
          <w:sz w:val="20"/>
          <w:szCs w:val="20"/>
        </w:rPr>
        <w:t>Reforçar a compreensão mútua e a amizade entre os cidadãos europeus;</w:t>
      </w:r>
    </w:p>
    <w:p w14:paraId="311FE49B" w14:textId="77777777"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Incentivar a cooperação entre os municípios e o intercâmbio de melhores práticas;</w:t>
      </w:r>
    </w:p>
    <w:p w14:paraId="2F91D125" w14:textId="77777777"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Apoiar a boa governação local e reforçar o papel das autoridades locais e regionais no processo de integração europeia.</w:t>
      </w:r>
    </w:p>
    <w:p w14:paraId="0811532F" w14:textId="77777777" w:rsidR="008B1F42" w:rsidRDefault="008B1F42" w:rsidP="008B1F42">
      <w:pPr>
        <w:pStyle w:val="ListParagraph"/>
        <w:spacing w:after="200"/>
        <w:ind w:left="0"/>
        <w:jc w:val="both"/>
        <w:rPr>
          <w:rFonts w:eastAsia="Verdana" w:cs="Verdana"/>
          <w:sz w:val="20"/>
          <w:szCs w:val="20"/>
        </w:rPr>
      </w:pPr>
    </w:p>
    <w:p w14:paraId="18B8EBBE" w14:textId="2BAD98CB" w:rsidR="008B1F42" w:rsidRPr="00CC2315" w:rsidRDefault="008B1F42" w:rsidP="00CC2315">
      <w:pPr>
        <w:pStyle w:val="ListParagraph"/>
        <w:spacing w:after="200"/>
        <w:ind w:left="0"/>
        <w:jc w:val="both"/>
        <w:rPr>
          <w:rFonts w:eastAsia="Verdana" w:cs="Verdana"/>
          <w:sz w:val="20"/>
          <w:szCs w:val="20"/>
        </w:rPr>
      </w:pPr>
      <w:r>
        <w:rPr>
          <w:sz w:val="20"/>
          <w:szCs w:val="20"/>
        </w:rPr>
        <w:t>Espera-se que os projetos de geminação de cidades constituam o reflexo de uma nova narrativa para a Europa, orientada para os cidadãos, promotora da igualdade, virada para o futuro e construtiva; uma Europa mais interessante para a geração mais jovem em particular. Os projetos poderão basear-se nos resultados das consultas aos cidadãos e poderão conduzir a debates sobre formas concretas de criar uma União mais democrática, de reaproximar os cidadãos da UE e de desenvolver um maior sentido de apropriação do projeto europeu.</w:t>
      </w:r>
    </w:p>
    <w:p w14:paraId="6C324617" w14:textId="7DEA1873" w:rsidR="008B1F42" w:rsidRDefault="008B1F42" w:rsidP="008B1F42">
      <w:pPr>
        <w:pStyle w:val="Heading3"/>
      </w:pPr>
      <w:bookmarkStart w:id="5" w:name="_Toc92978866"/>
      <w:r>
        <w:t>Temas e prioridades (âmbito)</w:t>
      </w:r>
      <w:bookmarkEnd w:id="5"/>
    </w:p>
    <w:p w14:paraId="5FB7D970" w14:textId="77777777" w:rsidR="008B1F42" w:rsidRDefault="008B1F42" w:rsidP="008B1F42">
      <w:pPr>
        <w:numPr>
          <w:ilvl w:val="0"/>
          <w:numId w:val="48"/>
        </w:numPr>
        <w:rPr>
          <w:rFonts w:eastAsia="Verdana" w:cs="Verdana"/>
        </w:rPr>
      </w:pPr>
      <w:r>
        <w:rPr>
          <w:b/>
          <w:bCs/>
        </w:rPr>
        <w:t>Sensibilizar para a riqueza do ambiente cultural e linguístico na Europa</w:t>
      </w:r>
    </w:p>
    <w:p w14:paraId="2B1D8BE9" w14:textId="77777777" w:rsidR="008B1F42" w:rsidRPr="008F0D17" w:rsidRDefault="008B1F42" w:rsidP="008B1F42">
      <w:pPr>
        <w:rPr>
          <w:rFonts w:eastAsia="Verdana" w:cs="Verdana"/>
        </w:rPr>
      </w:pPr>
      <w:r>
        <w:t xml:space="preserve">O programa contribui para a promoção do diálogo intercultural, reunindo pessoas de diferentes nacionalidades e diferentes línguas e dando-lhes a oportunidade de participarem em atividades comuns. Neste contexto, os projetos de geminação de cidades devem sensibilizar para a riqueza do ambiente cultural e linguístico na Europa e promover a compreensão e a tolerância mútuas, contribuindo assim para o desenvolvimento de uma identidade europeia respeitosa, dinâmica e multifacetada e para o respeito dos valores comuns, da democracia e dos direitos fundamentais. </w:t>
      </w:r>
    </w:p>
    <w:p w14:paraId="278D248A" w14:textId="77777777" w:rsidR="008B1F42" w:rsidRDefault="008B1F42" w:rsidP="008B1F42">
      <w:pPr>
        <w:numPr>
          <w:ilvl w:val="0"/>
          <w:numId w:val="48"/>
        </w:numPr>
        <w:rPr>
          <w:rFonts w:eastAsia="Verdana" w:cs="Verdana"/>
        </w:rPr>
      </w:pPr>
      <w:r>
        <w:rPr>
          <w:b/>
          <w:bCs/>
        </w:rPr>
        <w:t>Sensibilizar para a importância de reforçar o processo de integração europeia baseado na solidariedade</w:t>
      </w:r>
    </w:p>
    <w:p w14:paraId="6CBF9321" w14:textId="77777777" w:rsidR="008B1F42" w:rsidRDefault="008B1F42" w:rsidP="008B1F42">
      <w:pPr>
        <w:rPr>
          <w:rFonts w:eastAsia="Verdana" w:cs="Verdana"/>
        </w:rPr>
      </w:pPr>
      <w:r>
        <w:t>A União Europeia assenta na solidariedade: solidariedade entre os seus cidadãos, solidariedade transfronteiriça entre os seus Estados‑Membros e solidariedade através de ações de apoio dentro e fora da União. A solidariedade é um valor partilhado que cria coesão e responde aos desafios sociais. Os projetos de geminação de cidades devem contribuir para ultrapassar as perceções nacionais, promovendo a compreensão mútua e criando fóruns onde as soluções comuns possam ser discutidas de forma construtiva. O seu objetivo deve ser sensibilizar para a importância de reforçar o processo de integração europeia com base na solidariedade e em valores comuns.</w:t>
      </w:r>
    </w:p>
    <w:p w14:paraId="0C7C4065" w14:textId="77777777" w:rsidR="008B1F42" w:rsidRDefault="008B1F42" w:rsidP="008B1F42">
      <w:pPr>
        <w:numPr>
          <w:ilvl w:val="0"/>
          <w:numId w:val="48"/>
        </w:numPr>
        <w:rPr>
          <w:rFonts w:eastAsia="Verdana" w:cs="Verdana"/>
        </w:rPr>
      </w:pPr>
      <w:r>
        <w:rPr>
          <w:b/>
          <w:bCs/>
        </w:rPr>
        <w:t xml:space="preserve">Promover o sentimento de pertença à Europa, reforçando o debate sobre o futuro da Europa </w:t>
      </w:r>
    </w:p>
    <w:p w14:paraId="1B7C766D" w14:textId="77777777" w:rsidR="008B1F42" w:rsidRDefault="008B1F42" w:rsidP="008B1F42">
      <w:pPr>
        <w:rPr>
          <w:rFonts w:eastAsia="Verdana" w:cs="Verdana"/>
        </w:rPr>
      </w:pPr>
      <w:r>
        <w:t xml:space="preserve">Os projetos de geminação de cidades devem dar aos cidadãos a oportunidade de se expressarem sobre o tipo de Europa que desejam. Os debates apoiados no âmbito da geminação de cidades devem basear-se nas realizações concretas da União Europeia e nos ensinamentos retirados da história. Tais debates devem igualmente refletir sobre as tendências atuais e permitir aos participantes desafiarem o euroceticismo, sugerindo possíveis ações a empreender pela União Europeia no sentido de promover um sentimento de pertença à Europa e um melhor entendimento dos benefícios da União Europeia e de reforçar a coesão social e política da UE. Os municípios geminados são </w:t>
      </w:r>
      <w:r>
        <w:lastRenderedPageBreak/>
        <w:t>incentivados a cumprir os objetivos previstos na Conferência sobre o Futuro da Europa</w:t>
      </w:r>
      <w:r>
        <w:rPr>
          <w:rStyle w:val="FootnoteReference"/>
          <w:rFonts w:eastAsia="Verdana" w:cs="Verdana"/>
        </w:rPr>
        <w:footnoteReference w:id="10"/>
      </w:r>
      <w:r>
        <w:t>. Além disso, os debates devem promover uma cultura de intercâmbio democrático, na qual as opiniões de todos os participantes sejam igualmente valorizadas independentemente do seu género, idade ou origem étnica.</w:t>
      </w:r>
    </w:p>
    <w:p w14:paraId="10D7F696" w14:textId="77777777" w:rsidR="008B1F42" w:rsidRDefault="008B1F42" w:rsidP="008B1F42">
      <w:pPr>
        <w:numPr>
          <w:ilvl w:val="0"/>
          <w:numId w:val="48"/>
        </w:numPr>
        <w:rPr>
          <w:rFonts w:eastAsia="Verdana" w:cs="Verdana"/>
          <w:b/>
          <w:bCs/>
        </w:rPr>
      </w:pPr>
      <w:r>
        <w:rPr>
          <w:b/>
          <w:bCs/>
        </w:rPr>
        <w:t>Reflexão sobre o impacto da pandemia da COVID-19 nas comunidades locais</w:t>
      </w:r>
    </w:p>
    <w:p w14:paraId="481B9ACE" w14:textId="77777777" w:rsidR="008B1F42" w:rsidRDefault="008B1F42" w:rsidP="008B1F42">
      <w:pPr>
        <w:rPr>
          <w:rFonts w:eastAsia="Verdana" w:cs="Verdana"/>
        </w:rPr>
      </w:pPr>
      <w:r>
        <w:t>A pandemia da COVID-19 influenciou o funcionamento das nossas democracias e da nossa participação cívica. A necessidade de evitar a propagação do contágio levou à imposição de fortes restrições à liberdade individual e coletiva. Os projetos de geminação de cidades são encorajados a refletir sobre o impacto da pandemia da COVID-19 na vida e no funcionamento das comunidades locais, bem como sobre as formas que a participação cívica assume no contexto da crise da COVID-19.</w:t>
      </w:r>
    </w:p>
    <w:p w14:paraId="36719A73" w14:textId="77777777" w:rsidR="008B1F42" w:rsidRDefault="008B1F42" w:rsidP="008B1F42">
      <w:pPr>
        <w:widowControl w:val="0"/>
        <w:outlineLvl w:val="1"/>
        <w:rPr>
          <w:i/>
          <w:color w:val="A50021"/>
          <w:u w:val="single"/>
        </w:rPr>
      </w:pPr>
      <w:r>
        <w:rPr>
          <w:i/>
          <w:color w:val="A50021"/>
          <w:u w:val="single"/>
        </w:rPr>
        <w:t>Atividades que podem ser financiadas (âmbito)</w:t>
      </w:r>
    </w:p>
    <w:p w14:paraId="3F3EFBB4" w14:textId="77777777" w:rsidR="008B1F42" w:rsidRDefault="008B1F42" w:rsidP="008B1F42">
      <w:pPr>
        <w:widowControl w:val="0"/>
        <w:outlineLvl w:val="1"/>
      </w:pPr>
      <w:r>
        <w:t>Entre as atividades elegíveis, incluem-se as seguintes:</w:t>
      </w:r>
    </w:p>
    <w:p w14:paraId="6E4AFEA1" w14:textId="2D94E985" w:rsidR="008B1F42" w:rsidRPr="00BF5947" w:rsidRDefault="008B1F42" w:rsidP="008B1F42">
      <w:pPr>
        <w:pStyle w:val="Text3"/>
        <w:numPr>
          <w:ilvl w:val="0"/>
          <w:numId w:val="48"/>
        </w:numPr>
        <w:tabs>
          <w:tab w:val="left" w:pos="567"/>
        </w:tabs>
        <w:ind w:left="567" w:hanging="207"/>
      </w:pPr>
      <w:r>
        <w:rPr>
          <w:i/>
          <w:iCs/>
        </w:rPr>
        <w:t>workshops</w:t>
      </w:r>
      <w:r>
        <w:t xml:space="preserve">, seminários, conferências, ações de formação, reuniões de peritos, </w:t>
      </w:r>
      <w:r>
        <w:rPr>
          <w:i/>
          <w:iCs/>
        </w:rPr>
        <w:t>webinars</w:t>
      </w:r>
      <w:r>
        <w:t>, ações de sensibilização, recolha e consulta de dados, desenvolvimento, intercâmbio e divulgação de boas práticas entre as autoridades públicas e as organizações da sociedade civil, desenvolvimento de instrumentos de comunicação e utilização de meios de comunicação social.</w:t>
      </w:r>
    </w:p>
    <w:p w14:paraId="44CF613E" w14:textId="055AEA4F" w:rsidR="00BF5947" w:rsidRDefault="00BF5947" w:rsidP="00CC2315">
      <w:pPr>
        <w:widowControl w:val="0"/>
      </w:pPr>
      <w:r>
        <w:t xml:space="preserve">A perspetiva de igualdade entre homens e mulheres deve ser tida em conta aquando da conceção do «formato» das atividades, para garantir que seja acessível a mulheres e homens em condições de igualdade, e que tanto as mulheres como os homens possam participar nas atividades. </w:t>
      </w:r>
    </w:p>
    <w:p w14:paraId="4E176950" w14:textId="7F1D3AA0" w:rsidR="008B1F42" w:rsidRPr="00CC2315" w:rsidRDefault="008B1F42" w:rsidP="008B1F42">
      <w:pPr>
        <w:widowControl w:val="0"/>
        <w:outlineLvl w:val="1"/>
        <w:rPr>
          <w:i/>
          <w:color w:val="A50021"/>
          <w:u w:val="single"/>
        </w:rPr>
      </w:pPr>
      <w:r>
        <w:rPr>
          <w:i/>
          <w:color w:val="A50021"/>
          <w:u w:val="single"/>
        </w:rPr>
        <w:t>Impacto esperado</w:t>
      </w:r>
    </w:p>
    <w:p w14:paraId="73300198" w14:textId="7369E399" w:rsidR="008B1F42" w:rsidRPr="00623078" w:rsidRDefault="008B1F42" w:rsidP="008B1F42">
      <w:pPr>
        <w:pStyle w:val="ListParagraph"/>
        <w:numPr>
          <w:ilvl w:val="0"/>
          <w:numId w:val="49"/>
        </w:numPr>
        <w:snapToGrid w:val="0"/>
        <w:rPr>
          <w:rFonts w:eastAsia="Verdana" w:cs="Verdana"/>
          <w:sz w:val="20"/>
          <w:szCs w:val="20"/>
        </w:rPr>
      </w:pPr>
      <w:r>
        <w:rPr>
          <w:sz w:val="20"/>
          <w:szCs w:val="20"/>
        </w:rPr>
        <w:t>Aumentar e encorajar a compreensão mútua e a amizade entre uma diversidade de cidadãos a nível local;</w:t>
      </w:r>
    </w:p>
    <w:p w14:paraId="13BA14C4" w14:textId="77777777" w:rsidR="008B1F42" w:rsidRPr="00623078" w:rsidRDefault="008B1F42" w:rsidP="008B1F42">
      <w:pPr>
        <w:pStyle w:val="ListParagraph"/>
        <w:numPr>
          <w:ilvl w:val="0"/>
          <w:numId w:val="49"/>
        </w:numPr>
        <w:snapToGrid w:val="0"/>
        <w:rPr>
          <w:rFonts w:eastAsia="Verdana" w:cs="Verdana"/>
          <w:sz w:val="20"/>
          <w:szCs w:val="20"/>
        </w:rPr>
      </w:pPr>
      <w:r>
        <w:rPr>
          <w:sz w:val="20"/>
          <w:szCs w:val="20"/>
        </w:rPr>
        <w:t>Envolver um leque diversificado de cidadãos de diferentes comunidades locais e reconhecer o valor acrescentado que a UE proporciona através de uma abordagem de base;</w:t>
      </w:r>
    </w:p>
    <w:p w14:paraId="64BB5015" w14:textId="77777777" w:rsidR="008B1F42" w:rsidRPr="00623078" w:rsidRDefault="008B1F42" w:rsidP="009C148E">
      <w:pPr>
        <w:pStyle w:val="ListParagraph"/>
        <w:numPr>
          <w:ilvl w:val="0"/>
          <w:numId w:val="49"/>
        </w:numPr>
        <w:snapToGrid w:val="0"/>
        <w:spacing w:after="200"/>
        <w:rPr>
          <w:rFonts w:eastAsia="Verdana" w:cs="Verdana"/>
          <w:sz w:val="20"/>
          <w:szCs w:val="20"/>
        </w:rPr>
      </w:pPr>
      <w:r>
        <w:rPr>
          <w:sz w:val="20"/>
          <w:szCs w:val="20"/>
        </w:rPr>
        <w:t>Promover um sentimento acrescido de pertença à UE.</w:t>
      </w:r>
    </w:p>
    <w:p w14:paraId="3816CD76" w14:textId="7A8224D0" w:rsidR="008B1F42" w:rsidRDefault="00BF7239" w:rsidP="008B1F42">
      <w:pPr>
        <w:widowControl w:val="0"/>
        <w:outlineLvl w:val="1"/>
        <w:rPr>
          <w:b/>
          <w:bCs/>
          <w:color w:val="A50021"/>
        </w:rPr>
      </w:pPr>
      <w:r>
        <w:rPr>
          <w:b/>
          <w:bCs/>
          <w:color w:val="A50021"/>
          <w:u w:val="single"/>
        </w:rPr>
        <w:t>CERV-2022-CITIZENS-TOWN-NT - Redes de Cidades</w:t>
      </w:r>
      <w:r>
        <w:rPr>
          <w:b/>
          <w:bCs/>
          <w:color w:val="A50021"/>
        </w:rPr>
        <w:t xml:space="preserve"> </w:t>
      </w:r>
    </w:p>
    <w:p w14:paraId="5DD50407" w14:textId="77777777" w:rsidR="008B1F42" w:rsidRDefault="008B1F42" w:rsidP="008B1F42">
      <w:pPr>
        <w:pStyle w:val="Heading3"/>
      </w:pPr>
      <w:bookmarkStart w:id="6" w:name="_Toc92978867"/>
      <w:r>
        <w:t>Objetivos</w:t>
      </w:r>
      <w:bookmarkEnd w:id="6"/>
      <w:r>
        <w:t xml:space="preserve"> </w:t>
      </w:r>
    </w:p>
    <w:p w14:paraId="50086A6A" w14:textId="77777777"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Promover intercâmbios entre cidadãos de diferentes países;</w:t>
      </w:r>
    </w:p>
    <w:p w14:paraId="4930950B" w14:textId="58DB2063"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Dar aos cidadãos a oportunidade de descobrirem a diversidade cultural da União Europeia e sensibilizá‑los para o facto de os valores e o património cultural europeus constituírem a base de um futuro comum</w:t>
      </w:r>
      <w:r>
        <w:rPr>
          <w:iCs/>
          <w:sz w:val="20"/>
          <w:szCs w:val="20"/>
        </w:rPr>
        <w:t>;</w:t>
      </w:r>
    </w:p>
    <w:p w14:paraId="67D2B464" w14:textId="77777777"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Garantir relações pacíficas entre os europeus e assegurar a sua participação ativa a nível local;</w:t>
      </w:r>
    </w:p>
    <w:p w14:paraId="195F41AA" w14:textId="77777777"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Reforçar a compreensão mútua e a amizade entre os cidadãos europeus;</w:t>
      </w:r>
    </w:p>
    <w:p w14:paraId="7666C85B" w14:textId="77777777"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lastRenderedPageBreak/>
        <w:t>Incentivar a cooperação entre os municípios e o intercâmbio de melhores práticas;</w:t>
      </w:r>
    </w:p>
    <w:p w14:paraId="602154B3" w14:textId="77777777"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Apoiar a boa governação local e reforçar o papel das autoridades locais e regionais no processo de integração europeia.</w:t>
      </w:r>
    </w:p>
    <w:p w14:paraId="79BB4ACA" w14:textId="77777777" w:rsidR="008B1F42" w:rsidRDefault="008B1F42" w:rsidP="008B1F42">
      <w:pPr>
        <w:rPr>
          <w:rFonts w:eastAsia="Verdana" w:cs="Verdana"/>
        </w:rPr>
      </w:pPr>
      <w:r>
        <w:t>Espera-se que os projetos Redes de Cidades constituam o reflexo de uma nova narrativa para a Europa, orientada para os cidadãos, promotora da igualdade, virada para o futuro e construtiva; uma Europa mais interessante para a geração mais jovem em particular. Os projetos poderão basear-se nos resultados das consultas aos cidadãos e poderão conduzir a debates sobre formas concretas de criar uma União mais democrática, de reaproximar os cidadãos da UE e de desenvolver um maior sentido de apropriação do projeto europeu.</w:t>
      </w:r>
    </w:p>
    <w:p w14:paraId="21311993" w14:textId="77777777" w:rsidR="008B1F42" w:rsidRDefault="008B1F42" w:rsidP="008B1F42">
      <w:pPr>
        <w:rPr>
          <w:rFonts w:eastAsia="Verdana" w:cs="Verdana"/>
        </w:rPr>
      </w:pPr>
      <w:r>
        <w:t>As redes de cidades devem proporcionar às cidades e municípios a possibilidade de aprofundarem e intensificarem a sua cooperação e debate numa perspetiva de longo prazo, de desenvolverem redes sustentáveis e de delinearem a sua visão de longo prazo para o futuro da integração europeia.</w:t>
      </w:r>
    </w:p>
    <w:p w14:paraId="73AEEF58" w14:textId="77777777" w:rsidR="008B1F42" w:rsidRDefault="008B1F42" w:rsidP="008B1F42">
      <w:pPr>
        <w:pStyle w:val="Heading3"/>
      </w:pPr>
      <w:bookmarkStart w:id="7" w:name="_Toc92978868"/>
      <w:r>
        <w:t>Temas e prioridades (âmbito)</w:t>
      </w:r>
      <w:bookmarkEnd w:id="7"/>
    </w:p>
    <w:p w14:paraId="19210619" w14:textId="5F6CD73A" w:rsidR="008B1F42" w:rsidRDefault="008B1F42" w:rsidP="008B1F42">
      <w:pPr>
        <w:pStyle w:val="Text3"/>
        <w:ind w:left="0"/>
        <w:rPr>
          <w:rFonts w:eastAsia="Verdana" w:cs="Verdana"/>
        </w:rPr>
      </w:pPr>
      <w:r>
        <w:t>Paralelamente a uma abordagem da base para o topo, poder-se-á dar especial atenção aos seguintes temas:</w:t>
      </w:r>
    </w:p>
    <w:p w14:paraId="0114D3C8" w14:textId="77777777" w:rsidR="00DF1A7E" w:rsidRPr="007472BE" w:rsidRDefault="00DF1A7E" w:rsidP="00DF1A7E">
      <w:pPr>
        <w:numPr>
          <w:ilvl w:val="0"/>
          <w:numId w:val="48"/>
        </w:numPr>
        <w:rPr>
          <w:rFonts w:eastAsia="Verdana" w:cs="Verdana"/>
        </w:rPr>
      </w:pPr>
      <w:r>
        <w:rPr>
          <w:b/>
        </w:rPr>
        <w:t>Reforçar a dimensão europeia e democrática do processo de decisão da UE</w:t>
      </w:r>
    </w:p>
    <w:p w14:paraId="170D5575" w14:textId="591CBCC7" w:rsidR="00DF1A7E" w:rsidRDefault="00DF1A7E" w:rsidP="00DF1A7E">
      <w:r>
        <w:t>As Redes de Cidades são convidadas a desenvolver projetos que reforcem a governação democrática ao apoiarem o envolvimento ativo dos cidadãos na vida política europeia e o exercício dos seus direitos eleitorais. Estes projetos ajudariam a combater a baixa taxa de participação eleitoral, o populismo, a desinformação e os desafios enfrentados pela sociedade civil;</w:t>
      </w:r>
    </w:p>
    <w:p w14:paraId="75942D03" w14:textId="57AAA631" w:rsidR="00DF1A7E" w:rsidRPr="00732A4F" w:rsidRDefault="00DF1A7E" w:rsidP="00DF1A7E">
      <w:pPr>
        <w:numPr>
          <w:ilvl w:val="0"/>
          <w:numId w:val="48"/>
        </w:numPr>
        <w:rPr>
          <w:rFonts w:eastAsia="Verdana" w:cs="Verdana"/>
          <w:b/>
        </w:rPr>
      </w:pPr>
      <w:r>
        <w:rPr>
          <w:b/>
        </w:rPr>
        <w:t>Apoiar eleições livres e justas na Europa,</w:t>
      </w:r>
    </w:p>
    <w:p w14:paraId="508FCAAE" w14:textId="13093283" w:rsidR="00DF1A7E" w:rsidRPr="00623078" w:rsidRDefault="00DF1A7E" w:rsidP="00DF1A7E">
      <w:pPr>
        <w:rPr>
          <w:rFonts w:eastAsia="Verdana" w:cs="Verdana"/>
        </w:rPr>
      </w:pPr>
      <w:r>
        <w:t>Tendo em contas as eleições europeias de 2024, as Redes de Cidades são convidadas a trabalhar na preservação das instituições democráticas da UE e na participação dos cidadãos nas mesmas. A coordenação dentro e entre as redes relevantes poderá levar, em particular, ao estabelecimento de métodos de trabalho comuns, ao reforço das capacidades para detetar e abordar ameaças às eleições, à elaboração de modelos de boas práticas e de orientações.</w:t>
      </w:r>
    </w:p>
    <w:p w14:paraId="609BDE0C" w14:textId="77777777" w:rsidR="00DF1A7E" w:rsidRPr="009109D5" w:rsidRDefault="00DF1A7E" w:rsidP="00DF1A7E">
      <w:pPr>
        <w:numPr>
          <w:ilvl w:val="0"/>
          <w:numId w:val="48"/>
        </w:numPr>
        <w:rPr>
          <w:rFonts w:eastAsia="Verdana" w:cs="Verdana"/>
        </w:rPr>
      </w:pPr>
      <w:r>
        <w:rPr>
          <w:b/>
          <w:bCs/>
        </w:rPr>
        <w:t xml:space="preserve">Promover o sentimento de pertença à Europa, reforçando o debate sobre o futuro da Europa </w:t>
      </w:r>
    </w:p>
    <w:p w14:paraId="56A249A6" w14:textId="404D5832" w:rsidR="00DF1A7E" w:rsidRDefault="00DF1A7E" w:rsidP="00DF1A7E">
      <w:pPr>
        <w:rPr>
          <w:rFonts w:eastAsia="Verdana" w:cs="Verdana"/>
        </w:rPr>
      </w:pPr>
      <w:r>
        <w:t>As redes de cidades devem dar aos cidadãos a oportunidade de se expressarem sobre o tipo de Europa que desejam. Os debates devem basear-se nas realizações concretas da União Europeia e nos ensinamentos retirados da história. Tais debates podem igualmente sugerir ações a empreender pela União Europeia no sentido de promover um sentimento de pertença à Europa e um melhor entendimento dos benefícios da União Europeia e de reforçar a coesão social e política da UE. As redes de cidades são incentivadas a cumprir os objetivos previstos na Conferência sobre o Futuro da Europa.</w:t>
      </w:r>
    </w:p>
    <w:p w14:paraId="2AF05699" w14:textId="77777777" w:rsidR="00DF1A7E" w:rsidRPr="000A6611" w:rsidRDefault="00DF1A7E" w:rsidP="00DF1A7E">
      <w:pPr>
        <w:numPr>
          <w:ilvl w:val="0"/>
          <w:numId w:val="48"/>
        </w:numPr>
        <w:rPr>
          <w:rFonts w:eastAsia="Verdana" w:cs="Verdana"/>
          <w:b/>
          <w:bCs/>
        </w:rPr>
      </w:pPr>
      <w:r>
        <w:rPr>
          <w:b/>
          <w:bCs/>
        </w:rPr>
        <w:t>Reflexão sobre o impacto da pandemia da COVID-19 nas comunidades locais</w:t>
      </w:r>
    </w:p>
    <w:p w14:paraId="4F1B2504" w14:textId="23705276" w:rsidR="00DF1A7E" w:rsidRPr="006F58BD" w:rsidRDefault="00DF1A7E" w:rsidP="006F58BD">
      <w:pPr>
        <w:pStyle w:val="Text3"/>
        <w:ind w:left="0"/>
        <w:rPr>
          <w:rFonts w:eastAsia="Verdana" w:cs="Verdana"/>
        </w:rPr>
      </w:pPr>
      <w:r>
        <w:t xml:space="preserve">A pandemia da COVID-19 influenciou o funcionamento das nossas democracias e da nossa participação cívica. A necessidade de evitar a propagação do contágio levou à imposição de fortes restrições à liberdade individual e coletiva. As redes de cidades são encorajadas a refletir sobre o impacto da pandemia da COVID-19 na vida e no </w:t>
      </w:r>
      <w:r>
        <w:lastRenderedPageBreak/>
        <w:t>funcionamento das comunidades locais, bem como sobre as formas que a participação cívica assume no contexto da crise da COVID-19.</w:t>
      </w:r>
    </w:p>
    <w:p w14:paraId="67B84D45" w14:textId="5CF8C7F0" w:rsidR="008B1F42" w:rsidRDefault="008B1F42" w:rsidP="008B1F42">
      <w:pPr>
        <w:pStyle w:val="Heading3"/>
      </w:pPr>
      <w:bookmarkStart w:id="8" w:name="_Toc92978869"/>
      <w:r>
        <w:t>Atividades que podem ser financiadas (âmbito)</w:t>
      </w:r>
      <w:bookmarkEnd w:id="8"/>
    </w:p>
    <w:p w14:paraId="24792C88" w14:textId="77777777" w:rsidR="008B1F42" w:rsidRDefault="008B1F42" w:rsidP="008B1F42">
      <w:pPr>
        <w:widowControl w:val="0"/>
        <w:outlineLvl w:val="1"/>
      </w:pPr>
      <w:r>
        <w:t>Entre as atividades elegíveis, incluem-se as seguintes:</w:t>
      </w:r>
    </w:p>
    <w:p w14:paraId="31F23C7A" w14:textId="77777777" w:rsidR="008B1F42" w:rsidRDefault="008B1F42" w:rsidP="008B1F42">
      <w:pPr>
        <w:pStyle w:val="Text3"/>
        <w:numPr>
          <w:ilvl w:val="0"/>
          <w:numId w:val="48"/>
        </w:numPr>
        <w:tabs>
          <w:tab w:val="left" w:pos="567"/>
        </w:tabs>
        <w:ind w:left="567" w:hanging="207"/>
      </w:pPr>
      <w:r>
        <w:rPr>
          <w:i/>
          <w:iCs/>
        </w:rPr>
        <w:t>workshops</w:t>
      </w:r>
      <w:r>
        <w:t xml:space="preserve">, seminários, conferências, ações de formação, reuniões de peritos, </w:t>
      </w:r>
      <w:r>
        <w:rPr>
          <w:i/>
          <w:iCs/>
        </w:rPr>
        <w:t>webinars</w:t>
      </w:r>
      <w:r>
        <w:t>, ações de sensibilização, recolha e consulta de dados, desenvolvimento, intercâmbio e divulgação de boas práticas entre as autoridades públicas e as organizações da sociedade civil, desenvolvimento de instrumentos de comunicação e utilização de meios de comunicação social.</w:t>
      </w:r>
    </w:p>
    <w:p w14:paraId="4FBCD5D4" w14:textId="58457A61" w:rsidR="00E83685" w:rsidRPr="006F58BD" w:rsidRDefault="00E83685" w:rsidP="00E83685">
      <w:pPr>
        <w:widowControl w:val="0"/>
      </w:pPr>
      <w:r>
        <w:t xml:space="preserve">A perspetiva de igualdade entre homens e mulheres deve ser tida em conta aquando da conceção do «formato» das atividades, para garantir que seja acessível a mulheres e homens em condições de igualdade, e que tanto as mulheres como os homens possam participar nas atividades. </w:t>
      </w:r>
    </w:p>
    <w:p w14:paraId="60B4B3FC" w14:textId="77777777" w:rsidR="00BF5947" w:rsidRPr="00732A4F" w:rsidRDefault="00BF5947" w:rsidP="00BF5947">
      <w:pPr>
        <w:widowControl w:val="0"/>
      </w:pPr>
      <w:r>
        <w:t>Espera-se que a conceção e implementação dos projetos promovam a igualdade entre homens e mulheres e a integração da não discriminação em todas as políticas. Por exemplo, os candidatos poderiam realizar e incluir na sua proposta uma análise sobre a perspetiva de género, que mapearia as potenciais diferenças de impacto do projeto e das suas atividades nas mulheres e nos homens, bem como nas raparigas e nos rapazes em toda a sua diversidade. Assim, efeitos negativos não intencionais da intervenção em qualquer género poderiam ser evitados (abordagem de «não prejudicar»).</w:t>
      </w:r>
      <w:r w:rsidRPr="00732A4F">
        <w:rPr>
          <w:rStyle w:val="FootnoteReference"/>
        </w:rPr>
        <w:footnoteReference w:id="11"/>
      </w:r>
    </w:p>
    <w:p w14:paraId="363A4BA3" w14:textId="77777777" w:rsidR="008B1F42" w:rsidRDefault="008B1F42" w:rsidP="008B1F42">
      <w:pPr>
        <w:pStyle w:val="Heading3"/>
      </w:pPr>
      <w:bookmarkStart w:id="9" w:name="_Toc92978870"/>
      <w:r>
        <w:t>Impacto esperado</w:t>
      </w:r>
      <w:bookmarkEnd w:id="9"/>
    </w:p>
    <w:p w14:paraId="757470EC" w14:textId="77777777" w:rsidR="008B1F42" w:rsidRPr="00623078" w:rsidRDefault="008B1F42" w:rsidP="008B1F42">
      <w:pPr>
        <w:pStyle w:val="ListParagraph"/>
        <w:numPr>
          <w:ilvl w:val="0"/>
          <w:numId w:val="50"/>
        </w:numPr>
        <w:snapToGrid w:val="0"/>
        <w:rPr>
          <w:rFonts w:eastAsia="Verdana" w:cs="Verdana"/>
          <w:sz w:val="20"/>
          <w:szCs w:val="20"/>
        </w:rPr>
      </w:pPr>
      <w:r>
        <w:rPr>
          <w:sz w:val="20"/>
          <w:szCs w:val="20"/>
        </w:rPr>
        <w:t xml:space="preserve">Oferecer às cidades e municípios a oportunidade de desenvolverem projetos de maior envergadura, com o objetivo de aumentar o impacto e a sustentabilidade dos seus projetos; </w:t>
      </w:r>
    </w:p>
    <w:p w14:paraId="0F1CFD3B" w14:textId="77777777" w:rsidR="008B1F42" w:rsidRPr="00623078" w:rsidRDefault="008B1F42" w:rsidP="008B1F42">
      <w:pPr>
        <w:pStyle w:val="ListParagraph"/>
        <w:numPr>
          <w:ilvl w:val="0"/>
          <w:numId w:val="50"/>
        </w:numPr>
        <w:snapToGrid w:val="0"/>
        <w:rPr>
          <w:rFonts w:eastAsia="Verdana" w:cs="Verdana"/>
          <w:sz w:val="20"/>
          <w:szCs w:val="20"/>
        </w:rPr>
      </w:pPr>
      <w:r>
        <w:rPr>
          <w:sz w:val="20"/>
          <w:szCs w:val="20"/>
        </w:rPr>
        <w:t xml:space="preserve">Permitir aos beneficiários desenvolver mais projetos temáticos e relacionados com as políticas; </w:t>
      </w:r>
    </w:p>
    <w:p w14:paraId="662B7EB2" w14:textId="77777777" w:rsidR="008B1F42" w:rsidRPr="00623078" w:rsidRDefault="008B1F42" w:rsidP="008B1F42">
      <w:pPr>
        <w:pStyle w:val="ListParagraph"/>
        <w:numPr>
          <w:ilvl w:val="0"/>
          <w:numId w:val="50"/>
        </w:numPr>
        <w:snapToGrid w:val="0"/>
        <w:rPr>
          <w:rFonts w:eastAsia="Verdana" w:cs="Verdana"/>
          <w:sz w:val="20"/>
          <w:szCs w:val="20"/>
        </w:rPr>
      </w:pPr>
      <w:r>
        <w:rPr>
          <w:sz w:val="20"/>
          <w:szCs w:val="20"/>
        </w:rPr>
        <w:t xml:space="preserve">Estabelecer laços duradouros com as organizações parceiras; </w:t>
      </w:r>
    </w:p>
    <w:p w14:paraId="2DA870B2" w14:textId="77777777" w:rsidR="008B1F42" w:rsidRPr="00623078" w:rsidRDefault="008B1F42" w:rsidP="008B1F42">
      <w:pPr>
        <w:pStyle w:val="ListParagraph"/>
        <w:numPr>
          <w:ilvl w:val="0"/>
          <w:numId w:val="50"/>
        </w:numPr>
        <w:snapToGrid w:val="0"/>
        <w:rPr>
          <w:rFonts w:eastAsia="Verdana" w:cs="Verdana"/>
          <w:sz w:val="20"/>
          <w:szCs w:val="20"/>
        </w:rPr>
      </w:pPr>
      <w:r>
        <w:rPr>
          <w:sz w:val="20"/>
          <w:szCs w:val="20"/>
        </w:rPr>
        <w:t xml:space="preserve">Sensibilizar para os benefícios da diversidade e combater a discriminação e o racismo; </w:t>
      </w:r>
    </w:p>
    <w:p w14:paraId="31F82412" w14:textId="77777777" w:rsidR="008B1F42" w:rsidRPr="00623078" w:rsidRDefault="008B1F42" w:rsidP="008B1F42">
      <w:pPr>
        <w:pStyle w:val="ListParagraph"/>
        <w:numPr>
          <w:ilvl w:val="0"/>
          <w:numId w:val="50"/>
        </w:numPr>
        <w:snapToGrid w:val="0"/>
        <w:rPr>
          <w:rFonts w:eastAsia="Verdana" w:cs="Verdana"/>
          <w:sz w:val="20"/>
          <w:szCs w:val="20"/>
        </w:rPr>
      </w:pPr>
      <w:r>
        <w:rPr>
          <w:sz w:val="20"/>
          <w:szCs w:val="20"/>
        </w:rPr>
        <w:t xml:space="preserve">Aumentar e incentivar a compreensão mútua e a aceitação em relação às minorias europeias, como os ciganos; </w:t>
      </w:r>
    </w:p>
    <w:p w14:paraId="178CA45A" w14:textId="77777777" w:rsidR="008B1F42" w:rsidRPr="00623078" w:rsidRDefault="008B1F42" w:rsidP="008B1F42">
      <w:pPr>
        <w:pStyle w:val="ListParagraph"/>
        <w:numPr>
          <w:ilvl w:val="0"/>
          <w:numId w:val="50"/>
        </w:numPr>
        <w:snapToGrid w:val="0"/>
        <w:rPr>
          <w:rFonts w:eastAsia="Verdana" w:cs="Verdana"/>
          <w:sz w:val="20"/>
          <w:szCs w:val="20"/>
        </w:rPr>
      </w:pPr>
      <w:r>
        <w:rPr>
          <w:sz w:val="20"/>
          <w:szCs w:val="20"/>
        </w:rPr>
        <w:t xml:space="preserve">Sensibilizar para a Carta dos Direitos Fundamentais da UE e respetiva aplicação e promover uma cultura dos direitos fundamentais; </w:t>
      </w:r>
    </w:p>
    <w:p w14:paraId="0989D40F" w14:textId="77777777" w:rsidR="008B1F42" w:rsidRPr="00623078" w:rsidRDefault="008B1F42" w:rsidP="008B1F42">
      <w:pPr>
        <w:pStyle w:val="ListParagraph"/>
        <w:numPr>
          <w:ilvl w:val="0"/>
          <w:numId w:val="50"/>
        </w:numPr>
        <w:snapToGrid w:val="0"/>
        <w:rPr>
          <w:rFonts w:eastAsia="Verdana" w:cs="Verdana"/>
          <w:sz w:val="20"/>
          <w:szCs w:val="20"/>
        </w:rPr>
      </w:pPr>
      <w:r>
        <w:rPr>
          <w:sz w:val="20"/>
          <w:szCs w:val="20"/>
        </w:rPr>
        <w:t>Melhorar a informação sobre os direitos conferidos pela cidadania da UE e melhorar a sua aplicação nos Estados-Membros;</w:t>
      </w:r>
    </w:p>
    <w:p w14:paraId="0799023E" w14:textId="0EEC0001" w:rsidR="008B1F42" w:rsidRPr="00623078" w:rsidRDefault="008B1F42" w:rsidP="001E6C28">
      <w:pPr>
        <w:pStyle w:val="ListParagraph"/>
        <w:numPr>
          <w:ilvl w:val="0"/>
          <w:numId w:val="50"/>
        </w:numPr>
        <w:snapToGrid w:val="0"/>
        <w:rPr>
          <w:rFonts w:eastAsia="Verdana" w:cs="Verdana"/>
          <w:sz w:val="20"/>
          <w:szCs w:val="20"/>
        </w:rPr>
      </w:pPr>
      <w:r>
        <w:rPr>
          <w:sz w:val="20"/>
          <w:szCs w:val="20"/>
        </w:rPr>
        <w:t>Sensibilizar e prestar melhor informação aos cidadãos móveis da UE e aos seus familiares sobre os seus direitos de cidadania da UE.</w:t>
      </w:r>
    </w:p>
    <w:p w14:paraId="0EC8E6E1" w14:textId="77777777" w:rsidR="001E6C28" w:rsidRPr="00592A3E" w:rsidRDefault="001E6C28" w:rsidP="001E6C28">
      <w:pPr>
        <w:pStyle w:val="ListParagraph"/>
        <w:snapToGrid w:val="0"/>
        <w:rPr>
          <w:rFonts w:eastAsia="Verdana" w:cs="Verdana"/>
          <w:sz w:val="20"/>
          <w:szCs w:val="20"/>
        </w:rPr>
      </w:pPr>
    </w:p>
    <w:p w14:paraId="0B640087" w14:textId="37226C81" w:rsidR="007926FA" w:rsidRPr="00975A34" w:rsidRDefault="007926FA" w:rsidP="00623078">
      <w:pPr>
        <w:pStyle w:val="Heading1"/>
        <w:numPr>
          <w:ilvl w:val="0"/>
          <w:numId w:val="54"/>
        </w:numPr>
        <w:tabs>
          <w:tab w:val="left" w:pos="284"/>
        </w:tabs>
        <w:ind w:left="0" w:firstLine="0"/>
      </w:pPr>
      <w:bookmarkStart w:id="10" w:name="_Toc92978871"/>
      <w:r>
        <w:t>Orçamento disponível</w:t>
      </w:r>
      <w:bookmarkEnd w:id="10"/>
    </w:p>
    <w:p w14:paraId="0930E03A" w14:textId="36C575EE" w:rsidR="003D5D72" w:rsidRPr="00884C69" w:rsidRDefault="008246AA" w:rsidP="00F114D2">
      <w:r>
        <w:t xml:space="preserve">O orçamento disponível para o convite à apresentação de propostas é de </w:t>
      </w:r>
      <w:r>
        <w:rPr>
          <w:b/>
        </w:rPr>
        <w:t>11 000 000 EUR</w:t>
      </w:r>
      <w:r>
        <w:t>.</w:t>
      </w:r>
    </w:p>
    <w:p w14:paraId="0AD2884B" w14:textId="156487E9" w:rsidR="003D5D72" w:rsidRPr="00F114D2" w:rsidRDefault="003D5D72" w:rsidP="003D5D72">
      <w:pPr>
        <w:spacing w:after="240"/>
      </w:pPr>
      <w:r>
        <w:t>O quadro seguinte apresenta informações orçamentais específicas por tema.</w:t>
      </w:r>
    </w:p>
    <w:tbl>
      <w:tblPr>
        <w:tblW w:w="4032" w:type="dxa"/>
        <w:jc w:val="center"/>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firstRow="1" w:lastRow="1" w:firstColumn="1" w:lastColumn="1" w:noHBand="0" w:noVBand="0"/>
      </w:tblPr>
      <w:tblGrid>
        <w:gridCol w:w="2044"/>
        <w:gridCol w:w="1988"/>
      </w:tblGrid>
      <w:tr w:rsidR="00F96E2C" w14:paraId="2BC8F981" w14:textId="77777777" w:rsidTr="0062273B">
        <w:trPr>
          <w:trHeight w:val="416"/>
          <w:jc w:val="center"/>
        </w:trPr>
        <w:tc>
          <w:tcPr>
            <w:tcW w:w="2044" w:type="dxa"/>
            <w:tcBorders>
              <w:top w:val="single" w:sz="12" w:space="0" w:color="BFBFBF"/>
              <w:left w:val="single" w:sz="12" w:space="0" w:color="BFBFBF"/>
              <w:bottom w:val="single" w:sz="12" w:space="0" w:color="BFBFBF"/>
              <w:right w:val="single" w:sz="12" w:space="0" w:color="BFBFBF"/>
            </w:tcBorders>
            <w:shd w:val="clear" w:color="auto" w:fill="F2F2F2"/>
            <w:hideMark/>
          </w:tcPr>
          <w:p w14:paraId="68ADA62B" w14:textId="77777777" w:rsidR="00F96E2C" w:rsidRPr="009E49B4" w:rsidRDefault="00F96E2C">
            <w:pPr>
              <w:spacing w:before="120" w:after="120"/>
              <w:jc w:val="left"/>
              <w:rPr>
                <w:rFonts w:cs="Arial"/>
                <w:b/>
                <w:color w:val="595959"/>
                <w:sz w:val="16"/>
                <w:szCs w:val="16"/>
                <w:highlight w:val="lightGray"/>
              </w:rPr>
            </w:pPr>
            <w:r>
              <w:rPr>
                <w:b/>
                <w:color w:val="595959"/>
                <w:sz w:val="16"/>
                <w:szCs w:val="16"/>
                <w:highlight w:val="lightGray"/>
              </w:rPr>
              <w:t>Tema</w:t>
            </w:r>
          </w:p>
        </w:tc>
        <w:tc>
          <w:tcPr>
            <w:tcW w:w="1988" w:type="dxa"/>
            <w:tcBorders>
              <w:top w:val="single" w:sz="12" w:space="0" w:color="BFBFBF"/>
              <w:left w:val="single" w:sz="12" w:space="0" w:color="BFBFBF"/>
              <w:bottom w:val="single" w:sz="12" w:space="0" w:color="BFBFBF"/>
              <w:right w:val="single" w:sz="12" w:space="0" w:color="BFBFBF"/>
            </w:tcBorders>
            <w:shd w:val="clear" w:color="auto" w:fill="F2F2F2"/>
            <w:hideMark/>
          </w:tcPr>
          <w:p w14:paraId="68CC9EDA" w14:textId="77777777" w:rsidR="00F96E2C" w:rsidRPr="009E49B4" w:rsidRDefault="00F96E2C">
            <w:pPr>
              <w:spacing w:before="120" w:after="120"/>
              <w:jc w:val="center"/>
              <w:rPr>
                <w:rFonts w:cs="Arial"/>
                <w:b/>
                <w:color w:val="595959"/>
                <w:sz w:val="16"/>
                <w:szCs w:val="16"/>
                <w:highlight w:val="lightGray"/>
              </w:rPr>
            </w:pPr>
            <w:r>
              <w:rPr>
                <w:b/>
                <w:color w:val="595959"/>
                <w:sz w:val="16"/>
                <w:szCs w:val="16"/>
                <w:highlight w:val="lightGray"/>
              </w:rPr>
              <w:t>Orçamento para o tema</w:t>
            </w:r>
          </w:p>
        </w:tc>
      </w:tr>
      <w:tr w:rsidR="00F96E2C" w14:paraId="76597913" w14:textId="77777777" w:rsidTr="0062273B">
        <w:trPr>
          <w:trHeight w:val="677"/>
          <w:jc w:val="center"/>
        </w:trPr>
        <w:tc>
          <w:tcPr>
            <w:tcW w:w="2044" w:type="dxa"/>
            <w:tcBorders>
              <w:top w:val="single" w:sz="12" w:space="0" w:color="BFBFBF"/>
              <w:left w:val="single" w:sz="12" w:space="0" w:color="BFBFBF"/>
              <w:bottom w:val="single" w:sz="12" w:space="0" w:color="BFBFBF"/>
              <w:right w:val="single" w:sz="12" w:space="0" w:color="BFBFBF"/>
            </w:tcBorders>
            <w:hideMark/>
          </w:tcPr>
          <w:p w14:paraId="5818A49A" w14:textId="5F8ACD0B" w:rsidR="00F96E2C" w:rsidRPr="00732A4F" w:rsidRDefault="00732A4F" w:rsidP="00982C03">
            <w:pPr>
              <w:pStyle w:val="Default"/>
              <w:spacing w:before="120" w:after="120"/>
              <w:rPr>
                <w:rFonts w:ascii="Calibri" w:hAnsi="Calibri" w:cs="Calibri"/>
                <w:color w:val="595959"/>
                <w:sz w:val="18"/>
                <w:szCs w:val="18"/>
              </w:rPr>
            </w:pPr>
            <w:r>
              <w:rPr>
                <w:rFonts w:ascii="Calibri" w:hAnsi="Calibri"/>
                <w:color w:val="595959"/>
                <w:sz w:val="18"/>
                <w:szCs w:val="18"/>
              </w:rPr>
              <w:lastRenderedPageBreak/>
              <w:t>1 — Geminação de cidades</w:t>
            </w:r>
          </w:p>
        </w:tc>
        <w:tc>
          <w:tcPr>
            <w:tcW w:w="1988" w:type="dxa"/>
            <w:tcBorders>
              <w:top w:val="single" w:sz="12" w:space="0" w:color="BFBFBF"/>
              <w:left w:val="single" w:sz="12" w:space="0" w:color="BFBFBF"/>
              <w:bottom w:val="single" w:sz="12" w:space="0" w:color="BFBFBF"/>
              <w:right w:val="single" w:sz="12" w:space="0" w:color="BFBFBF"/>
            </w:tcBorders>
            <w:hideMark/>
          </w:tcPr>
          <w:p w14:paraId="446F8083" w14:textId="7AA8B48E" w:rsidR="00F96E2C" w:rsidRPr="006F58BD" w:rsidRDefault="00F96E2C" w:rsidP="00BF7239">
            <w:pPr>
              <w:tabs>
                <w:tab w:val="left" w:pos="2160"/>
              </w:tabs>
              <w:spacing w:before="120" w:after="120"/>
              <w:jc w:val="center"/>
              <w:rPr>
                <w:b/>
                <w:color w:val="595959"/>
                <w:sz w:val="16"/>
              </w:rPr>
            </w:pPr>
            <w:r>
              <w:rPr>
                <w:b/>
                <w:color w:val="595959"/>
                <w:sz w:val="16"/>
              </w:rPr>
              <w:t xml:space="preserve">4 500 000 EUR </w:t>
            </w:r>
          </w:p>
        </w:tc>
      </w:tr>
      <w:tr w:rsidR="00F96E2C" w14:paraId="6BFB59AD" w14:textId="77777777" w:rsidTr="0062273B">
        <w:trPr>
          <w:trHeight w:val="586"/>
          <w:jc w:val="center"/>
        </w:trPr>
        <w:tc>
          <w:tcPr>
            <w:tcW w:w="2044" w:type="dxa"/>
            <w:tcBorders>
              <w:top w:val="single" w:sz="12" w:space="0" w:color="BFBFBF"/>
              <w:left w:val="single" w:sz="12" w:space="0" w:color="BFBFBF"/>
              <w:bottom w:val="single" w:sz="12" w:space="0" w:color="BFBFBF"/>
              <w:right w:val="single" w:sz="12" w:space="0" w:color="BFBFBF"/>
            </w:tcBorders>
            <w:hideMark/>
          </w:tcPr>
          <w:p w14:paraId="6186D585" w14:textId="6DBBF70D" w:rsidR="00F96E2C" w:rsidRPr="006F58BD" w:rsidRDefault="00732A4F" w:rsidP="00F86AB3">
            <w:pPr>
              <w:pStyle w:val="Default"/>
              <w:spacing w:before="120" w:after="120"/>
              <w:rPr>
                <w:rFonts w:ascii="Calibri" w:hAnsi="Calibri" w:cs="Calibri"/>
              </w:rPr>
            </w:pPr>
            <w:r>
              <w:rPr>
                <w:rFonts w:ascii="Calibri" w:hAnsi="Calibri"/>
                <w:color w:val="595959"/>
                <w:sz w:val="18"/>
                <w:szCs w:val="18"/>
              </w:rPr>
              <w:t>2 — Redes de cidades</w:t>
            </w:r>
          </w:p>
        </w:tc>
        <w:tc>
          <w:tcPr>
            <w:tcW w:w="1988" w:type="dxa"/>
            <w:tcBorders>
              <w:top w:val="single" w:sz="12" w:space="0" w:color="BFBFBF"/>
              <w:left w:val="single" w:sz="12" w:space="0" w:color="BFBFBF"/>
              <w:bottom w:val="single" w:sz="12" w:space="0" w:color="BFBFBF"/>
              <w:right w:val="single" w:sz="12" w:space="0" w:color="BFBFBF"/>
            </w:tcBorders>
            <w:hideMark/>
          </w:tcPr>
          <w:p w14:paraId="0CBA46D5" w14:textId="364B41A5" w:rsidR="00F96E2C" w:rsidRPr="006F58BD" w:rsidRDefault="00F96E2C" w:rsidP="00BF7239">
            <w:pPr>
              <w:tabs>
                <w:tab w:val="left" w:pos="2160"/>
              </w:tabs>
              <w:spacing w:before="120" w:after="120"/>
              <w:jc w:val="center"/>
              <w:rPr>
                <w:b/>
                <w:color w:val="595959"/>
                <w:sz w:val="16"/>
              </w:rPr>
            </w:pPr>
            <w:r>
              <w:rPr>
                <w:b/>
                <w:color w:val="595959"/>
                <w:sz w:val="16"/>
              </w:rPr>
              <w:t xml:space="preserve">6 500 000 EUR </w:t>
            </w:r>
          </w:p>
        </w:tc>
      </w:tr>
    </w:tbl>
    <w:p w14:paraId="24AC267A" w14:textId="77777777" w:rsidR="003D5D72" w:rsidRDefault="003D5D72" w:rsidP="000579AF">
      <w:pPr>
        <w:spacing w:after="0"/>
      </w:pPr>
    </w:p>
    <w:p w14:paraId="5155AA30" w14:textId="193C0ACA" w:rsidR="008246AA" w:rsidRDefault="005764E8" w:rsidP="000579AF">
      <w:pPr>
        <w:spacing w:after="0"/>
      </w:pPr>
      <w:r>
        <w:t xml:space="preserve">Reservamo-nos o direito de não atribuir a totalidade dos fundos disponíveis ou de os redistribuir entre os temas do convite, em função das propostas recebidas e dos resultados da avaliação. </w:t>
      </w:r>
    </w:p>
    <w:p w14:paraId="2F76B7EF" w14:textId="77777777" w:rsidR="00E17677" w:rsidRPr="00592A3E" w:rsidRDefault="00E17677" w:rsidP="00623078">
      <w:pPr>
        <w:pStyle w:val="ListParagraph"/>
        <w:snapToGrid w:val="0"/>
        <w:rPr>
          <w:rFonts w:eastAsia="Verdana" w:cs="Verdana"/>
          <w:sz w:val="20"/>
          <w:szCs w:val="20"/>
        </w:rPr>
      </w:pPr>
    </w:p>
    <w:p w14:paraId="443BB5FD" w14:textId="3369C3E2" w:rsidR="0081075D" w:rsidRPr="00975A34" w:rsidRDefault="0081075D" w:rsidP="00623078">
      <w:pPr>
        <w:pStyle w:val="Heading1"/>
        <w:numPr>
          <w:ilvl w:val="0"/>
          <w:numId w:val="54"/>
        </w:numPr>
        <w:tabs>
          <w:tab w:val="left" w:pos="284"/>
        </w:tabs>
        <w:ind w:left="0" w:firstLine="0"/>
      </w:pPr>
      <w:bookmarkStart w:id="11" w:name="_Toc92978872"/>
      <w:r>
        <w:t>Calendário e prazos</w:t>
      </w:r>
      <w:bookmarkEnd w:id="11"/>
      <w:r>
        <w:t xml:space="preserve"> </w:t>
      </w:r>
    </w:p>
    <w:tbl>
      <w:tblPr>
        <w:tblW w:w="0" w:type="auto"/>
        <w:tblInd w:w="58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firstRow="1" w:lastRow="1" w:firstColumn="1" w:lastColumn="1" w:noHBand="0" w:noVBand="0"/>
      </w:tblPr>
      <w:tblGrid>
        <w:gridCol w:w="3631"/>
        <w:gridCol w:w="3402"/>
      </w:tblGrid>
      <w:tr w:rsidR="0081075D" w:rsidRPr="00B57534" w14:paraId="2551C42E" w14:textId="77777777" w:rsidTr="0081075D">
        <w:tc>
          <w:tcPr>
            <w:tcW w:w="7033" w:type="dxa"/>
            <w:gridSpan w:val="2"/>
            <w:shd w:val="clear" w:color="auto" w:fill="F2F2F2"/>
          </w:tcPr>
          <w:p w14:paraId="35F223BC" w14:textId="77777777" w:rsidR="0081075D" w:rsidRPr="00F96E2C" w:rsidRDefault="0081075D" w:rsidP="008138D1">
            <w:pPr>
              <w:spacing w:before="120" w:after="120"/>
              <w:jc w:val="left"/>
              <w:rPr>
                <w:rFonts w:cs="Arial"/>
                <w:b/>
                <w:color w:val="595959"/>
                <w:sz w:val="16"/>
                <w:szCs w:val="16"/>
              </w:rPr>
            </w:pPr>
            <w:r>
              <w:rPr>
                <w:b/>
                <w:color w:val="595959"/>
                <w:sz w:val="16"/>
                <w:szCs w:val="16"/>
              </w:rPr>
              <w:t>Calendário e prazos (indicativo)</w:t>
            </w:r>
          </w:p>
        </w:tc>
      </w:tr>
      <w:tr w:rsidR="00D51B6C" w:rsidRPr="00B57534" w14:paraId="2A67B858" w14:textId="77777777" w:rsidTr="0081075D">
        <w:tc>
          <w:tcPr>
            <w:tcW w:w="3631" w:type="dxa"/>
            <w:shd w:val="clear" w:color="auto" w:fill="F2F2F2"/>
          </w:tcPr>
          <w:p w14:paraId="4CDFED3B" w14:textId="77777777" w:rsidR="00D51B6C" w:rsidRPr="00F96E2C" w:rsidRDefault="00D51B6C" w:rsidP="00D51B6C">
            <w:pPr>
              <w:spacing w:before="120" w:after="120"/>
              <w:jc w:val="left"/>
              <w:rPr>
                <w:rFonts w:cs="Arial"/>
                <w:color w:val="595959"/>
                <w:sz w:val="16"/>
                <w:szCs w:val="16"/>
              </w:rPr>
            </w:pPr>
            <w:r>
              <w:rPr>
                <w:color w:val="595959"/>
                <w:sz w:val="16"/>
                <w:szCs w:val="16"/>
              </w:rPr>
              <w:t>Abertura do convite à apresentação de propostas:</w:t>
            </w:r>
          </w:p>
        </w:tc>
        <w:tc>
          <w:tcPr>
            <w:tcW w:w="3402" w:type="dxa"/>
            <w:shd w:val="clear" w:color="auto" w:fill="auto"/>
          </w:tcPr>
          <w:p w14:paraId="459CC614" w14:textId="1A965A82" w:rsidR="00D51B6C" w:rsidRPr="006F58BD" w:rsidRDefault="00FB7748" w:rsidP="00D51B6C">
            <w:pPr>
              <w:spacing w:before="120" w:after="120"/>
              <w:jc w:val="center"/>
              <w:rPr>
                <w:rFonts w:cs="Arial"/>
                <w:color w:val="595959"/>
                <w:sz w:val="16"/>
                <w:szCs w:val="16"/>
              </w:rPr>
            </w:pPr>
            <w:r>
              <w:rPr>
                <w:color w:val="595959"/>
                <w:sz w:val="16"/>
                <w:szCs w:val="16"/>
              </w:rPr>
              <w:t>16 de novembro de 2021</w:t>
            </w:r>
          </w:p>
        </w:tc>
      </w:tr>
      <w:tr w:rsidR="00D51B6C" w:rsidRPr="00B57534" w14:paraId="13487F30" w14:textId="77777777" w:rsidTr="0081075D">
        <w:tc>
          <w:tcPr>
            <w:tcW w:w="3631" w:type="dxa"/>
            <w:shd w:val="clear" w:color="auto" w:fill="F2F2F2"/>
          </w:tcPr>
          <w:p w14:paraId="6817E1F5" w14:textId="77777777" w:rsidR="00D51B6C" w:rsidRPr="00FE4BCD" w:rsidRDefault="00D51B6C" w:rsidP="00D51B6C">
            <w:pPr>
              <w:spacing w:before="120" w:after="120"/>
              <w:jc w:val="left"/>
              <w:rPr>
                <w:rFonts w:cs="Arial"/>
                <w:color w:val="595959"/>
                <w:sz w:val="16"/>
                <w:szCs w:val="16"/>
                <w:u w:val="single"/>
              </w:rPr>
            </w:pPr>
            <w:r>
              <w:rPr>
                <w:color w:val="595959"/>
                <w:sz w:val="16"/>
                <w:szCs w:val="16"/>
                <w:u w:val="single"/>
              </w:rPr>
              <w:t>Data-limite para a apresentação de propostas:</w:t>
            </w:r>
          </w:p>
        </w:tc>
        <w:tc>
          <w:tcPr>
            <w:tcW w:w="3402" w:type="dxa"/>
            <w:shd w:val="clear" w:color="auto" w:fill="auto"/>
          </w:tcPr>
          <w:p w14:paraId="7744539C" w14:textId="65D0B910" w:rsidR="00D51B6C" w:rsidRPr="006F58BD" w:rsidRDefault="00FB7748" w:rsidP="00D51B6C">
            <w:pPr>
              <w:spacing w:before="120" w:after="120"/>
              <w:jc w:val="center"/>
              <w:rPr>
                <w:rFonts w:cs="Arial"/>
                <w:color w:val="595959"/>
                <w:sz w:val="16"/>
                <w:szCs w:val="16"/>
                <w:u w:val="single"/>
              </w:rPr>
            </w:pPr>
            <w:r>
              <w:rPr>
                <w:color w:val="595959"/>
                <w:sz w:val="16"/>
                <w:szCs w:val="16"/>
                <w:u w:val="single"/>
              </w:rPr>
              <w:t>24 de março de 2022 – 17:00:00 CET (Bruxelas)</w:t>
            </w:r>
          </w:p>
        </w:tc>
      </w:tr>
      <w:tr w:rsidR="00D51B6C" w:rsidRPr="00B57534" w14:paraId="4E10F558" w14:textId="77777777" w:rsidTr="0081075D">
        <w:tc>
          <w:tcPr>
            <w:tcW w:w="3631" w:type="dxa"/>
            <w:shd w:val="clear" w:color="auto" w:fill="F2F2F2"/>
          </w:tcPr>
          <w:p w14:paraId="5F43FD1F" w14:textId="77777777" w:rsidR="00D51B6C" w:rsidRPr="00AB3FE1" w:rsidRDefault="00D51B6C" w:rsidP="00D51B6C">
            <w:pPr>
              <w:spacing w:before="120" w:after="120"/>
              <w:jc w:val="left"/>
              <w:rPr>
                <w:rFonts w:cs="Arial"/>
                <w:color w:val="595959"/>
                <w:sz w:val="16"/>
                <w:szCs w:val="16"/>
              </w:rPr>
            </w:pPr>
            <w:r>
              <w:rPr>
                <w:color w:val="595959"/>
                <w:sz w:val="16"/>
                <w:szCs w:val="16"/>
              </w:rPr>
              <w:t>Avaliação:</w:t>
            </w:r>
          </w:p>
        </w:tc>
        <w:tc>
          <w:tcPr>
            <w:tcW w:w="3402" w:type="dxa"/>
            <w:shd w:val="clear" w:color="auto" w:fill="auto"/>
          </w:tcPr>
          <w:p w14:paraId="4E52804D" w14:textId="53BEE602" w:rsidR="00D51B6C" w:rsidRPr="006F58BD" w:rsidRDefault="006F58BD" w:rsidP="00D51B6C">
            <w:pPr>
              <w:spacing w:before="120" w:after="120"/>
              <w:jc w:val="center"/>
              <w:rPr>
                <w:rFonts w:cs="Arial"/>
                <w:color w:val="595959"/>
                <w:sz w:val="16"/>
                <w:szCs w:val="16"/>
              </w:rPr>
            </w:pPr>
            <w:r>
              <w:rPr>
                <w:color w:val="595959"/>
                <w:sz w:val="16"/>
                <w:szCs w:val="16"/>
              </w:rPr>
              <w:t>março-junho de 2022</w:t>
            </w:r>
          </w:p>
        </w:tc>
      </w:tr>
      <w:tr w:rsidR="00D51B6C" w:rsidRPr="00B57534" w14:paraId="16AD7E30" w14:textId="77777777" w:rsidTr="0081075D">
        <w:tc>
          <w:tcPr>
            <w:tcW w:w="3631" w:type="dxa"/>
            <w:shd w:val="clear" w:color="auto" w:fill="F2F2F2"/>
          </w:tcPr>
          <w:p w14:paraId="7BA115F8" w14:textId="77777777" w:rsidR="00D51B6C" w:rsidRPr="00AB3FE1" w:rsidRDefault="00D51B6C" w:rsidP="00D51B6C">
            <w:pPr>
              <w:spacing w:before="120" w:after="120"/>
              <w:jc w:val="left"/>
              <w:rPr>
                <w:rFonts w:cs="Arial"/>
                <w:color w:val="595959"/>
                <w:sz w:val="16"/>
                <w:szCs w:val="16"/>
              </w:rPr>
            </w:pPr>
            <w:r>
              <w:rPr>
                <w:color w:val="595959"/>
                <w:sz w:val="16"/>
                <w:szCs w:val="16"/>
              </w:rPr>
              <w:t>Informação sobre os resultados da avaliação:</w:t>
            </w:r>
          </w:p>
        </w:tc>
        <w:tc>
          <w:tcPr>
            <w:tcW w:w="3402" w:type="dxa"/>
            <w:shd w:val="clear" w:color="auto" w:fill="auto"/>
          </w:tcPr>
          <w:p w14:paraId="6DD4C599" w14:textId="302F0E77" w:rsidR="00D51B6C" w:rsidRPr="006F58BD" w:rsidRDefault="00FB7748" w:rsidP="00D51B6C">
            <w:pPr>
              <w:spacing w:before="120" w:after="120"/>
              <w:jc w:val="center"/>
              <w:rPr>
                <w:rFonts w:cs="Arial"/>
                <w:color w:val="595959"/>
                <w:sz w:val="16"/>
                <w:szCs w:val="16"/>
              </w:rPr>
            </w:pPr>
            <w:r>
              <w:rPr>
                <w:color w:val="595959"/>
                <w:sz w:val="16"/>
                <w:szCs w:val="16"/>
              </w:rPr>
              <w:t>junho-julho de 2022</w:t>
            </w:r>
          </w:p>
        </w:tc>
      </w:tr>
      <w:tr w:rsidR="00D51B6C" w:rsidRPr="00B57534" w14:paraId="122CA5CC" w14:textId="77777777" w:rsidTr="0081075D">
        <w:tc>
          <w:tcPr>
            <w:tcW w:w="3631" w:type="dxa"/>
            <w:shd w:val="clear" w:color="auto" w:fill="F2F2F2"/>
          </w:tcPr>
          <w:p w14:paraId="18CEB7CE" w14:textId="77777777" w:rsidR="00D51B6C" w:rsidRPr="00AB3FE1" w:rsidRDefault="00D51B6C" w:rsidP="00D51B6C">
            <w:pPr>
              <w:spacing w:before="120" w:after="120"/>
              <w:jc w:val="left"/>
              <w:rPr>
                <w:rFonts w:cs="Arial"/>
                <w:color w:val="595959"/>
                <w:sz w:val="16"/>
                <w:szCs w:val="16"/>
              </w:rPr>
            </w:pPr>
            <w:r>
              <w:rPr>
                <w:color w:val="595959"/>
                <w:sz w:val="16"/>
                <w:szCs w:val="16"/>
              </w:rPr>
              <w:t>Assinatura GA:</w:t>
            </w:r>
          </w:p>
        </w:tc>
        <w:tc>
          <w:tcPr>
            <w:tcW w:w="3402" w:type="dxa"/>
            <w:shd w:val="clear" w:color="auto" w:fill="auto"/>
          </w:tcPr>
          <w:p w14:paraId="4D6E0E6F" w14:textId="06911F90" w:rsidR="00D51B6C" w:rsidRPr="006F58BD" w:rsidRDefault="0086598B" w:rsidP="00D51B6C">
            <w:pPr>
              <w:spacing w:before="120" w:after="120"/>
              <w:jc w:val="center"/>
              <w:rPr>
                <w:rFonts w:cs="Arial"/>
                <w:color w:val="595959"/>
                <w:sz w:val="16"/>
                <w:szCs w:val="16"/>
              </w:rPr>
            </w:pPr>
            <w:r>
              <w:rPr>
                <w:color w:val="595959"/>
                <w:sz w:val="16"/>
                <w:szCs w:val="16"/>
              </w:rPr>
              <w:t>agosto-novembro de 2022</w:t>
            </w:r>
          </w:p>
        </w:tc>
      </w:tr>
    </w:tbl>
    <w:p w14:paraId="55E1450C" w14:textId="77777777" w:rsidR="00C50DC1" w:rsidRPr="00A2572D" w:rsidRDefault="00C50DC1" w:rsidP="00A2572D">
      <w:pPr>
        <w:widowControl w:val="0"/>
        <w:jc w:val="left"/>
        <w:rPr>
          <w:color w:val="595959"/>
          <w:highlight w:val="yellow"/>
        </w:rPr>
      </w:pPr>
    </w:p>
    <w:p w14:paraId="0915A488" w14:textId="055C12B6" w:rsidR="00B57534" w:rsidRPr="00975A34" w:rsidRDefault="00276AD7" w:rsidP="000579AF">
      <w:pPr>
        <w:pStyle w:val="Heading1"/>
        <w:numPr>
          <w:ilvl w:val="0"/>
          <w:numId w:val="54"/>
        </w:numPr>
        <w:tabs>
          <w:tab w:val="left" w:pos="284"/>
        </w:tabs>
        <w:ind w:left="0" w:firstLine="0"/>
      </w:pPr>
      <w:bookmarkStart w:id="12" w:name="_Toc92978873"/>
      <w:r>
        <w:t>Admissibilidade e documentos</w:t>
      </w:r>
      <w:bookmarkEnd w:id="12"/>
    </w:p>
    <w:p w14:paraId="1E55A5E3" w14:textId="4F37B5A9" w:rsidR="00C41E84" w:rsidRPr="00B57534" w:rsidRDefault="000A7529" w:rsidP="00C41E84">
      <w:pPr>
        <w:pStyle w:val="Text1"/>
        <w:tabs>
          <w:tab w:val="clear" w:pos="2160"/>
        </w:tabs>
        <w:ind w:left="0"/>
        <w:rPr>
          <w:rFonts w:cs="Arial"/>
          <w:iCs/>
        </w:rPr>
      </w:pPr>
      <w:r>
        <w:t xml:space="preserve">As propostas devem ser apresentadas antes da </w:t>
      </w:r>
      <w:r>
        <w:rPr>
          <w:b/>
          <w:iCs/>
        </w:rPr>
        <w:t>data-limite para a apresentação de propostas</w:t>
      </w:r>
      <w:r>
        <w:t xml:space="preserve"> </w:t>
      </w:r>
      <w:r>
        <w:rPr>
          <w:i/>
          <w:iCs/>
        </w:rPr>
        <w:t>(ver secção 4, «Calendário»)</w:t>
      </w:r>
      <w:r>
        <w:t>.</w:t>
      </w:r>
    </w:p>
    <w:p w14:paraId="56C9BCF2" w14:textId="69382FEF" w:rsidR="00C41E84" w:rsidRPr="00B57534" w:rsidRDefault="000A7529" w:rsidP="00C41E84">
      <w:pPr>
        <w:rPr>
          <w:rFonts w:cs="Arial"/>
        </w:rPr>
      </w:pPr>
      <w:r>
        <w:t xml:space="preserve">As propostas devem ser apresentadas </w:t>
      </w:r>
      <w:r>
        <w:rPr>
          <w:b/>
          <w:iCs/>
        </w:rPr>
        <w:t>por via eletrónica</w:t>
      </w:r>
      <w:r>
        <w:t xml:space="preserve"> através do sistema de apresentação eletrónica do Portal de Financiamento e Concursos (acessível através da página Topic da secção </w:t>
      </w:r>
      <w:hyperlink r:id="rId28" w:history="1">
        <w:r>
          <w:rPr>
            <w:rStyle w:val="Hyperlink"/>
          </w:rPr>
          <w:t>Search Funding &amp; Tenders</w:t>
        </w:r>
      </w:hyperlink>
      <w:r>
        <w:t>). NÃO é possível a apresentação de propostas em papel.</w:t>
      </w:r>
    </w:p>
    <w:p w14:paraId="146274B2" w14:textId="31716E89" w:rsidR="004A47F3" w:rsidRDefault="000A7529" w:rsidP="004A47F3">
      <w:pPr>
        <w:pStyle w:val="Text1"/>
        <w:tabs>
          <w:tab w:val="clear" w:pos="2160"/>
        </w:tabs>
        <w:ind w:left="0"/>
        <w:rPr>
          <w:rFonts w:cs="Arial"/>
          <w:iCs/>
        </w:rPr>
      </w:pPr>
      <w:r>
        <w:t xml:space="preserve">As propostas (incluindo anexos e documentos comprovativos) devem ser apresentadas com recurso aos formulários fornecidos </w:t>
      </w:r>
      <w:r>
        <w:rPr>
          <w:i/>
          <w:iCs/>
        </w:rPr>
        <w:t>dentro</w:t>
      </w:r>
      <w:r>
        <w:t xml:space="preserve"> do sistema de apresentação (</w:t>
      </w:r>
      <w:r>
        <w:rPr>
          <w:noProof/>
          <w:lang w:val="en-IE" w:eastAsia="en-IE"/>
        </w:rPr>
        <w:drawing>
          <wp:inline distT="0" distB="0" distL="0" distR="0" wp14:anchorId="53E97A52" wp14:editId="1DC5343B">
            <wp:extent cx="187960" cy="187960"/>
            <wp:effectExtent l="0" t="0" r="0" b="0"/>
            <wp:docPr id="4" name="Picture 14186836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8683680"/>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t xml:space="preserve"> NÃO os documentos disponíveis na página Topic — estes são apenas para informação).</w:t>
      </w:r>
    </w:p>
    <w:p w14:paraId="2EA1C106" w14:textId="77777777" w:rsidR="00615B82" w:rsidRPr="00F96E2C" w:rsidRDefault="00615B82" w:rsidP="00615B82">
      <w:pPr>
        <w:pStyle w:val="Body"/>
      </w:pPr>
      <w:r>
        <w:t xml:space="preserve">As propostas devem estar </w:t>
      </w:r>
      <w:r>
        <w:rPr>
          <w:b/>
        </w:rPr>
        <w:t>completas</w:t>
      </w:r>
      <w:r>
        <w:t xml:space="preserve"> e conter todas as informações solicitadas e todos os anexos obrigatórios e documentos comprovativos: </w:t>
      </w:r>
    </w:p>
    <w:p w14:paraId="0E76C2A6" w14:textId="77777777" w:rsidR="00615B82" w:rsidRPr="005D03E4" w:rsidRDefault="00615B82" w:rsidP="008B1F42">
      <w:pPr>
        <w:pStyle w:val="ListParagraph"/>
        <w:numPr>
          <w:ilvl w:val="0"/>
          <w:numId w:val="42"/>
        </w:numPr>
        <w:autoSpaceDE w:val="0"/>
        <w:autoSpaceDN w:val="0"/>
        <w:adjustRightInd w:val="0"/>
        <w:spacing w:after="200"/>
        <w:contextualSpacing w:val="0"/>
        <w:jc w:val="both"/>
        <w:rPr>
          <w:rFonts w:eastAsia="SimSun"/>
          <w:sz w:val="20"/>
          <w:szCs w:val="20"/>
        </w:rPr>
      </w:pPr>
      <w:r>
        <w:rPr>
          <w:sz w:val="20"/>
          <w:szCs w:val="20"/>
        </w:rPr>
        <w:t xml:space="preserve">Formulário de candidatura Parte A — contém informações administrativas sobre os participantes (futuros coordenador, beneficiários e entidades afiliadas) e uma síntese do orçamento do projeto </w:t>
      </w:r>
      <w:r>
        <w:rPr>
          <w:i/>
          <w:sz w:val="20"/>
          <w:szCs w:val="20"/>
        </w:rPr>
        <w:t>(a preencher diretamente em linha)</w:t>
      </w:r>
    </w:p>
    <w:p w14:paraId="1DD9CE56" w14:textId="32209A5E" w:rsidR="00F255C8" w:rsidRDefault="00F255C8" w:rsidP="008B1F42">
      <w:pPr>
        <w:pStyle w:val="ListParagraph"/>
        <w:numPr>
          <w:ilvl w:val="0"/>
          <w:numId w:val="42"/>
        </w:numPr>
        <w:autoSpaceDE w:val="0"/>
        <w:autoSpaceDN w:val="0"/>
        <w:adjustRightInd w:val="0"/>
        <w:spacing w:after="200"/>
        <w:contextualSpacing w:val="0"/>
        <w:jc w:val="both"/>
        <w:rPr>
          <w:rFonts w:eastAsia="SimSun"/>
          <w:sz w:val="20"/>
          <w:szCs w:val="20"/>
        </w:rPr>
      </w:pPr>
      <w:r>
        <w:rPr>
          <w:sz w:val="20"/>
          <w:szCs w:val="20"/>
        </w:rPr>
        <w:t>Formulário de candidatura Parte B — contém a descrição técnica do projeto (</w:t>
      </w:r>
      <w:r>
        <w:rPr>
          <w:i/>
          <w:sz w:val="20"/>
          <w:szCs w:val="20"/>
        </w:rPr>
        <w:t>a descarregar do sistema de apresentação do Portal, preencher, montar e recarregar</w:t>
      </w:r>
      <w:r>
        <w:rPr>
          <w:sz w:val="20"/>
          <w:szCs w:val="20"/>
        </w:rPr>
        <w:t>)</w:t>
      </w:r>
    </w:p>
    <w:p w14:paraId="513E2D49" w14:textId="29EB43E2" w:rsidR="00615B82" w:rsidRPr="00DE4B7C" w:rsidRDefault="00615B82" w:rsidP="008B1F42">
      <w:pPr>
        <w:pStyle w:val="ListParagraph"/>
        <w:numPr>
          <w:ilvl w:val="0"/>
          <w:numId w:val="42"/>
        </w:numPr>
        <w:autoSpaceDE w:val="0"/>
        <w:autoSpaceDN w:val="0"/>
        <w:adjustRightInd w:val="0"/>
        <w:snapToGrid w:val="0"/>
        <w:spacing w:after="200"/>
        <w:ind w:left="714" w:hanging="357"/>
        <w:contextualSpacing w:val="0"/>
        <w:jc w:val="both"/>
        <w:rPr>
          <w:rFonts w:eastAsia="SimSun"/>
          <w:sz w:val="20"/>
          <w:szCs w:val="20"/>
        </w:rPr>
      </w:pPr>
      <w:r>
        <w:rPr>
          <w:sz w:val="20"/>
          <w:szCs w:val="20"/>
        </w:rPr>
        <w:t xml:space="preserve">Parte C </w:t>
      </w:r>
      <w:r>
        <w:rPr>
          <w:i/>
          <w:sz w:val="20"/>
          <w:szCs w:val="20"/>
        </w:rPr>
        <w:t>(a preencher diretamente em linha)</w:t>
      </w:r>
      <w:r>
        <w:rPr>
          <w:sz w:val="20"/>
          <w:szCs w:val="20"/>
        </w:rPr>
        <w:t>, contendo dados adicionais relativos a projetos, incluindo indicadores obrigatórios</w:t>
      </w:r>
    </w:p>
    <w:p w14:paraId="595C2D66" w14:textId="17D26FBA" w:rsidR="00615B82" w:rsidRPr="005E363C" w:rsidRDefault="00615B82" w:rsidP="008B1F42">
      <w:pPr>
        <w:pStyle w:val="ListParagraph"/>
        <w:numPr>
          <w:ilvl w:val="0"/>
          <w:numId w:val="42"/>
        </w:numPr>
        <w:autoSpaceDE w:val="0"/>
        <w:autoSpaceDN w:val="0"/>
        <w:adjustRightInd w:val="0"/>
        <w:snapToGrid w:val="0"/>
        <w:spacing w:after="200"/>
        <w:contextualSpacing w:val="0"/>
        <w:jc w:val="both"/>
        <w:rPr>
          <w:sz w:val="20"/>
          <w:szCs w:val="20"/>
        </w:rPr>
      </w:pPr>
      <w:r>
        <w:rPr>
          <w:b/>
          <w:sz w:val="20"/>
          <w:szCs w:val="20"/>
        </w:rPr>
        <w:t>anexos obrigatórios e documentos comprovativos</w:t>
      </w:r>
      <w:r>
        <w:rPr>
          <w:sz w:val="20"/>
          <w:szCs w:val="20"/>
        </w:rPr>
        <w:t xml:space="preserve"> </w:t>
      </w:r>
      <w:r>
        <w:rPr>
          <w:i/>
          <w:sz w:val="20"/>
          <w:szCs w:val="20"/>
        </w:rPr>
        <w:t>(a carregar)</w:t>
      </w:r>
      <w:r>
        <w:rPr>
          <w:sz w:val="20"/>
          <w:szCs w:val="20"/>
        </w:rPr>
        <w:t>:</w:t>
      </w:r>
    </w:p>
    <w:p w14:paraId="6BC6A974" w14:textId="24D51A6E" w:rsidR="00615B82" w:rsidRPr="00DE4B7C" w:rsidRDefault="005E363C" w:rsidP="008B1F42">
      <w:pPr>
        <w:pStyle w:val="Default"/>
        <w:numPr>
          <w:ilvl w:val="1"/>
          <w:numId w:val="42"/>
        </w:numPr>
        <w:spacing w:after="120"/>
        <w:jc w:val="both"/>
        <w:rPr>
          <w:rFonts w:ascii="Verdana" w:hAnsi="Verdana" w:cs="Arial"/>
          <w:i/>
          <w:color w:val="auto"/>
          <w:sz w:val="20"/>
          <w:szCs w:val="20"/>
        </w:rPr>
      </w:pPr>
      <w:r>
        <w:rPr>
          <w:rFonts w:ascii="Verdana" w:hAnsi="Verdana"/>
          <w:sz w:val="20"/>
          <w:szCs w:val="20"/>
        </w:rPr>
        <w:lastRenderedPageBreak/>
        <w:t xml:space="preserve">quadro orçamental detalhado: </w:t>
      </w:r>
      <w:r>
        <w:rPr>
          <w:rFonts w:ascii="Verdana" w:hAnsi="Verdana"/>
          <w:i/>
          <w:sz w:val="20"/>
          <w:szCs w:val="20"/>
        </w:rPr>
        <w:t>não aplicável</w:t>
      </w:r>
    </w:p>
    <w:p w14:paraId="0BB50662" w14:textId="4785DDDB" w:rsidR="00615B82" w:rsidRPr="008341B3" w:rsidRDefault="00615B82" w:rsidP="008B1F42">
      <w:pPr>
        <w:pStyle w:val="Default"/>
        <w:numPr>
          <w:ilvl w:val="1"/>
          <w:numId w:val="42"/>
        </w:numPr>
        <w:spacing w:after="120"/>
        <w:jc w:val="both"/>
        <w:rPr>
          <w:rFonts w:ascii="Verdana" w:hAnsi="Verdana" w:cs="Arial"/>
          <w:color w:val="auto"/>
          <w:sz w:val="20"/>
          <w:szCs w:val="20"/>
        </w:rPr>
      </w:pPr>
      <w:r>
        <w:rPr>
          <w:rFonts w:ascii="Verdana" w:hAnsi="Verdana"/>
          <w:color w:val="auto"/>
          <w:sz w:val="20"/>
          <w:szCs w:val="20"/>
        </w:rPr>
        <w:t xml:space="preserve">CV da equipa principal do projeto: </w:t>
      </w:r>
      <w:r>
        <w:rPr>
          <w:rFonts w:ascii="Verdana" w:hAnsi="Verdana"/>
          <w:i/>
          <w:color w:val="auto"/>
          <w:sz w:val="20"/>
          <w:szCs w:val="20"/>
        </w:rPr>
        <w:t>não aplicável</w:t>
      </w:r>
    </w:p>
    <w:p w14:paraId="0DB52E74" w14:textId="77777777" w:rsidR="0062273B" w:rsidRPr="0062273B" w:rsidRDefault="009F0186" w:rsidP="000579AF">
      <w:pPr>
        <w:pStyle w:val="Default"/>
        <w:numPr>
          <w:ilvl w:val="1"/>
          <w:numId w:val="42"/>
        </w:numPr>
        <w:spacing w:after="120"/>
        <w:jc w:val="both"/>
        <w:rPr>
          <w:rFonts w:ascii="Verdana" w:hAnsi="Verdana" w:cs="Arial"/>
          <w:color w:val="auto"/>
          <w:sz w:val="20"/>
          <w:szCs w:val="20"/>
        </w:rPr>
      </w:pPr>
      <w:r>
        <w:rPr>
          <w:rFonts w:ascii="Verdana" w:hAnsi="Verdana"/>
          <w:color w:val="auto"/>
          <w:sz w:val="20"/>
          <w:szCs w:val="20"/>
        </w:rPr>
        <w:t xml:space="preserve">relatórios de atividades do ano anterior: </w:t>
      </w:r>
      <w:r>
        <w:rPr>
          <w:rFonts w:ascii="Verdana" w:hAnsi="Verdana"/>
          <w:i/>
          <w:color w:val="auto"/>
          <w:sz w:val="20"/>
          <w:szCs w:val="20"/>
        </w:rPr>
        <w:t>não aplicável</w:t>
      </w:r>
    </w:p>
    <w:p w14:paraId="14276D93" w14:textId="5EFB3A3D" w:rsidR="0046713C" w:rsidRPr="0062273B" w:rsidRDefault="0046713C" w:rsidP="000579AF">
      <w:pPr>
        <w:pStyle w:val="Default"/>
        <w:numPr>
          <w:ilvl w:val="1"/>
          <w:numId w:val="42"/>
        </w:numPr>
        <w:spacing w:after="120"/>
        <w:jc w:val="both"/>
        <w:rPr>
          <w:rFonts w:ascii="Verdana" w:hAnsi="Verdana" w:cs="Arial"/>
          <w:color w:val="auto"/>
          <w:sz w:val="20"/>
          <w:szCs w:val="20"/>
        </w:rPr>
      </w:pPr>
      <w:r>
        <w:rPr>
          <w:rFonts w:ascii="Verdana" w:hAnsi="Verdana"/>
          <w:color w:val="auto"/>
          <w:sz w:val="20"/>
          <w:szCs w:val="20"/>
        </w:rPr>
        <w:t>lista de projetos anteriores (projetos-chave concretizados nos últimos quatro anos) (</w:t>
      </w:r>
      <w:r>
        <w:rPr>
          <w:rFonts w:ascii="Verdana" w:hAnsi="Verdana"/>
          <w:i/>
          <w:color w:val="auto"/>
          <w:sz w:val="20"/>
          <w:szCs w:val="20"/>
        </w:rPr>
        <w:t>modelo disponível na Parte B</w:t>
      </w:r>
    </w:p>
    <w:p w14:paraId="38848BCB" w14:textId="0AC50279" w:rsidR="00BF64FB" w:rsidRPr="006F58BD" w:rsidRDefault="00BF64FB" w:rsidP="008B1F42">
      <w:pPr>
        <w:pStyle w:val="ListParagraph"/>
        <w:numPr>
          <w:ilvl w:val="1"/>
          <w:numId w:val="42"/>
        </w:numPr>
        <w:spacing w:after="200"/>
        <w:jc w:val="both"/>
        <w:rPr>
          <w:sz w:val="20"/>
          <w:szCs w:val="20"/>
        </w:rPr>
      </w:pPr>
      <w:r>
        <w:rPr>
          <w:sz w:val="20"/>
          <w:szCs w:val="20"/>
        </w:rPr>
        <w:t>para participantes em atividades que envolvam crianças: as suas políticas de proteção das crianças, abrangendo os quatro domínios descritos nas normas de proteção das crianças (</w:t>
      </w:r>
      <w:hyperlink r:id="rId30" w:history="1">
        <w:r>
          <w:rPr>
            <w:rStyle w:val="Hyperlink"/>
            <w:i/>
            <w:iCs/>
            <w:sz w:val="20"/>
            <w:szCs w:val="20"/>
          </w:rPr>
          <w:t>Keeping Children Safe Child Safeguarding Standards</w:t>
        </w:r>
      </w:hyperlink>
      <w:r>
        <w:t>)</w:t>
      </w:r>
    </w:p>
    <w:p w14:paraId="296D7873" w14:textId="6CB2F708" w:rsidR="00C51A9B" w:rsidRPr="00C51A9B" w:rsidRDefault="00C51A9B" w:rsidP="008B1F42">
      <w:pPr>
        <w:pStyle w:val="Default"/>
        <w:numPr>
          <w:ilvl w:val="1"/>
          <w:numId w:val="42"/>
        </w:numPr>
        <w:spacing w:after="200"/>
        <w:rPr>
          <w:rFonts w:ascii="Verdana" w:hAnsi="Verdana" w:cs="Arial"/>
          <w:color w:val="auto"/>
          <w:sz w:val="20"/>
          <w:szCs w:val="20"/>
        </w:rPr>
      </w:pPr>
      <w:r>
        <w:rPr>
          <w:rFonts w:ascii="Verdana" w:hAnsi="Verdana"/>
          <w:color w:val="auto"/>
          <w:sz w:val="20"/>
          <w:szCs w:val="20"/>
        </w:rPr>
        <w:t>calculador de montante fixo</w:t>
      </w:r>
    </w:p>
    <w:p w14:paraId="45541BAB" w14:textId="711029D4" w:rsidR="00615B82" w:rsidRPr="00FB7748" w:rsidRDefault="00683BCF" w:rsidP="00683BCF">
      <w:pPr>
        <w:pStyle w:val="Default"/>
        <w:numPr>
          <w:ilvl w:val="1"/>
          <w:numId w:val="51"/>
        </w:numPr>
        <w:spacing w:after="200"/>
        <w:jc w:val="both"/>
        <w:rPr>
          <w:rFonts w:ascii="Verdana" w:eastAsia="Calibri" w:hAnsi="Verdana" w:cs="Calibri"/>
          <w:color w:val="auto"/>
          <w:sz w:val="20"/>
          <w:szCs w:val="20"/>
        </w:rPr>
      </w:pPr>
      <w:r>
        <w:rPr>
          <w:rFonts w:ascii="Verdana" w:hAnsi="Verdana"/>
          <w:color w:val="auto"/>
          <w:sz w:val="20"/>
          <w:szCs w:val="20"/>
        </w:rPr>
        <w:t>carta de apoio assinada pelo Município (aplicável aos candidatos e parceiros da categoria «Organização sem fins lucrativos que representa uma autoridade local»).</w:t>
      </w:r>
    </w:p>
    <w:p w14:paraId="2F01E376" w14:textId="2EF943E2" w:rsidR="00510B7E" w:rsidRPr="00683BCF" w:rsidRDefault="00510B7E" w:rsidP="00831954">
      <w:pPr>
        <w:spacing w:after="120"/>
        <w:rPr>
          <w:rFonts w:cs="Arial"/>
        </w:rPr>
      </w:pPr>
      <w:r>
        <w:t xml:space="preserve">Aquando da apresentação da proposta, deve confirmar que possui </w:t>
      </w:r>
      <w:r>
        <w:rPr>
          <w:b/>
        </w:rPr>
        <w:t>mandato para agir</w:t>
      </w:r>
      <w:r>
        <w:t xml:space="preserve"> de todos os candidatos. Além disso, tem de confirmar que as informações constantes do pedido estão corretas e completas e que os participantes cumprem as condições para receberem financiamento da UE (nomeadamente elegibilidade, capacidade financeira e operacional, exclusão, etc.). Antes de assinar a subvenção, cada beneficiário e entidade afiliada terá de voltar a confirmá-lo, assinando uma declaração de honra. As propostas sem apoio total serão rejeitadas.</w:t>
      </w:r>
    </w:p>
    <w:p w14:paraId="767FE960" w14:textId="3E689F5D" w:rsidR="00C41E84" w:rsidRDefault="00D37706" w:rsidP="00C41E84">
      <w:pPr>
        <w:pStyle w:val="Text1"/>
        <w:tabs>
          <w:tab w:val="clear" w:pos="2160"/>
        </w:tabs>
        <w:ind w:left="0"/>
        <w:rPr>
          <w:rFonts w:cs="Arial"/>
          <w:iCs/>
        </w:rPr>
      </w:pPr>
      <w:r>
        <w:t xml:space="preserve">A sua candidatura deve ser </w:t>
      </w:r>
      <w:r>
        <w:rPr>
          <w:b/>
          <w:iCs/>
        </w:rPr>
        <w:t>legível e acessível e deve poder ser impressa</w:t>
      </w:r>
      <w:r>
        <w:t>.</w:t>
      </w:r>
    </w:p>
    <w:p w14:paraId="7BB5113A" w14:textId="29ADC151" w:rsidR="00D37706" w:rsidRPr="00683BCF" w:rsidRDefault="00D37706" w:rsidP="42BB08A3">
      <w:pPr>
        <w:pStyle w:val="Text1"/>
        <w:tabs>
          <w:tab w:val="clear" w:pos="2160"/>
        </w:tabs>
        <w:ind w:left="0"/>
        <w:rPr>
          <w:rFonts w:cs="Arial"/>
        </w:rPr>
      </w:pPr>
      <w:r>
        <w:t xml:space="preserve">As propostas não podem ter mais de </w:t>
      </w:r>
      <w:r>
        <w:rPr>
          <w:b/>
        </w:rPr>
        <w:t>40 páginas para o tema Geminação de Cidades</w:t>
      </w:r>
      <w:r>
        <w:t xml:space="preserve"> (Parte B) </w:t>
      </w:r>
      <w:r>
        <w:rPr>
          <w:b/>
        </w:rPr>
        <w:t>e 70 páginas para o tema Redes de Cidades</w:t>
      </w:r>
      <w:r>
        <w:t xml:space="preserve"> (Parte B). Os avaliadores não terão em conta quaisquer páginas adicionais.</w:t>
      </w:r>
    </w:p>
    <w:p w14:paraId="709B3081" w14:textId="77777777" w:rsidR="00510B7E" w:rsidRDefault="00510B7E" w:rsidP="00510B7E">
      <w:r>
        <w:t xml:space="preserve">Numa fase ulterior, poderá ser-lhe solicitada documentação adicional </w:t>
      </w:r>
      <w:r>
        <w:rPr>
          <w:i/>
        </w:rPr>
        <w:t>(para validação da entidade jurídica, verificação da capacidade financeira, validação da conta bancária, etc.)</w:t>
      </w:r>
      <w:r>
        <w:t>.</w:t>
      </w:r>
    </w:p>
    <w:p w14:paraId="0CF762E6" w14:textId="3D2BD062" w:rsidR="00510B7E" w:rsidRPr="00510B7E" w:rsidRDefault="005A3754" w:rsidP="00510B7E">
      <w:pPr>
        <w:rPr>
          <w:szCs w:val="21"/>
        </w:rPr>
      </w:pPr>
      <w:r>
        <w:rPr>
          <w:noProof/>
          <w:lang w:val="en-IE" w:eastAsia="en-IE"/>
        </w:rPr>
        <w:drawing>
          <wp:inline distT="0" distB="0" distL="0" distR="0" wp14:anchorId="3F067661" wp14:editId="12A41E51">
            <wp:extent cx="187960" cy="187960"/>
            <wp:effectExtent l="0" t="0" r="0" b="0"/>
            <wp:docPr id="5" name="Picture 787288596"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7288596" name="Picture 787288596"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t xml:space="preserve"> Para mais informações sobre o processo de apresentação de propostas (incluindo aspetos informáticos), consulte o </w:t>
      </w:r>
      <w:hyperlink r:id="rId32">
        <w:r>
          <w:rPr>
            <w:rStyle w:val="Hyperlink"/>
          </w:rPr>
          <w:t>Manual em Linha</w:t>
        </w:r>
      </w:hyperlink>
      <w:r>
        <w:rPr>
          <w:rStyle w:val="Hyperlink"/>
          <w:color w:val="auto"/>
          <w:u w:val="none"/>
        </w:rPr>
        <w:t>.</w:t>
      </w:r>
    </w:p>
    <w:p w14:paraId="0B8E5F40" w14:textId="0D29000C" w:rsidR="00B612F2" w:rsidRPr="00975A34" w:rsidRDefault="00B612F2" w:rsidP="000579AF">
      <w:pPr>
        <w:pStyle w:val="Heading1"/>
        <w:numPr>
          <w:ilvl w:val="0"/>
          <w:numId w:val="54"/>
        </w:numPr>
        <w:tabs>
          <w:tab w:val="left" w:pos="284"/>
        </w:tabs>
        <w:ind w:left="0" w:firstLine="0"/>
      </w:pPr>
      <w:bookmarkStart w:id="13" w:name="_Toc92978874"/>
      <w:r>
        <w:t>Elegibilidade</w:t>
      </w:r>
      <w:bookmarkEnd w:id="13"/>
      <w:r>
        <w:t xml:space="preserve"> </w:t>
      </w:r>
    </w:p>
    <w:p w14:paraId="4EF2E3B8" w14:textId="77777777" w:rsidR="00B57534" w:rsidRPr="00510B7E" w:rsidRDefault="00736C6F" w:rsidP="00FC6FD4">
      <w:pPr>
        <w:pStyle w:val="Heading3"/>
      </w:pPr>
      <w:bookmarkStart w:id="14" w:name="_Toc92978875"/>
      <w:r>
        <w:t>Participantes elegíveis (países elegíveis)</w:t>
      </w:r>
      <w:bookmarkEnd w:id="14"/>
    </w:p>
    <w:p w14:paraId="5716E987" w14:textId="39C30B39" w:rsidR="00D11251" w:rsidRPr="00B57534" w:rsidRDefault="00D11251" w:rsidP="00D11251">
      <w:pPr>
        <w:pStyle w:val="Text1"/>
        <w:tabs>
          <w:tab w:val="clear" w:pos="2160"/>
        </w:tabs>
        <w:spacing w:after="120"/>
        <w:ind w:left="0"/>
        <w:rPr>
          <w:rFonts w:cs="Arial"/>
        </w:rPr>
      </w:pPr>
      <w:r>
        <w:t>Para serem elegíveis, os candidatos (beneficiários e entidades afiliadas) devem:</w:t>
      </w:r>
    </w:p>
    <w:p w14:paraId="2509B829" w14:textId="78B5B051" w:rsidR="00D11251" w:rsidRPr="00C07C07" w:rsidRDefault="00D9492C" w:rsidP="008B1F42">
      <w:pPr>
        <w:widowControl w:val="0"/>
        <w:numPr>
          <w:ilvl w:val="0"/>
          <w:numId w:val="36"/>
        </w:numPr>
        <w:spacing w:after="120"/>
        <w:ind w:left="709"/>
        <w:rPr>
          <w:rFonts w:cs="Arial"/>
        </w:rPr>
      </w:pPr>
      <w:r>
        <w:t xml:space="preserve">ser entidades jurídicas (organismos públicos ou privados) </w:t>
      </w:r>
    </w:p>
    <w:p w14:paraId="49FDD5D5" w14:textId="77777777" w:rsidR="00D11251" w:rsidRPr="00C07C07" w:rsidRDefault="00D11251" w:rsidP="008B1F42">
      <w:pPr>
        <w:widowControl w:val="0"/>
        <w:numPr>
          <w:ilvl w:val="0"/>
          <w:numId w:val="36"/>
        </w:numPr>
        <w:spacing w:after="120"/>
        <w:ind w:left="709"/>
        <w:jc w:val="left"/>
        <w:rPr>
          <w:rFonts w:cs="Arial"/>
        </w:rPr>
      </w:pPr>
      <w:r>
        <w:t xml:space="preserve">estar estabelecidos num dos países elegíveis, ou seja: </w:t>
      </w:r>
    </w:p>
    <w:p w14:paraId="0BDBB030" w14:textId="1328DBCC" w:rsidR="00D11251" w:rsidRPr="001F0FF9" w:rsidRDefault="00D11251" w:rsidP="008B1F42">
      <w:pPr>
        <w:widowControl w:val="0"/>
        <w:numPr>
          <w:ilvl w:val="0"/>
          <w:numId w:val="37"/>
        </w:numPr>
        <w:spacing w:after="120"/>
        <w:ind w:left="1276"/>
        <w:jc w:val="left"/>
        <w:rPr>
          <w:rFonts w:cs="Arial"/>
        </w:rPr>
      </w:pPr>
      <w:r>
        <w:t>num Estado-Membro da UE (incluindo países e territórios ultramarinos [PTU])</w:t>
      </w:r>
    </w:p>
    <w:p w14:paraId="346FD509" w14:textId="0BF8D141" w:rsidR="00D11251" w:rsidRPr="00D77F61" w:rsidRDefault="00D11251" w:rsidP="008B1F42">
      <w:pPr>
        <w:widowControl w:val="0"/>
        <w:numPr>
          <w:ilvl w:val="0"/>
          <w:numId w:val="37"/>
        </w:numPr>
        <w:spacing w:after="120"/>
        <w:ind w:left="1276"/>
        <w:jc w:val="left"/>
        <w:rPr>
          <w:rFonts w:cs="Arial"/>
        </w:rPr>
      </w:pPr>
      <w:r>
        <w:t>num país não pertencente à UE:</w:t>
      </w:r>
    </w:p>
    <w:p w14:paraId="414C90BD" w14:textId="2D46C06E" w:rsidR="004F0F5C" w:rsidRPr="006F58BD" w:rsidRDefault="004F0F5C" w:rsidP="008B1F42">
      <w:pPr>
        <w:pStyle w:val="Text1"/>
        <w:numPr>
          <w:ilvl w:val="0"/>
          <w:numId w:val="38"/>
        </w:numPr>
        <w:tabs>
          <w:tab w:val="clear" w:pos="2160"/>
        </w:tabs>
        <w:spacing w:after="120"/>
        <w:ind w:left="1701"/>
        <w:rPr>
          <w:rFonts w:cs="Arial"/>
        </w:rPr>
      </w:pPr>
      <w:r>
        <w:t>países associados ao Programa CERV ou países que estão em negociações para um acordo de associação e em que o acordo entra em vigor antes da assinatura da subvenção (</w:t>
      </w:r>
      <w:hyperlink r:id="rId33" w:history="1">
        <w:r>
          <w:rPr>
            <w:rStyle w:val="Hyperlink"/>
          </w:rPr>
          <w:t>lista de países participantes</w:t>
        </w:r>
      </w:hyperlink>
      <w:r>
        <w:t>)</w:t>
      </w:r>
    </w:p>
    <w:p w14:paraId="511297B8" w14:textId="3133FE23" w:rsidR="006F58BD" w:rsidRDefault="00D11251" w:rsidP="008B1F42">
      <w:pPr>
        <w:widowControl w:val="0"/>
        <w:numPr>
          <w:ilvl w:val="0"/>
          <w:numId w:val="36"/>
        </w:numPr>
        <w:spacing w:after="120"/>
        <w:ind w:left="709" w:right="227" w:hanging="357"/>
        <w:jc w:val="left"/>
        <w:rPr>
          <w:rFonts w:cs="Arial"/>
        </w:rPr>
      </w:pPr>
      <w:r>
        <w:t>outras condições de elegibilidade:</w:t>
      </w:r>
    </w:p>
    <w:p w14:paraId="3403588B" w14:textId="671BC073" w:rsidR="00E85E35" w:rsidRPr="00F50F6A" w:rsidRDefault="00E85E35" w:rsidP="0062273B">
      <w:pPr>
        <w:widowControl w:val="0"/>
        <w:ind w:firstLine="720"/>
        <w:rPr>
          <w:b/>
          <w:bCs/>
        </w:rPr>
      </w:pPr>
      <w:r>
        <w:rPr>
          <w:b/>
          <w:color w:val="A50021"/>
        </w:rPr>
        <w:t>CERV-2022-CITIZENS-TOWN-TT – Geminação de Cidades:</w:t>
      </w:r>
      <w:r>
        <w:rPr>
          <w:b/>
          <w:bCs/>
        </w:rPr>
        <w:t xml:space="preserve"> </w:t>
      </w:r>
    </w:p>
    <w:p w14:paraId="33CEAF57" w14:textId="6E0BD8D2" w:rsidR="007303E9" w:rsidRDefault="000159B8" w:rsidP="00B41972">
      <w:pPr>
        <w:widowControl w:val="0"/>
        <w:numPr>
          <w:ilvl w:val="1"/>
          <w:numId w:val="36"/>
        </w:numPr>
        <w:spacing w:after="120"/>
        <w:ind w:left="1418" w:hanging="416"/>
        <w:jc w:val="left"/>
        <w:rPr>
          <w:rFonts w:cs="Arial"/>
        </w:rPr>
      </w:pPr>
      <w:r>
        <w:lastRenderedPageBreak/>
        <w:t>para o candidato: ser um organismo público ou uma organização sem fins lucrativos: cidades/municípios e/ou outros níveis de autoridades locais, dos seus comités de geminação ou de outras organizações sem fins lucrativos que representem as autoridades locais,</w:t>
      </w:r>
    </w:p>
    <w:p w14:paraId="6386E76B" w14:textId="10829B1A" w:rsidR="000159B8" w:rsidRPr="000159B8" w:rsidRDefault="000159B8" w:rsidP="00E85E35">
      <w:pPr>
        <w:widowControl w:val="0"/>
        <w:numPr>
          <w:ilvl w:val="1"/>
          <w:numId w:val="36"/>
        </w:numPr>
        <w:spacing w:after="120"/>
        <w:ind w:left="1418" w:hanging="416"/>
        <w:jc w:val="left"/>
        <w:rPr>
          <w:rFonts w:cs="Arial"/>
        </w:rPr>
      </w:pPr>
      <w:r>
        <w:t>o projeto deve envolver municípios de, pelo menos, dois países elegíveis, dos quais pelo menos um deve ser Estado-Membro da UE,</w:t>
      </w:r>
    </w:p>
    <w:p w14:paraId="69F32FFD" w14:textId="5AE10145" w:rsidR="000159B8" w:rsidRDefault="000159B8" w:rsidP="000159B8">
      <w:pPr>
        <w:widowControl w:val="0"/>
        <w:numPr>
          <w:ilvl w:val="1"/>
          <w:numId w:val="36"/>
        </w:numPr>
        <w:spacing w:after="120"/>
        <w:ind w:left="1418" w:hanging="416"/>
        <w:jc w:val="left"/>
        <w:rPr>
          <w:rFonts w:eastAsia="Verdana" w:cs="Verdana"/>
        </w:rPr>
      </w:pPr>
      <w:r>
        <w:t>as atividades devem realizar-se num país elegível que participa no projeto,</w:t>
      </w:r>
    </w:p>
    <w:p w14:paraId="611776F1" w14:textId="5F534056" w:rsidR="00942BB9" w:rsidRDefault="00942BB9" w:rsidP="000159B8">
      <w:pPr>
        <w:widowControl w:val="0"/>
        <w:numPr>
          <w:ilvl w:val="1"/>
          <w:numId w:val="36"/>
        </w:numPr>
        <w:spacing w:after="120"/>
        <w:ind w:left="1418" w:hanging="416"/>
        <w:jc w:val="left"/>
        <w:rPr>
          <w:rFonts w:eastAsia="Verdana" w:cs="Verdana"/>
        </w:rPr>
      </w:pPr>
      <w:r>
        <w:t>os eventos devem envolver um mínimo de 50 participantes diretos, dos quais um mínimo de 25 devem ser «participantes convidados</w:t>
      </w:r>
      <w:r w:rsidR="00CC2315">
        <w:rPr>
          <w:rStyle w:val="FootnoteReference"/>
          <w:rFonts w:eastAsia="Verdana" w:cs="Verdana"/>
        </w:rPr>
        <w:footnoteReference w:id="12"/>
      </w:r>
      <w:r>
        <w:t xml:space="preserve">». </w:t>
      </w:r>
    </w:p>
    <w:p w14:paraId="7A8FF669" w14:textId="6A62825D" w:rsidR="00E85E35" w:rsidRDefault="00E85E35" w:rsidP="0062273B">
      <w:pPr>
        <w:widowControl w:val="0"/>
        <w:ind w:firstLine="720"/>
        <w:rPr>
          <w:b/>
          <w:color w:val="A50021"/>
        </w:rPr>
      </w:pPr>
      <w:r>
        <w:rPr>
          <w:b/>
          <w:color w:val="A50021"/>
        </w:rPr>
        <w:t>CERV-2022-CITIZENS-TOWN-NT - Redes de Cidades</w:t>
      </w:r>
    </w:p>
    <w:p w14:paraId="7034CCF5" w14:textId="383FF38D" w:rsidR="000159B8" w:rsidRDefault="000159B8" w:rsidP="000159B8">
      <w:pPr>
        <w:widowControl w:val="0"/>
        <w:numPr>
          <w:ilvl w:val="1"/>
          <w:numId w:val="36"/>
        </w:numPr>
        <w:spacing w:after="120"/>
        <w:ind w:left="1418" w:hanging="416"/>
        <w:jc w:val="left"/>
        <w:rPr>
          <w:rFonts w:cs="Arial"/>
        </w:rPr>
      </w:pPr>
      <w:r>
        <w:t>para o candidato</w:t>
      </w:r>
      <w:r>
        <w:rPr>
          <w:rStyle w:val="FootnoteReference"/>
          <w:rFonts w:cs="Arial"/>
        </w:rPr>
        <w:footnoteReference w:id="13"/>
      </w:r>
      <w:r>
        <w:t xml:space="preserve"> e parceiros: ser um organismo público ou uma organização sem fins lucrativos: cidades/municípios e/ou outros níveis de autoridades locais, dos seus comités de geminação ou de outras organizações sem fins lucrativos que representem as autoridades locais,</w:t>
      </w:r>
    </w:p>
    <w:p w14:paraId="07E9E7B6" w14:textId="4658A64A" w:rsidR="000159B8" w:rsidRPr="000159B8" w:rsidRDefault="000159B8" w:rsidP="000159B8">
      <w:pPr>
        <w:widowControl w:val="0"/>
        <w:numPr>
          <w:ilvl w:val="1"/>
          <w:numId w:val="36"/>
        </w:numPr>
        <w:spacing w:after="120"/>
        <w:ind w:left="1418" w:right="227" w:hanging="142"/>
        <w:jc w:val="left"/>
        <w:rPr>
          <w:rFonts w:cs="Arial"/>
        </w:rPr>
      </w:pPr>
      <w:r>
        <w:t>o projeto deve envolver municípios de, pelo menos, cinco países elegíveis, dos quais pelo menos três devem ser Estados-Membros da UE,</w:t>
      </w:r>
    </w:p>
    <w:p w14:paraId="7F71F908" w14:textId="79ED681A" w:rsidR="000159B8" w:rsidRDefault="000159B8" w:rsidP="000159B8">
      <w:pPr>
        <w:widowControl w:val="0"/>
        <w:numPr>
          <w:ilvl w:val="1"/>
          <w:numId w:val="36"/>
        </w:numPr>
        <w:spacing w:after="120"/>
        <w:ind w:left="1418" w:right="227" w:hanging="142"/>
        <w:jc w:val="left"/>
      </w:pPr>
      <w:r>
        <w:t>as atividades devem realizar-se em, pelo menos, dois países elegíveis diferentes.</w:t>
      </w:r>
    </w:p>
    <w:p w14:paraId="690454F4" w14:textId="7E4FF5F7" w:rsidR="00D11251" w:rsidRDefault="00EF14AD" w:rsidP="00D11251">
      <w:pPr>
        <w:rPr>
          <w:rFonts w:cs="Arial"/>
        </w:rPr>
      </w:pPr>
      <w:r>
        <w:t xml:space="preserve">Os beneficiários e as entidades afiliadas devem inscrever-se no </w:t>
      </w:r>
      <w:hyperlink r:id="rId34" w:history="1">
        <w:r>
          <w:rPr>
            <w:rStyle w:val="Hyperlink"/>
          </w:rPr>
          <w:t>Registo de Participantes</w:t>
        </w:r>
      </w:hyperlink>
      <w:r>
        <w:t xml:space="preserve"> — antes de apresentarem a proposta — e têm de ser validados pelo Serviço Central de Validação (</w:t>
      </w:r>
      <w:r>
        <w:rPr>
          <w:i/>
          <w:iCs/>
        </w:rPr>
        <w:t>REA Validation</w:t>
      </w:r>
      <w:r>
        <w:t>). Para a validação, ser-lhes-á pedido que carreguem documentos que indiquem o estatuto jurídico e a origem.</w:t>
      </w:r>
    </w:p>
    <w:p w14:paraId="663BF90B" w14:textId="77777777" w:rsidR="00D11251" w:rsidRDefault="00D11251" w:rsidP="00D11251">
      <w:pPr>
        <w:rPr>
          <w:iCs/>
        </w:rPr>
      </w:pPr>
      <w:r>
        <w:t xml:space="preserve">Outras entidades podem participar noutras funções do consórcio, tais como parceiros associados, subcontratantes, terceiros que deem contribuições em espécie, etc. </w:t>
      </w:r>
      <w:r>
        <w:rPr>
          <w:i/>
          <w:iCs/>
        </w:rPr>
        <w:t>(ver secção 13)</w:t>
      </w:r>
      <w:r>
        <w:t>.</w:t>
      </w:r>
    </w:p>
    <w:p w14:paraId="4C122898" w14:textId="77777777" w:rsidR="00D11251" w:rsidRPr="000B3314" w:rsidRDefault="00D11251" w:rsidP="00D11251">
      <w:pPr>
        <w:rPr>
          <w:i/>
          <w:color w:val="A50021"/>
          <w:highlight w:val="yellow"/>
        </w:rPr>
      </w:pPr>
      <w:r>
        <w:rPr>
          <w:i/>
          <w:color w:val="A50021"/>
        </w:rPr>
        <w:t>Casos específicos</w:t>
      </w:r>
      <w:r>
        <w:rPr>
          <w:i/>
          <w:color w:val="A50021"/>
          <w:highlight w:val="yellow"/>
        </w:rPr>
        <w:t xml:space="preserve"> </w:t>
      </w:r>
    </w:p>
    <w:p w14:paraId="7C0C81EC" w14:textId="3519175F" w:rsidR="00D11251" w:rsidRPr="00F556B0" w:rsidRDefault="00D11251" w:rsidP="00D11251">
      <w:pPr>
        <w:rPr>
          <w:rFonts w:cs="Arial"/>
        </w:rPr>
      </w:pPr>
      <w:r>
        <w:t>Pessoas singulares — as pessoas singulares NÃO são elegíveis (com exceção dos trabalhadores por conta própria, ou seja, dos empresários em nome individual, se a sociedade não tiver personalidade jurídica distinta da da pessoa singular).</w:t>
      </w:r>
    </w:p>
    <w:p w14:paraId="06E140DC" w14:textId="5B93CEEF" w:rsidR="00D11251" w:rsidRPr="00F556B0" w:rsidRDefault="00D51B6C" w:rsidP="00D11251">
      <w:pPr>
        <w:rPr>
          <w:rFonts w:cs="Arial"/>
        </w:rPr>
      </w:pPr>
      <w:r>
        <w:t>Organizações internacionais — as organizações internacionais são elegíveis. As regras relativas aos países elegíveis não lhes são aplicáveis.</w:t>
      </w:r>
    </w:p>
    <w:p w14:paraId="45271331" w14:textId="77777777" w:rsidR="00D11251" w:rsidRDefault="00D11251" w:rsidP="00D11251">
      <w:pPr>
        <w:rPr>
          <w:rFonts w:cs="Arial"/>
          <w:iCs/>
        </w:rPr>
      </w:pPr>
      <w:r>
        <w:t>Entidades sem personalidade jurídica — as entidades sem personalidade jurídica nos termos do respetivo direito nacional podem participar a título excecional, desde que os seus representantes tenham capacidade para assumir obrigações jurídicas em seu nome e ofereçam garantias de proteção dos interesses financeiros da UE equivalentes às oferecidas pelas pessoas coletivas</w:t>
      </w:r>
      <w:r>
        <w:rPr>
          <w:rStyle w:val="FootnoteReference"/>
          <w:rFonts w:cs="Arial"/>
          <w:iCs/>
        </w:rPr>
        <w:footnoteReference w:id="14"/>
      </w:r>
      <w:r>
        <w:t>.</w:t>
      </w:r>
    </w:p>
    <w:p w14:paraId="42989BB3" w14:textId="77777777" w:rsidR="00D11251" w:rsidRDefault="00D11251" w:rsidP="00D11251">
      <w:pPr>
        <w:rPr>
          <w:rFonts w:eastAsia="Verdana" w:cs="Verdana"/>
        </w:rPr>
      </w:pPr>
      <w:r>
        <w:t>Organismos da UE - os organismos da UE (com exceção do Centro Comum de Investigação da Comissão Europeia) NÃO podem fazer parte do consórcio.</w:t>
      </w:r>
    </w:p>
    <w:p w14:paraId="73A5993C" w14:textId="5CAF4A75" w:rsidR="005056C4" w:rsidRDefault="6C7DCFD5" w:rsidP="42BB08A3">
      <w:pPr>
        <w:rPr>
          <w:rFonts w:cs="Arial"/>
        </w:rPr>
      </w:pPr>
      <w:r>
        <w:lastRenderedPageBreak/>
        <w:t>Associações e agrupamentos de interesses — as entidades compostas por membros podem participar como «beneficiários únicos» ou «beneficiários sem personalidade jurídica»</w:t>
      </w:r>
      <w:r w:rsidR="00D11251" w:rsidRPr="2B2EF0EE">
        <w:rPr>
          <w:rStyle w:val="FootnoteReference"/>
        </w:rPr>
        <w:footnoteReference w:id="15"/>
      </w:r>
      <w:r>
        <w:t xml:space="preserve">. </w:t>
      </w:r>
      <w:r>
        <w:rPr>
          <w:noProof/>
          <w:color w:val="7F7F7F"/>
          <w:sz w:val="18"/>
          <w:szCs w:val="21"/>
          <w:lang w:val="en-IE" w:eastAsia="en-IE"/>
        </w:rPr>
        <w:drawing>
          <wp:inline distT="0" distB="0" distL="0" distR="0" wp14:anchorId="75F831DD" wp14:editId="5DD55874">
            <wp:extent cx="187960" cy="187960"/>
            <wp:effectExtent l="0" t="0" r="0" b="0"/>
            <wp:docPr id="6" name="Picture 6"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Pr>
          <w:color w:val="7F7F7F"/>
          <w:sz w:val="18"/>
          <w:szCs w:val="18"/>
        </w:rPr>
        <w:t xml:space="preserve"> </w:t>
      </w:r>
      <w:r>
        <w:t xml:space="preserve">Note-se que, se a ação for executada pelos membros, estes também devem participar (quer como beneficiários, quer como entidades afiliadas; caso contrário os seus custos NÃO serão elegíveis). </w:t>
      </w:r>
    </w:p>
    <w:p w14:paraId="367E29D4" w14:textId="50768096" w:rsidR="00DC3A61" w:rsidRPr="00FB72CA" w:rsidRDefault="00DC3A61" w:rsidP="00202AF1">
      <w:pPr>
        <w:pStyle w:val="NormalWeb"/>
        <w:spacing w:before="0" w:beforeAutospacing="0" w:after="200" w:afterAutospacing="0"/>
        <w:jc w:val="both"/>
        <w:rPr>
          <w:rFonts w:ascii="Verdana" w:hAnsi="Verdana"/>
          <w:color w:val="000000"/>
          <w:sz w:val="20"/>
          <w:szCs w:val="20"/>
        </w:rPr>
      </w:pPr>
      <w:r>
        <w:rPr>
          <w:rFonts w:ascii="Verdana" w:hAnsi="Verdana"/>
          <w:color w:val="000000"/>
          <w:sz w:val="20"/>
          <w:szCs w:val="20"/>
        </w:rPr>
        <w:t xml:space="preserve">Pontos de Contacto do Programa — são elegíveis como coordenadores ou beneficiários em concursos públicos, se tiverem procedimentos para separar as funções de gestão do projeto e de prestação de informações e se puderem demonstrar a separação de custos (ou seja, se as suas subvenções a projetos não cobrem quaisquer custos cobertos pela sua outra subvenção). O que inclui o seguinte: </w:t>
      </w:r>
    </w:p>
    <w:p w14:paraId="21178116" w14:textId="4EF7788A" w:rsidR="00DC3A61" w:rsidRPr="00FB72CA" w:rsidRDefault="00DC3A61" w:rsidP="008B1F42">
      <w:pPr>
        <w:numPr>
          <w:ilvl w:val="0"/>
          <w:numId w:val="45"/>
        </w:numPr>
        <w:rPr>
          <w:color w:val="000000"/>
        </w:rPr>
      </w:pPr>
      <w:r>
        <w:rPr>
          <w:color w:val="000000"/>
        </w:rPr>
        <w:t xml:space="preserve">a utilização de uma contabilidade analítica que permita uma gestão contabilística dos custos com chaves de repartição dos custos e códigos de contabilidade dos custos E a aplicação dessas chaves e códigos na identificação e separação dos custos (ou seja, a atribuição dos mesmos a uma das duas subvenções) </w:t>
      </w:r>
    </w:p>
    <w:p w14:paraId="1DBFDF05" w14:textId="5BA07C46" w:rsidR="00DC3A61" w:rsidRPr="00FB72CA" w:rsidRDefault="00DC3A61" w:rsidP="008B1F42">
      <w:pPr>
        <w:numPr>
          <w:ilvl w:val="0"/>
          <w:numId w:val="45"/>
        </w:numPr>
        <w:rPr>
          <w:color w:val="000000"/>
        </w:rPr>
      </w:pPr>
      <w:r>
        <w:rPr>
          <w:color w:val="000000"/>
        </w:rPr>
        <w:t xml:space="preserve">o registo de todos os custos reais incorridos com as atividades abrangidas pelas duas subvenções (incluindo os custos indiretos) </w:t>
      </w:r>
    </w:p>
    <w:p w14:paraId="08082F37" w14:textId="6D2FEB8E" w:rsidR="00832213" w:rsidRPr="00F556B0" w:rsidRDefault="00DC3A61" w:rsidP="008B1F42">
      <w:pPr>
        <w:numPr>
          <w:ilvl w:val="0"/>
          <w:numId w:val="45"/>
        </w:numPr>
        <w:rPr>
          <w:rFonts w:cs="Arial"/>
        </w:rPr>
      </w:pPr>
      <w:r>
        <w:rPr>
          <w:color w:val="000000"/>
        </w:rPr>
        <w:t>a repartição dos custos de uma forma que conduza a um resultado justo, objetivo e realista.</w:t>
      </w:r>
    </w:p>
    <w:p w14:paraId="63646EA9" w14:textId="75D8A1BB" w:rsidR="00F556B0" w:rsidRPr="00F556B0" w:rsidRDefault="00F556B0" w:rsidP="00202AF1">
      <w:pPr>
        <w:rPr>
          <w:iCs/>
        </w:rPr>
      </w:pPr>
      <w:r>
        <w:t xml:space="preserve">Países que estão atualmente a negociar acordos de associação — os beneficiários de países com negociações em curso </w:t>
      </w:r>
      <w:r>
        <w:rPr>
          <w:i/>
          <w:szCs w:val="18"/>
        </w:rPr>
        <w:t>(ver acima)</w:t>
      </w:r>
      <w:r>
        <w:t xml:space="preserve"> podem apresentar propostas e assinar subvenções se as negociações forem concluídas antes da assinatura da subvenção (com efeitos retroativos, se previsto no acordo).</w:t>
      </w:r>
    </w:p>
    <w:p w14:paraId="6FC8312B" w14:textId="09DE72CC" w:rsidR="000F4465" w:rsidRPr="00FE2BCA" w:rsidRDefault="00FE2BCA" w:rsidP="00D11251">
      <w:pPr>
        <w:pStyle w:val="Text1"/>
        <w:tabs>
          <w:tab w:val="clear" w:pos="2160"/>
        </w:tabs>
        <w:spacing w:after="120"/>
        <w:ind w:left="0"/>
      </w:pPr>
      <w:r>
        <w:t xml:space="preserve">Medidas restritivas da UE — são aplicáveis regras especiais a determinadas entidades </w:t>
      </w:r>
      <w:r>
        <w:rPr>
          <w:i/>
        </w:rPr>
        <w:t xml:space="preserve">(por exemplo, entidades sujeitas a </w:t>
      </w:r>
      <w:hyperlink r:id="rId36" w:history="1">
        <w:r>
          <w:rPr>
            <w:rStyle w:val="Hyperlink"/>
            <w:i/>
          </w:rPr>
          <w:t>medidas restritivas da UE</w:t>
        </w:r>
      </w:hyperlink>
      <w:r>
        <w:rPr>
          <w:i/>
        </w:rPr>
        <w:t xml:space="preserve"> nos termos do artigo 29.º do Tratado da União Europeia (TUE) e</w:t>
      </w:r>
      <w:r>
        <w:t xml:space="preserve"> </w:t>
      </w:r>
      <w:r>
        <w:rPr>
          <w:i/>
        </w:rPr>
        <w:t>do artigo 215.º do Tratado sobre o Funcionamento da UE (TFUE)</w:t>
      </w:r>
      <w:r w:rsidRPr="003A715F">
        <w:rPr>
          <w:rFonts w:eastAsia="Arial Unicode MS" w:cs="Arial"/>
          <w:i/>
          <w:vertAlign w:val="superscript"/>
          <w:lang w:eastAsia="en-GB"/>
        </w:rPr>
        <w:footnoteReference w:id="16"/>
      </w:r>
      <w:r>
        <w:rPr>
          <w:i/>
        </w:rPr>
        <w:t xml:space="preserve"> e entidades abrangidas pelas Orientações n.º </w:t>
      </w:r>
      <w:hyperlink r:id="rId37" w:history="1">
        <w:r>
          <w:rPr>
            <w:rStyle w:val="Hyperlink"/>
            <w:i/>
          </w:rPr>
          <w:t>2013/C 205/05</w:t>
        </w:r>
      </w:hyperlink>
      <w:r w:rsidRPr="002A2349">
        <w:rPr>
          <w:rStyle w:val="FootnoteReference"/>
          <w:rFonts w:cs="Arial"/>
          <w:i/>
        </w:rPr>
        <w:footnoteReference w:id="17"/>
      </w:r>
      <w:r>
        <w:t xml:space="preserve"> da Comissão</w:t>
      </w:r>
      <w:r>
        <w:rPr>
          <w:i/>
        </w:rPr>
        <w:t>)</w:t>
      </w:r>
      <w:r>
        <w:t>. Essas entidades não são elegíveis para participar a qualquer título, nomeadamente como beneficiários, entidades afiliadas, parceiros associados, subcontratantes ou destinatários de apoio financeiro a terceiros (se for caso disso).</w:t>
      </w:r>
    </w:p>
    <w:p w14:paraId="718A4FB8" w14:textId="0781935B" w:rsidR="00736C6F" w:rsidRPr="00F61588" w:rsidRDefault="005A3754" w:rsidP="00736C6F">
      <w:pPr>
        <w:autoSpaceDE w:val="0"/>
        <w:autoSpaceDN w:val="0"/>
        <w:adjustRightInd w:val="0"/>
        <w:rPr>
          <w:rFonts w:cs="Verdana"/>
        </w:rPr>
      </w:pPr>
      <w:r>
        <w:rPr>
          <w:noProof/>
          <w:lang w:val="en-IE" w:eastAsia="en-IE"/>
        </w:rPr>
        <w:drawing>
          <wp:inline distT="0" distB="0" distL="0" distR="0" wp14:anchorId="4D9DE831" wp14:editId="2CF3293B">
            <wp:extent cx="187960" cy="187960"/>
            <wp:effectExtent l="0" t="0" r="0" b="0"/>
            <wp:docPr id="7" name="Picture 217534909"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534909" name="Picture 217534909"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t xml:space="preserve"> Para mais informações, </w:t>
      </w:r>
      <w:r>
        <w:rPr>
          <w:i/>
          <w:iCs/>
        </w:rPr>
        <w:t>consultar as</w:t>
      </w:r>
      <w:r>
        <w:t xml:space="preserve"> </w:t>
      </w:r>
      <w:hyperlink r:id="rId38">
        <w:r>
          <w:rPr>
            <w:rStyle w:val="Hyperlink"/>
            <w:i/>
            <w:iCs/>
          </w:rPr>
          <w:t>Regras relativas à validação da entidade jurídica, à designação do LEAR e à avaliação da capacidade financeira</w:t>
        </w:r>
      </w:hyperlink>
      <w:r>
        <w:t xml:space="preserve">. </w:t>
      </w:r>
    </w:p>
    <w:p w14:paraId="1DD70A2C" w14:textId="78969716" w:rsidR="00027143" w:rsidRDefault="00736C6F" w:rsidP="00CC2315">
      <w:pPr>
        <w:pStyle w:val="Heading3"/>
      </w:pPr>
      <w:bookmarkStart w:id="15" w:name="_Toc92978876"/>
      <w:r>
        <w:t>Composição do consórcio</w:t>
      </w:r>
      <w:bookmarkEnd w:id="15"/>
    </w:p>
    <w:p w14:paraId="667D29A2" w14:textId="1ADD61B2" w:rsidR="007903BC" w:rsidRDefault="007903BC" w:rsidP="007903BC">
      <w:pPr>
        <w:widowControl w:val="0"/>
        <w:rPr>
          <w:b/>
          <w:bCs/>
        </w:rPr>
      </w:pPr>
      <w:r>
        <w:rPr>
          <w:b/>
          <w:color w:val="A50021"/>
        </w:rPr>
        <w:t>CERV-2022-CITIZENS-TOWN-TT – Geminação de Cidades:</w:t>
      </w:r>
      <w:r>
        <w:rPr>
          <w:b/>
          <w:bCs/>
        </w:rPr>
        <w:t xml:space="preserve"> </w:t>
      </w:r>
    </w:p>
    <w:p w14:paraId="1CC7CA67" w14:textId="27B50492" w:rsidR="007903BC" w:rsidRDefault="007903BC" w:rsidP="007903BC">
      <w:pPr>
        <w:widowControl w:val="0"/>
        <w:rPr>
          <w:i/>
          <w:iCs/>
        </w:rPr>
      </w:pPr>
      <w:r>
        <w:t>Só são permitidas candidaturas apresentadas por candidatos individuais.</w:t>
      </w:r>
    </w:p>
    <w:p w14:paraId="37AC9AD9" w14:textId="64A403D2" w:rsidR="007903BC" w:rsidRDefault="007903BC" w:rsidP="007903BC">
      <w:pPr>
        <w:pStyle w:val="Text3"/>
        <w:tabs>
          <w:tab w:val="left" w:pos="567"/>
        </w:tabs>
        <w:ind w:left="0"/>
        <w:rPr>
          <w:rFonts w:eastAsia="Verdana" w:cs="Verdana"/>
        </w:rPr>
      </w:pPr>
      <w:r>
        <w:t>As propostas de geminação de cidades devem envolver municípios de, pelo menos, 2 países elegíveis, dos quais pelo menos um deve ser Estado-Membro da UE.</w:t>
      </w:r>
    </w:p>
    <w:p w14:paraId="5B216039" w14:textId="203107A8" w:rsidR="007903BC" w:rsidRDefault="007903BC" w:rsidP="007903BC">
      <w:pPr>
        <w:widowControl w:val="0"/>
        <w:rPr>
          <w:b/>
          <w:color w:val="A50021"/>
        </w:rPr>
      </w:pPr>
      <w:r>
        <w:rPr>
          <w:b/>
          <w:color w:val="A50021"/>
        </w:rPr>
        <w:t>CERV-2022-CITIZENS-TOWN-NT - Redes de Cidades</w:t>
      </w:r>
    </w:p>
    <w:p w14:paraId="2A754E5D" w14:textId="17B8FF9F" w:rsidR="007903BC" w:rsidRDefault="007903BC" w:rsidP="007903BC">
      <w:pPr>
        <w:widowControl w:val="0"/>
      </w:pPr>
      <w:r>
        <w:t xml:space="preserve">As propostas devem ser apresentadas por um consórcio de, pelo menos, cinco candidatos (beneficiários; entidades não afiliadas) que satisfaçam as seguintes </w:t>
      </w:r>
      <w:r>
        <w:lastRenderedPageBreak/>
        <w:t xml:space="preserve">condições: </w:t>
      </w:r>
    </w:p>
    <w:p w14:paraId="683D723D" w14:textId="1473FE2C" w:rsidR="007903BC" w:rsidRPr="00B57534" w:rsidRDefault="007903BC" w:rsidP="007903BC">
      <w:pPr>
        <w:numPr>
          <w:ilvl w:val="0"/>
          <w:numId w:val="53"/>
        </w:numPr>
        <w:ind w:left="360"/>
      </w:pPr>
      <w:r>
        <w:t>as entidades são municípios de, pelo menos, cinco países elegíveis, dos quais pelo menos três devem ser Estados-Membros da UE.</w:t>
      </w:r>
    </w:p>
    <w:p w14:paraId="4E8B42AB" w14:textId="77777777" w:rsidR="00656CD7" w:rsidRPr="00510B7E" w:rsidRDefault="00736C6F" w:rsidP="00510B7E">
      <w:pPr>
        <w:pStyle w:val="Heading3"/>
      </w:pPr>
      <w:bookmarkStart w:id="16" w:name="_Toc92978877"/>
      <w:r>
        <w:t>Atividades elegíveis</w:t>
      </w:r>
      <w:bookmarkEnd w:id="16"/>
    </w:p>
    <w:p w14:paraId="5C9A0D56" w14:textId="6D5E2AD2" w:rsidR="000159B8" w:rsidRPr="006F58BD" w:rsidRDefault="00656CD7" w:rsidP="00656CD7">
      <w:r>
        <w:t xml:space="preserve">São elegíveis as atividades descritas na secção 2 </w:t>
      </w:r>
      <w:r>
        <w:rPr>
          <w:i/>
          <w:iCs/>
        </w:rPr>
        <w:t>supra</w:t>
      </w:r>
      <w:r>
        <w:t>.</w:t>
      </w:r>
    </w:p>
    <w:p w14:paraId="4DCC9648" w14:textId="77777777" w:rsidR="00656CD7" w:rsidRPr="006F58BD" w:rsidRDefault="00267836" w:rsidP="00656CD7">
      <w:r>
        <w:t>Os projetos devem ter em conta os resultados de projetos apoiados por outros programas de financiamento da UE. As complementaridades devem ser descritas nas propostas de projeto (Parte B do formulário de candidatura).</w:t>
      </w:r>
    </w:p>
    <w:p w14:paraId="3CAE18EE" w14:textId="77777777" w:rsidR="00C96229" w:rsidRPr="008D7360" w:rsidRDefault="00C96229" w:rsidP="00656CD7">
      <w:r>
        <w:t xml:space="preserve">Os projetos devem respeitar os interesses e prioridades políticos da UE </w:t>
      </w:r>
      <w:r>
        <w:rPr>
          <w:i/>
        </w:rPr>
        <w:t>(nomeadamente as políticas ambiental, social, de segurança, industrial e comercial, etc.)</w:t>
      </w:r>
      <w:r>
        <w:t>.</w:t>
      </w:r>
    </w:p>
    <w:p w14:paraId="23359E9F" w14:textId="69E0A675" w:rsidR="00557219" w:rsidRPr="00D07DE8" w:rsidRDefault="004A47F3" w:rsidP="0075170E">
      <w:pPr>
        <w:rPr>
          <w:highlight w:val="yellow"/>
        </w:rPr>
      </w:pPr>
      <w:r>
        <w:t>O apoio financeiro a terceiros não é permitido.</w:t>
      </w:r>
    </w:p>
    <w:p w14:paraId="4ED03ED8" w14:textId="7C17FD62" w:rsidR="00942BB9" w:rsidRPr="008862BD" w:rsidRDefault="00E81CEB" w:rsidP="00942BB9">
      <w:pPr>
        <w:pStyle w:val="Text3"/>
        <w:tabs>
          <w:tab w:val="clear" w:pos="2160"/>
          <w:tab w:val="left" w:pos="567"/>
        </w:tabs>
        <w:ind w:left="0"/>
        <w:rPr>
          <w:b/>
          <w:color w:val="A50021"/>
        </w:rPr>
      </w:pPr>
      <w:r>
        <w:rPr>
          <w:b/>
          <w:color w:val="A50021"/>
        </w:rPr>
        <w:t>CERV-2022-CITIZENS-TOWN-TT – Geminação de Cidades:</w:t>
      </w:r>
    </w:p>
    <w:p w14:paraId="2607B279" w14:textId="77777777" w:rsidR="00942BB9" w:rsidRPr="00C83A32" w:rsidRDefault="00942BB9" w:rsidP="00942BB9">
      <w:pPr>
        <w:pStyle w:val="Text3"/>
        <w:tabs>
          <w:tab w:val="clear" w:pos="2160"/>
          <w:tab w:val="left" w:pos="567"/>
        </w:tabs>
        <w:ind w:left="0"/>
        <w:rPr>
          <w:rFonts w:eastAsia="Verdana" w:cs="Verdana"/>
        </w:rPr>
      </w:pPr>
      <w:r>
        <w:t>Os eventos de geminação de cidades devem envolver um mínimo de 50 participantes diretos, dos quais um mínimo de 25 devem ser «participantes convidados». Por «participantes convidados», entende-se as delegações itinerantes de países parceiros de projetos elegíveis que não o país que acolhe um evento de geminação de cidades.</w:t>
      </w:r>
    </w:p>
    <w:p w14:paraId="09E75F68" w14:textId="77777777" w:rsidR="00500DB3" w:rsidRPr="00510B7E" w:rsidRDefault="00330493" w:rsidP="00510B7E">
      <w:pPr>
        <w:pStyle w:val="Heading3"/>
      </w:pPr>
      <w:bookmarkStart w:id="17" w:name="_Toc92978878"/>
      <w:r>
        <w:t>Localização geográfica (países-alvo)</w:t>
      </w:r>
      <w:bookmarkEnd w:id="17"/>
    </w:p>
    <w:p w14:paraId="0C43BD80" w14:textId="6FE81E62" w:rsidR="00C76084" w:rsidRDefault="00C76084" w:rsidP="00C76084">
      <w:r>
        <w:t xml:space="preserve">As propostas devem dizer respeito a atividades realizadas nos países elegíveis </w:t>
      </w:r>
      <w:r>
        <w:rPr>
          <w:i/>
        </w:rPr>
        <w:t>(ver supra)</w:t>
      </w:r>
      <w:r>
        <w:t>.</w:t>
      </w:r>
    </w:p>
    <w:p w14:paraId="2B7201A8" w14:textId="071CD026" w:rsidR="0075170E" w:rsidRDefault="0075170E" w:rsidP="0075170E">
      <w:pPr>
        <w:pStyle w:val="Text3"/>
        <w:tabs>
          <w:tab w:val="left" w:pos="567"/>
        </w:tabs>
        <w:ind w:left="0"/>
        <w:rPr>
          <w:b/>
          <w:color w:val="A50021"/>
        </w:rPr>
      </w:pPr>
      <w:r>
        <w:rPr>
          <w:b/>
          <w:color w:val="A50021"/>
        </w:rPr>
        <w:t>CERV-2022-CITIZENS-TOWN-TT – Geminação de Cidades</w:t>
      </w:r>
    </w:p>
    <w:p w14:paraId="4FB65ED9" w14:textId="729AC7F7" w:rsidR="0075170E" w:rsidRDefault="0075170E" w:rsidP="0075170E">
      <w:pPr>
        <w:pStyle w:val="Text3"/>
        <w:tabs>
          <w:tab w:val="left" w:pos="567"/>
        </w:tabs>
        <w:ind w:left="0"/>
        <w:rPr>
          <w:rFonts w:eastAsia="Verdana" w:cs="Verdana"/>
        </w:rPr>
      </w:pPr>
      <w:r>
        <w:t>As atividades devem realizar-se num país elegível que participa no projeto.</w:t>
      </w:r>
    </w:p>
    <w:p w14:paraId="22619C5A" w14:textId="1782A5E2" w:rsidR="0075170E" w:rsidRDefault="0075170E" w:rsidP="0075170E">
      <w:pPr>
        <w:pStyle w:val="Text3"/>
        <w:tabs>
          <w:tab w:val="left" w:pos="567"/>
        </w:tabs>
        <w:ind w:left="0"/>
        <w:rPr>
          <w:b/>
          <w:color w:val="A50021"/>
        </w:rPr>
      </w:pPr>
      <w:r>
        <w:rPr>
          <w:b/>
          <w:color w:val="A50021"/>
        </w:rPr>
        <w:t>CERV-2022-CITIZENS-TOWN-NT - Redes de Cidades</w:t>
      </w:r>
    </w:p>
    <w:p w14:paraId="15B7E34B" w14:textId="77777777" w:rsidR="0075170E" w:rsidRDefault="0075170E" w:rsidP="0075170E">
      <w:r>
        <w:t>As atividades devem realizar-se em, pelo menos, dois países elegíveis diferentes.</w:t>
      </w:r>
    </w:p>
    <w:p w14:paraId="5ED1FBB4" w14:textId="5B3FEB91" w:rsidR="0075170E" w:rsidRDefault="00312A94" w:rsidP="00CC2315">
      <w:pPr>
        <w:pStyle w:val="Heading3"/>
      </w:pPr>
      <w:bookmarkStart w:id="18" w:name="_Toc92978879"/>
      <w:r>
        <w:t>Duração</w:t>
      </w:r>
      <w:bookmarkEnd w:id="18"/>
    </w:p>
    <w:p w14:paraId="2932A4E8" w14:textId="57A7E390" w:rsidR="0075170E" w:rsidRDefault="0075170E" w:rsidP="0075170E">
      <w:pPr>
        <w:pStyle w:val="Text3"/>
        <w:tabs>
          <w:tab w:val="left" w:pos="567"/>
        </w:tabs>
        <w:ind w:left="0"/>
        <w:rPr>
          <w:b/>
          <w:color w:val="A50021"/>
        </w:rPr>
      </w:pPr>
      <w:r>
        <w:rPr>
          <w:b/>
          <w:color w:val="A50021"/>
        </w:rPr>
        <w:t>CERV-2022-CITIZENS-TOWN-TT – Geminação de Cidades</w:t>
      </w:r>
    </w:p>
    <w:p w14:paraId="16ED1FD7" w14:textId="77777777" w:rsidR="0075170E" w:rsidRDefault="0075170E" w:rsidP="0075170E">
      <w:r>
        <w:t>Os projetos devem ter uma duração máxima de 12 meses (são possíveis prorrogações, se devidamente justificadas e através de uma alteração).</w:t>
      </w:r>
    </w:p>
    <w:p w14:paraId="21EB407E" w14:textId="02DDA381" w:rsidR="0075170E" w:rsidRDefault="0075170E" w:rsidP="0075170E">
      <w:pPr>
        <w:pStyle w:val="Text3"/>
        <w:tabs>
          <w:tab w:val="left" w:pos="567"/>
        </w:tabs>
        <w:ind w:left="0"/>
        <w:rPr>
          <w:b/>
          <w:color w:val="A50021"/>
        </w:rPr>
      </w:pPr>
      <w:r>
        <w:rPr>
          <w:b/>
          <w:color w:val="A50021"/>
        </w:rPr>
        <w:t xml:space="preserve">CERV-2022-CITIZENS-TOWN-NT - Redes de Cidades </w:t>
      </w:r>
    </w:p>
    <w:p w14:paraId="5915DCE4" w14:textId="705101FA" w:rsidR="0075170E" w:rsidRPr="00163978" w:rsidRDefault="00D37706" w:rsidP="0075170E">
      <w:r>
        <w:t>Os projetos devem ter uma duração entre 12 e 24 meses (são possíveis prorrogações, se devidamente justificadas e através de uma alteração).</w:t>
      </w:r>
    </w:p>
    <w:p w14:paraId="6E47F135" w14:textId="56E7A647" w:rsidR="007926FA" w:rsidRPr="00F61588" w:rsidRDefault="007926FA" w:rsidP="00510B7E">
      <w:pPr>
        <w:pStyle w:val="Heading3"/>
      </w:pPr>
      <w:bookmarkStart w:id="19" w:name="_Toc92978880"/>
      <w:r>
        <w:t>Ética e valores da UE</w:t>
      </w:r>
      <w:bookmarkEnd w:id="19"/>
    </w:p>
    <w:p w14:paraId="58FD832D" w14:textId="77777777" w:rsidR="007926FA" w:rsidRPr="00F61588" w:rsidRDefault="007926FA" w:rsidP="007926FA">
      <w:pPr>
        <w:pStyle w:val="Text3"/>
        <w:ind w:left="0"/>
        <w:rPr>
          <w:rFonts w:eastAsia="Calibri"/>
          <w:color w:val="000000"/>
        </w:rPr>
      </w:pPr>
      <w:r>
        <w:t>Os projetos devem respeitar:</w:t>
      </w:r>
    </w:p>
    <w:p w14:paraId="109E382E" w14:textId="1126BB4E" w:rsidR="00B703B7" w:rsidRPr="00F61588" w:rsidRDefault="009E08C3" w:rsidP="008B1F42">
      <w:pPr>
        <w:numPr>
          <w:ilvl w:val="0"/>
          <w:numId w:val="33"/>
        </w:numPr>
        <w:spacing w:after="120"/>
        <w:ind w:left="709"/>
        <w:jc w:val="left"/>
      </w:pPr>
      <w:r>
        <w:t xml:space="preserve">os mais elevados padrões éticos, </w:t>
      </w:r>
    </w:p>
    <w:p w14:paraId="20DE0698" w14:textId="52F85922" w:rsidR="00B703B7" w:rsidRPr="00F61588" w:rsidRDefault="00B703B7" w:rsidP="008B1F42">
      <w:pPr>
        <w:numPr>
          <w:ilvl w:val="0"/>
          <w:numId w:val="33"/>
        </w:numPr>
        <w:spacing w:after="120"/>
        <w:ind w:left="709"/>
        <w:jc w:val="left"/>
        <w:rPr>
          <w:sz w:val="24"/>
          <w:szCs w:val="24"/>
        </w:rPr>
      </w:pPr>
      <w:r>
        <w:tab/>
        <w:t xml:space="preserve">os valores da UE baseados no artigo 2.º do Tratado da União Europeia e no artigo 21.º da Carta dos Direitos Fundamentais da UE e </w:t>
      </w:r>
    </w:p>
    <w:p w14:paraId="00AFAC72" w14:textId="1BDBF86B" w:rsidR="00B703B7" w:rsidRPr="00F61588" w:rsidRDefault="00B703B7" w:rsidP="008B1F42">
      <w:pPr>
        <w:numPr>
          <w:ilvl w:val="0"/>
          <w:numId w:val="33"/>
        </w:numPr>
        <w:ind w:left="709" w:hanging="357"/>
        <w:jc w:val="left"/>
        <w:rPr>
          <w:rFonts w:ascii="Calibri" w:eastAsia="Calibri" w:hAnsi="Calibri" w:cs="Calibri"/>
        </w:rPr>
      </w:pPr>
      <w:r>
        <w:t xml:space="preserve">outra legislação aplicável da UE, internacional e nacional (incluindo o Regulamento Geral sobre a Proteção de Dados [Regulamento (UE) </w:t>
      </w:r>
      <w:hyperlink r:id="rId39" w:history="1">
        <w:r>
          <w:rPr>
            <w:rStyle w:val="Hyperlink"/>
          </w:rPr>
          <w:t>2016/679</w:t>
        </w:r>
      </w:hyperlink>
      <w:r>
        <w:t>]).</w:t>
      </w:r>
    </w:p>
    <w:p w14:paraId="4377E80A" w14:textId="77777777" w:rsidR="00E95AAC" w:rsidRPr="00A32077" w:rsidRDefault="00E95AAC" w:rsidP="42BB08A3">
      <w:pPr>
        <w:widowControl w:val="0"/>
        <w:rPr>
          <w:rFonts w:eastAsia="Calibri"/>
          <w:color w:val="000000"/>
        </w:rPr>
      </w:pPr>
      <w:r>
        <w:rPr>
          <w:color w:val="000000"/>
        </w:rPr>
        <w:lastRenderedPageBreak/>
        <w:t xml:space="preserve">Os projetos devem procurar promover a igualdade entre homens e mulheres e a integração da não discriminação em todas as políticas, em conformidade com o </w:t>
      </w:r>
      <w:hyperlink r:id="rId40" w:history="1">
        <w:r>
          <w:rPr>
            <w:rStyle w:val="Hyperlink"/>
          </w:rPr>
          <w:t>Kit de Ferramentas de Integração da Igualdade de Género</w:t>
        </w:r>
      </w:hyperlink>
      <w:r>
        <w:rPr>
          <w:color w:val="000000"/>
        </w:rPr>
        <w:t xml:space="preserve">. As atividades de projeto devem contribuir para a igualdade de poder entre mulheres e homens em toda a sua diversidade, assegurando o alcance de todo o seu potencial e o gozo dos mesmos direitos </w:t>
      </w:r>
      <w:r>
        <w:rPr>
          <w:i/>
          <w:iCs/>
          <w:color w:val="000000"/>
        </w:rPr>
        <w:t xml:space="preserve">(ver </w:t>
      </w:r>
      <w:hyperlink r:id="rId41" w:anchor=":~:text=Non-discrimination%20mainstreaming%20is%20about%20%E2%80%98placing%20equality%20considerations%20at,the%20EU-%20wide%20network%20of%20specialised%20equality%20bodies%29." w:history="1">
        <w:r>
          <w:rPr>
            <w:rStyle w:val="Hyperlink"/>
            <w:i/>
            <w:iCs/>
          </w:rPr>
          <w:t>Non-discrimination mainstreaming instruments, case studies and ways forward [Integração da não discriminação em todas as políticas - instrumentos, estudos de casos e perspetivas futuras]</w:t>
        </w:r>
      </w:hyperlink>
      <w:r>
        <w:rPr>
          <w:i/>
          <w:iCs/>
          <w:color w:val="000000"/>
        </w:rPr>
        <w:t>)</w:t>
      </w:r>
      <w:r>
        <w:rPr>
          <w:color w:val="000000"/>
        </w:rPr>
        <w:t>. Devem igualmente procurar reduzir os níveis de discriminação de que são vítimas determinados grupos (bem como os que correm o risco de discriminação múltipla) e melhorar os resultados em matéria de igualdade para os indivíduos</w:t>
      </w:r>
      <w:r w:rsidRPr="00F61588">
        <w:rPr>
          <w:rStyle w:val="FootnoteReference"/>
          <w:rFonts w:eastAsia="Calibri"/>
          <w:color w:val="000000"/>
          <w:lang w:val="en-IE" w:eastAsia="en-GB"/>
        </w:rPr>
        <w:footnoteReference w:id="18"/>
      </w:r>
      <w:r>
        <w:rPr>
          <w:color w:val="000000"/>
        </w:rPr>
        <w:t xml:space="preserve">. As propostas devem integrar as perspetivas de género e de não discriminação e visar uma representação equilibrada em termos de género nas equipas e atividades de projetos. É igualmente importante que os dados individuais recolhidos pelos beneficiários sejam discriminados por sexo </w:t>
      </w:r>
      <w:r>
        <w:rPr>
          <w:i/>
          <w:iCs/>
          <w:color w:val="000000"/>
        </w:rPr>
        <w:t>(</w:t>
      </w:r>
      <w:hyperlink r:id="rId42" w:history="1">
        <w:r>
          <w:rPr>
            <w:rStyle w:val="Hyperlink"/>
            <w:i/>
            <w:iCs/>
          </w:rPr>
          <w:t>dados discriminados por sexo</w:t>
        </w:r>
      </w:hyperlink>
      <w:r>
        <w:rPr>
          <w:i/>
          <w:iCs/>
          <w:color w:val="000000"/>
        </w:rPr>
        <w:t>)</w:t>
      </w:r>
      <w:r>
        <w:rPr>
          <w:color w:val="000000"/>
        </w:rPr>
        <w:t xml:space="preserve">, deficiência ou idade, sempre que possível. </w:t>
      </w:r>
    </w:p>
    <w:p w14:paraId="28266E90" w14:textId="10C9CFF0" w:rsidR="00E95AAC" w:rsidRDefault="00E95AAC" w:rsidP="42BB08A3">
      <w:pPr>
        <w:widowControl w:val="0"/>
        <w:rPr>
          <w:rFonts w:eastAsia="Calibri"/>
          <w:color w:val="000000"/>
        </w:rPr>
      </w:pPr>
      <w:r>
        <w:t>Os candidatos devem demonstrar na sua candidatura que respeitam os princípios éticos e os valores da UE, com base no artigo 2.º do Tratado da União Europeia e no artigo 21.º da Carta dos Direitos Fundamentais da UE.</w:t>
      </w:r>
      <w:r>
        <w:rPr>
          <w:color w:val="000000"/>
        </w:rPr>
        <w:t xml:space="preserve"> </w:t>
      </w:r>
    </w:p>
    <w:p w14:paraId="293AE190" w14:textId="10223E7A" w:rsidR="008C58B6" w:rsidRPr="00A32077" w:rsidRDefault="008C58B6" w:rsidP="42BB08A3">
      <w:pPr>
        <w:widowControl w:val="0"/>
        <w:rPr>
          <w:rFonts w:eastAsia="Calibri"/>
          <w:color w:val="000000"/>
        </w:rPr>
      </w:pPr>
      <w:r>
        <w:t>Os participantes em atividades que envolvam crianças devem, além disso, dispor de uma política de proteção das crianças que abranja os quatro domínios descritos nas normas de proteção das crianças (</w:t>
      </w:r>
      <w:hyperlink r:id="rId43" w:history="1">
        <w:r>
          <w:rPr>
            <w:rStyle w:val="Hyperlink"/>
            <w:i/>
            <w:iCs/>
          </w:rPr>
          <w:t>Keeping Children Safe Child Safeguarding Standards</w:t>
        </w:r>
      </w:hyperlink>
      <w:r>
        <w:t>)</w:t>
      </w:r>
      <w:r>
        <w:rPr>
          <w:rStyle w:val="Hyperlink"/>
          <w:color w:val="auto"/>
          <w:u w:val="none"/>
        </w:rPr>
        <w:t>.</w:t>
      </w:r>
      <w:r>
        <w:t xml:space="preserve"> Esta política deve estar disponível em linha e ser transparente para todos os que entram em contacto com a organização. Deve incluir informações claras sobre o recrutamento de pessoal (incluindo estagiários e voluntários) e incluir verificações de antecedentes. Deve também incluir procedimentos e regras claros para o pessoal, incluindo regras de apresentação de relatórios, e formação contínua.</w:t>
      </w:r>
    </w:p>
    <w:p w14:paraId="53A471EE" w14:textId="683081E0" w:rsidR="00656CD7" w:rsidRPr="00975A34" w:rsidRDefault="007926FA" w:rsidP="000579AF">
      <w:pPr>
        <w:pStyle w:val="Heading1"/>
        <w:numPr>
          <w:ilvl w:val="0"/>
          <w:numId w:val="54"/>
        </w:numPr>
        <w:tabs>
          <w:tab w:val="left" w:pos="284"/>
        </w:tabs>
        <w:ind w:left="0" w:firstLine="0"/>
      </w:pPr>
      <w:bookmarkStart w:id="20" w:name="_Toc92978881"/>
      <w:r>
        <w:t>Capacidade financeira e operacional e exclusão</w:t>
      </w:r>
      <w:bookmarkEnd w:id="20"/>
    </w:p>
    <w:p w14:paraId="66B3A3A8" w14:textId="77777777" w:rsidR="006E2A2A" w:rsidRPr="00510B7E" w:rsidRDefault="006E2A2A" w:rsidP="00510B7E">
      <w:pPr>
        <w:pStyle w:val="Heading3"/>
      </w:pPr>
      <w:bookmarkStart w:id="21" w:name="_Toc92978882"/>
      <w:r>
        <w:t>Capacidade financeira</w:t>
      </w:r>
      <w:bookmarkEnd w:id="21"/>
    </w:p>
    <w:p w14:paraId="149A48F6" w14:textId="77777777" w:rsidR="006E2A2A" w:rsidRPr="00163978" w:rsidRDefault="00C3565C" w:rsidP="006E2A2A">
      <w:pPr>
        <w:autoSpaceDE w:val="0"/>
        <w:autoSpaceDN w:val="0"/>
        <w:adjustRightInd w:val="0"/>
        <w:rPr>
          <w:rFonts w:cs="Verdana"/>
        </w:rPr>
      </w:pPr>
      <w:r>
        <w:t xml:space="preserve">Os candidatos devem dispor de </w:t>
      </w:r>
      <w:r>
        <w:rPr>
          <w:b/>
        </w:rPr>
        <w:t>recursos estáveis e suficientes</w:t>
      </w:r>
      <w:r>
        <w:t xml:space="preserve"> para executar com êxito os projetos e contribuir com a sua quota-parte. As organizações que participam em vários projetos devem ter capacidade suficiente para executar todos os projetos.</w:t>
      </w:r>
    </w:p>
    <w:p w14:paraId="7DEDD28A" w14:textId="77777777" w:rsidR="006E2A2A" w:rsidRPr="00B57534" w:rsidRDefault="006E2A2A" w:rsidP="006E2A2A">
      <w:pPr>
        <w:autoSpaceDE w:val="0"/>
        <w:autoSpaceDN w:val="0"/>
        <w:adjustRightInd w:val="0"/>
        <w:rPr>
          <w:rFonts w:cs="Verdana"/>
        </w:rPr>
      </w:pPr>
      <w:r>
        <w:rPr>
          <w:color w:val="000000"/>
        </w:rPr>
        <w:t xml:space="preserve">A verificação da capacidade financeira será efetuada com base nos documentos a carregar no </w:t>
      </w:r>
      <w:hyperlink r:id="rId44" w:history="1">
        <w:r>
          <w:rPr>
            <w:rStyle w:val="Hyperlink"/>
          </w:rPr>
          <w:t>Registo de Participantes</w:t>
        </w:r>
      </w:hyperlink>
      <w:r>
        <w:rPr>
          <w:color w:val="000000"/>
        </w:rPr>
        <w:t xml:space="preserve"> durante a preparação da subvenção </w:t>
      </w:r>
      <w:r>
        <w:rPr>
          <w:i/>
          <w:color w:val="000000"/>
        </w:rPr>
        <w:t xml:space="preserve">(por exemplo, </w:t>
      </w:r>
      <w:r>
        <w:rPr>
          <w:i/>
        </w:rPr>
        <w:t>conta de ganhos e perdas e balanço, plano de negócios, relatório de auditoria elaborado por um auditor externo aprovado, certificação das contas do último exercício encerrado, etc.)</w:t>
      </w:r>
      <w:r>
        <w:t>. A análise basear-se-á em indicadores financeiros neutros, mas terá igualmente em conta outros aspetos, como a dependência do financiamento da UE e o défice e as receitas dos anos anteriores.</w:t>
      </w:r>
    </w:p>
    <w:p w14:paraId="27B2FBC9" w14:textId="77777777" w:rsidR="006E2A2A" w:rsidRPr="00B57534" w:rsidRDefault="00736C6F" w:rsidP="006E2A2A">
      <w:pPr>
        <w:autoSpaceDE w:val="0"/>
        <w:autoSpaceDN w:val="0"/>
        <w:adjustRightInd w:val="0"/>
        <w:spacing w:after="120"/>
        <w:rPr>
          <w:rFonts w:cs="Verdana"/>
        </w:rPr>
      </w:pPr>
      <w:r>
        <w:t xml:space="preserve">O controlo será normalmente efetuado para todos os beneficiários, exceto: </w:t>
      </w:r>
    </w:p>
    <w:p w14:paraId="1872070B" w14:textId="6F724904" w:rsidR="006E2A2A" w:rsidRPr="00B57534" w:rsidRDefault="006E2A2A" w:rsidP="008B1F42">
      <w:pPr>
        <w:widowControl w:val="0"/>
        <w:numPr>
          <w:ilvl w:val="0"/>
          <w:numId w:val="34"/>
        </w:numPr>
        <w:spacing w:after="120"/>
        <w:ind w:left="709"/>
        <w:jc w:val="left"/>
        <w:rPr>
          <w:rFonts w:cs="Verdana"/>
        </w:rPr>
      </w:pPr>
      <w:r>
        <w:t>organismos públicos (entidades estabelecidas como organismos de direito público ao abrigo da legislação nacional, incluindo autoridades locais, regionais ou nacionais) ou organizações internacionais,</w:t>
      </w:r>
    </w:p>
    <w:p w14:paraId="6984ED3C" w14:textId="77777777" w:rsidR="006E2A2A" w:rsidRDefault="006E2A2A" w:rsidP="008B1F42">
      <w:pPr>
        <w:widowControl w:val="0"/>
        <w:numPr>
          <w:ilvl w:val="0"/>
          <w:numId w:val="34"/>
        </w:numPr>
        <w:ind w:left="709" w:hanging="357"/>
        <w:rPr>
          <w:rFonts w:cs="Verdana"/>
        </w:rPr>
      </w:pPr>
      <w:r>
        <w:t>se o montante da subvenção individual solicitada não for superior a 60 000 EUR.</w:t>
      </w:r>
    </w:p>
    <w:p w14:paraId="2B8E1880" w14:textId="77777777" w:rsidR="008D31F6" w:rsidRPr="00B57534" w:rsidRDefault="008D31F6" w:rsidP="008D31F6">
      <w:pPr>
        <w:autoSpaceDE w:val="0"/>
        <w:autoSpaceDN w:val="0"/>
        <w:adjustRightInd w:val="0"/>
        <w:rPr>
          <w:rFonts w:cs="Verdana"/>
        </w:rPr>
      </w:pPr>
      <w:r>
        <w:t>Se necessário, poderá também ser efetuado para entidades afiliadas.</w:t>
      </w:r>
    </w:p>
    <w:p w14:paraId="054EAA17" w14:textId="77777777" w:rsidR="006E2A2A" w:rsidRPr="00B57534" w:rsidRDefault="006E2A2A" w:rsidP="006E2A2A">
      <w:pPr>
        <w:autoSpaceDE w:val="0"/>
        <w:autoSpaceDN w:val="0"/>
        <w:adjustRightInd w:val="0"/>
        <w:spacing w:after="120"/>
        <w:rPr>
          <w:rFonts w:cs="Verdana"/>
        </w:rPr>
      </w:pPr>
      <w:r>
        <w:lastRenderedPageBreak/>
        <w:t>Se considerarmos que a sua capacidade financeira não é satisfatória, poderá ser solicitado:</w:t>
      </w:r>
    </w:p>
    <w:p w14:paraId="35DFE1B0" w14:textId="77777777" w:rsidR="006E2A2A" w:rsidRPr="00B57534" w:rsidRDefault="006E2A2A" w:rsidP="008B1F42">
      <w:pPr>
        <w:widowControl w:val="0"/>
        <w:numPr>
          <w:ilvl w:val="0"/>
          <w:numId w:val="35"/>
        </w:numPr>
        <w:spacing w:after="120"/>
        <w:jc w:val="left"/>
        <w:rPr>
          <w:rFonts w:cs="Verdana"/>
        </w:rPr>
      </w:pPr>
      <w:r>
        <w:t>informações adicionais,</w:t>
      </w:r>
    </w:p>
    <w:p w14:paraId="68E1F2A7" w14:textId="77777777" w:rsidR="006E2A2A" w:rsidRPr="003B1582" w:rsidRDefault="006E2A2A" w:rsidP="008B1F42">
      <w:pPr>
        <w:widowControl w:val="0"/>
        <w:numPr>
          <w:ilvl w:val="0"/>
          <w:numId w:val="35"/>
        </w:numPr>
        <w:spacing w:after="120"/>
        <w:jc w:val="left"/>
        <w:rPr>
          <w:rFonts w:cs="Verdana"/>
        </w:rPr>
      </w:pPr>
      <w:r>
        <w:t>um regime de responsabilidade financeira reforçada, ou seja, a responsabilidade conjunta e solidária de todos os beneficiários (</w:t>
      </w:r>
      <w:r>
        <w:rPr>
          <w:i/>
        </w:rPr>
        <w:t>ver secção 10 infra),</w:t>
      </w:r>
    </w:p>
    <w:p w14:paraId="3F26E914" w14:textId="77777777" w:rsidR="006E2A2A" w:rsidRPr="003B1582" w:rsidRDefault="006E2A2A" w:rsidP="008B1F42">
      <w:pPr>
        <w:widowControl w:val="0"/>
        <w:numPr>
          <w:ilvl w:val="0"/>
          <w:numId w:val="35"/>
        </w:numPr>
        <w:spacing w:after="120"/>
        <w:jc w:val="left"/>
        <w:rPr>
          <w:rFonts w:cs="Verdana"/>
        </w:rPr>
      </w:pPr>
      <w:r>
        <w:t xml:space="preserve">pré-financiamento pago em prestações, </w:t>
      </w:r>
    </w:p>
    <w:p w14:paraId="52C87A22" w14:textId="77777777" w:rsidR="006E2A2A" w:rsidRPr="003B1582" w:rsidRDefault="006E2A2A" w:rsidP="008B1F42">
      <w:pPr>
        <w:widowControl w:val="0"/>
        <w:numPr>
          <w:ilvl w:val="0"/>
          <w:numId w:val="35"/>
        </w:numPr>
        <w:spacing w:after="120"/>
        <w:jc w:val="left"/>
        <w:rPr>
          <w:rFonts w:cs="Verdana"/>
        </w:rPr>
      </w:pPr>
      <w:r>
        <w:t xml:space="preserve">(uma ou mais) garantias de pré-financiamento </w:t>
      </w:r>
      <w:r>
        <w:rPr>
          <w:i/>
        </w:rPr>
        <w:t>(ver secção 10 infra),</w:t>
      </w:r>
    </w:p>
    <w:p w14:paraId="70024A55" w14:textId="77777777" w:rsidR="006E2A2A" w:rsidRPr="003B1582" w:rsidRDefault="006E2A2A" w:rsidP="006526A5">
      <w:pPr>
        <w:autoSpaceDE w:val="0"/>
        <w:autoSpaceDN w:val="0"/>
        <w:adjustRightInd w:val="0"/>
        <w:spacing w:after="120"/>
        <w:ind w:left="360"/>
        <w:rPr>
          <w:rFonts w:cs="Verdana"/>
        </w:rPr>
      </w:pPr>
      <w:r>
        <w:t>ou</w:t>
      </w:r>
    </w:p>
    <w:p w14:paraId="22EA92DF" w14:textId="77777777" w:rsidR="006E2A2A" w:rsidRPr="003B1582" w:rsidRDefault="00F82473" w:rsidP="008B1F42">
      <w:pPr>
        <w:widowControl w:val="0"/>
        <w:numPr>
          <w:ilvl w:val="0"/>
          <w:numId w:val="35"/>
        </w:numPr>
        <w:spacing w:after="120"/>
        <w:jc w:val="left"/>
        <w:rPr>
          <w:rFonts w:cs="Verdana"/>
        </w:rPr>
      </w:pPr>
      <w:r>
        <w:t>não propor pré-financiamento,</w:t>
      </w:r>
    </w:p>
    <w:p w14:paraId="1C112F62" w14:textId="77777777" w:rsidR="004872A5" w:rsidRPr="003B1582" w:rsidRDefault="00F82473" w:rsidP="008B1F42">
      <w:pPr>
        <w:widowControl w:val="0"/>
        <w:numPr>
          <w:ilvl w:val="0"/>
          <w:numId w:val="35"/>
        </w:numPr>
        <w:ind w:left="714" w:hanging="357"/>
        <w:jc w:val="left"/>
        <w:rPr>
          <w:rFonts w:cs="Verdana"/>
        </w:rPr>
      </w:pPr>
      <w:r>
        <w:t>que o candidato seja substituído ou, se necessário, que seja rejeitada toda a proposta.</w:t>
      </w:r>
    </w:p>
    <w:p w14:paraId="51C2ADF5" w14:textId="266ECE2F" w:rsidR="004872A5" w:rsidRPr="004872A5" w:rsidRDefault="005A3754" w:rsidP="004872A5">
      <w:pPr>
        <w:autoSpaceDE w:val="0"/>
        <w:autoSpaceDN w:val="0"/>
        <w:adjustRightInd w:val="0"/>
        <w:rPr>
          <w:rFonts w:cs="Verdana"/>
        </w:rPr>
      </w:pPr>
      <w:r>
        <w:rPr>
          <w:noProof/>
          <w:lang w:val="en-IE" w:eastAsia="en-IE"/>
        </w:rPr>
        <w:drawing>
          <wp:inline distT="0" distB="0" distL="0" distR="0" wp14:anchorId="3DE171D9" wp14:editId="51BBA326">
            <wp:extent cx="187960" cy="187960"/>
            <wp:effectExtent l="0" t="0" r="0" b="0"/>
            <wp:docPr id="8" name="Picture 670183101"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0183101" name="Picture 670183101"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t xml:space="preserve"> Para mais informações, </w:t>
      </w:r>
      <w:r>
        <w:rPr>
          <w:i/>
          <w:iCs/>
        </w:rPr>
        <w:t>consultar as</w:t>
      </w:r>
      <w:r>
        <w:t xml:space="preserve"> </w:t>
      </w:r>
      <w:hyperlink r:id="rId45">
        <w:r>
          <w:rPr>
            <w:rStyle w:val="Hyperlink"/>
            <w:i/>
            <w:iCs/>
          </w:rPr>
          <w:t>Regras relativas à validação da entidade jurídica, à designação do LEAR e à avaliação da capacidade financeira</w:t>
        </w:r>
      </w:hyperlink>
      <w:r>
        <w:t xml:space="preserve">. </w:t>
      </w:r>
    </w:p>
    <w:p w14:paraId="3ACB9AAA" w14:textId="77777777" w:rsidR="006E2A2A" w:rsidRPr="00510B7E" w:rsidRDefault="006E2A2A" w:rsidP="00510B7E">
      <w:pPr>
        <w:pStyle w:val="Heading3"/>
      </w:pPr>
      <w:bookmarkStart w:id="22" w:name="_Toc92978883"/>
      <w:r>
        <w:t>Capacidade operacional</w:t>
      </w:r>
      <w:bookmarkEnd w:id="22"/>
    </w:p>
    <w:p w14:paraId="2FF93796" w14:textId="77777777" w:rsidR="006E2A2A" w:rsidRDefault="00C3565C" w:rsidP="006E2A2A">
      <w:pPr>
        <w:pStyle w:val="Text3"/>
        <w:ind w:left="0"/>
      </w:pPr>
      <w:r>
        <w:t xml:space="preserve">Os candidatos devem possuir o </w:t>
      </w:r>
      <w:r>
        <w:rPr>
          <w:b/>
          <w:bCs/>
        </w:rPr>
        <w:t xml:space="preserve">saber-fazer, as qualificações </w:t>
      </w:r>
      <w:r>
        <w:t xml:space="preserve">e os </w:t>
      </w:r>
      <w:r>
        <w:rPr>
          <w:b/>
          <w:bCs/>
        </w:rPr>
        <w:t>recursos</w:t>
      </w:r>
      <w:r>
        <w:t xml:space="preserve"> necessários para executar com êxito os projetos e contribuir com a sua quota-parte (incluindo experiência suficiente em projetos de dimensão e natureza comparáveis). </w:t>
      </w:r>
    </w:p>
    <w:p w14:paraId="2201BC88" w14:textId="782EDE19" w:rsidR="00ED6A73" w:rsidRPr="000540F7" w:rsidRDefault="00B63826" w:rsidP="00B63826">
      <w:pPr>
        <w:pStyle w:val="Text3"/>
        <w:ind w:left="0"/>
      </w:pPr>
      <w:r>
        <w:t xml:space="preserve">Tal capacidade será avaliada juntamente com o critério de atribuição no domínio da «Qualidade», tendo por base a competência e a experiência dos candidatos e das suas equipas de projeto, incluindo os recursos operacionais (humanos, técnicos e outros), ou, excecionalmente, as medidas propostas para a sua obtenção até ao início da execução das tarefas. </w:t>
      </w:r>
    </w:p>
    <w:p w14:paraId="4FA70017" w14:textId="4406A1FB" w:rsidR="00B63826" w:rsidRPr="000540F7" w:rsidRDefault="00B63826" w:rsidP="00B63826">
      <w:pPr>
        <w:pStyle w:val="Text3"/>
        <w:ind w:left="0"/>
        <w:rPr>
          <w:iCs/>
        </w:rPr>
      </w:pPr>
      <w:r>
        <w:t xml:space="preserve">Se a avaliação do critério de atribuição for positiva, considera-se que os candidatos têm capacidade operacional suficiente. </w:t>
      </w:r>
    </w:p>
    <w:p w14:paraId="100BC74F" w14:textId="210545B4" w:rsidR="006E2A2A" w:rsidRPr="00B57534" w:rsidRDefault="006E2A2A" w:rsidP="006E2A2A">
      <w:pPr>
        <w:pStyle w:val="Text3"/>
        <w:spacing w:after="120"/>
        <w:ind w:left="0"/>
        <w:rPr>
          <w:iCs/>
        </w:rPr>
      </w:pPr>
      <w:r>
        <w:t>Os candidatos terão de demonstrar a sua capacidade através das seguintes informações:</w:t>
      </w:r>
    </w:p>
    <w:p w14:paraId="2EE9C956" w14:textId="77777777" w:rsidR="006E2A2A" w:rsidRPr="008B2566" w:rsidRDefault="006E2A2A" w:rsidP="008B1F42">
      <w:pPr>
        <w:widowControl w:val="0"/>
        <w:numPr>
          <w:ilvl w:val="0"/>
          <w:numId w:val="39"/>
        </w:numPr>
        <w:spacing w:after="120"/>
        <w:ind w:left="709"/>
        <w:rPr>
          <w:iCs/>
        </w:rPr>
      </w:pPr>
      <w:r>
        <w:t>perfis gerais (qualificações e experiências) do pessoal responsável pela gestão e execução do projeto,</w:t>
      </w:r>
    </w:p>
    <w:p w14:paraId="59DDC574" w14:textId="11BA162A" w:rsidR="006E2A2A" w:rsidRPr="00B57534" w:rsidRDefault="003D41B5" w:rsidP="008B1F42">
      <w:pPr>
        <w:widowControl w:val="0"/>
        <w:numPr>
          <w:ilvl w:val="0"/>
          <w:numId w:val="39"/>
        </w:numPr>
        <w:spacing w:after="120"/>
        <w:ind w:left="709"/>
        <w:jc w:val="left"/>
        <w:rPr>
          <w:iCs/>
        </w:rPr>
      </w:pPr>
      <w:r>
        <w:t>descrição dos participantes no consórcio (se aplicável),</w:t>
      </w:r>
    </w:p>
    <w:p w14:paraId="636FD13C" w14:textId="34E49CF9" w:rsidR="0091480A" w:rsidRPr="0049436F" w:rsidRDefault="009F0186" w:rsidP="008B1F42">
      <w:pPr>
        <w:widowControl w:val="0"/>
        <w:numPr>
          <w:ilvl w:val="0"/>
          <w:numId w:val="39"/>
        </w:numPr>
        <w:spacing w:after="120"/>
        <w:ind w:left="709"/>
        <w:jc w:val="left"/>
        <w:rPr>
          <w:iCs/>
        </w:rPr>
      </w:pPr>
      <w:r>
        <w:t>lista de projetos anteriores (projetos-chave concretizados nos últimos quatro anos).</w:t>
      </w:r>
    </w:p>
    <w:p w14:paraId="4146F9AB" w14:textId="77777777" w:rsidR="00500DB3" w:rsidRDefault="00FD4F03" w:rsidP="006E2A2A">
      <w:pPr>
        <w:pStyle w:val="Text3"/>
        <w:ind w:left="0"/>
        <w:rPr>
          <w:iCs/>
        </w:rPr>
      </w:pPr>
      <w:r>
        <w:t>Se necessário para confirmar a capacidade operacional do candidato, podem ser solicitados documentos comprovativos adicionais.</w:t>
      </w:r>
    </w:p>
    <w:p w14:paraId="5AE4F088" w14:textId="4829F045" w:rsidR="006E2A2A" w:rsidRDefault="006E2A2A" w:rsidP="006E2A2A">
      <w:pPr>
        <w:pStyle w:val="Text3"/>
        <w:ind w:left="0"/>
        <w:rPr>
          <w:iCs/>
        </w:rPr>
      </w:pPr>
      <w:r>
        <w:t xml:space="preserve">Os organismos públicos, as organizações dos Estados-Membros e as organizações internacionais estão isentos da verificação da capacidade operacional. </w:t>
      </w:r>
    </w:p>
    <w:p w14:paraId="66520A48" w14:textId="77777777" w:rsidR="00276AD7" w:rsidRPr="00510B7E" w:rsidRDefault="00267836" w:rsidP="003466A0">
      <w:pPr>
        <w:pStyle w:val="Heading3"/>
        <w:keepNext/>
        <w:keepLines/>
      </w:pPr>
      <w:bookmarkStart w:id="23" w:name="_Toc92978884"/>
      <w:r>
        <w:t>Exclusão</w:t>
      </w:r>
      <w:bookmarkEnd w:id="23"/>
    </w:p>
    <w:p w14:paraId="746153C7" w14:textId="77777777" w:rsidR="00267836" w:rsidRPr="00163978" w:rsidRDefault="0030065F" w:rsidP="002B5DFF">
      <w:pPr>
        <w:pStyle w:val="Text1"/>
        <w:spacing w:after="120"/>
        <w:ind w:left="0"/>
        <w:rPr>
          <w:rFonts w:eastAsia="Calibri"/>
        </w:rPr>
      </w:pPr>
      <w:r>
        <w:t xml:space="preserve">NÃO podem participar os candidatos objeto de </w:t>
      </w:r>
      <w:r>
        <w:rPr>
          <w:b/>
        </w:rPr>
        <w:t>sanções administrativas da UE</w:t>
      </w:r>
      <w:r>
        <w:t xml:space="preserve"> ou que se encontrem numa das seguintes </w:t>
      </w:r>
      <w:r>
        <w:rPr>
          <w:b/>
        </w:rPr>
        <w:t>situações de exclusão</w:t>
      </w:r>
      <w:r>
        <w:t xml:space="preserve"> que os impeça de receber financiamento da UE</w:t>
      </w:r>
      <w:r w:rsidR="005124D8" w:rsidRPr="00163978">
        <w:rPr>
          <w:rFonts w:eastAsia="SimSun"/>
          <w:vertAlign w:val="superscript"/>
        </w:rPr>
        <w:footnoteReference w:id="19"/>
      </w:r>
      <w:r>
        <w:t>:</w:t>
      </w:r>
    </w:p>
    <w:p w14:paraId="7DBEE11E" w14:textId="77777777" w:rsidR="00267836" w:rsidRPr="006E2A2A" w:rsidRDefault="00267836" w:rsidP="00584316">
      <w:pPr>
        <w:numPr>
          <w:ilvl w:val="3"/>
          <w:numId w:val="19"/>
        </w:numPr>
        <w:snapToGrid w:val="0"/>
        <w:spacing w:after="120"/>
        <w:ind w:left="709"/>
        <w:rPr>
          <w:rFonts w:eastAsia="Calibri"/>
        </w:rPr>
      </w:pPr>
      <w:r>
        <w:lastRenderedPageBreak/>
        <w:t>falência, insolvência ou liquidação, administração de um liquidatário ou administração judicial, acordo com credores, com atividades empresariais suspensas, ou qualquer situação análoga resultante de um processo da mesma natureza (incluindo processos que impliquem pessoas com responsabilidade ilimitada pelas dívidas do candidato),</w:t>
      </w:r>
    </w:p>
    <w:p w14:paraId="1ECF36A2" w14:textId="77777777" w:rsidR="00267836" w:rsidRPr="006E2A2A" w:rsidRDefault="00267836" w:rsidP="00584316">
      <w:pPr>
        <w:numPr>
          <w:ilvl w:val="2"/>
          <w:numId w:val="20"/>
        </w:numPr>
        <w:snapToGrid w:val="0"/>
        <w:spacing w:after="120"/>
        <w:ind w:left="709"/>
        <w:rPr>
          <w:rFonts w:eastAsia="Calibri"/>
        </w:rPr>
      </w:pPr>
      <w:r>
        <w:t>violação de obrigações fiscais ou da segurança social (incluindo incorrida por pessoas com responsabilidade ilimitada pelas dívidas do candidato),</w:t>
      </w:r>
    </w:p>
    <w:p w14:paraId="0E6FACB6" w14:textId="32F9B49C" w:rsidR="00267836" w:rsidRPr="00FE58D1" w:rsidRDefault="00267836" w:rsidP="00584316">
      <w:pPr>
        <w:numPr>
          <w:ilvl w:val="2"/>
          <w:numId w:val="20"/>
        </w:numPr>
        <w:snapToGrid w:val="0"/>
        <w:spacing w:after="120"/>
        <w:ind w:left="709"/>
        <w:rPr>
          <w:rFonts w:eastAsia="Calibri"/>
        </w:rPr>
      </w:pPr>
      <w:r>
        <w:t>culpado de falta profissional grave</w:t>
      </w:r>
      <w:r w:rsidRPr="006E2A2A">
        <w:rPr>
          <w:rFonts w:eastAsia="Calibri"/>
          <w:vertAlign w:val="superscript"/>
          <w:lang w:eastAsia="zh-CN"/>
        </w:rPr>
        <w:footnoteReference w:id="20"/>
      </w:r>
      <w:r>
        <w:t xml:space="preserve"> (incluindo cometida por pessoas com poderes de representação, de decisão ou de controlo, beneficiários efetivos ou pessoas essenciais para a concessão/execução da subvenção), </w:t>
      </w:r>
    </w:p>
    <w:p w14:paraId="0465AD17" w14:textId="74F042D4" w:rsidR="00267836" w:rsidRPr="006E38A9" w:rsidRDefault="00FE58D1" w:rsidP="00584316">
      <w:pPr>
        <w:numPr>
          <w:ilvl w:val="2"/>
          <w:numId w:val="20"/>
        </w:numPr>
        <w:snapToGrid w:val="0"/>
        <w:spacing w:after="120"/>
        <w:ind w:left="709"/>
        <w:rPr>
          <w:rFonts w:eastAsia="Calibri"/>
        </w:rPr>
      </w:pPr>
      <w:r>
        <w:t>fraude, corrupção, ligações a organização criminosa, branqueamento de capitais, crimes relacionados com o terrorismo (incluindo o financiamento do terrorismo), trabalho infantil ou tráfico de seres humanos (incluindo se cometidos por pessoas com poderes de representação, de decisão ou de controlo, beneficiários efetivos ou pessoas essenciais para a concessão/execução da subvenção),</w:t>
      </w:r>
    </w:p>
    <w:p w14:paraId="4BAE0C78" w14:textId="1064C024" w:rsidR="00267836" w:rsidRPr="006E38A9" w:rsidRDefault="00267836" w:rsidP="00584316">
      <w:pPr>
        <w:numPr>
          <w:ilvl w:val="1"/>
          <w:numId w:val="19"/>
        </w:numPr>
        <w:snapToGrid w:val="0"/>
        <w:spacing w:after="120"/>
        <w:ind w:left="709" w:hanging="357"/>
        <w:rPr>
          <w:rFonts w:eastAsia="Calibri"/>
        </w:rPr>
      </w:pPr>
      <w:r>
        <w:t>revelação de deficiências significativas no cumprimento das principais obrigações decorrentes de um contrato público, convenção de subvenção, prémio, contrato de perito ou similares da UE (incluindo por pessoas com poderes de representação, de decisão ou de controlo, beneficiários efetivos ou pessoas que sejam essenciais para a concessão/execução da subvenção),</w:t>
      </w:r>
    </w:p>
    <w:p w14:paraId="6F212B83" w14:textId="53D2A32B" w:rsidR="00E94DFF" w:rsidRDefault="00267836" w:rsidP="00584316">
      <w:pPr>
        <w:numPr>
          <w:ilvl w:val="1"/>
          <w:numId w:val="19"/>
        </w:numPr>
        <w:snapToGrid w:val="0"/>
        <w:ind w:left="709" w:hanging="357"/>
        <w:rPr>
          <w:rFonts w:eastAsia="Calibri"/>
        </w:rPr>
      </w:pPr>
      <w:r>
        <w:t xml:space="preserve">culpado de irregularidades, na aceção do artigo 1.º, n.º 2, do Regulamento (CE) n.º </w:t>
      </w:r>
      <w:hyperlink r:id="rId46" w:history="1">
        <w:r>
          <w:rPr>
            <w:rStyle w:val="Hyperlink"/>
          </w:rPr>
          <w:t>2988/95</w:t>
        </w:r>
      </w:hyperlink>
      <w:r w:rsidR="006B6BF5">
        <w:t xml:space="preserve"> </w:t>
      </w:r>
      <w:r>
        <w:t xml:space="preserve"> (incluindo cometidas por pessoas com poderes de representação, de decisão ou de controlo, beneficiários efetivos ou pessoas essenciais para a concessão/ execução da convenção),</w:t>
      </w:r>
    </w:p>
    <w:p w14:paraId="668F2B36" w14:textId="65F190E1" w:rsidR="00276AD7" w:rsidRDefault="00E94DFF" w:rsidP="00584316">
      <w:pPr>
        <w:numPr>
          <w:ilvl w:val="1"/>
          <w:numId w:val="19"/>
        </w:numPr>
        <w:snapToGrid w:val="0"/>
        <w:ind w:left="709" w:hanging="357"/>
        <w:rPr>
          <w:rFonts w:eastAsia="Calibri"/>
        </w:rPr>
      </w:pPr>
      <w:r>
        <w:t>criado sob uma jurisdição diferente com a intenção de contornar obrigações fiscais, sociais ou outras obrigações legais no país de origem ou criado outra entidade para esse efeito (incluindo por pessoas com poderes de representação, de decisão ou de controlo, beneficiários efetivos ou pessoas que sejam essenciais para a concessão/execução da subvenção).</w:t>
      </w:r>
    </w:p>
    <w:p w14:paraId="1D79A2BE" w14:textId="77777777" w:rsidR="000844D0" w:rsidRPr="00B57534" w:rsidRDefault="000844D0" w:rsidP="00F81E91">
      <w:pPr>
        <w:snapToGrid w:val="0"/>
      </w:pPr>
      <w:r>
        <w:t>Os candidatos serão igualmente recusados se se verificar que</w:t>
      </w:r>
      <w:r w:rsidR="00C9027A" w:rsidRPr="00C9027A">
        <w:rPr>
          <w:rStyle w:val="FootnoteReference"/>
          <w:rFonts w:eastAsia="Calibri"/>
          <w:lang w:eastAsia="zh-CN"/>
        </w:rPr>
        <w:footnoteReference w:id="21"/>
      </w:r>
      <w:r>
        <w:t xml:space="preserve">: </w:t>
      </w:r>
    </w:p>
    <w:p w14:paraId="6555470F" w14:textId="77777777" w:rsidR="000844D0" w:rsidRPr="004A47F3" w:rsidRDefault="00B7081A" w:rsidP="00584316">
      <w:pPr>
        <w:pStyle w:val="Default"/>
        <w:numPr>
          <w:ilvl w:val="0"/>
          <w:numId w:val="21"/>
        </w:numPr>
        <w:spacing w:after="200"/>
        <w:jc w:val="both"/>
        <w:rPr>
          <w:rFonts w:ascii="Verdana" w:hAnsi="Verdana"/>
          <w:sz w:val="20"/>
          <w:szCs w:val="20"/>
        </w:rPr>
      </w:pPr>
      <w:r>
        <w:rPr>
          <w:rFonts w:ascii="Verdana" w:hAnsi="Verdana"/>
          <w:sz w:val="20"/>
          <w:szCs w:val="20"/>
        </w:rPr>
        <w:t xml:space="preserve">durante o processo de atribuição deturparam as informações exigidas como condição de participação ou não forneceram essas informações, </w:t>
      </w:r>
    </w:p>
    <w:p w14:paraId="1393E75D" w14:textId="77777777" w:rsidR="00C93C87" w:rsidRDefault="00B7081A" w:rsidP="00584316">
      <w:pPr>
        <w:pStyle w:val="Default"/>
        <w:numPr>
          <w:ilvl w:val="0"/>
          <w:numId w:val="21"/>
        </w:numPr>
        <w:spacing w:after="200"/>
        <w:jc w:val="both"/>
        <w:rPr>
          <w:rFonts w:ascii="Verdana" w:hAnsi="Verdana"/>
          <w:sz w:val="20"/>
          <w:szCs w:val="20"/>
        </w:rPr>
      </w:pPr>
      <w:r>
        <w:rPr>
          <w:rFonts w:ascii="Verdana" w:hAnsi="Verdana"/>
          <w:sz w:val="20"/>
          <w:szCs w:val="20"/>
        </w:rPr>
        <w:t>anteriormente, estiveram envolvidos na preparação do convite à apresentação de propostas e que tal implica uma distorção da concorrência que não pode ser resolvida de outra forma (conflito de interesses).</w:t>
      </w:r>
    </w:p>
    <w:p w14:paraId="52FA627E" w14:textId="6564E345" w:rsidR="0076737E" w:rsidRPr="00975A34" w:rsidRDefault="00510B7E" w:rsidP="003466A0">
      <w:pPr>
        <w:pStyle w:val="Heading1"/>
        <w:keepNext/>
        <w:keepLines/>
        <w:numPr>
          <w:ilvl w:val="0"/>
          <w:numId w:val="54"/>
        </w:numPr>
        <w:tabs>
          <w:tab w:val="left" w:pos="284"/>
        </w:tabs>
        <w:ind w:left="0" w:firstLine="0"/>
      </w:pPr>
      <w:bookmarkStart w:id="24" w:name="_Toc92978885"/>
      <w:r>
        <w:t>Procedimento de avaliação e atribuição</w:t>
      </w:r>
      <w:bookmarkEnd w:id="24"/>
    </w:p>
    <w:p w14:paraId="4AEDF33E" w14:textId="2A21C125" w:rsidR="001A2CE3" w:rsidRPr="001A2CE3" w:rsidRDefault="001E6C28" w:rsidP="001A2CE3">
      <w:r>
        <w:t xml:space="preserve">As propostas têm de seguir o </w:t>
      </w:r>
      <w:r>
        <w:rPr>
          <w:b/>
        </w:rPr>
        <w:t>procedimento normal de apresentação e avaliação</w:t>
      </w:r>
      <w:r>
        <w:t xml:space="preserve"> (uma fase de apresentação + uma fase de avaliação). </w:t>
      </w:r>
    </w:p>
    <w:p w14:paraId="1D076F53" w14:textId="1FE6714E" w:rsidR="00BD67F7" w:rsidRPr="00163978" w:rsidRDefault="00593F0C" w:rsidP="0015357F">
      <w:r>
        <w:t xml:space="preserve">Um </w:t>
      </w:r>
      <w:r>
        <w:rPr>
          <w:b/>
        </w:rPr>
        <w:t>comité de avaliação</w:t>
      </w:r>
      <w:r>
        <w:t xml:space="preserve"> (assistido por peritos externos independentes) avaliará todas as candidaturas. As propostas serão previamente verificadas quanto aos requisitos formais (admissibilidade e elegibilidade, </w:t>
      </w:r>
      <w:r>
        <w:rPr>
          <w:i/>
        </w:rPr>
        <w:t>ver secções 5 e 6</w:t>
      </w:r>
      <w:r>
        <w:t xml:space="preserve">). As propostas consideradas admissíveis e elegíveis serão avaliadas (para cada tema) em função da capacidade </w:t>
      </w:r>
      <w:r>
        <w:lastRenderedPageBreak/>
        <w:t xml:space="preserve">operacional e dos critérios de adjudicação </w:t>
      </w:r>
      <w:r>
        <w:rPr>
          <w:i/>
        </w:rPr>
        <w:t>(ver secções 7 e 9)</w:t>
      </w:r>
      <w:r>
        <w:t xml:space="preserve"> e seguidamente classificadas em função das suas pontuações.</w:t>
      </w:r>
    </w:p>
    <w:p w14:paraId="4BC27C4D" w14:textId="77777777" w:rsidR="00BE09D3" w:rsidRDefault="00500DB3" w:rsidP="00211623">
      <w:pPr>
        <w:autoSpaceDE w:val="0"/>
        <w:autoSpaceDN w:val="0"/>
        <w:adjustRightInd w:val="0"/>
        <w:rPr>
          <w:rFonts w:cs="Arial"/>
        </w:rPr>
      </w:pPr>
      <w:r>
        <w:t xml:space="preserve">Para as propostas com a mesma pontuação (no âmbito de um mesmo tema ou envelope financeiro), será determinada uma </w:t>
      </w:r>
      <w:r>
        <w:rPr>
          <w:b/>
        </w:rPr>
        <w:t>ordem de prioridade</w:t>
      </w:r>
      <w:r>
        <w:t xml:space="preserve"> de acordo com a seguinte abordagem: </w:t>
      </w:r>
    </w:p>
    <w:p w14:paraId="7F276C70" w14:textId="4CF76B9F" w:rsidR="00500DB3" w:rsidRPr="009945CC" w:rsidRDefault="00BE09D3" w:rsidP="00BD5FB0">
      <w:pPr>
        <w:autoSpaceDE w:val="0"/>
        <w:autoSpaceDN w:val="0"/>
        <w:adjustRightInd w:val="0"/>
        <w:ind w:left="284"/>
        <w:rPr>
          <w:rFonts w:cs="Arial"/>
        </w:rPr>
      </w:pPr>
      <w:r>
        <w:t xml:space="preserve">Sucessivamente para cada grupo de propostas </w:t>
      </w:r>
      <w:r>
        <w:rPr>
          <w:i/>
          <w:iCs/>
        </w:rPr>
        <w:t>ex aequo</w:t>
      </w:r>
      <w:r>
        <w:t xml:space="preserve">, começando pelo grupo com a classificação mais elevada e prosseguindo por ordem decrescente: </w:t>
      </w:r>
    </w:p>
    <w:p w14:paraId="63274A2E" w14:textId="3280FD8A" w:rsidR="00500DB3" w:rsidRPr="006F137B" w:rsidRDefault="00500DB3" w:rsidP="00584316">
      <w:pPr>
        <w:numPr>
          <w:ilvl w:val="0"/>
          <w:numId w:val="30"/>
        </w:numPr>
        <w:autoSpaceDE w:val="0"/>
        <w:autoSpaceDN w:val="0"/>
        <w:adjustRightInd w:val="0"/>
        <w:ind w:left="714" w:hanging="357"/>
        <w:rPr>
          <w:rFonts w:cs="Arial"/>
        </w:rPr>
      </w:pPr>
      <w:r>
        <w:t xml:space="preserve">As propostas </w:t>
      </w:r>
      <w:r>
        <w:rPr>
          <w:i/>
          <w:iCs/>
        </w:rPr>
        <w:t>ex aequo</w:t>
      </w:r>
      <w:r>
        <w:t xml:space="preserve"> dentro do mesmo tema serão priorizadas de acordo com as pontuações que lhes forem atribuídas no critério de atribuição «Relevância». Quando estas pontuações forem iguais, a prioridade basear-se-á nas pontuações no critério «Qualidade». Quando estas pontuações forem iguais, a prioridade basear-se-á nas pontuações no critério «Impacto». </w:t>
      </w:r>
    </w:p>
    <w:p w14:paraId="309BB099" w14:textId="0A549492" w:rsidR="00A53E20" w:rsidRDefault="00510B7E" w:rsidP="00A32077">
      <w:pPr>
        <w:shd w:val="clear" w:color="auto" w:fill="FFFFFF"/>
      </w:pPr>
      <w:r>
        <w:t>Todos os candidatos serão informados do resultado da avaliação (</w:t>
      </w:r>
      <w:r>
        <w:rPr>
          <w:b/>
          <w:bCs/>
        </w:rPr>
        <w:t>carta de resultados da avaliação</w:t>
      </w:r>
      <w:r>
        <w:t xml:space="preserve">). As propostas selecionadas serão convidadas a preparar-se para a subvenção; as demais serão inscritas na lista de reserva ou rejeitadas. </w:t>
      </w:r>
    </w:p>
    <w:p w14:paraId="300D5057" w14:textId="45043F45" w:rsidR="006004D2" w:rsidRPr="006F137B" w:rsidRDefault="005A3754" w:rsidP="006004D2">
      <w:pPr>
        <w:ind w:right="-31"/>
      </w:pPr>
      <w:r>
        <w:rPr>
          <w:noProof/>
          <w:lang w:val="en-IE" w:eastAsia="en-IE"/>
        </w:rPr>
        <w:drawing>
          <wp:inline distT="0" distB="0" distL="0" distR="0" wp14:anchorId="0CD967B4" wp14:editId="6D17CC44">
            <wp:extent cx="187960" cy="187960"/>
            <wp:effectExtent l="0" t="0" r="0" b="0"/>
            <wp:docPr id="9" name="Picture 5487983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8798370"/>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t xml:space="preserve"> Ausência de compromisso de financiamento — o convite para a preparação para a subvenção NÃO constitui um compromisso formal de financiamento. Ainda são necessárias várias verificações legais antes da concessão da subvenção: </w:t>
      </w:r>
      <w:r>
        <w:rPr>
          <w:i/>
          <w:iCs/>
        </w:rPr>
        <w:t>validação da entidade jurídica, capacidade financeira, verificação da exclusão, etc.</w:t>
      </w:r>
    </w:p>
    <w:p w14:paraId="3A6DC8C6" w14:textId="25AE1349" w:rsidR="002B5DFF" w:rsidRDefault="002B5DFF" w:rsidP="002B5DFF">
      <w:pPr>
        <w:ind w:right="-31"/>
      </w:pPr>
      <w:r>
        <w:t xml:space="preserve">A </w:t>
      </w:r>
      <w:r>
        <w:rPr>
          <w:b/>
        </w:rPr>
        <w:t>preparação para a subvenção</w:t>
      </w:r>
      <w:r>
        <w:t xml:space="preserve"> consiste num diálogo para aperfeiçoamento de aspetos técnicos ou financeiros do projeto e pode exigir informações complementares da parte do proponente. Pode incluir igualmente ajustamentos da proposta, no seguimento de recomendações do comité de avaliação ou por outras razões. A conformidade constitui uma condição prévia para a assinatura da subvenção.</w:t>
      </w:r>
    </w:p>
    <w:p w14:paraId="20BC1964" w14:textId="77777777" w:rsidR="006004D2" w:rsidRPr="002B5DFF" w:rsidRDefault="006004D2" w:rsidP="002B5DFF">
      <w:pPr>
        <w:ind w:right="-31"/>
      </w:pPr>
      <w:r>
        <w:t xml:space="preserve">Se considerar que o procedimento de avaliação foi incorreto, pode apresentar uma </w:t>
      </w:r>
      <w:r>
        <w:rPr>
          <w:b/>
        </w:rPr>
        <w:t>reclamação</w:t>
      </w:r>
      <w:r>
        <w:t xml:space="preserve"> (respeitando os prazos e os procedimentos estabelecidos na carta de resultados da avaliação). Importa notar que as notificações que não tenham sido abertas no prazo de 10 dias a contar da data de envio são consideradas como tendo sido acedidas e que os prazos serão contados a partir da abertura/acesso </w:t>
      </w:r>
      <w:r>
        <w:rPr>
          <w:i/>
        </w:rPr>
        <w:t xml:space="preserve">(ver igualmente </w:t>
      </w:r>
      <w:hyperlink r:id="rId47" w:history="1">
        <w:r>
          <w:rPr>
            <w:rStyle w:val="Hyperlink"/>
            <w:i/>
          </w:rPr>
          <w:t>Termos e condições do Portal de Financiamento e Concursos</w:t>
        </w:r>
      </w:hyperlink>
      <w:r>
        <w:rPr>
          <w:i/>
        </w:rPr>
        <w:t>)</w:t>
      </w:r>
      <w:r>
        <w:t>. Convém ainda ter em conta que, para as queixas apresentadas eletronicamente, podem existir limitações de carateres.</w:t>
      </w:r>
    </w:p>
    <w:p w14:paraId="6B26D36A" w14:textId="263DE822" w:rsidR="00417F25" w:rsidRPr="00975A34" w:rsidRDefault="00417F25" w:rsidP="000579AF">
      <w:pPr>
        <w:pStyle w:val="Heading1"/>
        <w:numPr>
          <w:ilvl w:val="0"/>
          <w:numId w:val="54"/>
        </w:numPr>
        <w:tabs>
          <w:tab w:val="left" w:pos="284"/>
        </w:tabs>
        <w:ind w:left="0" w:firstLine="0"/>
      </w:pPr>
      <w:bookmarkStart w:id="25" w:name="_Toc92978886"/>
      <w:r>
        <w:t>Critérios de atribuição</w:t>
      </w:r>
      <w:bookmarkEnd w:id="25"/>
    </w:p>
    <w:p w14:paraId="71E5D15E" w14:textId="6A12DD70" w:rsidR="00417F25" w:rsidRDefault="00510B7E" w:rsidP="00417F25">
      <w:pPr>
        <w:pStyle w:val="Text1"/>
        <w:ind w:left="0"/>
        <w:rPr>
          <w:rFonts w:cs="Arial"/>
        </w:rPr>
      </w:pPr>
      <w:r>
        <w:t xml:space="preserve">Os </w:t>
      </w:r>
      <w:r>
        <w:rPr>
          <w:b/>
        </w:rPr>
        <w:t xml:space="preserve">critérios de atribuição </w:t>
      </w:r>
      <w:r>
        <w:t>do presente convite são os seguintes:</w:t>
      </w:r>
    </w:p>
    <w:p w14:paraId="75369EF4" w14:textId="1A7F2DAF" w:rsidR="00C3341E" w:rsidRPr="006F137B" w:rsidRDefault="00C3341E" w:rsidP="42BB08A3">
      <w:pPr>
        <w:numPr>
          <w:ilvl w:val="0"/>
          <w:numId w:val="22"/>
        </w:numPr>
        <w:spacing w:line="259" w:lineRule="auto"/>
        <w:ind w:left="720"/>
        <w:rPr>
          <w:rFonts w:cs="Arial"/>
        </w:rPr>
      </w:pPr>
      <w:r>
        <w:rPr>
          <w:b/>
          <w:bCs/>
          <w:color w:val="A50021"/>
        </w:rPr>
        <w:t>Relevância:</w:t>
      </w:r>
      <w:r>
        <w:t xml:space="preserve"> em que medida a proposta corresponde às prioridades e aos objetivos do convite à apresentação de propostas; necessidades claramente definidas e avaliação sólida das necessidades; grupo-alvo claramente definido, tendo devidamente em conta a perspetiva de género; contribuição para o contexto estratégico e legislativo da UE; dimensão europeia/transnacional; impacto/juros para vários países (UE ou países terceiros elegíveis); possibilidade de utilizar os resultados noutros países (potencial de transferência de boas práticas); potencial de desenvolvimento de confiança mútua/cooperação transfronteiriça. </w:t>
      </w:r>
      <w:r>
        <w:rPr>
          <w:color w:val="4AA55B"/>
          <w:sz w:val="19"/>
          <w:szCs w:val="19"/>
        </w:rPr>
        <w:t>(40 pontos)</w:t>
      </w:r>
    </w:p>
    <w:p w14:paraId="0B54B54E" w14:textId="5C3C8A79" w:rsidR="0036370D" w:rsidRPr="0036370D" w:rsidRDefault="00C3341E" w:rsidP="42BB08A3">
      <w:pPr>
        <w:numPr>
          <w:ilvl w:val="0"/>
          <w:numId w:val="22"/>
        </w:numPr>
        <w:ind w:left="720"/>
        <w:rPr>
          <w:rFonts w:cs="Arial"/>
        </w:rPr>
      </w:pPr>
      <w:r>
        <w:rPr>
          <w:b/>
          <w:bCs/>
          <w:color w:val="A50021"/>
        </w:rPr>
        <w:t>Qualidade:</w:t>
      </w:r>
      <w:r>
        <w:t xml:space="preserve"> clareza e coerência do projeto; ligações lógicas entre os problemas, necessidades e soluções identificados (conceito de quadro lógico); metodologia para a execução do projeto tendo devidamente em conta a perspetiva de género (organização do trabalho, calendário, afetação de recursos e distribuição de </w:t>
      </w:r>
      <w:r>
        <w:lastRenderedPageBreak/>
        <w:t xml:space="preserve">tarefas entre parceiros, riscos e gestão de riscos, acompanhamento e avaliação); abordagem das questões éticas; viabilidade do projeto dentro do prazo proposto. </w:t>
      </w:r>
      <w:r>
        <w:rPr>
          <w:color w:val="4AA55B"/>
          <w:sz w:val="19"/>
          <w:szCs w:val="19"/>
        </w:rPr>
        <w:t>(40 pontos)</w:t>
      </w:r>
    </w:p>
    <w:p w14:paraId="245A3914" w14:textId="174240EB" w:rsidR="00417F25" w:rsidRPr="0072792C" w:rsidRDefault="00C3341E" w:rsidP="42BB08A3">
      <w:pPr>
        <w:numPr>
          <w:ilvl w:val="0"/>
          <w:numId w:val="22"/>
        </w:numPr>
        <w:ind w:left="720"/>
        <w:rPr>
          <w:rFonts w:cs="Arial"/>
        </w:rPr>
      </w:pPr>
      <w:r>
        <w:rPr>
          <w:b/>
          <w:bCs/>
          <w:color w:val="A50021"/>
        </w:rPr>
        <w:t>Impacto:</w:t>
      </w:r>
      <w:r>
        <w:rPr>
          <w:color w:val="A50021"/>
        </w:rPr>
        <w:t xml:space="preserve"> </w:t>
      </w:r>
      <w:r>
        <w:t xml:space="preserve">ambição e impacto esperado a longo prazo dos resultados nos grupos-alvo/público em geral; estratégia de divulgação adequada para garantir a sustentabilidade e o impacto a longo prazo; potencial para um efeito multiplicador positivo; sustentabilidade dos resultados após o fim do financiamento da UE. </w:t>
      </w:r>
      <w:r>
        <w:rPr>
          <w:color w:val="4AA55B"/>
          <w:sz w:val="19"/>
          <w:szCs w:val="19"/>
        </w:rPr>
        <w:t>(20 pontos)</w:t>
      </w:r>
    </w:p>
    <w:tbl>
      <w:tblPr>
        <w:tblpPr w:leftFromText="180" w:rightFromText="180" w:vertAnchor="text" w:tblpX="358"/>
        <w:tblW w:w="8539"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CellMar>
          <w:left w:w="0" w:type="dxa"/>
          <w:right w:w="0" w:type="dxa"/>
        </w:tblCellMar>
        <w:tblLook w:val="04A0" w:firstRow="1" w:lastRow="0" w:firstColumn="1" w:lastColumn="0" w:noHBand="0" w:noVBand="1"/>
      </w:tblPr>
      <w:tblGrid>
        <w:gridCol w:w="5980"/>
        <w:gridCol w:w="1251"/>
        <w:gridCol w:w="1308"/>
      </w:tblGrid>
      <w:tr w:rsidR="00417F25" w14:paraId="40C13E7F"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344C7228" w14:textId="77777777" w:rsidR="00417F25" w:rsidRPr="00B85204" w:rsidRDefault="00417F25" w:rsidP="00417F25">
            <w:pPr>
              <w:spacing w:before="120" w:after="120"/>
              <w:rPr>
                <w:rFonts w:cs="Arial"/>
                <w:color w:val="595959"/>
                <w:sz w:val="16"/>
                <w:szCs w:val="16"/>
              </w:rPr>
            </w:pPr>
            <w:r>
              <w:rPr>
                <w:b/>
                <w:bCs/>
                <w:color w:val="000000"/>
                <w:sz w:val="16"/>
                <w:szCs w:val="16"/>
              </w:rPr>
              <w:t>Critérios de atribuição</w:t>
            </w:r>
          </w:p>
        </w:tc>
        <w:tc>
          <w:tcPr>
            <w:tcW w:w="1251"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73C443B7" w14:textId="77777777" w:rsidR="00417F25" w:rsidRPr="00B85204" w:rsidRDefault="00417F25" w:rsidP="7EABDF9A">
            <w:pPr>
              <w:spacing w:before="120" w:after="120"/>
              <w:jc w:val="center"/>
              <w:rPr>
                <w:rFonts w:cs="Arial"/>
                <w:b/>
                <w:bCs/>
                <w:color w:val="595959"/>
                <w:sz w:val="16"/>
                <w:szCs w:val="16"/>
              </w:rPr>
            </w:pPr>
            <w:r>
              <w:rPr>
                <w:b/>
                <w:bCs/>
                <w:color w:val="000000"/>
                <w:sz w:val="16"/>
                <w:szCs w:val="16"/>
              </w:rPr>
              <w:t>Pontuação mínima de aprovação</w:t>
            </w:r>
          </w:p>
        </w:tc>
        <w:tc>
          <w:tcPr>
            <w:tcW w:w="1308"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B66C5DB" w14:textId="77777777" w:rsidR="00417F25" w:rsidRPr="00B85204" w:rsidRDefault="00417F25" w:rsidP="00417F25">
            <w:pPr>
              <w:spacing w:before="120" w:after="120"/>
              <w:jc w:val="center"/>
              <w:rPr>
                <w:rFonts w:cs="Arial"/>
                <w:b/>
                <w:bCs/>
                <w:color w:val="595959"/>
                <w:sz w:val="16"/>
              </w:rPr>
            </w:pPr>
            <w:r>
              <w:rPr>
                <w:b/>
                <w:bCs/>
                <w:color w:val="595959"/>
                <w:sz w:val="16"/>
              </w:rPr>
              <w:t>Pontuação máxima</w:t>
            </w:r>
          </w:p>
        </w:tc>
      </w:tr>
      <w:tr w:rsidR="00417F25" w14:paraId="46BB364E"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5087631B" w14:textId="77777777" w:rsidR="00417F25" w:rsidRPr="00B85204" w:rsidRDefault="00417F25" w:rsidP="00417F25">
            <w:pPr>
              <w:spacing w:before="120" w:after="120"/>
              <w:rPr>
                <w:rFonts w:cs="Arial"/>
                <w:color w:val="595959"/>
                <w:sz w:val="16"/>
              </w:rPr>
            </w:pPr>
            <w:r>
              <w:rPr>
                <w:color w:val="595959"/>
                <w:sz w:val="16"/>
              </w:rPr>
              <w:t xml:space="preserve">Relevância </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4F1DBE5" w14:textId="0E8D0D50" w:rsidR="00417F25" w:rsidRPr="00163978" w:rsidRDefault="77501A39" w:rsidP="006F137B">
            <w:pPr>
              <w:spacing w:before="120" w:after="120"/>
              <w:jc w:val="center"/>
              <w:rPr>
                <w:rFonts w:cs="Arial"/>
                <w:vanish/>
                <w:color w:val="595959"/>
                <w:sz w:val="16"/>
                <w:szCs w:val="16"/>
              </w:rPr>
            </w:pPr>
            <w:r>
              <w:rPr>
                <w:vanish/>
                <w:color w:val="595959"/>
                <w:sz w:val="16"/>
                <w:szCs w:val="16"/>
              </w:rPr>
              <w:t>25</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D8DDF44" w14:textId="10FBECA7" w:rsidR="00417F25" w:rsidRPr="00163978" w:rsidRDefault="7A1506A9" w:rsidP="006F137B">
            <w:pPr>
              <w:spacing w:before="120" w:after="120" w:line="259" w:lineRule="auto"/>
              <w:jc w:val="center"/>
              <w:rPr>
                <w:vanish/>
                <w:sz w:val="16"/>
                <w:szCs w:val="16"/>
              </w:rPr>
            </w:pPr>
            <w:r>
              <w:rPr>
                <w:vanish/>
                <w:color w:val="000000"/>
                <w:sz w:val="16"/>
                <w:szCs w:val="16"/>
              </w:rPr>
              <w:t>40</w:t>
            </w:r>
          </w:p>
        </w:tc>
      </w:tr>
      <w:tr w:rsidR="00417F25" w14:paraId="3973431E"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171F18E4" w14:textId="77777777" w:rsidR="00417F25" w:rsidRPr="00B85204" w:rsidRDefault="00417F25" w:rsidP="00417F25">
            <w:pPr>
              <w:spacing w:before="120" w:after="120"/>
              <w:rPr>
                <w:rFonts w:cs="Arial"/>
                <w:color w:val="595959"/>
                <w:sz w:val="16"/>
                <w:vertAlign w:val="superscript"/>
              </w:rPr>
            </w:pPr>
            <w:r>
              <w:rPr>
                <w:color w:val="595959"/>
                <w:sz w:val="16"/>
              </w:rPr>
              <w:t>Qualidade — Conceção e execução dos projetos</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1F0AB268" w14:textId="46CF4D50" w:rsidR="00417F25" w:rsidRPr="00A32077" w:rsidRDefault="001411B2" w:rsidP="42BB08A3">
            <w:pPr>
              <w:spacing w:before="120" w:after="120"/>
              <w:jc w:val="center"/>
              <w:rPr>
                <w:rFonts w:cs="Arial"/>
                <w:color w:val="595959"/>
                <w:sz w:val="16"/>
                <w:szCs w:val="16"/>
              </w:rPr>
            </w:pPr>
            <w:r>
              <w:rPr>
                <w:color w:val="000000"/>
                <w:sz w:val="16"/>
                <w:szCs w:val="16"/>
              </w:rPr>
              <w:t>n/a</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86AEF82" w14:textId="36F0E958" w:rsidR="00417F25" w:rsidRPr="00163978" w:rsidRDefault="5A0A8866" w:rsidP="00142C5E">
            <w:pPr>
              <w:spacing w:before="120" w:after="120" w:line="259" w:lineRule="auto"/>
              <w:jc w:val="center"/>
              <w:rPr>
                <w:vanish/>
                <w:sz w:val="16"/>
                <w:szCs w:val="16"/>
              </w:rPr>
            </w:pPr>
            <w:r>
              <w:rPr>
                <w:vanish/>
                <w:color w:val="595959"/>
                <w:sz w:val="16"/>
                <w:szCs w:val="16"/>
              </w:rPr>
              <w:t>40</w:t>
            </w:r>
          </w:p>
        </w:tc>
      </w:tr>
      <w:tr w:rsidR="00417F25" w14:paraId="57E68FC8"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15E2972A" w14:textId="77777777" w:rsidR="00417F25" w:rsidRPr="00B85204" w:rsidRDefault="00417F25" w:rsidP="00417F25">
            <w:pPr>
              <w:spacing w:before="120" w:after="120"/>
              <w:rPr>
                <w:rFonts w:cs="Arial"/>
                <w:color w:val="595959"/>
                <w:sz w:val="16"/>
              </w:rPr>
            </w:pPr>
            <w:r>
              <w:rPr>
                <w:color w:val="595959"/>
                <w:sz w:val="16"/>
              </w:rPr>
              <w:t>Impacto</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30CDE1C1" w14:textId="639251E3" w:rsidR="00417F25" w:rsidRPr="00A32077" w:rsidRDefault="001411B2" w:rsidP="42BB08A3">
            <w:pPr>
              <w:spacing w:before="120" w:after="120"/>
              <w:jc w:val="center"/>
              <w:rPr>
                <w:rFonts w:cs="Arial"/>
                <w:color w:val="595959"/>
                <w:sz w:val="16"/>
                <w:szCs w:val="16"/>
              </w:rPr>
            </w:pPr>
            <w:r>
              <w:rPr>
                <w:color w:val="000000"/>
                <w:sz w:val="16"/>
                <w:szCs w:val="16"/>
              </w:rPr>
              <w:t>n/a</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655A6521" w14:textId="70DB36AF" w:rsidR="00417F25" w:rsidRPr="00163978" w:rsidRDefault="1689B5CD" w:rsidP="00142C5E">
            <w:pPr>
              <w:spacing w:before="120" w:after="120" w:line="259" w:lineRule="auto"/>
              <w:jc w:val="center"/>
              <w:rPr>
                <w:vanish/>
                <w:sz w:val="16"/>
                <w:szCs w:val="16"/>
              </w:rPr>
            </w:pPr>
            <w:r>
              <w:rPr>
                <w:vanish/>
                <w:color w:val="595959"/>
                <w:sz w:val="16"/>
                <w:szCs w:val="16"/>
              </w:rPr>
              <w:t>20</w:t>
            </w:r>
          </w:p>
        </w:tc>
      </w:tr>
      <w:tr w:rsidR="00417F25" w14:paraId="112E5C23"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326E1F8" w14:textId="77777777" w:rsidR="00417F25" w:rsidRPr="00B85204" w:rsidRDefault="00417F25" w:rsidP="00417F25">
            <w:pPr>
              <w:spacing w:before="120" w:after="120"/>
              <w:rPr>
                <w:rFonts w:cs="Arial"/>
                <w:color w:val="595959"/>
                <w:sz w:val="16"/>
              </w:rPr>
            </w:pPr>
            <w:r>
              <w:rPr>
                <w:b/>
                <w:bCs/>
                <w:color w:val="595959"/>
                <w:sz w:val="16"/>
              </w:rPr>
              <w:t>Pontuações (de aprovação) globais</w:t>
            </w:r>
          </w:p>
        </w:tc>
        <w:tc>
          <w:tcPr>
            <w:tcW w:w="1251"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5B7B9AA" w14:textId="77777777" w:rsidR="00417F25" w:rsidRPr="00163978" w:rsidRDefault="00417F25" w:rsidP="00417F25">
            <w:pPr>
              <w:spacing w:before="120" w:after="120"/>
              <w:jc w:val="center"/>
              <w:rPr>
                <w:rFonts w:cs="Arial"/>
                <w:vanish/>
                <w:color w:val="595959"/>
                <w:sz w:val="16"/>
                <w:szCs w:val="16"/>
              </w:rPr>
            </w:pPr>
            <w:r>
              <w:rPr>
                <w:b/>
                <w:bCs/>
                <w:vanish/>
                <w:color w:val="000000"/>
                <w:sz w:val="16"/>
                <w:szCs w:val="16"/>
                <w:lang w:eastAsia="en-GB"/>
              </w:rPr>
              <w:t>70</w:t>
            </w:r>
          </w:p>
        </w:tc>
        <w:tc>
          <w:tcPr>
            <w:tcW w:w="1308"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345A8F0B" w14:textId="77777777" w:rsidR="00417F25" w:rsidRPr="00163978" w:rsidRDefault="00417F25" w:rsidP="00417F25">
            <w:pPr>
              <w:spacing w:before="120" w:after="120"/>
              <w:jc w:val="center"/>
              <w:rPr>
                <w:rFonts w:cs="Arial"/>
                <w:b/>
                <w:bCs/>
                <w:vanish/>
                <w:color w:val="595959"/>
                <w:sz w:val="16"/>
              </w:rPr>
            </w:pPr>
            <w:r>
              <w:rPr>
                <w:b/>
                <w:bCs/>
                <w:vanish/>
                <w:color w:val="595959"/>
                <w:sz w:val="16"/>
              </w:rPr>
              <w:t>100</w:t>
            </w:r>
          </w:p>
        </w:tc>
      </w:tr>
    </w:tbl>
    <w:p w14:paraId="3A91549A" w14:textId="77777777" w:rsidR="00417F25" w:rsidRDefault="00417F25" w:rsidP="00417F25">
      <w:pPr>
        <w:pStyle w:val="Text1"/>
        <w:ind w:left="0"/>
        <w:rPr>
          <w:rFonts w:cs="Arial"/>
          <w:lang w:eastAsia="en-GB"/>
        </w:rPr>
      </w:pPr>
    </w:p>
    <w:p w14:paraId="74676006" w14:textId="77777777" w:rsidR="00417F25" w:rsidRPr="00142C5E" w:rsidRDefault="00417F25" w:rsidP="00417F25">
      <w:pPr>
        <w:pStyle w:val="Text1"/>
        <w:ind w:left="0"/>
        <w:rPr>
          <w:rFonts w:cs="Arial"/>
        </w:rPr>
      </w:pPr>
      <w:r>
        <w:t>Pontuação máxima: 100 pontos.</w:t>
      </w:r>
    </w:p>
    <w:p w14:paraId="54D540AD" w14:textId="25B25F2B" w:rsidR="00417F25" w:rsidRPr="00142C5E" w:rsidRDefault="00417F25" w:rsidP="42BB08A3">
      <w:pPr>
        <w:pStyle w:val="Text1"/>
        <w:ind w:left="0"/>
        <w:rPr>
          <w:rFonts w:cs="Arial"/>
        </w:rPr>
      </w:pPr>
      <w:r>
        <w:t>Limiar individual para o critério «Relevância»: 25/40 pontos.</w:t>
      </w:r>
    </w:p>
    <w:p w14:paraId="088F1A3D" w14:textId="77777777" w:rsidR="00417F25" w:rsidRDefault="00417F25" w:rsidP="00417F25">
      <w:pPr>
        <w:pStyle w:val="Text1"/>
        <w:ind w:left="0"/>
        <w:rPr>
          <w:rFonts w:cs="Arial"/>
        </w:rPr>
      </w:pPr>
      <w:r>
        <w:t xml:space="preserve">Limiar global: 70 pontos. </w:t>
      </w:r>
    </w:p>
    <w:p w14:paraId="743867A2" w14:textId="5FB32EC7" w:rsidR="00417F25" w:rsidRDefault="000A7529" w:rsidP="42BB08A3">
      <w:pPr>
        <w:pStyle w:val="Text1"/>
        <w:ind w:left="0"/>
        <w:rPr>
          <w:rFonts w:cs="Arial"/>
        </w:rPr>
      </w:pPr>
      <w:r>
        <w:t xml:space="preserve">As propostas que atinjam os limiares individuais para o critério «Relevância» E o limiar global serão consideradas para financiamento — dentro dos limites do orçamento disponível para o convite à apresentação de propostas. As demais propostas serão rejeitadas. </w:t>
      </w:r>
    </w:p>
    <w:p w14:paraId="32ECB61A" w14:textId="407D4955" w:rsidR="00276AD7" w:rsidRPr="00975A34" w:rsidRDefault="00276AD7" w:rsidP="000579AF">
      <w:pPr>
        <w:pStyle w:val="Heading1"/>
        <w:numPr>
          <w:ilvl w:val="0"/>
          <w:numId w:val="54"/>
        </w:numPr>
        <w:tabs>
          <w:tab w:val="left" w:pos="426"/>
        </w:tabs>
        <w:ind w:left="0" w:firstLine="0"/>
      </w:pPr>
      <w:bookmarkStart w:id="26" w:name="_Toc92978887"/>
      <w:r>
        <w:t>Estrutura jurídica e financeira das convenções de subvenção</w:t>
      </w:r>
      <w:bookmarkEnd w:id="26"/>
    </w:p>
    <w:p w14:paraId="3E12CDD9" w14:textId="77777777" w:rsidR="00F468B9" w:rsidRPr="00F468B9" w:rsidRDefault="00510B7E" w:rsidP="00F468B9">
      <w:r>
        <w:t xml:space="preserve">Se passar na avaliação, o seu projeto será convidado a preparar a subvenção e ser-lhe-á solicitado que prepare a convenção de subvenção em colaboração com o responsável de projeto da UE. </w:t>
      </w:r>
    </w:p>
    <w:p w14:paraId="726FE5D4" w14:textId="77777777" w:rsidR="00A55E10" w:rsidRDefault="009A4762" w:rsidP="00F468B9">
      <w:r>
        <w:t xml:space="preserve">A convenção de subvenção estabelecerá o quadro da sua subvenção e os respetivos termos e condições, em especial no que diz respeito às prestações concretas, à apresentação de relatórios e aos pagamentos. </w:t>
      </w:r>
    </w:p>
    <w:p w14:paraId="49D0FAB7" w14:textId="77777777" w:rsidR="00F468B9" w:rsidRPr="009A4762" w:rsidRDefault="004E3F9E" w:rsidP="00F468B9">
      <w:r>
        <w:t xml:space="preserve">O modelo de convenção de subvenção que será utilizado (e todos os outros modelos e documentos de orientação pertinentes) pode ser consultado nos </w:t>
      </w:r>
      <w:hyperlink r:id="rId48" w:history="1">
        <w:r>
          <w:rPr>
            <w:rStyle w:val="Hyperlink"/>
          </w:rPr>
          <w:t>Documentos de Referência do Portal</w:t>
        </w:r>
      </w:hyperlink>
      <w:r>
        <w:t>.</w:t>
      </w:r>
    </w:p>
    <w:p w14:paraId="712F0C54" w14:textId="77777777" w:rsidR="00F468B9" w:rsidRPr="00510B7E" w:rsidRDefault="00EF5018" w:rsidP="003466A0">
      <w:pPr>
        <w:pStyle w:val="Heading3"/>
        <w:keepNext/>
      </w:pPr>
      <w:bookmarkStart w:id="27" w:name="_Toc92978888"/>
      <w:r>
        <w:t>Data de início e duração do projeto</w:t>
      </w:r>
      <w:bookmarkEnd w:id="27"/>
      <w:r>
        <w:t xml:space="preserve"> </w:t>
      </w:r>
    </w:p>
    <w:p w14:paraId="34F8E827" w14:textId="193AA9A8" w:rsidR="00EF5018" w:rsidRDefault="00EF5018" w:rsidP="00EF5018">
      <w:r>
        <w:t xml:space="preserve">A data de início e a duração do projeto serão fixadas na convenção de subvenção </w:t>
      </w:r>
      <w:r>
        <w:rPr>
          <w:i/>
          <w:iCs/>
        </w:rPr>
        <w:t>(ficha de dados, ponto 1)</w:t>
      </w:r>
      <w:r>
        <w:t>. Por norma, a data de início é posterior à assinatura da subvenção. Excecionalmente, por razões devidamente justificadas, pode haver aplicação retroativa — mas nunca com efeitos em data anterior à de apresentação da proposta.</w:t>
      </w:r>
    </w:p>
    <w:p w14:paraId="15D66063" w14:textId="51D1D632" w:rsidR="00CB07A3" w:rsidRDefault="00CB07A3" w:rsidP="00EF5018">
      <w:pPr>
        <w:rPr>
          <w:rFonts w:cs="Arial"/>
        </w:rPr>
      </w:pPr>
      <w:r>
        <w:t xml:space="preserve">Duração do projeto: </w:t>
      </w:r>
    </w:p>
    <w:p w14:paraId="2429D9A2" w14:textId="7FD8DB37" w:rsidR="00273AA8" w:rsidRPr="00C83A32" w:rsidRDefault="00273AA8" w:rsidP="00273AA8">
      <w:pPr>
        <w:rPr>
          <w:rFonts w:cs="Arial"/>
        </w:rPr>
      </w:pPr>
      <w:r>
        <w:rPr>
          <w:color w:val="A50021"/>
        </w:rPr>
        <w:t xml:space="preserve">CERV-2022-CITIZENS-TOWN-TT – Geminação de Cidades: </w:t>
      </w:r>
      <w:r>
        <w:t>até 12 meses.</w:t>
      </w:r>
    </w:p>
    <w:p w14:paraId="748ED34C" w14:textId="21136B02" w:rsidR="00273AA8" w:rsidRDefault="00273AA8" w:rsidP="00273AA8">
      <w:pPr>
        <w:rPr>
          <w:rFonts w:cs="Arial"/>
        </w:rPr>
      </w:pPr>
      <w:r>
        <w:rPr>
          <w:color w:val="A50021"/>
        </w:rPr>
        <w:lastRenderedPageBreak/>
        <w:t>CERV-2022-CITIZENS-TOWN-NT - Redes de Cidades</w:t>
      </w:r>
      <w:r>
        <w:t xml:space="preserve">: entre 12 e 24 meses. </w:t>
      </w:r>
    </w:p>
    <w:p w14:paraId="264CF456" w14:textId="407B2FF3" w:rsidR="00273AA8" w:rsidRDefault="00273AA8" w:rsidP="00273AA8">
      <w:pPr>
        <w:rPr>
          <w:rFonts w:cs="Arial"/>
        </w:rPr>
      </w:pPr>
      <w:r>
        <w:t>(As prorrogações só serão possíveis a título excecional, por razões devidamente justificadas e através de uma alteração).</w:t>
      </w:r>
    </w:p>
    <w:p w14:paraId="77CA20A6" w14:textId="77777777" w:rsidR="002D1390" w:rsidRPr="0019779F" w:rsidRDefault="002D1390" w:rsidP="00510B7E">
      <w:pPr>
        <w:pStyle w:val="Heading3"/>
      </w:pPr>
      <w:bookmarkStart w:id="28" w:name="_Toc92978889"/>
      <w:r>
        <w:t>Etapas e prestações concretas</w:t>
      </w:r>
      <w:bookmarkEnd w:id="28"/>
    </w:p>
    <w:p w14:paraId="2053727F" w14:textId="77777777" w:rsidR="002D1390" w:rsidRDefault="002D1390" w:rsidP="002D1390">
      <w:pPr>
        <w:rPr>
          <w:rFonts w:cs="Arial"/>
        </w:rPr>
      </w:pPr>
      <w:r>
        <w:t>As etapas e prestações concretas de cada projeto serão geridas através do sistema de gestão das subvenções do portal e refletidas no anexo 1 da convenção de subvenção.</w:t>
      </w:r>
    </w:p>
    <w:p w14:paraId="14B285DB" w14:textId="77777777" w:rsidR="00F468B9" w:rsidRPr="0019779F" w:rsidRDefault="00D20E76" w:rsidP="00510B7E">
      <w:pPr>
        <w:pStyle w:val="Heading3"/>
      </w:pPr>
      <w:bookmarkStart w:id="29" w:name="_Toc92978890"/>
      <w:r>
        <w:t>Forma de subvenção, taxa de financiamento e montante máximo da subvenção</w:t>
      </w:r>
      <w:bookmarkEnd w:id="29"/>
    </w:p>
    <w:p w14:paraId="1FC5D80F" w14:textId="77777777" w:rsidR="00F243C2" w:rsidRPr="00F243C2" w:rsidRDefault="002D1390" w:rsidP="009C7F6F">
      <w:r>
        <w:t xml:space="preserve">Os parâmetros da subvenção </w:t>
      </w:r>
      <w:r>
        <w:rPr>
          <w:i/>
        </w:rPr>
        <w:t>(montante máximo da subvenção, taxa de financiamento, custos totais elegíveis, etc.)</w:t>
      </w:r>
      <w:r>
        <w:t xml:space="preserve"> serão fixados na convenção de subvenção </w:t>
      </w:r>
      <w:r>
        <w:rPr>
          <w:i/>
        </w:rPr>
        <w:t>(ficha de dados, ponto 3, e artigo 5.º)</w:t>
      </w:r>
      <w:r>
        <w:t>.</w:t>
      </w:r>
    </w:p>
    <w:p w14:paraId="6D2C45B2" w14:textId="73D0FA7A" w:rsidR="00273AA8" w:rsidRDefault="00CB07A3" w:rsidP="009C7F6F">
      <w:r>
        <w:t xml:space="preserve">Orçamento do projeto (montante máximo da subvenção): </w:t>
      </w:r>
    </w:p>
    <w:p w14:paraId="7C5032A3" w14:textId="32B40F6F" w:rsidR="00273AA8" w:rsidRPr="00C83A32" w:rsidRDefault="00273AA8" w:rsidP="00273AA8">
      <w:r>
        <w:rPr>
          <w:b/>
          <w:bCs/>
          <w:color w:val="A50021"/>
        </w:rPr>
        <w:t>CERV-2022-CITIZENS-TOWN-TT – Geminação de Cidades</w:t>
      </w:r>
      <w:r>
        <w:t>: 30 000 EUR por projeto.</w:t>
      </w:r>
    </w:p>
    <w:p w14:paraId="2BB38450" w14:textId="044F40F5" w:rsidR="00273AA8" w:rsidRPr="00C83A32" w:rsidRDefault="00E81CEB" w:rsidP="00273AA8">
      <w:pPr>
        <w:rPr>
          <w:b/>
          <w:color w:val="A50021"/>
        </w:rPr>
      </w:pPr>
      <w:r>
        <w:rPr>
          <w:b/>
          <w:bCs/>
          <w:color w:val="A50021"/>
        </w:rPr>
        <w:t>CERV-2022-CITIZENS-TOWN-NT - Redes de Cidades</w:t>
      </w:r>
      <w:r>
        <w:t xml:space="preserve">: sem limite. </w:t>
      </w:r>
    </w:p>
    <w:p w14:paraId="03FE8574" w14:textId="5AC33A9A" w:rsidR="009C7F6F" w:rsidRDefault="009C7F6F" w:rsidP="009C7F6F">
      <w:r>
        <w:t>A subvenção concedida pode ser inferior ao montante solicitado.</w:t>
      </w:r>
      <w:r>
        <w:rPr>
          <w:highlight w:val="yellow"/>
        </w:rPr>
        <w:t xml:space="preserve"> </w:t>
      </w:r>
    </w:p>
    <w:p w14:paraId="032903FC" w14:textId="762E8A78" w:rsidR="009C7F6F" w:rsidRDefault="002D1390" w:rsidP="00EF5018">
      <w:r>
        <w:t>A subvenção será de montante fixo. Isto significa que reembolsará um montante fixo, com base num montante fixo ou num financiamento não ligado aos custos. O montante será fixado pela autoridade que concede o auxílio com base nos montantes variáveis que fixou previamente e nas estimativas indicadas pelos beneficiários no seu orçamento de projeto.</w:t>
      </w:r>
    </w:p>
    <w:p w14:paraId="23ACF302" w14:textId="77777777" w:rsidR="00C35FDF" w:rsidRPr="0019779F" w:rsidRDefault="002D1390" w:rsidP="00510B7E">
      <w:pPr>
        <w:pStyle w:val="Heading3"/>
      </w:pPr>
      <w:bookmarkStart w:id="30" w:name="_Toc92978891"/>
      <w:r>
        <w:t>Categorias orçamentais e regras de elegibilidade dos custos</w:t>
      </w:r>
      <w:bookmarkEnd w:id="30"/>
    </w:p>
    <w:p w14:paraId="0D9CC84A" w14:textId="222E6896" w:rsidR="00965369" w:rsidRDefault="00965369" w:rsidP="00C35FDF">
      <w:pPr>
        <w:rPr>
          <w:szCs w:val="21"/>
        </w:rPr>
      </w:pPr>
      <w:r>
        <w:t xml:space="preserve">As categorias orçamentais e as regras de elegibilidade dos custos são estabelecidas na convenção de subvenção </w:t>
      </w:r>
      <w:r>
        <w:rPr>
          <w:i/>
          <w:szCs w:val="21"/>
        </w:rPr>
        <w:t>(ficha de dados, ponto 3, artigo 6.º, e anexo 2)</w:t>
      </w:r>
      <w:r>
        <w:t>.</w:t>
      </w:r>
    </w:p>
    <w:p w14:paraId="09C2A6BD" w14:textId="77777777" w:rsidR="00E85C9D" w:rsidRDefault="00E85C9D" w:rsidP="00E85C9D">
      <w:pPr>
        <w:spacing w:after="120"/>
        <w:rPr>
          <w:i/>
        </w:rPr>
      </w:pPr>
      <w:r>
        <w:rPr>
          <w:i/>
        </w:rPr>
        <w:t>Categorias orçamentais do presente convite:</w:t>
      </w:r>
    </w:p>
    <w:p w14:paraId="5AA85092" w14:textId="5699AD8F" w:rsidR="00273AA8" w:rsidRPr="00273AA8" w:rsidRDefault="00E85C9D" w:rsidP="00273AA8">
      <w:pPr>
        <w:widowControl w:val="0"/>
        <w:numPr>
          <w:ilvl w:val="0"/>
          <w:numId w:val="31"/>
        </w:numPr>
        <w:ind w:left="709" w:hanging="357"/>
        <w:jc w:val="left"/>
        <w:rPr>
          <w:b/>
        </w:rPr>
      </w:pPr>
      <w:r>
        <w:rPr>
          <w:b/>
        </w:rPr>
        <w:t>Contribuições de montante fixo</w:t>
      </w:r>
      <w:r w:rsidR="00D77F61" w:rsidRPr="00273AA8">
        <w:rPr>
          <w:rStyle w:val="FootnoteReference"/>
          <w:b/>
        </w:rPr>
        <w:footnoteReference w:id="22"/>
      </w:r>
    </w:p>
    <w:p w14:paraId="1DFE5A16" w14:textId="4F08AA43" w:rsidR="00273AA8" w:rsidRPr="00C83A32" w:rsidRDefault="00273AA8" w:rsidP="00273AA8">
      <w:pPr>
        <w:spacing w:after="120"/>
        <w:rPr>
          <w:b/>
          <w:bCs/>
          <w:color w:val="A50021"/>
        </w:rPr>
      </w:pPr>
      <w:r>
        <w:rPr>
          <w:b/>
          <w:bCs/>
          <w:color w:val="A50021"/>
        </w:rPr>
        <w:t>CERV-2022-CITIZENS-TOWN-TT – Geminação de Cidades</w:t>
      </w:r>
    </w:p>
    <w:p w14:paraId="41D2CC4B" w14:textId="306D1EAA" w:rsidR="00273AA8" w:rsidRDefault="00273AA8" w:rsidP="00273AA8">
      <w:pPr>
        <w:spacing w:after="120"/>
        <w:rPr>
          <w:rFonts w:eastAsia="Verdana" w:cs="Verdana"/>
          <w:iCs/>
        </w:rPr>
      </w:pPr>
      <w:r>
        <w:t>O cálculo do montante fixo baseia-se num parâmetro: número de participantes internacionais (ou «convidados») (número de participantes que viajam de países elegíveis para projetos que não o país que acolhe o evento de geminação de cidades).</w:t>
      </w:r>
    </w:p>
    <w:p w14:paraId="0241D98C" w14:textId="52709B5A" w:rsidR="00273AA8" w:rsidRPr="00170A7A" w:rsidRDefault="00273AA8" w:rsidP="00273AA8">
      <w:pPr>
        <w:spacing w:after="120"/>
      </w:pPr>
      <w:r>
        <w:t>Um evento corresponde a um pacote de trabalho no formulário de candidatura.</w:t>
      </w:r>
      <w:r w:rsidR="006B6BF5">
        <w:t xml:space="preserve"> </w:t>
      </w:r>
    </w:p>
    <w:p w14:paraId="653E3972" w14:textId="5D5255D2" w:rsidR="00273AA8" w:rsidRPr="00273AA8" w:rsidRDefault="00273AA8" w:rsidP="00273AA8">
      <w:pPr>
        <w:widowControl w:val="0"/>
        <w:jc w:val="left"/>
      </w:pPr>
      <w:r>
        <w:t>1 pacote de trabalho = 1 evento = uma ou várias atividades</w:t>
      </w:r>
      <w:r w:rsidR="006B6BF5">
        <w:t xml:space="preserve"> </w:t>
      </w:r>
    </w:p>
    <w:p w14:paraId="4EF42BF7" w14:textId="56AB1036" w:rsidR="00273AA8" w:rsidRDefault="00273AA8" w:rsidP="00273AA8">
      <w:pPr>
        <w:spacing w:after="120"/>
        <w:rPr>
          <w:rFonts w:eastAsia="Verdana" w:cs="Verdana"/>
          <w:iCs/>
        </w:rPr>
      </w:pPr>
      <w:r>
        <w:rPr>
          <w:b/>
          <w:bCs/>
          <w:color w:val="A50021"/>
        </w:rPr>
        <w:t>CERV-2022-CITIZENS-TOWN-NT - Redes de Cidades</w:t>
      </w:r>
    </w:p>
    <w:p w14:paraId="084790F4" w14:textId="77777777" w:rsidR="00273AA8" w:rsidRPr="00170A7A" w:rsidRDefault="00273AA8" w:rsidP="00273AA8">
      <w:pPr>
        <w:spacing w:after="120"/>
      </w:pPr>
      <w:r>
        <w:t>O cálculo do montante fixo baseia-se em dois parâmetros: número de participantes diretos e número de países elegíveis por evento (</w:t>
      </w:r>
      <w:r>
        <w:rPr>
          <w:i/>
          <w:iCs/>
        </w:rPr>
        <w:t>in situ</w:t>
      </w:r>
      <w:r>
        <w:t xml:space="preserve"> ou em linha).</w:t>
      </w:r>
    </w:p>
    <w:p w14:paraId="3C909B89" w14:textId="77777777" w:rsidR="00273AA8" w:rsidRPr="00170A7A" w:rsidRDefault="00273AA8" w:rsidP="00273AA8">
      <w:pPr>
        <w:spacing w:after="120"/>
      </w:pPr>
      <w:r>
        <w:t xml:space="preserve">Um evento ocorre dentro de um prazo definido e pode incluir diferentes tipos de atividades (conferências, </w:t>
      </w:r>
      <w:r>
        <w:rPr>
          <w:i/>
          <w:iCs/>
        </w:rPr>
        <w:t>workshops</w:t>
      </w:r>
      <w:r>
        <w:t xml:space="preserve">, formações, seminários, debates, </w:t>
      </w:r>
      <w:r>
        <w:rPr>
          <w:i/>
          <w:iCs/>
        </w:rPr>
        <w:t>webinars</w:t>
      </w:r>
      <w:r>
        <w:t xml:space="preserve">, </w:t>
      </w:r>
      <w:r>
        <w:lastRenderedPageBreak/>
        <w:t xml:space="preserve">exposições, filmagem/produção de filmes, campanhas, publicações, estudos, pesquisas, </w:t>
      </w:r>
      <w:r>
        <w:rPr>
          <w:i/>
          <w:iCs/>
        </w:rPr>
        <w:t>flashmobs</w:t>
      </w:r>
      <w:r>
        <w:t xml:space="preserve">, etc.). </w:t>
      </w:r>
    </w:p>
    <w:p w14:paraId="12ABA7C5" w14:textId="0A46ED70" w:rsidR="00273AA8" w:rsidRPr="00170A7A" w:rsidRDefault="00273AA8" w:rsidP="00273AA8">
      <w:pPr>
        <w:spacing w:after="120"/>
      </w:pPr>
      <w:r>
        <w:t>Um evento corresponde a um pacote de trabalho no formulário de candidatura.</w:t>
      </w:r>
      <w:r w:rsidR="006B6BF5">
        <w:t xml:space="preserve"> </w:t>
      </w:r>
    </w:p>
    <w:p w14:paraId="757C1A00" w14:textId="1530D113" w:rsidR="00273AA8" w:rsidRPr="008814FB" w:rsidRDefault="00273AA8" w:rsidP="00273AA8">
      <w:pPr>
        <w:widowControl w:val="0"/>
        <w:jc w:val="left"/>
      </w:pPr>
      <w:r>
        <w:t>1 pacote de trabalho = 1 evento = uma ou várias atividades</w:t>
      </w:r>
      <w:r w:rsidR="006B6BF5">
        <w:t xml:space="preserve"> </w:t>
      </w:r>
    </w:p>
    <w:p w14:paraId="14EC2EA5" w14:textId="14E12378" w:rsidR="00741682" w:rsidRPr="0019779F" w:rsidRDefault="00F243C2" w:rsidP="00510B7E">
      <w:pPr>
        <w:pStyle w:val="Heading3"/>
      </w:pPr>
      <w:bookmarkStart w:id="31" w:name="_Toc92978892"/>
      <w:r>
        <w:t>Apresentação de relatórios e modalidades de pagamento</w:t>
      </w:r>
      <w:bookmarkEnd w:id="31"/>
      <w:r>
        <w:t xml:space="preserve"> </w:t>
      </w:r>
    </w:p>
    <w:p w14:paraId="43C62C09" w14:textId="0BF1CA1B" w:rsidR="00F243C2" w:rsidRDefault="00F243C2" w:rsidP="00741682">
      <w:pPr>
        <w:pStyle w:val="Text2"/>
        <w:ind w:left="0"/>
        <w:rPr>
          <w:rFonts w:cs="Arial"/>
        </w:rPr>
      </w:pPr>
      <w:r>
        <w:t xml:space="preserve">As modalidades de apresentação de relatórios e de pagamento são estabelecidas na convenção de subvenção </w:t>
      </w:r>
      <w:r>
        <w:rPr>
          <w:i/>
        </w:rPr>
        <w:t>(ficha de dados, ponto 4, e artigos 21.º e 22.º)</w:t>
      </w:r>
      <w:r>
        <w:t>.</w:t>
      </w:r>
    </w:p>
    <w:p w14:paraId="03D37E60" w14:textId="6DF5E4B5" w:rsidR="00273AA8" w:rsidRPr="00C83A32" w:rsidRDefault="00273AA8" w:rsidP="00273AA8">
      <w:pPr>
        <w:spacing w:after="120"/>
        <w:rPr>
          <w:b/>
          <w:bCs/>
          <w:color w:val="A50021"/>
        </w:rPr>
      </w:pPr>
      <w:r>
        <w:rPr>
          <w:b/>
          <w:bCs/>
          <w:color w:val="A50021"/>
        </w:rPr>
        <w:t>CERV-2022-CITIZENS-TOWN-TT – Geminação de Cidades</w:t>
      </w:r>
    </w:p>
    <w:p w14:paraId="63A3CB57" w14:textId="77777777" w:rsidR="00273AA8" w:rsidRPr="00C83A32" w:rsidRDefault="00273AA8" w:rsidP="00273AA8">
      <w:pPr>
        <w:pStyle w:val="Text2"/>
        <w:ind w:left="0"/>
      </w:pPr>
      <w:r>
        <w:t>Após a assinatura da subvenção, não receberá qualquer pré-financiamento.</w:t>
      </w:r>
    </w:p>
    <w:p w14:paraId="1DBCB7BA" w14:textId="77777777" w:rsidR="00273AA8" w:rsidRPr="00C83A32" w:rsidRDefault="00273AA8" w:rsidP="00273AA8">
      <w:r>
        <w:t>Pagamento do saldo: No final do projeto, será calculado o montante final da sua subvenção. Se o total dos pagamentos anteriores for superior ao montante final da subvenção, ser-lhe-á solicitado (ao seu coordenador) o reembolso da diferença (recuperação).</w:t>
      </w:r>
    </w:p>
    <w:p w14:paraId="6BE11C5B" w14:textId="5E8F163B" w:rsidR="00273AA8" w:rsidRPr="00C83A32" w:rsidRDefault="00273AA8" w:rsidP="00273AA8">
      <w:pPr>
        <w:spacing w:after="120"/>
        <w:rPr>
          <w:b/>
          <w:bCs/>
          <w:color w:val="A50021"/>
        </w:rPr>
      </w:pPr>
      <w:r>
        <w:rPr>
          <w:b/>
          <w:bCs/>
          <w:color w:val="A50021"/>
        </w:rPr>
        <w:t xml:space="preserve">CERV-2022-CITIZENS-TOWN-NT - Redes de Cidades </w:t>
      </w:r>
    </w:p>
    <w:p w14:paraId="55E312F9" w14:textId="696F180F" w:rsidR="00273AA8" w:rsidRDefault="00273AA8" w:rsidP="00273AA8">
      <w:pPr>
        <w:widowControl w:val="0"/>
        <w:rPr>
          <w:rFonts w:cs="Arial"/>
        </w:rPr>
      </w:pPr>
      <w:r>
        <w:t xml:space="preserve">Após a assinatura da subvenção, receberá, em princípio, um </w:t>
      </w:r>
      <w:r>
        <w:rPr>
          <w:b/>
        </w:rPr>
        <w:t>pré-financiamento</w:t>
      </w:r>
      <w:r>
        <w:t xml:space="preserve"> para começar a trabalhar no projeto (fundo de tesouraria normalmente correspondente a </w:t>
      </w:r>
      <w:r>
        <w:rPr>
          <w:b/>
        </w:rPr>
        <w:t>60 %</w:t>
      </w:r>
      <w:r>
        <w:t xml:space="preserve"> do montante máximo da subvenção; excecionalmente menos, ou nenhum pré-financiamento). O pré-financiamento será pago no prazo de 30 dias a contar da data de entrada em vigor/garantia financeira (se exigida) - consoante a data que for posterior.</w:t>
      </w:r>
    </w:p>
    <w:p w14:paraId="6177614D" w14:textId="40FBA4EA" w:rsidR="00741682" w:rsidRDefault="00AE5C30" w:rsidP="00741682">
      <w:pPr>
        <w:pStyle w:val="Text2"/>
        <w:ind w:left="0"/>
        <w:rPr>
          <w:rFonts w:cs="Arial"/>
        </w:rPr>
      </w:pPr>
      <w:r>
        <w:rPr>
          <w:b/>
        </w:rPr>
        <w:t>Pagamento do saldo</w:t>
      </w:r>
      <w:r>
        <w:t>: No final do projeto, será calculado o montante final da sua subvenção. Se o total dos pagamentos anteriores for superior ao montante final da subvenção, ser-lhe-á solicitado (ao seu coordenador) o reembolso da diferença (recuperação).</w:t>
      </w:r>
    </w:p>
    <w:p w14:paraId="3BDCBF75" w14:textId="77777777" w:rsidR="00B21F85" w:rsidRDefault="00B21F85" w:rsidP="00741682">
      <w:pPr>
        <w:pStyle w:val="Text2"/>
        <w:ind w:left="0"/>
      </w:pPr>
      <w:r>
        <w:t>Todos os pagamentos serão feitos ao coordenador.</w:t>
      </w:r>
    </w:p>
    <w:p w14:paraId="7FE7E033" w14:textId="5C5DBFEB" w:rsidR="00A82A58" w:rsidRDefault="005A3754" w:rsidP="00A82A58">
      <w:pPr>
        <w:pStyle w:val="Text2"/>
        <w:ind w:left="0"/>
      </w:pPr>
      <w:r>
        <w:rPr>
          <w:noProof/>
          <w:lang w:val="en-IE" w:eastAsia="en-IE"/>
        </w:rPr>
        <w:drawing>
          <wp:inline distT="0" distB="0" distL="0" distR="0" wp14:anchorId="4AE7EFB5" wp14:editId="6394BE84">
            <wp:extent cx="187960" cy="18796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t xml:space="preserve"> Convém ter em conta que os pagamentos serão automaticamente reduzidos se um dos membros do seu consórcio tiver dívidas pendentes à UE (autoridade que concede o auxílio ou outros organismos da UE). Tais dívidas serão compensadas por nós — em conformidade com as condições estabelecidas na convenção de subvenção </w:t>
      </w:r>
      <w:r>
        <w:rPr>
          <w:i/>
        </w:rPr>
        <w:t>(ver artigo 22.º)</w:t>
      </w:r>
      <w:r>
        <w:t>.</w:t>
      </w:r>
    </w:p>
    <w:p w14:paraId="1EA9C858" w14:textId="1424599E" w:rsidR="000C6DE8" w:rsidRPr="00B57534" w:rsidRDefault="000C6DE8" w:rsidP="00A82A58">
      <w:pPr>
        <w:pStyle w:val="Text2"/>
        <w:ind w:left="0"/>
        <w:rPr>
          <w:rFonts w:cs="Arial"/>
        </w:rPr>
      </w:pPr>
      <w:r>
        <w:t xml:space="preserve">Por favor, note também que é responsável por manter registos de todo o trabalho realizado. </w:t>
      </w:r>
    </w:p>
    <w:p w14:paraId="6F7B0297" w14:textId="77777777" w:rsidR="00C038C5" w:rsidRPr="0019779F" w:rsidRDefault="00C038C5" w:rsidP="00C038C5">
      <w:pPr>
        <w:pStyle w:val="Heading3"/>
      </w:pPr>
      <w:bookmarkStart w:id="32" w:name="_Toc92978893"/>
      <w:r>
        <w:t>Garantias de pré-financiamento</w:t>
      </w:r>
      <w:bookmarkEnd w:id="32"/>
      <w:r>
        <w:t xml:space="preserve"> </w:t>
      </w:r>
    </w:p>
    <w:p w14:paraId="5D1F5E81" w14:textId="77777777" w:rsidR="00C038C5" w:rsidRDefault="00C038C5" w:rsidP="00C038C5">
      <w:pPr>
        <w:pStyle w:val="Text2"/>
        <w:ind w:left="0"/>
      </w:pPr>
      <w:r>
        <w:t xml:space="preserve">Se for exigida uma garantia de pré-financiamento, esta será fixada na convenção de subvenção </w:t>
      </w:r>
      <w:r>
        <w:rPr>
          <w:i/>
        </w:rPr>
        <w:t>(ficha de dados, ponto 4)</w:t>
      </w:r>
      <w:r>
        <w:t>. O montante será fixado durante a preparação da subvenção e, em princípio, será igual ou inferior ao pré-financiamento da subvenção.</w:t>
      </w:r>
    </w:p>
    <w:p w14:paraId="17795A40" w14:textId="77777777" w:rsidR="00C038C5" w:rsidRDefault="00C038C5" w:rsidP="00C038C5">
      <w:pPr>
        <w:pStyle w:val="Text2"/>
        <w:ind w:left="0"/>
      </w:pPr>
      <w:r>
        <w:t>A garantia deve ser expressa em euros e emitida por um banco/instituição financeira aprovado estabelecido num Estado-Membro da UE. Se estiver estabelecido num país terceiro e quiser prestar uma garantia de um banco/instituição financeira no seu país, por favor, contacte-nos (este procedimento poderá ser excecionalmente aceite, se oferecer uma segurança equivalente).</w:t>
      </w:r>
    </w:p>
    <w:p w14:paraId="2588057F" w14:textId="77777777" w:rsidR="00C038C5" w:rsidRPr="00C75E22" w:rsidRDefault="00C038C5" w:rsidP="00C038C5">
      <w:pPr>
        <w:pStyle w:val="Text2"/>
        <w:ind w:left="0"/>
      </w:pPr>
      <w:r>
        <w:t>Os montantes bloqueados em contas bancárias NÃO serão aceites como garantias financeiras.</w:t>
      </w:r>
    </w:p>
    <w:p w14:paraId="6E478E1C" w14:textId="77777777" w:rsidR="00C038C5" w:rsidRPr="001F0FF9" w:rsidRDefault="00C038C5" w:rsidP="00C038C5">
      <w:pPr>
        <w:pStyle w:val="Text2"/>
        <w:ind w:left="0"/>
      </w:pPr>
      <w:r>
        <w:lastRenderedPageBreak/>
        <w:t>As garantias de pré-financiamento NÃO estão formalmente associadas a membros individuais do consórcio, o que significa que os candidatos podem organizar livremente a forma como prestam o montante da garantia (</w:t>
      </w:r>
      <w:r>
        <w:rPr>
          <w:i/>
        </w:rPr>
        <w:t>através de um ou vários beneficiários, no montante global ou várias garantias de montantes parciais, através do beneficiário em causa ou de outro beneficiário, etc.</w:t>
      </w:r>
      <w:r>
        <w:t>). Contudo, é importante que o montante solicitado seja coberto e que a(s) garantia(s) seja(m) enviada(s) a tempo da realização do pré-financiamento (cópia digitalizada através do Portal E original por correio).</w:t>
      </w:r>
    </w:p>
    <w:p w14:paraId="5675231B" w14:textId="77777777" w:rsidR="00C038C5" w:rsidRPr="00B57534" w:rsidRDefault="00C038C5" w:rsidP="00C038C5">
      <w:pPr>
        <w:pStyle w:val="Text2"/>
        <w:ind w:left="0"/>
      </w:pPr>
      <w:r>
        <w:t>Se tal for acordado, a garantia bancária pode ser substituída por uma garantia de um terceiro.</w:t>
      </w:r>
    </w:p>
    <w:p w14:paraId="66D0A676" w14:textId="77777777" w:rsidR="00C038C5" w:rsidRPr="00B57534" w:rsidRDefault="00C038C5" w:rsidP="00C038C5">
      <w:pPr>
        <w:pStyle w:val="Text2"/>
        <w:ind w:left="0"/>
      </w:pPr>
      <w:r>
        <w:t>A garantia será liberada no termo da subvenção, em conformidade com as condições estabelecidas na convenção de subvenção.</w:t>
      </w:r>
    </w:p>
    <w:p w14:paraId="6D8EED08" w14:textId="77777777" w:rsidR="00EE2BCF" w:rsidRPr="00EE2BCF" w:rsidRDefault="00EE2BCF" w:rsidP="00510B7E">
      <w:pPr>
        <w:pStyle w:val="Heading3"/>
      </w:pPr>
      <w:bookmarkStart w:id="33" w:name="_Toc92978894"/>
      <w:r>
        <w:t>Certificados</w:t>
      </w:r>
      <w:bookmarkEnd w:id="33"/>
    </w:p>
    <w:p w14:paraId="1F2848E4" w14:textId="48031B10" w:rsidR="005224A7" w:rsidRPr="005224A7" w:rsidRDefault="005224A7" w:rsidP="00D16BC1">
      <w:pPr>
        <w:spacing w:after="120"/>
        <w:rPr>
          <w:highlight w:val="yellow"/>
        </w:rPr>
      </w:pPr>
      <w:r>
        <w:t xml:space="preserve">Consoante o tipo de ação, o nível do montante da subvenção e o tipo de beneficiários, pode ser-lhe solicitada a apresentação de diferentes certificados. Os tipos, calendários e limiares de cada certificado são estabelecidos na convenção de subvenção </w:t>
      </w:r>
      <w:r>
        <w:rPr>
          <w:i/>
        </w:rPr>
        <w:t>(ficha de dados, ponto 4 e artigo 24.º)</w:t>
      </w:r>
      <w:r>
        <w:t>.</w:t>
      </w:r>
    </w:p>
    <w:p w14:paraId="67810567" w14:textId="77777777" w:rsidR="007C1E0D" w:rsidRPr="0019779F" w:rsidRDefault="007C1E0D" w:rsidP="00510B7E">
      <w:pPr>
        <w:pStyle w:val="Heading3"/>
      </w:pPr>
      <w:bookmarkStart w:id="34" w:name="_Toc92978895"/>
      <w:r>
        <w:t>Regime de responsabilidade relativo às recuperações</w:t>
      </w:r>
      <w:bookmarkEnd w:id="34"/>
    </w:p>
    <w:p w14:paraId="5BB9318F" w14:textId="77777777" w:rsidR="002D1390" w:rsidRPr="00C75E22" w:rsidRDefault="007C1E0D" w:rsidP="0015357F">
      <w:pPr>
        <w:widowControl w:val="0"/>
        <w:spacing w:after="120"/>
        <w:rPr>
          <w:i/>
        </w:rPr>
      </w:pPr>
      <w:r>
        <w:t xml:space="preserve">O regime de responsabilidade relativo às recuperações será fixado na convenção de subvenção </w:t>
      </w:r>
      <w:r>
        <w:rPr>
          <w:i/>
        </w:rPr>
        <w:t>(ficha de dados, ponto 4.4 e artigo 22.º).</w:t>
      </w:r>
    </w:p>
    <w:p w14:paraId="6AAF1F6D" w14:textId="78BE0A71" w:rsidR="007C1E0D" w:rsidRPr="00C75E22" w:rsidRDefault="00196064" w:rsidP="0015357F">
      <w:pPr>
        <w:widowControl w:val="0"/>
        <w:spacing w:after="120"/>
      </w:pPr>
      <w:r>
        <w:t>Para os beneficiários, é um dos seguintes:</w:t>
      </w:r>
    </w:p>
    <w:p w14:paraId="4A08B607" w14:textId="5ACE3AC3" w:rsidR="00965369" w:rsidRPr="00C75E22" w:rsidRDefault="00965369" w:rsidP="00584316">
      <w:pPr>
        <w:widowControl w:val="0"/>
        <w:numPr>
          <w:ilvl w:val="0"/>
          <w:numId w:val="31"/>
        </w:numPr>
        <w:spacing w:after="120"/>
        <w:ind w:left="709"/>
        <w:jc w:val="left"/>
        <w:rPr>
          <w:rFonts w:eastAsia="Calibri" w:cs="Arial"/>
        </w:rPr>
      </w:pPr>
      <w:r>
        <w:t xml:space="preserve">responsabilidade solidária limitada com limites máximos individuais — </w:t>
      </w:r>
      <w:r>
        <w:rPr>
          <w:i/>
        </w:rPr>
        <w:t>cada beneficiário</w:t>
      </w:r>
      <w:r>
        <w:t xml:space="preserve"> até ao respetivo montante máximo da subvenção,</w:t>
      </w:r>
    </w:p>
    <w:p w14:paraId="22A8F057" w14:textId="77777777" w:rsidR="007C1E0D" w:rsidRPr="00C75E22" w:rsidRDefault="007C1E0D" w:rsidP="00584316">
      <w:pPr>
        <w:widowControl w:val="0"/>
        <w:numPr>
          <w:ilvl w:val="0"/>
          <w:numId w:val="31"/>
        </w:numPr>
        <w:spacing w:after="120"/>
        <w:ind w:left="709"/>
        <w:jc w:val="left"/>
        <w:rPr>
          <w:bCs/>
        </w:rPr>
      </w:pPr>
      <w:r>
        <w:t xml:space="preserve">responsabilidade solidária incondicional — </w:t>
      </w:r>
      <w:r>
        <w:rPr>
          <w:i/>
          <w:szCs w:val="18"/>
        </w:rPr>
        <w:t>cada beneficiário até ao respetivo montante máximo da subvenção,</w:t>
      </w:r>
      <w:r>
        <w:t xml:space="preserve"> </w:t>
      </w:r>
    </w:p>
    <w:p w14:paraId="46190429" w14:textId="77777777" w:rsidR="00E85905" w:rsidRPr="00C75E22" w:rsidRDefault="00E85905" w:rsidP="00E85905">
      <w:pPr>
        <w:widowControl w:val="0"/>
        <w:spacing w:after="120"/>
        <w:ind w:left="435"/>
        <w:rPr>
          <w:bCs/>
        </w:rPr>
      </w:pPr>
      <w:r>
        <w:t>ou</w:t>
      </w:r>
    </w:p>
    <w:p w14:paraId="48C16878" w14:textId="2DA3851E" w:rsidR="007C1E0D" w:rsidRPr="00C75E22" w:rsidRDefault="007C1E0D" w:rsidP="00584316">
      <w:pPr>
        <w:widowControl w:val="0"/>
        <w:numPr>
          <w:ilvl w:val="0"/>
          <w:numId w:val="31"/>
        </w:numPr>
        <w:spacing w:after="120"/>
        <w:ind w:left="709"/>
        <w:jc w:val="left"/>
        <w:rPr>
          <w:bCs/>
        </w:rPr>
      </w:pPr>
      <w:r>
        <w:t xml:space="preserve">responsabilidade financeira individual — </w:t>
      </w:r>
      <w:r>
        <w:rPr>
          <w:i/>
          <w:szCs w:val="18"/>
        </w:rPr>
        <w:t>cada beneficiário é responsável unicamente pelas suas próprias dívidas</w:t>
      </w:r>
      <w:r>
        <w:t xml:space="preserve">. </w:t>
      </w:r>
    </w:p>
    <w:p w14:paraId="3ED199B0" w14:textId="77777777" w:rsidR="00196064" w:rsidRDefault="00196064" w:rsidP="00196064">
      <w:pPr>
        <w:widowControl w:val="0"/>
        <w:rPr>
          <w:bCs/>
        </w:rPr>
      </w:pPr>
      <w:r>
        <w:t>Além disso, a autoridade que concede o auxílio pode exigir a responsabilidade solidária das entidades afiliadas (com o seu beneficiário).</w:t>
      </w:r>
    </w:p>
    <w:p w14:paraId="0A01C377" w14:textId="77777777" w:rsidR="002D1390" w:rsidRPr="0019779F" w:rsidRDefault="002D1390" w:rsidP="00510B7E">
      <w:pPr>
        <w:pStyle w:val="Heading3"/>
      </w:pPr>
      <w:bookmarkStart w:id="35" w:name="_Toc92978896"/>
      <w:r>
        <w:t>Disposições relativas à execução do projeto</w:t>
      </w:r>
      <w:bookmarkEnd w:id="35"/>
    </w:p>
    <w:p w14:paraId="41C36EDF" w14:textId="77777777" w:rsidR="00C36932" w:rsidRDefault="00C36932" w:rsidP="00C36932">
      <w:pPr>
        <w:widowControl w:val="0"/>
        <w:rPr>
          <w:bCs/>
          <w:i/>
        </w:rPr>
      </w:pPr>
      <w:r>
        <w:t xml:space="preserve">Regras em matéria de DPI: </w:t>
      </w:r>
      <w:r>
        <w:rPr>
          <w:bCs/>
          <w:i/>
        </w:rPr>
        <w:t>ver modelo de convenção de subvenção (artigo 16.º e anexo 5)</w:t>
      </w:r>
      <w:r>
        <w:t>:</w:t>
      </w:r>
    </w:p>
    <w:p w14:paraId="255EA0A4" w14:textId="769E98BA" w:rsidR="00C36932" w:rsidRPr="00310A7B" w:rsidRDefault="00C36932" w:rsidP="008C3D9D">
      <w:pPr>
        <w:widowControl w:val="0"/>
        <w:numPr>
          <w:ilvl w:val="0"/>
          <w:numId w:val="31"/>
        </w:numPr>
        <w:ind w:left="709"/>
        <w:jc w:val="left"/>
        <w:rPr>
          <w:bCs/>
        </w:rPr>
      </w:pPr>
      <w:r>
        <w:t>direitos de utilização dos resultados: sim</w:t>
      </w:r>
    </w:p>
    <w:p w14:paraId="1203D3C9" w14:textId="77777777" w:rsidR="00C36932" w:rsidRPr="00310A7B" w:rsidRDefault="00C36932" w:rsidP="008C3D9D">
      <w:pPr>
        <w:widowControl w:val="0"/>
        <w:rPr>
          <w:bCs/>
          <w:i/>
        </w:rPr>
      </w:pPr>
      <w:r>
        <w:t xml:space="preserve">Comunicação, divulgação e visibilidade do financiamento: </w:t>
      </w:r>
      <w:r>
        <w:rPr>
          <w:bCs/>
          <w:i/>
        </w:rPr>
        <w:t>ver modelo de convenção de subvenção (artigo 17.º e anexo 5):</w:t>
      </w:r>
    </w:p>
    <w:p w14:paraId="3B53DB48" w14:textId="3BE8BC8F" w:rsidR="006C2D98" w:rsidRPr="00310A7B" w:rsidRDefault="006C2D98" w:rsidP="008C3D9D">
      <w:pPr>
        <w:widowControl w:val="0"/>
        <w:numPr>
          <w:ilvl w:val="0"/>
          <w:numId w:val="31"/>
        </w:numPr>
        <w:ind w:left="709" w:hanging="357"/>
        <w:jc w:val="left"/>
        <w:rPr>
          <w:bCs/>
          <w:i/>
        </w:rPr>
      </w:pPr>
      <w:r>
        <w:t>atividades adicionais de comunicação e divulgação: sim</w:t>
      </w:r>
    </w:p>
    <w:p w14:paraId="79092A73" w14:textId="77777777" w:rsidR="00E752E3" w:rsidRPr="002D1390" w:rsidRDefault="00E752E3" w:rsidP="00510B7E">
      <w:pPr>
        <w:pStyle w:val="Heading3"/>
      </w:pPr>
      <w:bookmarkStart w:id="36" w:name="_Toc92978897"/>
      <w:r>
        <w:t>Outras especificidades</w:t>
      </w:r>
      <w:bookmarkEnd w:id="36"/>
      <w:r>
        <w:t xml:space="preserve"> </w:t>
      </w:r>
    </w:p>
    <w:p w14:paraId="6FAE6CF8" w14:textId="3320AC1C" w:rsidR="006C2D98" w:rsidRDefault="006C2D98" w:rsidP="006C2D98">
      <w:pPr>
        <w:widowControl w:val="0"/>
        <w:rPr>
          <w:bCs/>
        </w:rPr>
      </w:pPr>
      <w:r>
        <w:t>n/a</w:t>
      </w:r>
    </w:p>
    <w:p w14:paraId="550096E5" w14:textId="77777777" w:rsidR="00E752E3" w:rsidRPr="0019779F" w:rsidRDefault="00E752E3" w:rsidP="00510B7E">
      <w:pPr>
        <w:pStyle w:val="Heading3"/>
      </w:pPr>
      <w:bookmarkStart w:id="37" w:name="_Toc92978898"/>
      <w:r>
        <w:t>Incumprimento e violação do contrato</w:t>
      </w:r>
      <w:bookmarkEnd w:id="37"/>
    </w:p>
    <w:p w14:paraId="12A9A690" w14:textId="77777777" w:rsidR="00E85C9D" w:rsidRPr="00E85C9D" w:rsidRDefault="00E752E3" w:rsidP="00E85C9D">
      <w:pPr>
        <w:widowControl w:val="0"/>
        <w:rPr>
          <w:bCs/>
        </w:rPr>
      </w:pPr>
      <w:r>
        <w:t>A convenção de subvenção (capítulo 5) estipula as medidas que podem ser tomadas em caso de violação do contrato (e de outros problemas de incumprimento).</w:t>
      </w:r>
    </w:p>
    <w:p w14:paraId="11678DD9" w14:textId="1C3D0D2D" w:rsidR="00E752E3" w:rsidRPr="00E752E3" w:rsidRDefault="005A3754" w:rsidP="00E752E3">
      <w:pPr>
        <w:autoSpaceDE w:val="0"/>
        <w:autoSpaceDN w:val="0"/>
        <w:adjustRightInd w:val="0"/>
        <w:rPr>
          <w:rFonts w:cs="Verdana"/>
        </w:rPr>
      </w:pPr>
      <w:r>
        <w:rPr>
          <w:noProof/>
          <w:lang w:val="en-IE" w:eastAsia="en-IE"/>
        </w:rPr>
        <w:lastRenderedPageBreak/>
        <w:drawing>
          <wp:inline distT="0" distB="0" distL="0" distR="0" wp14:anchorId="4DC826B7" wp14:editId="67CF715E">
            <wp:extent cx="187960" cy="187960"/>
            <wp:effectExtent l="0" t="0" r="0" b="0"/>
            <wp:docPr id="11" name="Picture 926709888"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6709888" name="Picture 926709888"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t xml:space="preserve"> Para mais informações, </w:t>
      </w:r>
      <w:r>
        <w:rPr>
          <w:i/>
          <w:iCs/>
        </w:rPr>
        <w:t>consulte</w:t>
      </w:r>
      <w:r>
        <w:t xml:space="preserve"> </w:t>
      </w:r>
      <w:hyperlink r:id="rId49">
        <w:r>
          <w:rPr>
            <w:rStyle w:val="Hyperlink"/>
            <w:i/>
            <w:iCs/>
          </w:rPr>
          <w:t>AGA — Convenção de Subvenção Anotada</w:t>
        </w:r>
      </w:hyperlink>
      <w:r>
        <w:t xml:space="preserve">. </w:t>
      </w:r>
    </w:p>
    <w:p w14:paraId="52D0B17F" w14:textId="3C52329B" w:rsidR="00774448" w:rsidRPr="000564AA" w:rsidRDefault="00774448" w:rsidP="000579AF">
      <w:pPr>
        <w:pStyle w:val="Heading1"/>
        <w:numPr>
          <w:ilvl w:val="0"/>
          <w:numId w:val="54"/>
        </w:numPr>
        <w:tabs>
          <w:tab w:val="left" w:pos="426"/>
        </w:tabs>
        <w:ind w:left="0" w:firstLine="0"/>
      </w:pPr>
      <w:bookmarkStart w:id="38" w:name="_Toc92978899"/>
      <w:r>
        <w:t>Como submeter a candidatura</w:t>
      </w:r>
      <w:bookmarkEnd w:id="38"/>
    </w:p>
    <w:p w14:paraId="761BA98F" w14:textId="77777777" w:rsidR="00A82A58" w:rsidRPr="00173BD7" w:rsidRDefault="00A82A58" w:rsidP="00A82A58">
      <w:pPr>
        <w:widowControl w:val="0"/>
      </w:pPr>
      <w:r>
        <w:t xml:space="preserve">Todas as propostas devem ser apresentadas diretamente em linha através do sistema de apresentação eletrónica do Portal de Financiamento e Concursos. NÃO é possível a apresentação de propostas em papel. </w:t>
      </w:r>
    </w:p>
    <w:p w14:paraId="1E44B7CE" w14:textId="77777777" w:rsidR="00A82A58" w:rsidRPr="00173BD7" w:rsidRDefault="00A82A58" w:rsidP="00A82A58">
      <w:r>
        <w:t xml:space="preserve">A submissão é um </w:t>
      </w:r>
      <w:r>
        <w:rPr>
          <w:b/>
        </w:rPr>
        <w:t>processo de duas etapas</w:t>
      </w:r>
      <w:r>
        <w:t xml:space="preserve">: </w:t>
      </w:r>
    </w:p>
    <w:p w14:paraId="4D4C2031" w14:textId="4DCA710F" w:rsidR="00A82A58" w:rsidRPr="00965369" w:rsidRDefault="00A82A58" w:rsidP="00965369">
      <w:pPr>
        <w:pStyle w:val="ListParagraph"/>
        <w:numPr>
          <w:ilvl w:val="1"/>
          <w:numId w:val="56"/>
        </w:numPr>
        <w:tabs>
          <w:tab w:val="left" w:pos="284"/>
        </w:tabs>
        <w:spacing w:after="200"/>
        <w:ind w:left="0" w:firstLine="0"/>
        <w:contextualSpacing w:val="0"/>
        <w:rPr>
          <w:sz w:val="20"/>
          <w:szCs w:val="20"/>
        </w:rPr>
      </w:pPr>
      <w:r>
        <w:rPr>
          <w:b/>
          <w:sz w:val="20"/>
          <w:szCs w:val="20"/>
        </w:rPr>
        <w:t>Criação de uma conta de utilizador e registo da organização</w:t>
      </w:r>
      <w:r>
        <w:rPr>
          <w:sz w:val="20"/>
          <w:szCs w:val="20"/>
        </w:rPr>
        <w:t xml:space="preserve"> </w:t>
      </w:r>
    </w:p>
    <w:p w14:paraId="7C7BE724" w14:textId="77777777" w:rsidR="00A82A58" w:rsidRPr="00173BD7" w:rsidRDefault="00A82A58" w:rsidP="00965369">
      <w:r>
        <w:t xml:space="preserve">Para usar o sistema de apresentação (a única forma de se candidatar), todos os participantes devem </w:t>
      </w:r>
      <w:hyperlink r:id="rId50" w:history="1">
        <w:r>
          <w:rPr>
            <w:color w:val="0088CC"/>
            <w:u w:val="single"/>
          </w:rPr>
          <w:t>criar uma conta de utilizador EU Login</w:t>
        </w:r>
      </w:hyperlink>
      <w:r>
        <w:t>.</w:t>
      </w:r>
    </w:p>
    <w:p w14:paraId="385F4D22" w14:textId="77777777" w:rsidR="00A82A58" w:rsidRPr="00173BD7" w:rsidRDefault="00A82A58" w:rsidP="00A82A58">
      <w:r>
        <w:t xml:space="preserve">Depois de ter uma conta EU Login, o participante pode </w:t>
      </w:r>
      <w:hyperlink r:id="rId51" w:history="1">
        <w:r>
          <w:rPr>
            <w:color w:val="0088CC"/>
            <w:u w:val="single"/>
          </w:rPr>
          <w:t>registar a sua organização</w:t>
        </w:r>
      </w:hyperlink>
      <w:r>
        <w:t xml:space="preserve"> no Registo de Participantes. Concluído o registo, receberá um código de identificação do participante constituído por nove dígitos (número PIC).</w:t>
      </w:r>
    </w:p>
    <w:p w14:paraId="3B1EF156" w14:textId="467F6BCD" w:rsidR="00A82A58" w:rsidRPr="00965369" w:rsidRDefault="00A82A58" w:rsidP="00965369">
      <w:pPr>
        <w:pStyle w:val="ListParagraph"/>
        <w:numPr>
          <w:ilvl w:val="1"/>
          <w:numId w:val="56"/>
        </w:numPr>
        <w:tabs>
          <w:tab w:val="left" w:pos="284"/>
        </w:tabs>
        <w:spacing w:after="200"/>
        <w:ind w:left="0" w:firstLine="0"/>
        <w:contextualSpacing w:val="0"/>
        <w:rPr>
          <w:sz w:val="20"/>
          <w:szCs w:val="20"/>
        </w:rPr>
      </w:pPr>
      <w:r>
        <w:rPr>
          <w:b/>
          <w:sz w:val="20"/>
          <w:szCs w:val="20"/>
        </w:rPr>
        <w:t>Apresentação de proposta</w:t>
      </w:r>
    </w:p>
    <w:p w14:paraId="2D1D3DDF" w14:textId="77777777" w:rsidR="00A82A58" w:rsidRPr="00965369" w:rsidRDefault="00A82A58" w:rsidP="00A82A58">
      <w:pPr>
        <w:tabs>
          <w:tab w:val="left" w:pos="142"/>
        </w:tabs>
      </w:pPr>
      <w:r>
        <w:t xml:space="preserve">Aceda ao sistema de apresentação eletrónica através da página Topic da secção </w:t>
      </w:r>
      <w:hyperlink r:id="rId52" w:history="1">
        <w:r>
          <w:rPr>
            <w:rStyle w:val="Hyperlink"/>
          </w:rPr>
          <w:t>Search Funding &amp; Tenders</w:t>
        </w:r>
      </w:hyperlink>
      <w:r>
        <w:t xml:space="preserve"> (ou, no caso de convites para apresentação de propostas, através da ligação fornecida na carta de convite).</w:t>
      </w:r>
    </w:p>
    <w:p w14:paraId="55DB4E61" w14:textId="04712426" w:rsidR="00A82A58" w:rsidRPr="00173BD7" w:rsidRDefault="00A82A58" w:rsidP="00A82A58">
      <w:r>
        <w:t xml:space="preserve">Envie a sua proposta em quatro partes, como segue: </w:t>
      </w:r>
    </w:p>
    <w:p w14:paraId="595ACC2F" w14:textId="77777777" w:rsidR="00A82A58" w:rsidRPr="00173BD7" w:rsidRDefault="00A82A58" w:rsidP="00A82A58">
      <w:pPr>
        <w:numPr>
          <w:ilvl w:val="0"/>
          <w:numId w:val="20"/>
        </w:numPr>
        <w:tabs>
          <w:tab w:val="num" w:pos="765"/>
        </w:tabs>
        <w:ind w:left="765"/>
      </w:pPr>
      <w:r>
        <w:t>Parte A, que inclui informações administrativas sobre as organizações candidatas (futuros coordenador, beneficiários, entidades afiliadas e parceiros associados) e uma síntese do orçamento do projeto. Preencha-o diretamente em linha,</w:t>
      </w:r>
    </w:p>
    <w:p w14:paraId="0B5804F7" w14:textId="77777777" w:rsidR="00A82A58" w:rsidRPr="00173BD7" w:rsidRDefault="00A82A58" w:rsidP="00A82A58">
      <w:pPr>
        <w:numPr>
          <w:ilvl w:val="0"/>
          <w:numId w:val="20"/>
        </w:numPr>
        <w:tabs>
          <w:tab w:val="num" w:pos="765"/>
        </w:tabs>
        <w:ind w:left="765"/>
      </w:pPr>
      <w:r>
        <w:t>Parte B (descrição da ação), que contém a descrição técnica do projeto. Descarregue o formulário obrigatório em formato Word do sistema de apresentação, preencha-o e volte a carregá-lo no sistema em formato PDF,</w:t>
      </w:r>
    </w:p>
    <w:p w14:paraId="4AC31BB2" w14:textId="303BF488" w:rsidR="00A82A58" w:rsidRPr="00173BD7" w:rsidRDefault="00A82A58" w:rsidP="00A82A58">
      <w:pPr>
        <w:numPr>
          <w:ilvl w:val="0"/>
          <w:numId w:val="20"/>
        </w:numPr>
        <w:tabs>
          <w:tab w:val="num" w:pos="765"/>
        </w:tabs>
        <w:ind w:left="765"/>
      </w:pPr>
      <w:r>
        <w:t>Parte C, que contém dados adicionais relativos ao projeto. A preencher diretamente em linha,</w:t>
      </w:r>
    </w:p>
    <w:p w14:paraId="3A0A5CB2" w14:textId="77777777" w:rsidR="00A82A58" w:rsidRPr="00173BD7" w:rsidRDefault="00A82A58" w:rsidP="00A82A58">
      <w:pPr>
        <w:numPr>
          <w:ilvl w:val="0"/>
          <w:numId w:val="20"/>
        </w:numPr>
        <w:tabs>
          <w:tab w:val="num" w:pos="765"/>
        </w:tabs>
        <w:ind w:left="765"/>
      </w:pPr>
      <w:r>
        <w:t>Anexos (</w:t>
      </w:r>
      <w:r>
        <w:rPr>
          <w:i/>
        </w:rPr>
        <w:t>ver secção 5</w:t>
      </w:r>
      <w:r>
        <w:t xml:space="preserve">). Carregue-os em formato PDF (um ou vários dependendo dos leitores). Por vezes, é possível o carregamento em formato Excel, dependendo do tipo de ficheiro. </w:t>
      </w:r>
    </w:p>
    <w:p w14:paraId="3A92FB1F" w14:textId="77777777" w:rsidR="00A82A58" w:rsidRPr="000564AA" w:rsidRDefault="00A82A58" w:rsidP="00A82A58">
      <w:r>
        <w:t xml:space="preserve">A proposta deve respeitar os </w:t>
      </w:r>
      <w:r>
        <w:rPr>
          <w:b/>
        </w:rPr>
        <w:t>limites de página</w:t>
      </w:r>
      <w:r>
        <w:t xml:space="preserve"> </w:t>
      </w:r>
      <w:r>
        <w:rPr>
          <w:i/>
        </w:rPr>
        <w:t>(ver secção 5)</w:t>
      </w:r>
      <w:r>
        <w:t xml:space="preserve">; as páginas em excesso serão ignoradas. </w:t>
      </w:r>
    </w:p>
    <w:p w14:paraId="20D3A891" w14:textId="3BD2430A" w:rsidR="00774448" w:rsidRPr="000564AA" w:rsidRDefault="00774448" w:rsidP="00A82A58">
      <w:r>
        <w:t xml:space="preserve">Os documentos devem ser enviados para a </w:t>
      </w:r>
      <w:r>
        <w:rPr>
          <w:b/>
        </w:rPr>
        <w:t>categoria certa</w:t>
      </w:r>
      <w:r>
        <w:t xml:space="preserve"> no sistema de apresentação, caso contrário a proposta poderá ser considerada incompleta e, por conseguinte, inadmissível.</w:t>
      </w:r>
    </w:p>
    <w:p w14:paraId="72F683C9" w14:textId="77777777" w:rsidR="00774448" w:rsidRPr="000564AA" w:rsidRDefault="00774448" w:rsidP="00774448">
      <w:r>
        <w:t xml:space="preserve">As propostas devem ser apresentadas </w:t>
      </w:r>
      <w:r>
        <w:rPr>
          <w:b/>
        </w:rPr>
        <w:t>antes da data-limite para a apresentação de propostas</w:t>
      </w:r>
      <w:r>
        <w:t xml:space="preserve"> (</w:t>
      </w:r>
      <w:r>
        <w:rPr>
          <w:i/>
        </w:rPr>
        <w:t>ver secção 4</w:t>
      </w:r>
      <w:r>
        <w:t xml:space="preserve">). Após este prazo, o sistema é encerrado e as propostas já não podem ser apresentadas. </w:t>
      </w:r>
    </w:p>
    <w:p w14:paraId="762AB04D" w14:textId="77777777" w:rsidR="00774448" w:rsidRPr="000564AA" w:rsidRDefault="00774448" w:rsidP="00774448">
      <w:r>
        <w:t xml:space="preserve">Uma vez apresentada a proposta, receberá uma mensagem de </w:t>
      </w:r>
      <w:r>
        <w:rPr>
          <w:b/>
        </w:rPr>
        <w:t>correio eletrónico de confirmação</w:t>
      </w:r>
      <w:r>
        <w:t xml:space="preserve"> (com a data e a hora da sua candidatura). Se não receber essa confirmação, tal significa que a sua proposta NÃO foi submetida. Se entender que tal se deve a uma falha no sistema de apresentação, deverá enviar imediatamente uma reclamação por meio do </w:t>
      </w:r>
      <w:hyperlink r:id="rId53" w:history="1">
        <w:r>
          <w:rPr>
            <w:color w:val="0088CC"/>
            <w:u w:val="single"/>
          </w:rPr>
          <w:t>formulário eletrónico do Apoio Técnico de TI</w:t>
        </w:r>
      </w:hyperlink>
      <w:r>
        <w:t xml:space="preserve">, explicando as </w:t>
      </w:r>
      <w:r>
        <w:lastRenderedPageBreak/>
        <w:t>circunstâncias e anexando uma cópia da proposta (e, se possível, capturas de ecrã para mostrar o que aconteceu).</w:t>
      </w:r>
    </w:p>
    <w:p w14:paraId="5EBA6498" w14:textId="2BFF4472" w:rsidR="00774448" w:rsidRDefault="00774448" w:rsidP="00774448">
      <w:r>
        <w:t xml:space="preserve">As informações sobre processos e procedimentos estão descritas no </w:t>
      </w:r>
      <w:hyperlink r:id="rId54" w:history="1">
        <w:r>
          <w:rPr>
            <w:rStyle w:val="Hyperlink"/>
          </w:rPr>
          <w:t>Manual em Linha</w:t>
        </w:r>
      </w:hyperlink>
      <w:r>
        <w:t>. O Manual em Linha também contém as ligações para perguntas frequentes e instruções detalhadas sobre o sistema eletrónico de intercâmbio do portal.</w:t>
      </w:r>
    </w:p>
    <w:p w14:paraId="2FB20757" w14:textId="11484925" w:rsidR="002D1390" w:rsidRPr="00975A34" w:rsidRDefault="002D1390" w:rsidP="000579AF">
      <w:pPr>
        <w:pStyle w:val="Heading1"/>
        <w:numPr>
          <w:ilvl w:val="0"/>
          <w:numId w:val="54"/>
        </w:numPr>
        <w:tabs>
          <w:tab w:val="left" w:pos="426"/>
        </w:tabs>
        <w:ind w:left="0" w:firstLine="0"/>
      </w:pPr>
      <w:bookmarkStart w:id="39" w:name="_Toc92978900"/>
      <w:r>
        <w:t>Ajuda</w:t>
      </w:r>
      <w:bookmarkEnd w:id="39"/>
    </w:p>
    <w:p w14:paraId="5BD07290" w14:textId="77777777" w:rsidR="00B870D7" w:rsidRDefault="00B870D7" w:rsidP="00B870D7">
      <w:pPr>
        <w:spacing w:after="120"/>
        <w:rPr>
          <w:szCs w:val="21"/>
        </w:rPr>
      </w:pPr>
      <w:r>
        <w:t xml:space="preserve">Solicitamos que, na medida do possível, </w:t>
      </w:r>
      <w:r>
        <w:rPr>
          <w:b/>
          <w:i/>
          <w:szCs w:val="21"/>
        </w:rPr>
        <w:t>procure encontrar as respostas de que necessita</w:t>
      </w:r>
      <w:r>
        <w:t xml:space="preserve"> nesta e noutra documentação (dispomos de recursos limitados para responder a perguntas diretas):</w:t>
      </w:r>
    </w:p>
    <w:p w14:paraId="66C7F5F9" w14:textId="77777777" w:rsidR="00B870D7" w:rsidRPr="000F5190" w:rsidRDefault="00751C57" w:rsidP="00584316">
      <w:pPr>
        <w:widowControl w:val="0"/>
        <w:numPr>
          <w:ilvl w:val="0"/>
          <w:numId w:val="31"/>
        </w:numPr>
        <w:spacing w:after="120"/>
        <w:ind w:left="709"/>
        <w:jc w:val="left"/>
        <w:rPr>
          <w:szCs w:val="21"/>
        </w:rPr>
      </w:pPr>
      <w:hyperlink r:id="rId55" w:history="1">
        <w:r w:rsidR="00D9124D">
          <w:rPr>
            <w:rStyle w:val="Hyperlink"/>
          </w:rPr>
          <w:t>Manual em linha</w:t>
        </w:r>
      </w:hyperlink>
      <w:r w:rsidR="00D9124D">
        <w:t xml:space="preserve"> </w:t>
      </w:r>
    </w:p>
    <w:p w14:paraId="20342E5F" w14:textId="77777777" w:rsidR="00B870D7" w:rsidRPr="00310A7B" w:rsidRDefault="00B870D7" w:rsidP="00584316">
      <w:pPr>
        <w:widowControl w:val="0"/>
        <w:numPr>
          <w:ilvl w:val="0"/>
          <w:numId w:val="31"/>
        </w:numPr>
        <w:spacing w:after="120"/>
        <w:ind w:left="709"/>
        <w:jc w:val="left"/>
        <w:rPr>
          <w:szCs w:val="21"/>
          <w:u w:val="single"/>
        </w:rPr>
      </w:pPr>
      <w:r>
        <w:t>Perguntas frequentes (FAQ) na página Topic (para perguntas relativas aos convites à apresentação de propostas em concursos públicos; não aplicável para ações por convite)</w:t>
      </w:r>
    </w:p>
    <w:p w14:paraId="15BC9D11" w14:textId="77777777" w:rsidR="00B870D7" w:rsidRPr="00310A7B" w:rsidRDefault="00751C57" w:rsidP="00584316">
      <w:pPr>
        <w:widowControl w:val="0"/>
        <w:numPr>
          <w:ilvl w:val="0"/>
          <w:numId w:val="31"/>
        </w:numPr>
        <w:ind w:left="709" w:hanging="357"/>
        <w:jc w:val="left"/>
        <w:rPr>
          <w:szCs w:val="21"/>
          <w:u w:val="single"/>
        </w:rPr>
      </w:pPr>
      <w:hyperlink r:id="rId56" w:history="1">
        <w:r w:rsidR="00D9124D">
          <w:rPr>
            <w:rStyle w:val="Hyperlink"/>
          </w:rPr>
          <w:t>Perguntas frequentes (FAQ) do portal</w:t>
        </w:r>
      </w:hyperlink>
      <w:r w:rsidR="00D9124D">
        <w:t xml:space="preserve"> (para perguntas de caráter geral).</w:t>
      </w:r>
    </w:p>
    <w:p w14:paraId="7FE24C65" w14:textId="77777777" w:rsidR="00A53E20" w:rsidRPr="00310A7B" w:rsidRDefault="00A53E20" w:rsidP="00A53E20">
      <w:pPr>
        <w:rPr>
          <w:color w:val="000000"/>
          <w:szCs w:val="21"/>
        </w:rPr>
      </w:pPr>
      <w:r>
        <w:rPr>
          <w:color w:val="000000"/>
          <w:szCs w:val="21"/>
        </w:rPr>
        <w:t>Consulte também regularmente a página Topic, uma vez que nela serão publicadas atualizações sobre o convite. (Relativamente aos convites, será diretamente contactado por nós em caso de atualização de convite).</w:t>
      </w:r>
    </w:p>
    <w:p w14:paraId="2799B9E0" w14:textId="77777777" w:rsidR="00A53E20" w:rsidRPr="002D1390" w:rsidRDefault="00A53E20" w:rsidP="00A53E20">
      <w:pPr>
        <w:widowControl w:val="0"/>
        <w:rPr>
          <w:i/>
        </w:rPr>
      </w:pPr>
      <w:r>
        <w:rPr>
          <w:i/>
        </w:rPr>
        <w:t>Contacto</w:t>
      </w:r>
    </w:p>
    <w:p w14:paraId="4F7C9187" w14:textId="77777777" w:rsidR="00A53E20" w:rsidRPr="00B57534" w:rsidRDefault="00A53E20" w:rsidP="00A53E20">
      <w:pPr>
        <w:pStyle w:val="Default"/>
        <w:spacing w:after="120"/>
        <w:jc w:val="both"/>
        <w:rPr>
          <w:rFonts w:ascii="Verdana" w:hAnsi="Verdana" w:cs="Arial"/>
          <w:color w:val="auto"/>
          <w:sz w:val="20"/>
          <w:szCs w:val="20"/>
        </w:rPr>
      </w:pPr>
      <w:r>
        <w:rPr>
          <w:rFonts w:ascii="Verdana" w:hAnsi="Verdana"/>
          <w:color w:val="auto"/>
          <w:sz w:val="20"/>
          <w:szCs w:val="20"/>
        </w:rPr>
        <w:t xml:space="preserve">Para perguntas individuais sobre o sistema de apresentação do Portal, queira contactar o </w:t>
      </w:r>
      <w:hyperlink r:id="rId57" w:history="1">
        <w:r>
          <w:rPr>
            <w:rStyle w:val="Hyperlink"/>
            <w:rFonts w:ascii="Verdana" w:hAnsi="Verdana"/>
            <w:sz w:val="20"/>
            <w:szCs w:val="20"/>
          </w:rPr>
          <w:t>Apoio Técnico de TI</w:t>
        </w:r>
      </w:hyperlink>
      <w:r>
        <w:rPr>
          <w:rFonts w:ascii="Verdana" w:hAnsi="Verdana"/>
          <w:color w:val="auto"/>
          <w:sz w:val="20"/>
          <w:szCs w:val="20"/>
        </w:rPr>
        <w:t>.</w:t>
      </w:r>
    </w:p>
    <w:p w14:paraId="0208E6F8" w14:textId="77777777" w:rsidR="007654F8" w:rsidRDefault="00A53E20" w:rsidP="007654F8">
      <w:pPr>
        <w:pStyle w:val="Text1"/>
        <w:spacing w:after="120"/>
        <w:ind w:left="0"/>
        <w:rPr>
          <w:rFonts w:cs="Arial"/>
        </w:rPr>
      </w:pPr>
      <w:r>
        <w:t xml:space="preserve">As perguntas não relacionadas com TI devem ser enviadas para o seguinte endereço de correio eletrónico: </w:t>
      </w:r>
    </w:p>
    <w:p w14:paraId="78E7C8FF" w14:textId="75E2D1C4" w:rsidR="00CD6C4F" w:rsidRDefault="00751C57" w:rsidP="007654F8">
      <w:pPr>
        <w:pStyle w:val="Text1"/>
        <w:spacing w:after="120"/>
        <w:ind w:left="0"/>
        <w:rPr>
          <w:rFonts w:cs="Arial"/>
        </w:rPr>
      </w:pPr>
      <w:hyperlink r:id="rId58" w:history="1">
        <w:r w:rsidR="00D9124D">
          <w:rPr>
            <w:rStyle w:val="Hyperlink"/>
            <w:color w:val="FF0000"/>
          </w:rPr>
          <w:t>EACEA-CERV@ec.europa.eu</w:t>
        </w:r>
      </w:hyperlink>
      <w:r w:rsidR="00D9124D">
        <w:t xml:space="preserve">. </w:t>
      </w:r>
    </w:p>
    <w:p w14:paraId="5BAEED01" w14:textId="77777777" w:rsidR="00A53E20" w:rsidRDefault="00A53E20" w:rsidP="00CD6C4F">
      <w:pPr>
        <w:pStyle w:val="Text1"/>
        <w:spacing w:after="120"/>
        <w:ind w:left="0"/>
        <w:rPr>
          <w:rFonts w:cs="Arial"/>
        </w:rPr>
      </w:pPr>
      <w:r>
        <w:t xml:space="preserve">Indique claramente a referência do convite à apresentação de propostas e o tema a que se refere a sua pergunta </w:t>
      </w:r>
      <w:r>
        <w:rPr>
          <w:i/>
        </w:rPr>
        <w:t>(ver página de rosto)</w:t>
      </w:r>
      <w:r>
        <w:t>.</w:t>
      </w:r>
    </w:p>
    <w:p w14:paraId="60C73839" w14:textId="77777777" w:rsidR="00376DCA" w:rsidRDefault="00376DCA" w:rsidP="007C37E2"/>
    <w:p w14:paraId="55C4BC05" w14:textId="76070ACC" w:rsidR="008D7360" w:rsidRDefault="00376DCA" w:rsidP="000579AF">
      <w:pPr>
        <w:pStyle w:val="Heading1"/>
        <w:numPr>
          <w:ilvl w:val="0"/>
          <w:numId w:val="54"/>
        </w:numPr>
        <w:tabs>
          <w:tab w:val="left" w:pos="426"/>
        </w:tabs>
        <w:ind w:left="0" w:firstLine="0"/>
      </w:pPr>
      <w:r>
        <w:br w:type="page"/>
      </w:r>
      <w:bookmarkStart w:id="40" w:name="_Toc92978901"/>
      <w:r>
        <w:lastRenderedPageBreak/>
        <w:t>Importante</w:t>
      </w:r>
      <w:bookmarkEnd w:id="40"/>
    </w:p>
    <w:tbl>
      <w:tblPr>
        <w:tblStyle w:val="TableGrid"/>
        <w:tblW w:w="0" w:type="auto"/>
        <w:tblLook w:val="04A0" w:firstRow="1" w:lastRow="0" w:firstColumn="1" w:lastColumn="0" w:noHBand="0" w:noVBand="1"/>
      </w:tblPr>
      <w:tblGrid>
        <w:gridCol w:w="8642"/>
      </w:tblGrid>
      <w:tr w:rsidR="003466A0" w14:paraId="08845A85" w14:textId="77777777" w:rsidTr="003466A0">
        <w:tc>
          <w:tcPr>
            <w:tcW w:w="8642" w:type="dxa"/>
            <w:tcBorders>
              <w:top w:val="single" w:sz="4" w:space="0" w:color="BFBFBF"/>
              <w:left w:val="single" w:sz="4" w:space="0" w:color="BFBFBF"/>
              <w:bottom w:val="single" w:sz="4" w:space="0" w:color="BFBFBF"/>
              <w:right w:val="single" w:sz="4" w:space="0" w:color="BFBFBF"/>
            </w:tcBorders>
            <w:shd w:val="clear" w:color="auto" w:fill="F2F2F2"/>
          </w:tcPr>
          <w:p w14:paraId="0AEEABC2" w14:textId="77777777" w:rsidR="003466A0" w:rsidRPr="00310A7B" w:rsidRDefault="003466A0" w:rsidP="003466A0">
            <w:pPr>
              <w:pStyle w:val="Text1"/>
              <w:spacing w:before="120" w:after="120"/>
              <w:ind w:left="0"/>
              <w:rPr>
                <w:rFonts w:cs="Arial"/>
                <w:color w:val="595959"/>
                <w:sz w:val="16"/>
                <w:szCs w:val="18"/>
              </w:rPr>
            </w:pPr>
            <w:r>
              <w:rPr>
                <w:b/>
                <w:noProof/>
                <w:color w:val="7F7F7F"/>
                <w:sz w:val="18"/>
                <w:szCs w:val="21"/>
                <w:lang w:val="en-IE" w:eastAsia="en-IE"/>
              </w:rPr>
              <w:drawing>
                <wp:inline distT="0" distB="0" distL="0" distR="0" wp14:anchorId="55CA5B7B" wp14:editId="4F2460F7">
                  <wp:extent cx="187960" cy="187960"/>
                  <wp:effectExtent l="0" t="0" r="0" b="0"/>
                  <wp:docPr id="12" name="Picture 1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rni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Pr>
                <w:sz w:val="18"/>
                <w:szCs w:val="18"/>
              </w:rPr>
              <w:t xml:space="preserve"> </w:t>
            </w:r>
            <w:r>
              <w:rPr>
                <w:b/>
                <w:color w:val="595959"/>
                <w:sz w:val="18"/>
                <w:szCs w:val="18"/>
              </w:rPr>
              <w:t xml:space="preserve">IMPORTANTE </w:t>
            </w:r>
          </w:p>
          <w:p w14:paraId="013FE2B5" w14:textId="77777777" w:rsidR="003466A0" w:rsidRPr="00310A7B" w:rsidRDefault="003466A0" w:rsidP="003466A0">
            <w:pPr>
              <w:numPr>
                <w:ilvl w:val="0"/>
                <w:numId w:val="25"/>
              </w:numPr>
              <w:spacing w:after="120"/>
              <w:ind w:left="567" w:right="79" w:hanging="447"/>
              <w:rPr>
                <w:color w:val="595959"/>
                <w:sz w:val="18"/>
                <w:szCs w:val="18"/>
              </w:rPr>
            </w:pPr>
            <w:r>
              <w:rPr>
                <w:b/>
                <w:color w:val="595959"/>
                <w:sz w:val="18"/>
                <w:szCs w:val="18"/>
              </w:rPr>
              <w:t>Não espere até ao fim</w:t>
            </w:r>
            <w:r>
              <w:rPr>
                <w:color w:val="595959"/>
                <w:sz w:val="18"/>
                <w:szCs w:val="18"/>
              </w:rPr>
              <w:t xml:space="preserve"> — complete a sua candidatura com antecedência suficiente em relação ao termo do prazo para evitar </w:t>
            </w:r>
            <w:r>
              <w:rPr>
                <w:b/>
                <w:color w:val="595959"/>
                <w:sz w:val="18"/>
                <w:szCs w:val="18"/>
              </w:rPr>
              <w:t>problemas técnicos</w:t>
            </w:r>
            <w:r>
              <w:rPr>
                <w:color w:val="595959"/>
                <w:sz w:val="18"/>
                <w:szCs w:val="18"/>
              </w:rPr>
              <w:t xml:space="preserve"> de última hora. Os problemas decorrentes da apresentação de propostas em cima do termo do prazo </w:t>
            </w:r>
            <w:r>
              <w:rPr>
                <w:i/>
                <w:color w:val="595959"/>
                <w:sz w:val="18"/>
                <w:szCs w:val="18"/>
              </w:rPr>
              <w:t>(por exemplo, congestionamentos, etc.)</w:t>
            </w:r>
            <w:r>
              <w:rPr>
                <w:color w:val="595959"/>
                <w:sz w:val="18"/>
                <w:szCs w:val="18"/>
              </w:rPr>
              <w:t xml:space="preserve"> são da sua exclusiva responsabilidade. Os prazos do convite NÃO podem ser prorrogados.</w:t>
            </w:r>
          </w:p>
          <w:p w14:paraId="0AE8FA32" w14:textId="77777777" w:rsidR="003466A0" w:rsidRPr="006E643A" w:rsidRDefault="003466A0" w:rsidP="003466A0">
            <w:pPr>
              <w:numPr>
                <w:ilvl w:val="0"/>
                <w:numId w:val="25"/>
              </w:numPr>
              <w:ind w:left="567" w:right="79" w:hanging="447"/>
              <w:rPr>
                <w:color w:val="595959"/>
                <w:sz w:val="18"/>
                <w:szCs w:val="18"/>
              </w:rPr>
            </w:pPr>
            <w:r>
              <w:rPr>
                <w:b/>
                <w:color w:val="595959"/>
                <w:sz w:val="18"/>
                <w:szCs w:val="18"/>
              </w:rPr>
              <w:t>Consulte</w:t>
            </w:r>
            <w:r>
              <w:rPr>
                <w:color w:val="595959"/>
                <w:sz w:val="18"/>
                <w:szCs w:val="18"/>
              </w:rPr>
              <w:t xml:space="preserve"> regularmente a página Topic do Portal. Utilizá-la-emos para publicar atualizações e informações adicionais sobre o convite à apresentação de propostas (atualizações do convite e dos temas).</w:t>
            </w:r>
          </w:p>
          <w:p w14:paraId="26D30BBC" w14:textId="77777777" w:rsidR="003466A0" w:rsidRPr="00F701D1" w:rsidRDefault="003466A0" w:rsidP="003466A0">
            <w:pPr>
              <w:numPr>
                <w:ilvl w:val="0"/>
                <w:numId w:val="25"/>
              </w:numPr>
              <w:ind w:left="567" w:right="79" w:hanging="447"/>
              <w:rPr>
                <w:rFonts w:cs="Arial"/>
                <w:color w:val="595959"/>
                <w:sz w:val="18"/>
                <w:szCs w:val="18"/>
              </w:rPr>
            </w:pPr>
            <w:r>
              <w:rPr>
                <w:color w:val="595959"/>
                <w:sz w:val="18"/>
                <w:szCs w:val="18"/>
              </w:rPr>
              <w:t xml:space="preserve">Sistema eletrónico de intercâmbio do Portal de Financiamento e Concursos — ao apresentar a candidatura, todos os participantes </w:t>
            </w:r>
            <w:r>
              <w:rPr>
                <w:b/>
                <w:color w:val="595959"/>
                <w:sz w:val="18"/>
                <w:szCs w:val="18"/>
              </w:rPr>
              <w:t>aceitam</w:t>
            </w:r>
            <w:r>
              <w:rPr>
                <w:color w:val="595959"/>
                <w:sz w:val="18"/>
                <w:szCs w:val="18"/>
              </w:rPr>
              <w:t xml:space="preserve"> utilizar o sistema de intercâmbio eletrónico de dados em conformidade com os </w:t>
            </w:r>
            <w:hyperlink r:id="rId59" w:history="1">
              <w:r>
                <w:rPr>
                  <w:rStyle w:val="Hyperlink"/>
                  <w:sz w:val="18"/>
                  <w:szCs w:val="18"/>
                </w:rPr>
                <w:t>Termos e Condições do portal</w:t>
              </w:r>
            </w:hyperlink>
            <w:r>
              <w:rPr>
                <w:color w:val="7F7F7F"/>
                <w:sz w:val="18"/>
                <w:szCs w:val="18"/>
              </w:rPr>
              <w:t>.</w:t>
            </w:r>
          </w:p>
          <w:p w14:paraId="0975F9CA" w14:textId="77777777" w:rsidR="003466A0" w:rsidRPr="00F701D1" w:rsidRDefault="003466A0" w:rsidP="003466A0">
            <w:pPr>
              <w:numPr>
                <w:ilvl w:val="0"/>
                <w:numId w:val="25"/>
              </w:numPr>
              <w:ind w:left="567" w:right="79" w:hanging="447"/>
              <w:rPr>
                <w:rFonts w:cs="Arial"/>
                <w:color w:val="595959"/>
                <w:sz w:val="18"/>
                <w:szCs w:val="18"/>
              </w:rPr>
            </w:pPr>
            <w:r>
              <w:rPr>
                <w:b/>
                <w:color w:val="595959"/>
                <w:sz w:val="18"/>
                <w:szCs w:val="18"/>
              </w:rPr>
              <w:t>Registo</w:t>
            </w:r>
            <w:r>
              <w:rPr>
                <w:color w:val="595959"/>
                <w:sz w:val="18"/>
                <w:szCs w:val="18"/>
              </w:rPr>
              <w:t xml:space="preserve"> — antes de apresentar a candidatura, todos os beneficiários, entidades afiliadas e parceiros associados devem estar inscritos no </w:t>
            </w:r>
            <w:hyperlink r:id="rId60" w:history="1">
              <w:r>
                <w:rPr>
                  <w:rStyle w:val="Hyperlink"/>
                  <w:sz w:val="18"/>
                  <w:szCs w:val="18"/>
                </w:rPr>
                <w:t>Registo de Participantes</w:t>
              </w:r>
            </w:hyperlink>
            <w:r>
              <w:rPr>
                <w:color w:val="595959"/>
                <w:sz w:val="18"/>
                <w:szCs w:val="18"/>
              </w:rPr>
              <w:t>. O código de identificação do participante (PIC) (um por participante) é obrigatório para o formulário de candidatura.</w:t>
            </w:r>
          </w:p>
          <w:p w14:paraId="0DFC64FC" w14:textId="77777777" w:rsidR="003466A0" w:rsidRPr="00F701D1" w:rsidRDefault="003466A0" w:rsidP="003466A0">
            <w:pPr>
              <w:numPr>
                <w:ilvl w:val="0"/>
                <w:numId w:val="25"/>
              </w:numPr>
              <w:spacing w:after="120"/>
              <w:ind w:left="567" w:right="79" w:hanging="445"/>
              <w:rPr>
                <w:rFonts w:cs="Arial"/>
                <w:iCs/>
                <w:color w:val="595959"/>
                <w:sz w:val="18"/>
                <w:szCs w:val="18"/>
              </w:rPr>
            </w:pPr>
            <w:r>
              <w:rPr>
                <w:b/>
                <w:iCs/>
                <w:color w:val="595959"/>
                <w:sz w:val="18"/>
                <w:szCs w:val="18"/>
              </w:rPr>
              <w:t>Funções de consórcio</w:t>
            </w:r>
            <w:r>
              <w:rPr>
                <w:iCs/>
                <w:color w:val="595959"/>
                <w:sz w:val="18"/>
                <w:szCs w:val="18"/>
              </w:rPr>
              <w:t xml:space="preserve"> — ao criar o seu consórcio, deve pensar em organizações que o ajudam a realizar os objetivos e a resolver problemas.</w:t>
            </w:r>
          </w:p>
          <w:p w14:paraId="26BAC1EC" w14:textId="77777777" w:rsidR="003466A0" w:rsidRPr="00F701D1" w:rsidRDefault="003466A0" w:rsidP="003466A0">
            <w:pPr>
              <w:spacing w:after="120"/>
              <w:ind w:left="567" w:right="79"/>
              <w:rPr>
                <w:rFonts w:eastAsia="Calibri"/>
                <w:sz w:val="18"/>
                <w:szCs w:val="18"/>
              </w:rPr>
            </w:pPr>
            <w:r>
              <w:rPr>
                <w:color w:val="595959"/>
                <w:sz w:val="18"/>
                <w:szCs w:val="18"/>
              </w:rPr>
              <w:t xml:space="preserve">As funções devem ser atribuídas de acordo com o nível de participação no projeto. Os principais participantes devem participar como </w:t>
            </w:r>
            <w:r>
              <w:rPr>
                <w:b/>
                <w:color w:val="595959"/>
                <w:sz w:val="18"/>
                <w:szCs w:val="18"/>
              </w:rPr>
              <w:t>beneficiários</w:t>
            </w:r>
            <w:r>
              <w:rPr>
                <w:color w:val="595959"/>
                <w:sz w:val="18"/>
                <w:szCs w:val="18"/>
              </w:rPr>
              <w:t xml:space="preserve"> ou </w:t>
            </w:r>
            <w:r>
              <w:rPr>
                <w:b/>
                <w:color w:val="595959"/>
                <w:sz w:val="18"/>
                <w:szCs w:val="18"/>
              </w:rPr>
              <w:t>entidades afiliadas</w:t>
            </w:r>
            <w:r>
              <w:rPr>
                <w:color w:val="595959"/>
                <w:sz w:val="18"/>
                <w:szCs w:val="18"/>
              </w:rPr>
              <w:t xml:space="preserve">; outras entidades podem participar como parceiros associados, subcontratantes ou terceiros que prestam contribuições em espécie. Os </w:t>
            </w:r>
            <w:r>
              <w:rPr>
                <w:b/>
                <w:color w:val="595959"/>
                <w:sz w:val="18"/>
                <w:szCs w:val="18"/>
              </w:rPr>
              <w:t>parceiros associados</w:t>
            </w:r>
            <w:r>
              <w:rPr>
                <w:color w:val="595959"/>
                <w:sz w:val="18"/>
                <w:szCs w:val="18"/>
              </w:rPr>
              <w:t xml:space="preserve"> e os terceiros que prestam contribuições em espécie devem suportar os seus próprios custos (não serão beneficiários formais do financiamento da UE). A </w:t>
            </w:r>
            <w:r>
              <w:rPr>
                <w:b/>
                <w:color w:val="595959"/>
                <w:sz w:val="18"/>
                <w:szCs w:val="18"/>
              </w:rPr>
              <w:t>subcontratação</w:t>
            </w:r>
            <w:r>
              <w:rPr>
                <w:color w:val="595959"/>
                <w:sz w:val="18"/>
                <w:szCs w:val="18"/>
              </w:rPr>
              <w:t xml:space="preserve"> deve constituir uma parte limitada e deve ser efetuada por terceiros (e não por um dos beneficiários/entidades afiliadas). A subcontratação que ultrapasse 30 % dos custos elegíveis totais deve ser justificada na candidatura.</w:t>
            </w:r>
          </w:p>
          <w:p w14:paraId="65AE3690" w14:textId="77777777" w:rsidR="003466A0" w:rsidRPr="00072FAA" w:rsidRDefault="003466A0" w:rsidP="003466A0">
            <w:pPr>
              <w:numPr>
                <w:ilvl w:val="0"/>
                <w:numId w:val="25"/>
              </w:numPr>
              <w:ind w:left="567" w:right="78" w:hanging="445"/>
              <w:rPr>
                <w:rFonts w:cs="Arial"/>
                <w:iCs/>
                <w:color w:val="595959"/>
                <w:sz w:val="18"/>
                <w:szCs w:val="18"/>
              </w:rPr>
            </w:pPr>
            <w:r>
              <w:rPr>
                <w:b/>
                <w:color w:val="595959"/>
                <w:sz w:val="18"/>
                <w:szCs w:val="18"/>
              </w:rPr>
              <w:t xml:space="preserve">Coordenador — </w:t>
            </w:r>
            <w:r>
              <w:rPr>
                <w:color w:val="595959"/>
                <w:sz w:val="18"/>
                <w:szCs w:val="18"/>
              </w:rPr>
              <w:t>em subvenções com multibeneficiários, os beneficiários participam como consórcio (grupo de beneficiários). Terão de escolher um coordenador, que assumirá a gestão e a coordenação do projeto e representará o consórcio perante a autoridade que concede a subvenção. Nas subvenções com um único beneficiário, esse beneficiário único será automaticamente o coordenador.</w:t>
            </w:r>
          </w:p>
          <w:p w14:paraId="677020DE" w14:textId="77777777" w:rsidR="003466A0" w:rsidRPr="00310A7B" w:rsidRDefault="003466A0" w:rsidP="003466A0">
            <w:pPr>
              <w:numPr>
                <w:ilvl w:val="0"/>
                <w:numId w:val="25"/>
              </w:numPr>
              <w:ind w:left="567" w:right="78" w:hanging="445"/>
              <w:rPr>
                <w:rFonts w:eastAsia="Verdana" w:cs="Verdana"/>
                <w:color w:val="595959"/>
                <w:sz w:val="18"/>
                <w:szCs w:val="18"/>
              </w:rPr>
            </w:pPr>
            <w:r>
              <w:rPr>
                <w:b/>
                <w:color w:val="595959"/>
                <w:sz w:val="18"/>
                <w:szCs w:val="18"/>
              </w:rPr>
              <w:t xml:space="preserve">Entidades afiliadas </w:t>
            </w:r>
            <w:r>
              <w:rPr>
                <w:color w:val="595959"/>
                <w:sz w:val="18"/>
                <w:szCs w:val="18"/>
              </w:rPr>
              <w:t>— os candidatos podem participar com entidades afiliadas (ou seja, entidades ligadas a um beneficiário que participem na ação com direitos e obrigações semelhantes aos dos beneficiários, mas que não assinem a subvenção e, por conseguinte, não se tornem elas próprias beneficiárias). Receberão uma parte do montante da subvenção e devem, por conseguinte, cumprir todas as condições do convite e ser validadas (tal como os beneficiários); mas não contam para os critérios mínimos de elegibilidade para a composição do consórcio (caso existam).</w:t>
            </w:r>
          </w:p>
          <w:p w14:paraId="53A9D20B" w14:textId="77777777" w:rsidR="003466A0" w:rsidRPr="00310A7B" w:rsidRDefault="003466A0" w:rsidP="003466A0">
            <w:pPr>
              <w:numPr>
                <w:ilvl w:val="0"/>
                <w:numId w:val="25"/>
              </w:numPr>
              <w:ind w:left="567" w:right="78" w:hanging="445"/>
              <w:rPr>
                <w:rFonts w:eastAsia="Verdana" w:cs="Verdana"/>
                <w:color w:val="595959"/>
                <w:sz w:val="18"/>
                <w:szCs w:val="18"/>
              </w:rPr>
            </w:pPr>
            <w:r>
              <w:rPr>
                <w:b/>
                <w:color w:val="595959"/>
                <w:sz w:val="18"/>
                <w:szCs w:val="18"/>
              </w:rPr>
              <w:t xml:space="preserve">Parceiros associados </w:t>
            </w:r>
            <w:r>
              <w:rPr>
                <w:color w:val="595959"/>
                <w:sz w:val="18"/>
                <w:szCs w:val="18"/>
              </w:rPr>
              <w:t>— os candidatos podem participar com parceiros associados (ou seja, organizações parceiras que participam na ação, mas sem direito a receber dinheiro da subvenção). Participam sem financiamento, pelo que não necessitam de ser validados.</w:t>
            </w:r>
          </w:p>
          <w:p w14:paraId="34EBD154" w14:textId="77777777" w:rsidR="003466A0" w:rsidRPr="00F43CEE" w:rsidRDefault="003466A0" w:rsidP="003466A0">
            <w:pPr>
              <w:numPr>
                <w:ilvl w:val="0"/>
                <w:numId w:val="25"/>
              </w:numPr>
              <w:ind w:left="567" w:right="79" w:hanging="445"/>
              <w:rPr>
                <w:rFonts w:cs="Arial"/>
                <w:color w:val="595959"/>
                <w:sz w:val="18"/>
                <w:szCs w:val="18"/>
              </w:rPr>
            </w:pPr>
            <w:r>
              <w:rPr>
                <w:b/>
                <w:color w:val="595959"/>
                <w:sz w:val="18"/>
                <w:szCs w:val="18"/>
              </w:rPr>
              <w:t xml:space="preserve">Acordo de consórcio </w:t>
            </w:r>
            <w:r>
              <w:rPr>
                <w:color w:val="595959"/>
                <w:sz w:val="18"/>
                <w:szCs w:val="18"/>
              </w:rPr>
              <w:t xml:space="preserve">— por razões de ordem prática e jurídica, recomenda-se o estabelecimento de disposições internas que permitam fazer face a circunstâncias excecionais ou imprevistas (em todos os casos, mesmo que tal não seja obrigatório nos termos da convenção de subvenção). O acordo de consórcio oferece igualmente a possibilidade de redistribuir o montante da subvenção de acordo com os princípios e parâmetros internos do consórcio (por exemplo, um beneficiário pode reatribuir o montante da subvenção que lhe cabe a outro beneficiário). O acordo de consórcio </w:t>
            </w:r>
            <w:r>
              <w:rPr>
                <w:color w:val="595959"/>
                <w:sz w:val="18"/>
                <w:szCs w:val="18"/>
              </w:rPr>
              <w:lastRenderedPageBreak/>
              <w:t>permite, assim, adaptar a subvenção da UE às necessidades do consórcio, podendo igualmente ajudá-lo a proteger-se em caso de litígio.</w:t>
            </w:r>
          </w:p>
          <w:p w14:paraId="6B7F154E" w14:textId="77777777" w:rsidR="003466A0" w:rsidRPr="00310A7B" w:rsidRDefault="003466A0" w:rsidP="003466A0">
            <w:pPr>
              <w:numPr>
                <w:ilvl w:val="0"/>
                <w:numId w:val="25"/>
              </w:numPr>
              <w:ind w:left="567" w:right="78" w:hanging="445"/>
              <w:rPr>
                <w:color w:val="595959"/>
                <w:sz w:val="18"/>
                <w:szCs w:val="18"/>
              </w:rPr>
            </w:pPr>
            <w:r>
              <w:rPr>
                <w:b/>
                <w:color w:val="595959"/>
                <w:sz w:val="18"/>
                <w:szCs w:val="18"/>
              </w:rPr>
              <w:t>Orçamento equilibrado do projeto</w:t>
            </w:r>
            <w:r>
              <w:rPr>
                <w:i/>
                <w:color w:val="4AA55B"/>
                <w:sz w:val="18"/>
                <w:szCs w:val="18"/>
              </w:rPr>
              <w:t xml:space="preserve"> </w:t>
            </w:r>
            <w:r>
              <w:rPr>
                <w:b/>
                <w:color w:val="595959"/>
                <w:sz w:val="18"/>
                <w:szCs w:val="18"/>
              </w:rPr>
              <w:t>—</w:t>
            </w:r>
            <w:r>
              <w:rPr>
                <w:color w:val="595959"/>
                <w:sz w:val="18"/>
                <w:szCs w:val="18"/>
              </w:rPr>
              <w:t xml:space="preserve"> as candidaturas a subvenções devem assegurar um orçamento equilibrado do projeto e outros recursos suficientes para executar o projeto com êxito </w:t>
            </w:r>
            <w:r>
              <w:rPr>
                <w:i/>
                <w:color w:val="595959"/>
                <w:sz w:val="18"/>
                <w:szCs w:val="18"/>
              </w:rPr>
              <w:t>(por exemplo, contribuições próprias, receitas geradas pela ação, contribuições financeiras de terceiros, etc.)</w:t>
            </w:r>
            <w:r>
              <w:rPr>
                <w:color w:val="595959"/>
                <w:sz w:val="18"/>
                <w:szCs w:val="18"/>
              </w:rPr>
              <w:t xml:space="preserve">. Poderá ser pedida a redução dos custos estimados, se estes forem inelegíveis (ou excessivos). </w:t>
            </w:r>
          </w:p>
          <w:p w14:paraId="05614CAC" w14:textId="77777777" w:rsidR="003466A0" w:rsidRPr="00376DCA" w:rsidRDefault="003466A0" w:rsidP="003466A0">
            <w:pPr>
              <w:numPr>
                <w:ilvl w:val="0"/>
                <w:numId w:val="25"/>
              </w:numPr>
              <w:ind w:left="567" w:right="78" w:hanging="445"/>
              <w:rPr>
                <w:color w:val="595959"/>
                <w:sz w:val="18"/>
                <w:szCs w:val="18"/>
              </w:rPr>
            </w:pPr>
            <w:r>
              <w:rPr>
                <w:b/>
                <w:color w:val="595959"/>
                <w:sz w:val="18"/>
                <w:szCs w:val="18"/>
              </w:rPr>
              <w:t xml:space="preserve">Regra da inexistência de fins lucrativos — </w:t>
            </w:r>
            <w:r>
              <w:rPr>
                <w:color w:val="595959"/>
                <w:sz w:val="18"/>
                <w:szCs w:val="18"/>
              </w:rPr>
              <w:t xml:space="preserve">as subvenções NÃO podem dar lucro (ou seja, excedente de receitas + subvenção da UE em relação aos custos). Esta situação será verificada no final do projeto. </w:t>
            </w:r>
          </w:p>
          <w:p w14:paraId="00C7155D" w14:textId="77777777" w:rsidR="003466A0" w:rsidRPr="00310A7B" w:rsidRDefault="003466A0" w:rsidP="003466A0">
            <w:pPr>
              <w:numPr>
                <w:ilvl w:val="0"/>
                <w:numId w:val="25"/>
              </w:numPr>
              <w:ind w:left="567" w:right="79" w:hanging="445"/>
              <w:rPr>
                <w:color w:val="595959"/>
                <w:sz w:val="18"/>
                <w:szCs w:val="18"/>
              </w:rPr>
            </w:pPr>
            <w:r>
              <w:rPr>
                <w:b/>
                <w:color w:val="595959"/>
                <w:sz w:val="18"/>
                <w:szCs w:val="18"/>
              </w:rPr>
              <w:t>Inexistência de duplo financiamento —</w:t>
            </w:r>
            <w:r>
              <w:rPr>
                <w:color w:val="595959"/>
                <w:sz w:val="18"/>
                <w:szCs w:val="18"/>
              </w:rPr>
              <w:t xml:space="preserve"> É estritamente proibido o duplo financiamento pelo orçamento da UE (exceto no âmbito das iniciativas Synergies). Fora das iniciativas Synergies, cada ação apenas pode beneficiar de UMA subvenção do orçamento da UE e as rubricas de custos NÃO podem, em circunstância alguma, ser declaradas para duas ações da UE distintas.</w:t>
            </w:r>
          </w:p>
          <w:p w14:paraId="708B5112" w14:textId="77777777" w:rsidR="003466A0" w:rsidRPr="006010BA" w:rsidRDefault="003466A0" w:rsidP="003466A0">
            <w:pPr>
              <w:numPr>
                <w:ilvl w:val="0"/>
                <w:numId w:val="25"/>
              </w:numPr>
              <w:ind w:left="567" w:right="78" w:hanging="445"/>
              <w:rPr>
                <w:rFonts w:eastAsia="Verdana" w:cs="Verdana"/>
                <w:color w:val="595959"/>
                <w:sz w:val="18"/>
                <w:szCs w:val="18"/>
              </w:rPr>
            </w:pPr>
            <w:r>
              <w:rPr>
                <w:b/>
                <w:color w:val="595959"/>
                <w:sz w:val="18"/>
                <w:szCs w:val="18"/>
              </w:rPr>
              <w:t xml:space="preserve">Projetos concluídos/em curso — </w:t>
            </w:r>
            <w:r>
              <w:rPr>
                <w:color w:val="595959"/>
                <w:sz w:val="18"/>
                <w:szCs w:val="18"/>
              </w:rPr>
              <w:t>as propostas de projetos já concluídos serão rejeitadas; as propostas de projetos já iniciados serão avaliadas caso a caso (neste caso, não podem ser reembolsados quaisquer custos relativos a atividades realizadas antes da data de início do projeto/apresentação da proposta).</w:t>
            </w:r>
          </w:p>
          <w:p w14:paraId="2BB219E6" w14:textId="77777777" w:rsidR="003466A0" w:rsidRPr="005C626D" w:rsidRDefault="003466A0" w:rsidP="003466A0">
            <w:pPr>
              <w:numPr>
                <w:ilvl w:val="0"/>
                <w:numId w:val="25"/>
              </w:numPr>
              <w:ind w:left="567" w:right="79" w:hanging="445"/>
              <w:rPr>
                <w:color w:val="595959"/>
                <w:sz w:val="18"/>
                <w:szCs w:val="18"/>
              </w:rPr>
            </w:pPr>
            <w:r>
              <w:rPr>
                <w:b/>
                <w:bCs/>
                <w:color w:val="595959"/>
                <w:sz w:val="18"/>
                <w:szCs w:val="18"/>
              </w:rPr>
              <w:t xml:space="preserve">Combinação com subvenções de funcionamento da UE </w:t>
            </w:r>
            <w:r>
              <w:rPr>
                <w:b/>
                <w:color w:val="595959"/>
                <w:sz w:val="18"/>
                <w:szCs w:val="18"/>
              </w:rPr>
              <w:t xml:space="preserve">— </w:t>
            </w:r>
            <w:r>
              <w:rPr>
                <w:color w:val="595959"/>
                <w:sz w:val="18"/>
                <w:szCs w:val="18"/>
              </w:rPr>
              <w:t xml:space="preserve">a combinação com subvenções de funcionamento da UE é possível se o projeto não se inscrever no programa de trabalho das subvenções de funcionamento e se o candidato assegurar que as rubricas de custos estão claramente separadas na sua contabilidade e NÃO são declaradas duas vezes </w:t>
            </w:r>
            <w:r>
              <w:rPr>
                <w:i/>
                <w:color w:val="595959"/>
                <w:sz w:val="18"/>
                <w:szCs w:val="18"/>
              </w:rPr>
              <w:t xml:space="preserve">(ver </w:t>
            </w:r>
            <w:hyperlink r:id="rId61" w:history="1">
              <w:r>
                <w:rPr>
                  <w:rStyle w:val="Hyperlink"/>
                  <w:i/>
                  <w:sz w:val="18"/>
                  <w:szCs w:val="18"/>
                </w:rPr>
                <w:t>AGA — Modelo de Convenção de Subvenção Anotado, artigo 6.2.E</w:t>
              </w:r>
            </w:hyperlink>
            <w:r>
              <w:rPr>
                <w:i/>
                <w:color w:val="595959"/>
                <w:sz w:val="18"/>
                <w:szCs w:val="18"/>
              </w:rPr>
              <w:t>).</w:t>
            </w:r>
            <w:r>
              <w:rPr>
                <w:color w:val="4AA55B"/>
                <w:sz w:val="18"/>
                <w:szCs w:val="18"/>
                <w:highlight w:val="yellow"/>
              </w:rPr>
              <w:t xml:space="preserve"> </w:t>
            </w:r>
          </w:p>
          <w:p w14:paraId="6A986365" w14:textId="77777777" w:rsidR="003466A0" w:rsidRPr="00310A7B" w:rsidRDefault="003466A0" w:rsidP="003466A0">
            <w:pPr>
              <w:numPr>
                <w:ilvl w:val="0"/>
                <w:numId w:val="25"/>
              </w:numPr>
              <w:ind w:left="567" w:right="79" w:hanging="445"/>
              <w:rPr>
                <w:color w:val="595959"/>
                <w:sz w:val="18"/>
                <w:szCs w:val="18"/>
              </w:rPr>
            </w:pPr>
            <w:r>
              <w:rPr>
                <w:b/>
                <w:color w:val="595959"/>
                <w:sz w:val="18"/>
                <w:szCs w:val="18"/>
              </w:rPr>
              <w:t xml:space="preserve">Propostas múltiplas — </w:t>
            </w:r>
            <w:r>
              <w:rPr>
                <w:color w:val="595959"/>
                <w:sz w:val="18"/>
                <w:szCs w:val="18"/>
              </w:rPr>
              <w:t xml:space="preserve">os candidatos podem apresentar mais do que uma proposta para </w:t>
            </w:r>
            <w:r>
              <w:rPr>
                <w:i/>
                <w:color w:val="595959"/>
                <w:sz w:val="18"/>
                <w:szCs w:val="18"/>
              </w:rPr>
              <w:t>diferentes</w:t>
            </w:r>
            <w:r>
              <w:rPr>
                <w:color w:val="595959"/>
                <w:sz w:val="18"/>
                <w:szCs w:val="18"/>
              </w:rPr>
              <w:t xml:space="preserve"> projetos no âmbito do mesmo convite (e receber financiamento para os mesmos).</w:t>
            </w:r>
          </w:p>
          <w:p w14:paraId="732A0789" w14:textId="77777777" w:rsidR="003466A0" w:rsidRPr="00AB05C4" w:rsidRDefault="003466A0" w:rsidP="003466A0">
            <w:pPr>
              <w:spacing w:after="120"/>
              <w:ind w:left="567" w:right="79"/>
              <w:rPr>
                <w:color w:val="595959"/>
                <w:sz w:val="18"/>
                <w:szCs w:val="18"/>
              </w:rPr>
            </w:pPr>
            <w:r>
              <w:rPr>
                <w:color w:val="595959"/>
                <w:sz w:val="18"/>
                <w:szCs w:val="18"/>
              </w:rPr>
              <w:t>As organizações podem participar em várias propostas.</w:t>
            </w:r>
          </w:p>
          <w:p w14:paraId="2E6FF78D" w14:textId="77777777" w:rsidR="003466A0" w:rsidRPr="00AB05C4" w:rsidRDefault="003466A0" w:rsidP="003466A0">
            <w:pPr>
              <w:ind w:left="567" w:right="79"/>
              <w:rPr>
                <w:color w:val="595959"/>
                <w:sz w:val="18"/>
                <w:szCs w:val="18"/>
              </w:rPr>
            </w:pPr>
            <w:r>
              <w:rPr>
                <w:color w:val="595959"/>
                <w:sz w:val="18"/>
                <w:szCs w:val="18"/>
              </w:rPr>
              <w:t xml:space="preserve">CONTUDO: se houver várias propostas para </w:t>
            </w:r>
            <w:r>
              <w:rPr>
                <w:i/>
                <w:color w:val="595959"/>
                <w:sz w:val="18"/>
                <w:szCs w:val="18"/>
              </w:rPr>
              <w:t>projetos muito similares</w:t>
            </w:r>
            <w:r>
              <w:rPr>
                <w:color w:val="595959"/>
                <w:sz w:val="18"/>
                <w:szCs w:val="18"/>
              </w:rPr>
              <w:t>, apenas uma candidatura será aceite e avaliada; os candidatos serão convidados a retirar um dos projetos (ou o mesmo será rejeitado).</w:t>
            </w:r>
          </w:p>
          <w:p w14:paraId="18789B8A" w14:textId="77777777" w:rsidR="003466A0" w:rsidRDefault="003466A0" w:rsidP="003466A0">
            <w:pPr>
              <w:numPr>
                <w:ilvl w:val="0"/>
                <w:numId w:val="25"/>
              </w:numPr>
              <w:ind w:left="567" w:right="79" w:hanging="445"/>
              <w:rPr>
                <w:rFonts w:cs="Arial"/>
                <w:b/>
                <w:iCs/>
                <w:color w:val="595959"/>
                <w:sz w:val="18"/>
                <w:szCs w:val="18"/>
              </w:rPr>
            </w:pPr>
            <w:r>
              <w:rPr>
                <w:b/>
                <w:color w:val="595959"/>
                <w:sz w:val="18"/>
              </w:rPr>
              <w:t>Nova apresentação</w:t>
            </w:r>
            <w:r>
              <w:rPr>
                <w:color w:val="595959"/>
                <w:sz w:val="18"/>
              </w:rPr>
              <w:t xml:space="preserve"> </w:t>
            </w:r>
            <w:r>
              <w:rPr>
                <w:b/>
                <w:color w:val="595959"/>
                <w:sz w:val="18"/>
                <w:szCs w:val="18"/>
              </w:rPr>
              <w:t>—</w:t>
            </w:r>
            <w:r>
              <w:rPr>
                <w:color w:val="595959"/>
                <w:sz w:val="18"/>
              </w:rPr>
              <w:t xml:space="preserve"> as propostas podem ser alteradas e voltar a ser apresentadas até ao termo do prazo para a sua apresentação.</w:t>
            </w:r>
          </w:p>
          <w:p w14:paraId="65F3C344" w14:textId="77777777" w:rsidR="003466A0" w:rsidRPr="00310A7B" w:rsidRDefault="003466A0" w:rsidP="003466A0">
            <w:pPr>
              <w:numPr>
                <w:ilvl w:val="0"/>
                <w:numId w:val="25"/>
              </w:numPr>
              <w:spacing w:after="120"/>
              <w:ind w:left="567" w:right="79" w:hanging="447"/>
              <w:rPr>
                <w:b/>
                <w:bCs/>
                <w:noProof/>
                <w:sz w:val="18"/>
                <w:szCs w:val="18"/>
              </w:rPr>
            </w:pPr>
            <w:r>
              <w:rPr>
                <w:b/>
                <w:color w:val="595959"/>
                <w:sz w:val="18"/>
                <w:szCs w:val="18"/>
              </w:rPr>
              <w:t xml:space="preserve">Rejeição — </w:t>
            </w:r>
            <w:r>
              <w:rPr>
                <w:color w:val="595959"/>
                <w:sz w:val="18"/>
                <w:szCs w:val="18"/>
              </w:rPr>
              <w:t xml:space="preserve">ao apresentarem a candidatura, todos os candidatos aceitam as condições do convite estabelecidas no presente documento de convite (e os documentos a que se refere). As propostas que não cumpram todas as condições do convite serão </w:t>
            </w:r>
            <w:r>
              <w:rPr>
                <w:b/>
                <w:color w:val="595959"/>
                <w:sz w:val="18"/>
                <w:szCs w:val="18"/>
              </w:rPr>
              <w:t>rejeitadas</w:t>
            </w:r>
            <w:r>
              <w:rPr>
                <w:color w:val="595959"/>
                <w:sz w:val="18"/>
                <w:szCs w:val="18"/>
              </w:rPr>
              <w:t>. O mesmo se aplica aos candidatos: todos os candidatos têm de cumprir os critérios; se um deles não o fizer, terá de ser substituído ou a proposta será integralmente rejeitada.</w:t>
            </w:r>
          </w:p>
          <w:p w14:paraId="5396E224" w14:textId="77777777" w:rsidR="003466A0" w:rsidRPr="00310A7B" w:rsidRDefault="003466A0" w:rsidP="003466A0">
            <w:pPr>
              <w:numPr>
                <w:ilvl w:val="0"/>
                <w:numId w:val="25"/>
              </w:numPr>
              <w:spacing w:after="120"/>
              <w:ind w:left="567" w:right="79" w:hanging="447"/>
              <w:rPr>
                <w:color w:val="595959"/>
                <w:sz w:val="18"/>
                <w:szCs w:val="18"/>
              </w:rPr>
            </w:pPr>
            <w:r>
              <w:rPr>
                <w:b/>
                <w:color w:val="595959"/>
                <w:sz w:val="18"/>
                <w:szCs w:val="18"/>
              </w:rPr>
              <w:t xml:space="preserve">Cancelamento — </w:t>
            </w:r>
            <w:r>
              <w:rPr>
                <w:color w:val="595959"/>
                <w:sz w:val="18"/>
                <w:szCs w:val="18"/>
              </w:rPr>
              <w:t>em determinadas circunstâncias, pode ser necessário cancelar o convite à apresentação de propostas. Nesse caso, os candidatos serão informados através de uma chamada ou de uma atualização em Topic. Importa notar que os cancelamentos não dão direito a compensação.</w:t>
            </w:r>
          </w:p>
          <w:p w14:paraId="5E6E6222" w14:textId="77777777" w:rsidR="003466A0" w:rsidRPr="00310A7B" w:rsidRDefault="003466A0" w:rsidP="003466A0">
            <w:pPr>
              <w:numPr>
                <w:ilvl w:val="0"/>
                <w:numId w:val="25"/>
              </w:numPr>
              <w:ind w:left="567" w:right="79" w:hanging="445"/>
              <w:rPr>
                <w:color w:val="595959"/>
                <w:sz w:val="18"/>
                <w:szCs w:val="18"/>
              </w:rPr>
            </w:pPr>
            <w:r>
              <w:rPr>
                <w:b/>
                <w:color w:val="595959"/>
                <w:sz w:val="18"/>
                <w:szCs w:val="18"/>
              </w:rPr>
              <w:t>Língua —</w:t>
            </w:r>
            <w:r>
              <w:rPr>
                <w:color w:val="595959"/>
                <w:sz w:val="18"/>
                <w:szCs w:val="18"/>
              </w:rPr>
              <w:t xml:space="preserve"> pode submeter a sua proposta em qualquer língua oficial da UE (o resumo/resumo do projeto deve, no entanto, ser sempre redigido em inglês). Por razões de eficiência, é vivamente aconselhada a utilização da língua inglesa em toda a proposta. Se necessitar da documentação do convite noutra língua oficial da UE, queira apresentar um pedido no prazo de 10 dias a contar da publicação do convite (para os dados de contacto, </w:t>
            </w:r>
            <w:r>
              <w:rPr>
                <w:i/>
                <w:color w:val="595959"/>
                <w:sz w:val="18"/>
                <w:szCs w:val="18"/>
              </w:rPr>
              <w:t>ver secção 12</w:t>
            </w:r>
            <w:r>
              <w:rPr>
                <w:color w:val="595959"/>
                <w:sz w:val="18"/>
                <w:szCs w:val="18"/>
              </w:rPr>
              <w:t>).</w:t>
            </w:r>
          </w:p>
          <w:p w14:paraId="32492107" w14:textId="77777777" w:rsidR="003466A0" w:rsidRDefault="003466A0" w:rsidP="00DC47B2">
            <w:pPr>
              <w:widowControl w:val="0"/>
              <w:ind w:right="366"/>
              <w:rPr>
                <w:rFonts w:cs="Arial"/>
              </w:rPr>
            </w:pPr>
          </w:p>
          <w:p w14:paraId="6CD97CB3" w14:textId="77777777" w:rsidR="003466A0" w:rsidRPr="00310A7B" w:rsidRDefault="003466A0" w:rsidP="003466A0">
            <w:pPr>
              <w:numPr>
                <w:ilvl w:val="0"/>
                <w:numId w:val="26"/>
              </w:numPr>
              <w:spacing w:after="120"/>
              <w:ind w:left="567" w:right="79" w:hanging="425"/>
              <w:rPr>
                <w:color w:val="595959"/>
                <w:sz w:val="18"/>
                <w:szCs w:val="18"/>
              </w:rPr>
            </w:pPr>
            <w:r>
              <w:rPr>
                <w:b/>
                <w:color w:val="595959"/>
                <w:sz w:val="18"/>
                <w:szCs w:val="18"/>
              </w:rPr>
              <w:lastRenderedPageBreak/>
              <w:t xml:space="preserve">Transparência — </w:t>
            </w:r>
            <w:r>
              <w:rPr>
                <w:color w:val="595959"/>
                <w:sz w:val="18"/>
                <w:szCs w:val="18"/>
              </w:rPr>
              <w:t xml:space="preserve">em conformidade com o artigo 38.º do </w:t>
            </w:r>
            <w:hyperlink r:id="rId62" w:history="1">
              <w:r>
                <w:rPr>
                  <w:color w:val="0088CC"/>
                  <w:sz w:val="18"/>
                  <w:szCs w:val="24"/>
                  <w:u w:val="single"/>
                </w:rPr>
                <w:t>Regulamento Financeiro da UE</w:t>
              </w:r>
            </w:hyperlink>
            <w:r>
              <w:rPr>
                <w:color w:val="595959"/>
                <w:sz w:val="18"/>
                <w:szCs w:val="18"/>
              </w:rPr>
              <w:t>, as informações relativas às subvenções da UE concedidas são publicadas anualmente no</w:t>
            </w:r>
            <w:r>
              <w:t xml:space="preserve"> </w:t>
            </w:r>
            <w:hyperlink r:id="rId63" w:history="1">
              <w:r>
                <w:rPr>
                  <w:rStyle w:val="Hyperlink"/>
                  <w:sz w:val="18"/>
                  <w:szCs w:val="18"/>
                </w:rPr>
                <w:t>sítio Europa</w:t>
              </w:r>
            </w:hyperlink>
            <w:r>
              <w:rPr>
                <w:color w:val="595959"/>
                <w:sz w:val="18"/>
                <w:szCs w:val="18"/>
              </w:rPr>
              <w:t>.</w:t>
            </w:r>
          </w:p>
          <w:p w14:paraId="6E91CD65" w14:textId="77777777" w:rsidR="003466A0" w:rsidRPr="00310A7B" w:rsidRDefault="003466A0" w:rsidP="003466A0">
            <w:pPr>
              <w:spacing w:after="60"/>
              <w:ind w:left="567" w:right="79"/>
              <w:rPr>
                <w:color w:val="595959"/>
                <w:sz w:val="18"/>
                <w:szCs w:val="18"/>
              </w:rPr>
            </w:pPr>
            <w:r>
              <w:rPr>
                <w:color w:val="595959"/>
                <w:sz w:val="18"/>
                <w:szCs w:val="18"/>
              </w:rPr>
              <w:t>Incluem:</w:t>
            </w:r>
          </w:p>
          <w:p w14:paraId="6A818AF5" w14:textId="77777777" w:rsidR="003466A0" w:rsidRPr="00310A7B" w:rsidRDefault="003466A0" w:rsidP="003466A0">
            <w:pPr>
              <w:widowControl w:val="0"/>
              <w:numPr>
                <w:ilvl w:val="0"/>
                <w:numId w:val="27"/>
              </w:numPr>
              <w:spacing w:after="60"/>
              <w:ind w:left="1134" w:hanging="380"/>
              <w:jc w:val="left"/>
              <w:rPr>
                <w:color w:val="595959"/>
                <w:sz w:val="18"/>
                <w:szCs w:val="18"/>
              </w:rPr>
            </w:pPr>
            <w:r>
              <w:rPr>
                <w:color w:val="595959"/>
                <w:sz w:val="18"/>
                <w:szCs w:val="18"/>
              </w:rPr>
              <w:t>os nomes dos beneficiários,</w:t>
            </w:r>
          </w:p>
          <w:p w14:paraId="06BCCF2B" w14:textId="77777777" w:rsidR="003466A0" w:rsidRPr="00310A7B" w:rsidRDefault="003466A0" w:rsidP="003466A0">
            <w:pPr>
              <w:widowControl w:val="0"/>
              <w:numPr>
                <w:ilvl w:val="0"/>
                <w:numId w:val="27"/>
              </w:numPr>
              <w:spacing w:after="60"/>
              <w:ind w:left="1134" w:hanging="380"/>
              <w:jc w:val="left"/>
              <w:rPr>
                <w:color w:val="595959"/>
                <w:sz w:val="18"/>
                <w:szCs w:val="18"/>
              </w:rPr>
            </w:pPr>
            <w:r>
              <w:rPr>
                <w:color w:val="595959"/>
                <w:sz w:val="18"/>
                <w:szCs w:val="18"/>
              </w:rPr>
              <w:t>os endereços dos beneficiários,</w:t>
            </w:r>
          </w:p>
          <w:p w14:paraId="14646942" w14:textId="77777777" w:rsidR="003466A0" w:rsidRPr="00310A7B" w:rsidRDefault="003466A0" w:rsidP="003466A0">
            <w:pPr>
              <w:widowControl w:val="0"/>
              <w:numPr>
                <w:ilvl w:val="0"/>
                <w:numId w:val="27"/>
              </w:numPr>
              <w:spacing w:after="60"/>
              <w:ind w:left="1134" w:hanging="380"/>
              <w:jc w:val="left"/>
              <w:rPr>
                <w:color w:val="595959"/>
                <w:sz w:val="18"/>
                <w:szCs w:val="18"/>
              </w:rPr>
            </w:pPr>
            <w:r>
              <w:rPr>
                <w:color w:val="595959"/>
                <w:sz w:val="18"/>
                <w:szCs w:val="18"/>
              </w:rPr>
              <w:t>a finalidade para que a subvenção foi concedida,</w:t>
            </w:r>
          </w:p>
          <w:p w14:paraId="6B26CB23" w14:textId="77777777" w:rsidR="003466A0" w:rsidRPr="00310A7B" w:rsidRDefault="003466A0" w:rsidP="003466A0">
            <w:pPr>
              <w:widowControl w:val="0"/>
              <w:numPr>
                <w:ilvl w:val="0"/>
                <w:numId w:val="27"/>
              </w:numPr>
              <w:spacing w:after="120"/>
              <w:ind w:left="1134" w:hanging="380"/>
              <w:jc w:val="left"/>
              <w:rPr>
                <w:color w:val="595959"/>
                <w:sz w:val="18"/>
                <w:szCs w:val="18"/>
              </w:rPr>
            </w:pPr>
            <w:r>
              <w:rPr>
                <w:color w:val="595959"/>
                <w:sz w:val="18"/>
                <w:szCs w:val="18"/>
              </w:rPr>
              <w:t>o montante máximo concedido.</w:t>
            </w:r>
          </w:p>
          <w:p w14:paraId="4A4BE677" w14:textId="77777777" w:rsidR="003466A0" w:rsidRPr="00310A7B" w:rsidRDefault="003466A0" w:rsidP="003466A0">
            <w:pPr>
              <w:widowControl w:val="0"/>
              <w:ind w:left="567"/>
              <w:rPr>
                <w:color w:val="595959"/>
                <w:sz w:val="18"/>
                <w:szCs w:val="18"/>
              </w:rPr>
            </w:pPr>
            <w:r>
              <w:rPr>
                <w:color w:val="595959"/>
                <w:sz w:val="18"/>
                <w:szCs w:val="18"/>
              </w:rPr>
              <w:t>Excecionalmente, a publicação pode ser dispensada (mediante pedido fundamentado e devidamente justificado) se existir o risco de a divulgação comprometer os direitos e liberdades dos candidatos consagrados na Carta dos Direitos Fundamentais da UE ou prejudicar os seus interesses comerciais.</w:t>
            </w:r>
          </w:p>
          <w:p w14:paraId="5CD53AAC" w14:textId="77777777" w:rsidR="003466A0" w:rsidRPr="00830E63" w:rsidRDefault="003466A0" w:rsidP="003466A0">
            <w:pPr>
              <w:pStyle w:val="Default"/>
              <w:widowControl w:val="0"/>
              <w:numPr>
                <w:ilvl w:val="0"/>
                <w:numId w:val="26"/>
              </w:numPr>
              <w:spacing w:after="120"/>
              <w:ind w:left="567" w:hanging="447"/>
              <w:jc w:val="both"/>
              <w:rPr>
                <w:rFonts w:ascii="Verdana" w:hAnsi="Verdana"/>
                <w:color w:val="595959"/>
                <w:sz w:val="18"/>
                <w:szCs w:val="18"/>
              </w:rPr>
            </w:pPr>
            <w:r>
              <w:rPr>
                <w:rFonts w:ascii="Verdana" w:hAnsi="Verdana"/>
                <w:b/>
                <w:color w:val="595959"/>
                <w:sz w:val="18"/>
                <w:szCs w:val="18"/>
              </w:rPr>
              <w:t>Proteção de dados —</w:t>
            </w:r>
            <w:r>
              <w:rPr>
                <w:rFonts w:ascii="Verdana" w:hAnsi="Verdana"/>
                <w:color w:val="595959"/>
                <w:sz w:val="18"/>
                <w:szCs w:val="18"/>
              </w:rPr>
              <w:t xml:space="preserve"> a apresentação de uma proposta no âmbito do presente convite implica a recolha, utilização e tratamento de dados pessoais. Estes dados serão tratados em conformidade com o quadro jurídico aplicável. Serão tratados exclusivamente para efeitos de avaliação da sua proposta, para a subsequente gestão da subvenção e, se necessário, para o acompanhamento, avaliação e comunicação no âmbito do programa. Os detalhes são explicados na</w:t>
            </w:r>
            <w:r>
              <w:t xml:space="preserve"> </w:t>
            </w:r>
            <w:hyperlink r:id="rId64" w:history="1">
              <w:r>
                <w:rPr>
                  <w:rStyle w:val="Hyperlink"/>
                  <w:rFonts w:ascii="Verdana" w:hAnsi="Verdana"/>
                  <w:sz w:val="18"/>
                  <w:szCs w:val="20"/>
                </w:rPr>
                <w:t>Declaração de Privacidade do Portal de Financiamento e Concursos</w:t>
              </w:r>
            </w:hyperlink>
            <w:r>
              <w:rPr>
                <w:rFonts w:ascii="Verdana" w:hAnsi="Verdana"/>
                <w:color w:val="595959"/>
                <w:sz w:val="18"/>
                <w:szCs w:val="18"/>
              </w:rPr>
              <w:t>.</w:t>
            </w:r>
          </w:p>
          <w:p w14:paraId="1C23125E" w14:textId="68C6EB98" w:rsidR="003466A0" w:rsidRDefault="003466A0" w:rsidP="00DC47B2">
            <w:pPr>
              <w:widowControl w:val="0"/>
              <w:ind w:right="366"/>
              <w:rPr>
                <w:rFonts w:cs="Arial"/>
              </w:rPr>
            </w:pPr>
          </w:p>
        </w:tc>
      </w:tr>
    </w:tbl>
    <w:p w14:paraId="73174CD7" w14:textId="77777777" w:rsidR="003466A0" w:rsidRDefault="003466A0" w:rsidP="00DC47B2">
      <w:pPr>
        <w:widowControl w:val="0"/>
        <w:ind w:right="366"/>
        <w:rPr>
          <w:rFonts w:cs="Arial"/>
        </w:rPr>
      </w:pPr>
    </w:p>
    <w:sectPr w:rsidR="003466A0" w:rsidSect="00A2572D">
      <w:headerReference w:type="first" r:id="rId65"/>
      <w:pgSz w:w="11906" w:h="16838" w:code="9"/>
      <w:pgMar w:top="1560" w:right="1588" w:bottom="1276" w:left="1588" w:header="567" w:footer="73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0A63D" w14:textId="77777777" w:rsidR="000579AF" w:rsidRDefault="000579AF" w:rsidP="00B02821">
      <w:pPr>
        <w:spacing w:after="0"/>
      </w:pPr>
      <w:r>
        <w:separator/>
      </w:r>
    </w:p>
  </w:endnote>
  <w:endnote w:type="continuationSeparator" w:id="0">
    <w:p w14:paraId="5E4852A8" w14:textId="77777777" w:rsidR="000579AF" w:rsidRDefault="000579AF" w:rsidP="00B02821">
      <w:pPr>
        <w:spacing w:after="0"/>
      </w:pPr>
      <w:r>
        <w:continuationSeparator/>
      </w:r>
    </w:p>
  </w:endnote>
  <w:endnote w:type="continuationNotice" w:id="1">
    <w:p w14:paraId="3A4B1D9C" w14:textId="77777777" w:rsidR="000579AF" w:rsidRDefault="000579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C Square Sans Pro">
    <w:panose1 w:val="020B0506040000020004"/>
    <w:charset w:val="00"/>
    <w:family w:val="swiss"/>
    <w:pitch w:val="variable"/>
    <w:sig w:usb0="A00002BF" w:usb1="5000E0FB" w:usb2="00000000" w:usb3="00000000" w:csb0="0000019F" w:csb1="00000000"/>
  </w:font>
  <w:font w:name="EC Square Sans Pro Medium">
    <w:panose1 w:val="020B0500000000020004"/>
    <w:charset w:val="00"/>
    <w:family w:val="swiss"/>
    <w:pitch w:val="variable"/>
    <w:sig w:usb0="A00002BF" w:usb1="5000E0FB" w:usb2="00000000" w:usb3="00000000" w:csb0="0000019F" w:csb1="00000000"/>
  </w:font>
  <w:font w:name="EC Square Sans Pro Light">
    <w:panose1 w:val="020B0506000000020004"/>
    <w:charset w:val="00"/>
    <w:family w:val="swiss"/>
    <w:pitch w:val="variable"/>
    <w:sig w:usb0="A00002BF"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FCF89" w14:textId="1A8AFC61" w:rsidR="000579AF" w:rsidRPr="00D150DA" w:rsidRDefault="000579AF" w:rsidP="009E1BA1">
    <w:pPr>
      <w:pStyle w:val="Footer"/>
      <w:ind w:right="-1"/>
      <w:jc w:val="right"/>
      <w:rPr>
        <w:rFonts w:ascii="Verdana" w:hAnsi="Verdana"/>
      </w:rPr>
    </w:pPr>
    <w:r w:rsidRPr="00D150DA">
      <w:rPr>
        <w:rFonts w:ascii="Verdana" w:hAnsi="Verdana"/>
      </w:rPr>
      <w:fldChar w:fldCharType="begin"/>
    </w:r>
    <w:r w:rsidRPr="00D150DA">
      <w:rPr>
        <w:rFonts w:ascii="Verdana" w:hAnsi="Verdana"/>
      </w:rPr>
      <w:instrText xml:space="preserve"> PAGE   \* MERGEFORMAT </w:instrText>
    </w:r>
    <w:r w:rsidRPr="00D150DA">
      <w:rPr>
        <w:rFonts w:ascii="Verdana" w:hAnsi="Verdana"/>
      </w:rPr>
      <w:fldChar w:fldCharType="separate"/>
    </w:r>
    <w:r w:rsidR="00751C57">
      <w:rPr>
        <w:rFonts w:ascii="Verdana" w:hAnsi="Verdana"/>
        <w:noProof/>
      </w:rPr>
      <w:t>2</w:t>
    </w:r>
    <w:r w:rsidRPr="00D150DA">
      <w:rPr>
        <w:rFonts w:ascii="Verdana" w:hAnsi="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F6BD1" w14:textId="44898DC0" w:rsidR="000579AF" w:rsidRDefault="000579AF" w:rsidP="00971780">
    <w:pPr>
      <w:autoSpaceDE w:val="0"/>
      <w:autoSpaceDN w:val="0"/>
      <w:adjustRightInd w:val="0"/>
      <w:spacing w:after="0"/>
    </w:pPr>
    <w:r>
      <w:rPr>
        <w:noProof/>
        <w:lang w:val="en-IE" w:eastAsia="en-IE"/>
      </w:rPr>
      <mc:AlternateContent>
        <mc:Choice Requires="wps">
          <w:drawing>
            <wp:anchor distT="0" distB="0" distL="114300" distR="114300" simplePos="0" relativeHeight="251658240" behindDoc="0" locked="0" layoutInCell="1" allowOverlap="1" wp14:anchorId="7D21EC33" wp14:editId="1E65DADA">
              <wp:simplePos x="0" y="0"/>
              <wp:positionH relativeFrom="column">
                <wp:posOffset>2272665</wp:posOffset>
              </wp:positionH>
              <wp:positionV relativeFrom="page">
                <wp:posOffset>10395585</wp:posOffset>
              </wp:positionV>
              <wp:extent cx="842645" cy="28829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4" style="position:absolute;margin-left:178.95pt;margin-top:818.55pt;width:66.3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004494" stroked="f" w14:anchorId="74C23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">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92B73" w14:textId="77777777" w:rsidR="000579AF" w:rsidRDefault="000579AF" w:rsidP="00B02821">
      <w:pPr>
        <w:spacing w:after="0"/>
      </w:pPr>
      <w:r>
        <w:separator/>
      </w:r>
    </w:p>
  </w:footnote>
  <w:footnote w:type="continuationSeparator" w:id="0">
    <w:p w14:paraId="107E5550" w14:textId="77777777" w:rsidR="000579AF" w:rsidRDefault="000579AF" w:rsidP="00B02821">
      <w:pPr>
        <w:spacing w:after="0"/>
      </w:pPr>
      <w:r>
        <w:continuationSeparator/>
      </w:r>
    </w:p>
  </w:footnote>
  <w:footnote w:type="continuationNotice" w:id="1">
    <w:p w14:paraId="416A5574" w14:textId="77777777" w:rsidR="000579AF" w:rsidRDefault="000579AF">
      <w:pPr>
        <w:spacing w:after="0"/>
      </w:pPr>
    </w:p>
  </w:footnote>
  <w:footnote w:id="2">
    <w:p w14:paraId="1D801B00" w14:textId="279D0F77" w:rsidR="000579AF" w:rsidRPr="00562BC9" w:rsidRDefault="000579AF" w:rsidP="00924362">
      <w:pPr>
        <w:pStyle w:val="FootnoteText"/>
        <w:spacing w:after="0"/>
        <w:ind w:left="284" w:hanging="284"/>
        <w:rPr>
          <w:color w:val="000000"/>
          <w:sz w:val="16"/>
          <w:szCs w:val="16"/>
        </w:rPr>
      </w:pPr>
      <w:r w:rsidRPr="00562BC9">
        <w:rPr>
          <w:rStyle w:val="FootnoteReference"/>
          <w:sz w:val="16"/>
          <w:szCs w:val="16"/>
        </w:rPr>
        <w:footnoteRef/>
      </w:r>
      <w:r w:rsidRPr="00562BC9">
        <w:rPr>
          <w:sz w:val="16"/>
          <w:szCs w:val="16"/>
        </w:rPr>
        <w:t xml:space="preserve"> </w:t>
      </w:r>
      <w:r w:rsidRPr="00562BC9">
        <w:rPr>
          <w:sz w:val="16"/>
          <w:szCs w:val="16"/>
        </w:rPr>
        <w:tab/>
        <w:t>Regulamento (UE) 2021/692 do Parlamento Europeu e do Conselho, de 28 de abril de 2021, que cria o Programa Cidadãos, Igualdade, Direitos e Valores (JO L 156 de 5.5.2021, p. 1).</w:t>
      </w:r>
    </w:p>
  </w:footnote>
  <w:footnote w:id="3">
    <w:p w14:paraId="61A4F60E" w14:textId="3164B12C" w:rsidR="000579AF" w:rsidRPr="00562BC9" w:rsidRDefault="000579AF" w:rsidP="00924362">
      <w:pPr>
        <w:pStyle w:val="FootnoteText"/>
        <w:spacing w:after="0"/>
        <w:ind w:left="284" w:hanging="284"/>
        <w:rPr>
          <w:sz w:val="16"/>
          <w:szCs w:val="16"/>
        </w:rPr>
      </w:pPr>
      <w:r w:rsidRPr="00562BC9">
        <w:rPr>
          <w:rStyle w:val="FootnoteReference"/>
          <w:sz w:val="16"/>
          <w:szCs w:val="16"/>
        </w:rPr>
        <w:footnoteRef/>
      </w:r>
      <w:r w:rsidRPr="00562BC9">
        <w:rPr>
          <w:sz w:val="16"/>
          <w:szCs w:val="16"/>
        </w:rPr>
        <w:t xml:space="preserve"> </w:t>
      </w:r>
      <w:r w:rsidRPr="00562BC9">
        <w:rPr>
          <w:sz w:val="16"/>
          <w:szCs w:val="16"/>
        </w:rPr>
        <w:tab/>
        <w:t>Decisão de Execução C(2021) 2583 final da Comissão, de 19 de abril de 2021, relativa ao financiamento do Programa Cidadãos, Igualdade, Direitos e Valores e à adoção do programa de trabalho plurianual para 2021-2022.</w:t>
      </w:r>
    </w:p>
  </w:footnote>
  <w:footnote w:id="4">
    <w:p w14:paraId="190283C3" w14:textId="11605722" w:rsidR="000579AF" w:rsidRPr="00562BC9" w:rsidRDefault="000579AF" w:rsidP="00924362">
      <w:pPr>
        <w:pStyle w:val="FootnoteText"/>
        <w:spacing w:after="0"/>
        <w:ind w:left="284" w:hanging="284"/>
        <w:rPr>
          <w:sz w:val="16"/>
          <w:szCs w:val="16"/>
        </w:rPr>
      </w:pPr>
      <w:r w:rsidRPr="00562BC9">
        <w:rPr>
          <w:sz w:val="16"/>
          <w:szCs w:val="16"/>
          <w:vertAlign w:val="superscript"/>
        </w:rPr>
        <w:footnoteRef/>
      </w:r>
      <w:r w:rsidRPr="00562BC9">
        <w:rPr>
          <w:sz w:val="16"/>
          <w:szCs w:val="16"/>
        </w:rPr>
        <w:t xml:space="preserve"> </w:t>
      </w:r>
      <w:r w:rsidRPr="00562BC9">
        <w:rPr>
          <w:sz w:val="16"/>
          <w:szCs w:val="16"/>
        </w:rPr>
        <w:tab/>
        <w:t>Regulamento (UE) n.º 1381/2013 do Parlamento Europeu e do Conselho, de 17 de dezembro de 2013, que cria o Programa «Direitos, Igualdade e Cidadania» para o período de 2014 a 2020 (JO L 354 de 28.12.2013, p. 62).</w:t>
      </w:r>
    </w:p>
  </w:footnote>
  <w:footnote w:id="5">
    <w:p w14:paraId="10858EDC" w14:textId="37FB5CA3" w:rsidR="000579AF" w:rsidRPr="00562BC9" w:rsidRDefault="000579AF" w:rsidP="00924362">
      <w:pPr>
        <w:pStyle w:val="FootnoteText"/>
        <w:spacing w:after="0"/>
        <w:ind w:left="284" w:hanging="284"/>
        <w:rPr>
          <w:sz w:val="16"/>
          <w:szCs w:val="16"/>
        </w:rPr>
      </w:pPr>
      <w:r w:rsidRPr="00562BC9">
        <w:rPr>
          <w:sz w:val="16"/>
          <w:szCs w:val="16"/>
          <w:vertAlign w:val="superscript"/>
        </w:rPr>
        <w:footnoteRef/>
      </w:r>
      <w:r w:rsidRPr="00562BC9">
        <w:rPr>
          <w:sz w:val="16"/>
          <w:szCs w:val="16"/>
          <w:vertAlign w:val="superscript"/>
        </w:rPr>
        <w:tab/>
      </w:r>
      <w:r w:rsidRPr="00562BC9">
        <w:rPr>
          <w:sz w:val="16"/>
          <w:szCs w:val="16"/>
        </w:rPr>
        <w:t>Regulamento (UE) n.º 390/2014 do Conselho, de 14 de abril de 2014, que institui o programa «Europa para os Cidadãos» para o período de 2014-2020 (JO L 115 de 17.4.2014, p. 3).</w:t>
      </w:r>
    </w:p>
  </w:footnote>
  <w:footnote w:id="6">
    <w:p w14:paraId="6EC6382E" w14:textId="411DB647" w:rsidR="000579AF" w:rsidRPr="00562BC9" w:rsidRDefault="000579AF" w:rsidP="00924362">
      <w:pPr>
        <w:pStyle w:val="FootnoteText"/>
        <w:spacing w:after="0"/>
        <w:ind w:left="284" w:hanging="284"/>
        <w:rPr>
          <w:sz w:val="16"/>
          <w:szCs w:val="16"/>
        </w:rPr>
      </w:pPr>
      <w:r w:rsidRPr="00562BC9">
        <w:rPr>
          <w:rStyle w:val="FootnoteReference"/>
          <w:sz w:val="16"/>
          <w:szCs w:val="16"/>
        </w:rPr>
        <w:footnoteRef/>
      </w:r>
      <w:r w:rsidRPr="00562BC9">
        <w:rPr>
          <w:sz w:val="16"/>
          <w:szCs w:val="16"/>
        </w:rPr>
        <w:t xml:space="preserve"> </w:t>
      </w:r>
      <w:r w:rsidRPr="00562BC9">
        <w:rPr>
          <w:sz w:val="16"/>
          <w:szCs w:val="16"/>
        </w:rPr>
        <w:tab/>
      </w:r>
      <w:hyperlink w:anchor=":~:text=The%20European%20Democracy%20Action%20Plan%20is%20designed%20to,the%20EU%20by%20promoting%20free%20and%20fair%20elections" w:history="1">
        <w:r w:rsidRPr="00562BC9">
          <w:rPr>
            <w:rStyle w:val="Hyperlink"/>
            <w:sz w:val="16"/>
            <w:szCs w:val="16"/>
          </w:rPr>
          <w:t xml:space="preserve">Plano de Ação para a Democracia Europeia. </w:t>
        </w:r>
      </w:hyperlink>
    </w:p>
  </w:footnote>
  <w:footnote w:id="7">
    <w:p w14:paraId="456627A2" w14:textId="2BE68C33" w:rsidR="000579AF" w:rsidRPr="00562BC9" w:rsidRDefault="000579AF" w:rsidP="00924362">
      <w:pPr>
        <w:pStyle w:val="FootnoteText"/>
        <w:spacing w:after="0"/>
        <w:ind w:left="284" w:hanging="284"/>
        <w:rPr>
          <w:sz w:val="16"/>
          <w:szCs w:val="16"/>
        </w:rPr>
      </w:pPr>
      <w:r w:rsidRPr="00562BC9">
        <w:rPr>
          <w:rStyle w:val="FootnoteReference"/>
          <w:sz w:val="16"/>
          <w:szCs w:val="16"/>
        </w:rPr>
        <w:footnoteRef/>
      </w:r>
      <w:r w:rsidRPr="00562BC9">
        <w:rPr>
          <w:sz w:val="16"/>
          <w:szCs w:val="16"/>
        </w:rPr>
        <w:t xml:space="preserve"> </w:t>
      </w:r>
      <w:r w:rsidRPr="00562BC9">
        <w:rPr>
          <w:sz w:val="16"/>
          <w:szCs w:val="16"/>
        </w:rPr>
        <w:tab/>
      </w:r>
      <w:hyperlink r:id="rId1" w:history="1">
        <w:r w:rsidRPr="00562BC9">
          <w:rPr>
            <w:rStyle w:val="Hyperlink"/>
            <w:sz w:val="16"/>
            <w:szCs w:val="16"/>
          </w:rPr>
          <w:t xml:space="preserve">Quadro Estratégico da UE para a Igualdade, a Inclusão e a Participação dos Ciganos. </w:t>
        </w:r>
      </w:hyperlink>
    </w:p>
  </w:footnote>
  <w:footnote w:id="8">
    <w:p w14:paraId="7B0B537B" w14:textId="527C1A3D" w:rsidR="000579AF" w:rsidRPr="00562BC9" w:rsidRDefault="000579AF" w:rsidP="00924362">
      <w:pPr>
        <w:pStyle w:val="FootnoteText"/>
        <w:spacing w:after="0"/>
        <w:ind w:left="284" w:hanging="284"/>
        <w:rPr>
          <w:sz w:val="16"/>
          <w:szCs w:val="16"/>
        </w:rPr>
      </w:pPr>
      <w:r w:rsidRPr="00562BC9">
        <w:rPr>
          <w:rStyle w:val="FootnoteReference"/>
          <w:sz w:val="16"/>
          <w:szCs w:val="16"/>
        </w:rPr>
        <w:footnoteRef/>
      </w:r>
      <w:r w:rsidRPr="00562BC9">
        <w:rPr>
          <w:sz w:val="16"/>
          <w:szCs w:val="16"/>
        </w:rPr>
        <w:t xml:space="preserve"> </w:t>
      </w:r>
      <w:r w:rsidRPr="00562BC9">
        <w:rPr>
          <w:sz w:val="16"/>
          <w:szCs w:val="16"/>
        </w:rPr>
        <w:tab/>
      </w:r>
      <w:hyperlink r:id="rId2" w:history="1">
        <w:r w:rsidRPr="00562BC9">
          <w:rPr>
            <w:rStyle w:val="Hyperlink"/>
            <w:sz w:val="16"/>
            <w:szCs w:val="16"/>
          </w:rPr>
          <w:t xml:space="preserve">Estratégia da UE para Reforçar a Aplicação da Carta dos Direitos Fundamentais. </w:t>
        </w:r>
      </w:hyperlink>
    </w:p>
  </w:footnote>
  <w:footnote w:id="9">
    <w:p w14:paraId="7C8E8985" w14:textId="7E077265" w:rsidR="000579AF" w:rsidRPr="00562BC9" w:rsidRDefault="000579AF" w:rsidP="00924362">
      <w:pPr>
        <w:pStyle w:val="FootnoteText"/>
        <w:spacing w:after="0"/>
        <w:ind w:left="284" w:hanging="284"/>
        <w:jc w:val="left"/>
        <w:rPr>
          <w:sz w:val="16"/>
          <w:szCs w:val="16"/>
        </w:rPr>
      </w:pPr>
      <w:r w:rsidRPr="00562BC9">
        <w:rPr>
          <w:rStyle w:val="FootnoteReference"/>
          <w:sz w:val="16"/>
          <w:szCs w:val="16"/>
        </w:rPr>
        <w:footnoteRef/>
      </w:r>
      <w:r w:rsidRPr="00562BC9">
        <w:rPr>
          <w:sz w:val="16"/>
          <w:szCs w:val="16"/>
        </w:rPr>
        <w:t xml:space="preserve"> </w:t>
      </w:r>
      <w:r w:rsidRPr="00562BC9">
        <w:rPr>
          <w:sz w:val="16"/>
          <w:szCs w:val="16"/>
        </w:rPr>
        <w:tab/>
      </w:r>
      <w:hyperlink r:id="rId3" w:history="1">
        <w:r w:rsidRPr="00562BC9">
          <w:rPr>
            <w:rStyle w:val="Hyperlink"/>
            <w:sz w:val="16"/>
            <w:szCs w:val="16"/>
          </w:rPr>
          <w:t>Relatório sobre a Cidadania da UE de 2020.</w:t>
        </w:r>
      </w:hyperlink>
    </w:p>
  </w:footnote>
  <w:footnote w:id="10">
    <w:p w14:paraId="5A4970F1" w14:textId="444A2445" w:rsidR="000579AF" w:rsidRPr="00562BC9" w:rsidRDefault="000579AF" w:rsidP="00732A4F">
      <w:pPr>
        <w:keepLines/>
        <w:spacing w:after="0"/>
        <w:ind w:left="284" w:hanging="284"/>
        <w:rPr>
          <w:sz w:val="16"/>
          <w:szCs w:val="16"/>
        </w:rPr>
      </w:pPr>
      <w:r w:rsidRPr="00562BC9">
        <w:rPr>
          <w:rStyle w:val="FootnoteReference"/>
          <w:sz w:val="16"/>
          <w:szCs w:val="16"/>
        </w:rPr>
        <w:footnoteRef/>
      </w:r>
      <w:r w:rsidRPr="00562BC9">
        <w:rPr>
          <w:color w:val="2F5496"/>
          <w:sz w:val="16"/>
          <w:szCs w:val="16"/>
        </w:rPr>
        <w:t xml:space="preserve"> </w:t>
      </w:r>
      <w:r w:rsidRPr="00562BC9">
        <w:rPr>
          <w:color w:val="2F5496"/>
          <w:sz w:val="16"/>
          <w:szCs w:val="16"/>
        </w:rPr>
        <w:tab/>
      </w:r>
      <w:hyperlink r:id="rId4" w:history="1">
        <w:r w:rsidRPr="00562BC9">
          <w:rPr>
            <w:rStyle w:val="Hyperlink"/>
            <w:sz w:val="16"/>
            <w:szCs w:val="16"/>
          </w:rPr>
          <w:t>A Conferência sobre o Futuro da Europa</w:t>
        </w:r>
      </w:hyperlink>
      <w:r w:rsidR="006B6BF5">
        <w:rPr>
          <w:sz w:val="16"/>
          <w:szCs w:val="16"/>
        </w:rPr>
        <w:t xml:space="preserve"> </w:t>
      </w:r>
      <w:r w:rsidRPr="00562BC9">
        <w:rPr>
          <w:sz w:val="16"/>
          <w:szCs w:val="16"/>
        </w:rPr>
        <w:t>é um exercício centrado nos cidadãos, com uma dinâmica que parte da base para o topo, para que os europeus se possam pronunciar sobre o que esperam da União Europeia. Dará aos cidadãos um papel de maior relevo na definição das futuras políticas e ambições da União, melhorando a sua resiliência. Fá-lo-á através de uma multiplicidade de eventos de conferências e debates organizados em toda a União, bem como através de uma plataforma digital interativa multilingue. Os eventos de conferências, as reuniões físicas ou os contextos digitais podem ser organizados a diferentes níveis, incluindo a nível transnacional e europeu. A participação dos cidadãos nestes eventos deve visar o espelhamento da diversidade da Europa. Os municípios geminados são incentivados a participar na Conferência sobre o Futuro da Europa.</w:t>
      </w:r>
    </w:p>
  </w:footnote>
  <w:footnote w:id="11">
    <w:p w14:paraId="0F69B04E" w14:textId="1D8FFFBA" w:rsidR="000579AF" w:rsidRPr="00562BC9" w:rsidRDefault="000579AF" w:rsidP="00924362">
      <w:pPr>
        <w:pStyle w:val="FootnoteText"/>
        <w:spacing w:after="0"/>
        <w:ind w:left="284" w:hanging="284"/>
        <w:rPr>
          <w:sz w:val="16"/>
          <w:szCs w:val="16"/>
          <w:highlight w:val="green"/>
        </w:rPr>
      </w:pPr>
      <w:r w:rsidRPr="00562BC9">
        <w:rPr>
          <w:rStyle w:val="FootnoteReference"/>
          <w:sz w:val="16"/>
          <w:szCs w:val="16"/>
        </w:rPr>
        <w:footnoteRef/>
      </w:r>
      <w:r w:rsidRPr="00562BC9">
        <w:rPr>
          <w:sz w:val="16"/>
          <w:szCs w:val="16"/>
        </w:rPr>
        <w:t xml:space="preserve"> </w:t>
      </w:r>
      <w:r w:rsidRPr="00562BC9">
        <w:rPr>
          <w:sz w:val="16"/>
          <w:szCs w:val="16"/>
        </w:rPr>
        <w:tab/>
        <w:t xml:space="preserve">Para mais informações, ver secção </w:t>
      </w:r>
      <w:r w:rsidRPr="00562BC9">
        <w:rPr>
          <w:i/>
          <w:sz w:val="16"/>
          <w:szCs w:val="16"/>
        </w:rPr>
        <w:t>Ética e valores da UE</w:t>
      </w:r>
      <w:r w:rsidRPr="00562BC9">
        <w:rPr>
          <w:sz w:val="16"/>
          <w:szCs w:val="16"/>
        </w:rPr>
        <w:t>.</w:t>
      </w:r>
    </w:p>
  </w:footnote>
  <w:footnote w:id="12">
    <w:p w14:paraId="17D7FFB5" w14:textId="79853DA1" w:rsidR="000579AF" w:rsidRPr="00562BC9" w:rsidRDefault="000579AF" w:rsidP="00924362">
      <w:pPr>
        <w:pStyle w:val="FootnoteText"/>
        <w:spacing w:after="0"/>
        <w:ind w:left="284" w:hanging="284"/>
        <w:rPr>
          <w:sz w:val="16"/>
          <w:szCs w:val="16"/>
        </w:rPr>
      </w:pPr>
      <w:r w:rsidRPr="00562BC9">
        <w:rPr>
          <w:rStyle w:val="FootnoteReference"/>
          <w:sz w:val="16"/>
          <w:szCs w:val="16"/>
        </w:rPr>
        <w:footnoteRef/>
      </w:r>
      <w:r w:rsidRPr="00562BC9">
        <w:rPr>
          <w:sz w:val="16"/>
          <w:szCs w:val="16"/>
        </w:rPr>
        <w:t xml:space="preserve"> </w:t>
      </w:r>
      <w:r w:rsidRPr="00562BC9">
        <w:rPr>
          <w:sz w:val="16"/>
          <w:szCs w:val="16"/>
        </w:rPr>
        <w:tab/>
        <w:t>Por «participantes convidados», entende-se as delegações itinerantes de países parceiros de projetos elegíveis que não o país que acolhe um evento de geminação de cidades.</w:t>
      </w:r>
    </w:p>
  </w:footnote>
  <w:footnote w:id="13">
    <w:p w14:paraId="228A0A98" w14:textId="079A3B62" w:rsidR="000579AF" w:rsidRPr="00562BC9" w:rsidRDefault="000579AF" w:rsidP="00924362">
      <w:pPr>
        <w:pStyle w:val="FootnoteText"/>
        <w:spacing w:after="0"/>
        <w:ind w:left="284" w:hanging="284"/>
        <w:rPr>
          <w:sz w:val="16"/>
          <w:szCs w:val="16"/>
        </w:rPr>
      </w:pPr>
      <w:r w:rsidRPr="00562BC9">
        <w:rPr>
          <w:rStyle w:val="FootnoteReference"/>
          <w:sz w:val="16"/>
          <w:szCs w:val="16"/>
        </w:rPr>
        <w:footnoteRef/>
      </w:r>
      <w:r w:rsidRPr="00562BC9">
        <w:rPr>
          <w:sz w:val="16"/>
          <w:szCs w:val="16"/>
        </w:rPr>
        <w:t xml:space="preserve"> </w:t>
      </w:r>
      <w:r w:rsidRPr="00562BC9">
        <w:rPr>
          <w:sz w:val="16"/>
          <w:szCs w:val="16"/>
        </w:rPr>
        <w:tab/>
        <w:t>O coordenador é o candidato principal do consórcio.</w:t>
      </w:r>
    </w:p>
  </w:footnote>
  <w:footnote w:id="14">
    <w:p w14:paraId="527456B7" w14:textId="1E33C53A" w:rsidR="00683BCF" w:rsidRPr="00562BC9" w:rsidRDefault="000579AF" w:rsidP="00924362">
      <w:pPr>
        <w:pStyle w:val="FootnoteText"/>
        <w:spacing w:after="0"/>
        <w:ind w:left="284" w:hanging="284"/>
        <w:rPr>
          <w:sz w:val="16"/>
          <w:szCs w:val="16"/>
        </w:rPr>
      </w:pPr>
      <w:r w:rsidRPr="00562BC9">
        <w:rPr>
          <w:rStyle w:val="FootnoteReference"/>
          <w:sz w:val="16"/>
          <w:szCs w:val="16"/>
        </w:rPr>
        <w:footnoteRef/>
      </w:r>
      <w:r w:rsidRPr="00562BC9">
        <w:rPr>
          <w:sz w:val="16"/>
          <w:szCs w:val="16"/>
        </w:rPr>
        <w:t xml:space="preserve"> </w:t>
      </w:r>
      <w:r w:rsidRPr="00562BC9">
        <w:rPr>
          <w:sz w:val="16"/>
          <w:szCs w:val="16"/>
        </w:rPr>
        <w:tab/>
        <w:t xml:space="preserve">Ver artigo 197.º, n.º 2, alínea c), do </w:t>
      </w:r>
      <w:hyperlink r:id="rId5" w:history="1">
        <w:r w:rsidRPr="00562BC9">
          <w:rPr>
            <w:bCs/>
            <w:color w:val="0088CC"/>
            <w:sz w:val="16"/>
            <w:szCs w:val="16"/>
            <w:u w:val="single"/>
          </w:rPr>
          <w:t>Regulamento (UE, Euratom) 2018/1046</w:t>
        </w:r>
      </w:hyperlink>
      <w:r w:rsidRPr="00562BC9">
        <w:rPr>
          <w:sz w:val="16"/>
          <w:szCs w:val="16"/>
        </w:rPr>
        <w:t xml:space="preserve"> (Regulamento Financeiro da UE).</w:t>
      </w:r>
    </w:p>
  </w:footnote>
  <w:footnote w:id="15">
    <w:p w14:paraId="58E63D84" w14:textId="4C88F785" w:rsidR="002D27D8" w:rsidRPr="00562BC9" w:rsidRDefault="000579AF" w:rsidP="00924362">
      <w:pPr>
        <w:pStyle w:val="FootnoteText"/>
        <w:spacing w:after="0"/>
        <w:ind w:left="284" w:hanging="284"/>
        <w:rPr>
          <w:sz w:val="16"/>
          <w:szCs w:val="16"/>
        </w:rPr>
      </w:pPr>
      <w:r w:rsidRPr="00562BC9">
        <w:rPr>
          <w:rStyle w:val="FootnoteReference"/>
          <w:sz w:val="16"/>
          <w:szCs w:val="16"/>
        </w:rPr>
        <w:footnoteRef/>
      </w:r>
      <w:r w:rsidRPr="00562BC9">
        <w:rPr>
          <w:sz w:val="16"/>
          <w:szCs w:val="16"/>
        </w:rPr>
        <w:t xml:space="preserve"> </w:t>
      </w:r>
      <w:r w:rsidRPr="00562BC9">
        <w:rPr>
          <w:sz w:val="16"/>
          <w:szCs w:val="16"/>
        </w:rPr>
        <w:tab/>
        <w:t xml:space="preserve">Para as definições, ver artigo 187.º, n.º 2, e artigo 197.º, n.º 2, alínea c), do </w:t>
      </w:r>
      <w:hyperlink r:id="rId6" w:history="1">
        <w:r w:rsidRPr="00562BC9">
          <w:rPr>
            <w:bCs/>
            <w:color w:val="0088CC"/>
            <w:sz w:val="16"/>
            <w:szCs w:val="16"/>
            <w:u w:val="single"/>
          </w:rPr>
          <w:t>Regulamento (UE, Euratom) 2018/1046</w:t>
        </w:r>
      </w:hyperlink>
      <w:r w:rsidRPr="00562BC9">
        <w:rPr>
          <w:sz w:val="16"/>
          <w:szCs w:val="16"/>
        </w:rPr>
        <w:t xml:space="preserve"> (Regulamento Financeiro da UE).</w:t>
      </w:r>
    </w:p>
  </w:footnote>
  <w:footnote w:id="16">
    <w:p w14:paraId="52822DD7" w14:textId="37AE3EF0" w:rsidR="000579AF" w:rsidRPr="00562BC9" w:rsidRDefault="000579AF" w:rsidP="000579AF">
      <w:pPr>
        <w:pStyle w:val="FootnoteText"/>
        <w:spacing w:after="0"/>
        <w:ind w:left="284" w:hanging="284"/>
        <w:rPr>
          <w:sz w:val="16"/>
          <w:szCs w:val="16"/>
        </w:rPr>
      </w:pPr>
      <w:r w:rsidRPr="00562BC9">
        <w:rPr>
          <w:rStyle w:val="FootnoteReference"/>
          <w:sz w:val="16"/>
          <w:szCs w:val="16"/>
        </w:rPr>
        <w:footnoteRef/>
      </w:r>
      <w:r w:rsidRPr="00562BC9">
        <w:rPr>
          <w:sz w:val="16"/>
          <w:szCs w:val="16"/>
        </w:rPr>
        <w:t xml:space="preserve"> </w:t>
      </w:r>
      <w:r w:rsidRPr="00562BC9">
        <w:rPr>
          <w:sz w:val="16"/>
          <w:szCs w:val="16"/>
        </w:rPr>
        <w:tab/>
        <w:t xml:space="preserve">O Jornal Oficial da UE contém a lista oficial e, em caso de litígio, o seu conteúdo prevalece sobre o do </w:t>
      </w:r>
      <w:hyperlink r:id="rId7" w:history="1">
        <w:r w:rsidRPr="00562BC9">
          <w:rPr>
            <w:rStyle w:val="Hyperlink"/>
            <w:sz w:val="16"/>
            <w:szCs w:val="16"/>
          </w:rPr>
          <w:t>mapa das sanções da UE</w:t>
        </w:r>
      </w:hyperlink>
      <w:r w:rsidRPr="00562BC9">
        <w:rPr>
          <w:sz w:val="16"/>
          <w:szCs w:val="16"/>
        </w:rPr>
        <w:t>.</w:t>
      </w:r>
    </w:p>
  </w:footnote>
  <w:footnote w:id="17">
    <w:p w14:paraId="67257775" w14:textId="17B61075" w:rsidR="000579AF" w:rsidRPr="00562BC9" w:rsidRDefault="000579AF" w:rsidP="000579AF">
      <w:pPr>
        <w:pStyle w:val="CM1"/>
        <w:ind w:left="284" w:hanging="284"/>
        <w:jc w:val="both"/>
        <w:rPr>
          <w:rFonts w:ascii="Verdana" w:hAnsi="Verdana"/>
          <w:sz w:val="16"/>
          <w:szCs w:val="16"/>
        </w:rPr>
      </w:pPr>
      <w:r w:rsidRPr="00562BC9">
        <w:rPr>
          <w:rStyle w:val="FootnoteReference"/>
          <w:rFonts w:ascii="Verdana" w:hAnsi="Verdana"/>
          <w:sz w:val="16"/>
          <w:szCs w:val="16"/>
        </w:rPr>
        <w:footnoteRef/>
      </w:r>
      <w:r w:rsidRPr="00562BC9">
        <w:rPr>
          <w:rFonts w:ascii="Verdana" w:hAnsi="Verdana"/>
          <w:sz w:val="16"/>
          <w:szCs w:val="16"/>
        </w:rPr>
        <w:t xml:space="preserve"> </w:t>
      </w:r>
      <w:r w:rsidRPr="00562BC9">
        <w:rPr>
          <w:rFonts w:ascii="Verdana" w:hAnsi="Verdana"/>
          <w:sz w:val="16"/>
          <w:szCs w:val="16"/>
        </w:rPr>
        <w:tab/>
        <w:t>Orientações n.º </w:t>
      </w:r>
      <w:hyperlink r:id="rId8" w:history="1">
        <w:r w:rsidRPr="00562BC9">
          <w:rPr>
            <w:rStyle w:val="Hyperlink"/>
            <w:rFonts w:ascii="Verdana" w:hAnsi="Verdana"/>
            <w:sz w:val="16"/>
            <w:szCs w:val="16"/>
          </w:rPr>
          <w:t>2013/C 205/05</w:t>
        </w:r>
      </w:hyperlink>
      <w:r w:rsidRPr="00562BC9">
        <w:rPr>
          <w:rFonts w:ascii="Verdana" w:hAnsi="Verdana"/>
          <w:sz w:val="16"/>
          <w:szCs w:val="16"/>
        </w:rPr>
        <w:t xml:space="preserve"> da Comissão relativas à elegibilidade das entidades israelitas estabelecidas nos territórios ocupados por Israel desde junho de 1967 e das atividades que aí desenvolvem para subvenções, prémios e instrumentos financeiros financiados pela UE a partir de 2014 (JO C 205 de 19.7.2013, p. 9-11). </w:t>
      </w:r>
    </w:p>
  </w:footnote>
  <w:footnote w:id="18">
    <w:p w14:paraId="2364A1FE" w14:textId="3D521EE2" w:rsidR="000579AF" w:rsidRPr="00562BC9" w:rsidRDefault="000579AF" w:rsidP="000579AF">
      <w:pPr>
        <w:pStyle w:val="CM1"/>
        <w:ind w:left="284" w:hanging="284"/>
        <w:jc w:val="both"/>
        <w:rPr>
          <w:rFonts w:ascii="Verdana" w:hAnsi="Verdana"/>
          <w:sz w:val="16"/>
          <w:szCs w:val="16"/>
        </w:rPr>
      </w:pPr>
      <w:r w:rsidRPr="00562BC9">
        <w:rPr>
          <w:rStyle w:val="FootnoteReference"/>
          <w:rFonts w:ascii="Verdana" w:hAnsi="Verdana"/>
          <w:sz w:val="16"/>
          <w:szCs w:val="16"/>
        </w:rPr>
        <w:footnoteRef/>
      </w:r>
      <w:r w:rsidRPr="00562BC9">
        <w:rPr>
          <w:rFonts w:ascii="Verdana" w:hAnsi="Verdana"/>
          <w:sz w:val="16"/>
          <w:szCs w:val="16"/>
        </w:rPr>
        <w:t xml:space="preserve"> </w:t>
      </w:r>
      <w:r w:rsidRPr="00562BC9">
        <w:rPr>
          <w:rFonts w:ascii="Verdana" w:hAnsi="Verdana"/>
          <w:sz w:val="16"/>
          <w:szCs w:val="16"/>
        </w:rPr>
        <w:tab/>
      </w:r>
      <w:hyperlink r:id="rId9" w:anchor=":~:text=Non-discrimination%20mainstreaming%20is%20about%20%E2%80%98placing%20equality%20considerations%20at,the%20EU-%20wide%20network%20of%20specialised%20equality%20bodies%29." w:history="1">
        <w:r w:rsidRPr="00562BC9">
          <w:rPr>
            <w:rStyle w:val="Hyperlink"/>
            <w:rFonts w:ascii="Verdana" w:hAnsi="Verdana"/>
            <w:i/>
            <w:iCs/>
            <w:sz w:val="16"/>
            <w:szCs w:val="16"/>
          </w:rPr>
          <w:t>Non-discrimination mainstreaming– instruments, case studies and way forwards</w:t>
        </w:r>
      </w:hyperlink>
      <w:r w:rsidRPr="00562BC9">
        <w:rPr>
          <w:rFonts w:ascii="Verdana" w:hAnsi="Verdana"/>
          <w:sz w:val="16"/>
          <w:szCs w:val="16"/>
        </w:rPr>
        <w:t xml:space="preserve"> (Integração da não discriminação em todas as políticas - instrumentos, estudos de casos e perspetivas futuras).</w:t>
      </w:r>
    </w:p>
  </w:footnote>
  <w:footnote w:id="19">
    <w:p w14:paraId="39B3B430" w14:textId="128A6EE4" w:rsidR="000579AF" w:rsidRPr="00562BC9" w:rsidRDefault="000579AF" w:rsidP="00163978">
      <w:pPr>
        <w:pStyle w:val="FootnoteText"/>
        <w:spacing w:after="0"/>
        <w:ind w:left="284" w:hanging="284"/>
        <w:rPr>
          <w:rStyle w:val="FootnoteReference"/>
          <w:sz w:val="16"/>
          <w:szCs w:val="16"/>
          <w:vertAlign w:val="baseline"/>
        </w:rPr>
      </w:pPr>
      <w:r w:rsidRPr="00562BC9">
        <w:rPr>
          <w:rStyle w:val="FootnoteReference"/>
          <w:sz w:val="16"/>
          <w:szCs w:val="16"/>
        </w:rPr>
        <w:footnoteRef/>
      </w:r>
      <w:r w:rsidRPr="00562BC9">
        <w:rPr>
          <w:sz w:val="16"/>
          <w:szCs w:val="16"/>
        </w:rPr>
        <w:t xml:space="preserve"> </w:t>
      </w:r>
      <w:r w:rsidRPr="00562BC9">
        <w:rPr>
          <w:sz w:val="16"/>
          <w:szCs w:val="16"/>
        </w:rPr>
        <w:tab/>
        <w:t xml:space="preserve">Ver artigos 136.º e 141.º do Regulamento (UE, Euratom) </w:t>
      </w:r>
      <w:hyperlink r:id="rId10" w:history="1">
        <w:r w:rsidRPr="00562BC9">
          <w:rPr>
            <w:bCs/>
            <w:color w:val="0088CC"/>
            <w:sz w:val="16"/>
            <w:szCs w:val="16"/>
            <w:u w:val="single"/>
          </w:rPr>
          <w:t>2018/1046</w:t>
        </w:r>
      </w:hyperlink>
      <w:r w:rsidRPr="00562BC9">
        <w:rPr>
          <w:sz w:val="16"/>
          <w:szCs w:val="16"/>
        </w:rPr>
        <w:t xml:space="preserve"> (Regulamento Financeiro da UE).</w:t>
      </w:r>
    </w:p>
  </w:footnote>
  <w:footnote w:id="20">
    <w:p w14:paraId="3E147AE4" w14:textId="77777777" w:rsidR="000579AF" w:rsidRPr="00562BC9" w:rsidRDefault="000579AF" w:rsidP="000579AF">
      <w:pPr>
        <w:pStyle w:val="FootnoteText"/>
        <w:spacing w:after="0"/>
        <w:ind w:left="284" w:hanging="284"/>
        <w:rPr>
          <w:sz w:val="16"/>
          <w:szCs w:val="16"/>
        </w:rPr>
      </w:pPr>
      <w:r w:rsidRPr="00562BC9">
        <w:rPr>
          <w:rStyle w:val="FootnoteReference"/>
          <w:sz w:val="16"/>
          <w:szCs w:val="16"/>
        </w:rPr>
        <w:footnoteRef/>
      </w:r>
      <w:r w:rsidRPr="00562BC9">
        <w:rPr>
          <w:sz w:val="16"/>
          <w:szCs w:val="16"/>
        </w:rPr>
        <w:t xml:space="preserve"> </w:t>
      </w:r>
      <w:r w:rsidRPr="00562BC9">
        <w:rPr>
          <w:sz w:val="16"/>
          <w:szCs w:val="16"/>
        </w:rPr>
        <w:tab/>
        <w:t>A falta profissional grave inclui: violação da ética profissional, conduta ilícita com impacto na credibilidade profissional, falsas declarações/deturpação de informações, participação em cartel ou noutro acordo que distorça a concorrência, violação de DPI, tentativa de influenciar processos decisórios ou obter informações confidenciais das autoridades públicas para conseguir vantagens.</w:t>
      </w:r>
    </w:p>
  </w:footnote>
  <w:footnote w:id="21">
    <w:p w14:paraId="32BB546C" w14:textId="77777777" w:rsidR="000579AF" w:rsidRPr="00562BC9" w:rsidRDefault="000579AF" w:rsidP="00562BC9">
      <w:pPr>
        <w:pStyle w:val="FootnoteText"/>
        <w:spacing w:after="0"/>
        <w:ind w:left="284" w:hanging="284"/>
        <w:rPr>
          <w:sz w:val="16"/>
          <w:szCs w:val="16"/>
        </w:rPr>
      </w:pPr>
      <w:r w:rsidRPr="00562BC9">
        <w:rPr>
          <w:rStyle w:val="FootnoteReference"/>
          <w:sz w:val="16"/>
          <w:szCs w:val="16"/>
        </w:rPr>
        <w:footnoteRef/>
      </w:r>
      <w:r w:rsidRPr="00562BC9">
        <w:rPr>
          <w:sz w:val="16"/>
          <w:szCs w:val="16"/>
        </w:rPr>
        <w:t xml:space="preserve"> </w:t>
      </w:r>
      <w:r w:rsidRPr="00562BC9">
        <w:rPr>
          <w:sz w:val="16"/>
          <w:szCs w:val="16"/>
        </w:rPr>
        <w:tab/>
        <w:t xml:space="preserve">Ver artigo 141.º do </w:t>
      </w:r>
      <w:hyperlink r:id="rId11" w:history="1">
        <w:r w:rsidRPr="00562BC9">
          <w:rPr>
            <w:bCs/>
            <w:color w:val="0088CC"/>
            <w:sz w:val="16"/>
            <w:szCs w:val="16"/>
            <w:u w:val="single"/>
          </w:rPr>
          <w:t>Regulamento (UE, Euratom) 2018/1046</w:t>
        </w:r>
      </w:hyperlink>
      <w:r w:rsidRPr="00562BC9">
        <w:rPr>
          <w:sz w:val="16"/>
          <w:szCs w:val="16"/>
        </w:rPr>
        <w:t xml:space="preserve"> (Regulamento Financeiro da UE).</w:t>
      </w:r>
    </w:p>
  </w:footnote>
  <w:footnote w:id="22">
    <w:p w14:paraId="482E0888" w14:textId="11DAA1E3" w:rsidR="000579AF" w:rsidRPr="00562BC9" w:rsidRDefault="000579AF" w:rsidP="00562BC9">
      <w:pPr>
        <w:pStyle w:val="FootnoteText"/>
        <w:spacing w:after="0"/>
        <w:ind w:left="284" w:hanging="284"/>
        <w:rPr>
          <w:sz w:val="16"/>
          <w:szCs w:val="16"/>
        </w:rPr>
      </w:pPr>
      <w:r w:rsidRPr="00562BC9">
        <w:rPr>
          <w:rStyle w:val="FootnoteReference"/>
          <w:sz w:val="16"/>
          <w:szCs w:val="16"/>
        </w:rPr>
        <w:footnoteRef/>
      </w:r>
      <w:r w:rsidRPr="00562BC9">
        <w:rPr>
          <w:sz w:val="16"/>
          <w:szCs w:val="16"/>
        </w:rPr>
        <w:t xml:space="preserve"> </w:t>
      </w:r>
      <w:r w:rsidRPr="00562BC9">
        <w:rPr>
          <w:sz w:val="16"/>
          <w:szCs w:val="16"/>
        </w:rPr>
        <w:tab/>
      </w:r>
      <w:hyperlink r:id="rId12" w:history="1">
        <w:r w:rsidRPr="00562BC9">
          <w:rPr>
            <w:rStyle w:val="Hyperlink"/>
            <w:i/>
            <w:iCs/>
            <w:sz w:val="16"/>
            <w:szCs w:val="16"/>
          </w:rPr>
          <w:t>Decision</w:t>
        </w:r>
      </w:hyperlink>
      <w:r w:rsidRPr="00562BC9">
        <w:rPr>
          <w:i/>
          <w:iCs/>
          <w:sz w:val="16"/>
          <w:szCs w:val="16"/>
        </w:rPr>
        <w:t xml:space="preserve"> of 26 March 2021 authorising the use of lump sums for actions under the Citizens, Equality, Rights and Values Programme (2021-2027)</w:t>
      </w:r>
      <w:r w:rsidRPr="00562BC9">
        <w:rPr>
          <w:iCs/>
          <w:sz w:val="16"/>
          <w:szCs w:val="16"/>
        </w:rPr>
        <w:t xml:space="preserve"> [Decisão de 26 de março de 2021 que autoriza a utilização de montantes fixos em ações no âmbito do Programa Cidadãos, Igualdade, Direitos e Valores (2021-2027)].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D7FEE" w14:textId="68511716" w:rsidR="000579AF" w:rsidRPr="00322207" w:rsidRDefault="00D47016" w:rsidP="00322207">
    <w:pPr>
      <w:tabs>
        <w:tab w:val="center" w:pos="4536"/>
        <w:tab w:val="right" w:pos="9072"/>
      </w:tabs>
      <w:spacing w:after="0"/>
      <w:rPr>
        <w:rFonts w:eastAsia="Calibri"/>
        <w:sz w:val="16"/>
      </w:rPr>
    </w:pPr>
    <w:r>
      <w:rPr>
        <w:sz w:val="16"/>
      </w:rPr>
      <w:t>Convite: [CERV-2022-CITIZENS-TOWN] — [Geminação de Cidades e Redes de Cidades]</w:t>
    </w:r>
  </w:p>
  <w:p w14:paraId="15B1C007" w14:textId="77777777" w:rsidR="000579AF" w:rsidRPr="00322207" w:rsidRDefault="000579AF" w:rsidP="00322207">
    <w:pPr>
      <w:tabs>
        <w:tab w:val="center" w:pos="4536"/>
        <w:tab w:val="right" w:pos="9072"/>
      </w:tabs>
      <w:spacing w:after="0" w:line="276" w:lineRule="auto"/>
      <w:rPr>
        <w:rFonts w:eastAsia="Calibri"/>
        <w:sz w:val="16"/>
      </w:rPr>
    </w:pPr>
  </w:p>
  <w:p w14:paraId="010F2120" w14:textId="205373BA" w:rsidR="000579AF" w:rsidRPr="00C90797" w:rsidRDefault="000579AF" w:rsidP="00C90797">
    <w:pPr>
      <w:spacing w:after="0"/>
      <w:jc w:val="right"/>
      <w:rPr>
        <w:rFonts w:eastAsia="Calibri"/>
        <w:color w:val="808080"/>
        <w:sz w:val="16"/>
        <w:szCs w:val="16"/>
      </w:rPr>
    </w:pPr>
    <w:r>
      <w:rPr>
        <w:color w:val="4AA55B"/>
        <w:sz w:val="16"/>
      </w:rPr>
      <w:tab/>
    </w:r>
    <w:r>
      <w:rPr>
        <w:color w:val="7F7F7F"/>
        <w:sz w:val="16"/>
        <w:szCs w:val="16"/>
      </w:rPr>
      <w:t>Subvenções UE</w:t>
    </w:r>
    <w:r>
      <w:rPr>
        <w:color w:val="808080"/>
        <w:sz w:val="16"/>
        <w:szCs w:val="16"/>
      </w:rPr>
      <w:t>: Documento do convite</w:t>
    </w:r>
    <w:r>
      <w:rPr>
        <w:color w:val="7F7F7F"/>
        <w:sz w:val="16"/>
        <w:szCs w:val="16"/>
      </w:rPr>
      <w:t xml:space="preserve"> (CERV)</w:t>
    </w:r>
    <w:r>
      <w:rPr>
        <w:color w:val="808080"/>
        <w:sz w:val="16"/>
        <w:szCs w:val="16"/>
      </w:rPr>
      <w:t>: V1.0 - 16.11.2021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69273" w14:textId="5A6FCB6C" w:rsidR="000579AF" w:rsidRPr="005F35CF" w:rsidRDefault="000579AF" w:rsidP="007A412A">
    <w:pPr>
      <w:pStyle w:val="Header"/>
      <w:jc w:val="center"/>
      <w:rPr>
        <w:rFonts w:ascii="Arial" w:hAnsi="Arial"/>
        <w:color w:val="595959"/>
        <w:szCs w:val="24"/>
      </w:rPr>
    </w:pPr>
    <w:r>
      <w:rPr>
        <w:noProof/>
        <w:lang w:val="en-IE" w:eastAsia="en-IE"/>
      </w:rPr>
      <w:drawing>
        <wp:inline distT="0" distB="0" distL="0" distR="0" wp14:anchorId="4FA16163" wp14:editId="1ECA857D">
          <wp:extent cx="1922780" cy="914400"/>
          <wp:effectExtent l="0" t="0" r="0" b="0"/>
          <wp:docPr id="2" name="Picture 2"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780"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8EEC9" w14:textId="377CC7BB" w:rsidR="000579AF" w:rsidRDefault="000579AF" w:rsidP="00771274">
    <w:pPr>
      <w:pStyle w:val="Header"/>
      <w:tabs>
        <w:tab w:val="clear" w:pos="4153"/>
        <w:tab w:val="clear" w:pos="8306"/>
        <w:tab w:val="left" w:pos="2659"/>
      </w:tabs>
      <w:spacing w:after="0"/>
    </w:pPr>
    <w:r>
      <w:tab/>
    </w:r>
    <w:r>
      <w:rPr>
        <w:noProof/>
        <w:lang w:val="en-IE" w:eastAsia="en-IE"/>
      </w:rPr>
      <w:drawing>
        <wp:inline distT="0" distB="0" distL="0" distR="0" wp14:anchorId="097AAA03" wp14:editId="590F354E">
          <wp:extent cx="1922780" cy="914400"/>
          <wp:effectExtent l="0" t="0" r="0" b="0"/>
          <wp:docPr id="14" name="Picture 14"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78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58F066"/>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013C92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2AE6C26"/>
    <w:multiLevelType w:val="hybridMultilevel"/>
    <w:tmpl w:val="2C38E760"/>
    <w:lvl w:ilvl="0" w:tplc="D2AEE564">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036E4EC3"/>
    <w:multiLevelType w:val="hybridMultilevel"/>
    <w:tmpl w:val="8C984A6A"/>
    <w:lvl w:ilvl="0" w:tplc="2B5A9408">
      <w:start w:val="1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93CAB"/>
    <w:multiLevelType w:val="hybridMultilevel"/>
    <w:tmpl w:val="4FEEC344"/>
    <w:lvl w:ilvl="0" w:tplc="8DA6C39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8F54C3"/>
    <w:multiLevelType w:val="multilevel"/>
    <w:tmpl w:val="445AC056"/>
    <w:lvl w:ilvl="0">
      <w:start w:val="1"/>
      <w:numFmt w:val="bullet"/>
      <w:pStyle w:val="ListDash3"/>
      <w:lvlText w:val="–"/>
      <w:lvlJc w:val="left"/>
      <w:pPr>
        <w:tabs>
          <w:tab w:val="num" w:pos="1723"/>
        </w:tabs>
        <w:ind w:left="172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34387"/>
    <w:multiLevelType w:val="hybridMultilevel"/>
    <w:tmpl w:val="B17EC242"/>
    <w:lvl w:ilvl="0" w:tplc="FEAA60BA">
      <w:start w:val="1"/>
      <w:numFmt w:val="bullet"/>
      <w:lvlText w:val="·"/>
      <w:lvlJc w:val="left"/>
      <w:pPr>
        <w:ind w:left="720" w:hanging="360"/>
      </w:pPr>
      <w:rPr>
        <w:rFonts w:ascii="Symbol" w:hAnsi="Symbol" w:hint="default"/>
      </w:rPr>
    </w:lvl>
    <w:lvl w:ilvl="1" w:tplc="4880BB64">
      <w:start w:val="1"/>
      <w:numFmt w:val="bullet"/>
      <w:lvlText w:val="o"/>
      <w:lvlJc w:val="left"/>
      <w:pPr>
        <w:ind w:left="1440" w:hanging="360"/>
      </w:pPr>
      <w:rPr>
        <w:rFonts w:ascii="Courier New" w:hAnsi="Courier New" w:cs="Times New Roman" w:hint="default"/>
      </w:rPr>
    </w:lvl>
    <w:lvl w:ilvl="2" w:tplc="5F68A3DA">
      <w:start w:val="1"/>
      <w:numFmt w:val="bullet"/>
      <w:lvlText w:val=""/>
      <w:lvlJc w:val="left"/>
      <w:pPr>
        <w:ind w:left="2160" w:hanging="360"/>
      </w:pPr>
      <w:rPr>
        <w:rFonts w:ascii="Wingdings" w:hAnsi="Wingdings" w:hint="default"/>
      </w:rPr>
    </w:lvl>
    <w:lvl w:ilvl="3" w:tplc="8234825C">
      <w:start w:val="1"/>
      <w:numFmt w:val="bullet"/>
      <w:lvlText w:val=""/>
      <w:lvlJc w:val="left"/>
      <w:pPr>
        <w:ind w:left="2880" w:hanging="360"/>
      </w:pPr>
      <w:rPr>
        <w:rFonts w:ascii="Symbol" w:hAnsi="Symbol" w:hint="default"/>
      </w:rPr>
    </w:lvl>
    <w:lvl w:ilvl="4" w:tplc="92E26BB8">
      <w:start w:val="1"/>
      <w:numFmt w:val="bullet"/>
      <w:lvlText w:val="o"/>
      <w:lvlJc w:val="left"/>
      <w:pPr>
        <w:ind w:left="3600" w:hanging="360"/>
      </w:pPr>
      <w:rPr>
        <w:rFonts w:ascii="Courier New" w:hAnsi="Courier New" w:cs="Times New Roman" w:hint="default"/>
      </w:rPr>
    </w:lvl>
    <w:lvl w:ilvl="5" w:tplc="C94884C8">
      <w:start w:val="1"/>
      <w:numFmt w:val="bullet"/>
      <w:lvlText w:val=""/>
      <w:lvlJc w:val="left"/>
      <w:pPr>
        <w:ind w:left="4320" w:hanging="360"/>
      </w:pPr>
      <w:rPr>
        <w:rFonts w:ascii="Wingdings" w:hAnsi="Wingdings" w:hint="default"/>
      </w:rPr>
    </w:lvl>
    <w:lvl w:ilvl="6" w:tplc="7CAC58A4">
      <w:start w:val="1"/>
      <w:numFmt w:val="bullet"/>
      <w:lvlText w:val=""/>
      <w:lvlJc w:val="left"/>
      <w:pPr>
        <w:ind w:left="5040" w:hanging="360"/>
      </w:pPr>
      <w:rPr>
        <w:rFonts w:ascii="Symbol" w:hAnsi="Symbol" w:hint="default"/>
      </w:rPr>
    </w:lvl>
    <w:lvl w:ilvl="7" w:tplc="27DA3F58">
      <w:start w:val="1"/>
      <w:numFmt w:val="bullet"/>
      <w:lvlText w:val="o"/>
      <w:lvlJc w:val="left"/>
      <w:pPr>
        <w:ind w:left="5760" w:hanging="360"/>
      </w:pPr>
      <w:rPr>
        <w:rFonts w:ascii="Courier New" w:hAnsi="Courier New" w:cs="Times New Roman" w:hint="default"/>
      </w:rPr>
    </w:lvl>
    <w:lvl w:ilvl="8" w:tplc="7AC2F7E8">
      <w:start w:val="1"/>
      <w:numFmt w:val="bullet"/>
      <w:lvlText w:val=""/>
      <w:lvlJc w:val="left"/>
      <w:pPr>
        <w:ind w:left="6480" w:hanging="360"/>
      </w:pPr>
      <w:rPr>
        <w:rFonts w:ascii="Wingdings" w:hAnsi="Wingdings" w:hint="default"/>
      </w:rPr>
    </w:lvl>
  </w:abstractNum>
  <w:abstractNum w:abstractNumId="7" w15:restartNumberingAfterBreak="0">
    <w:nsid w:val="13B00C30"/>
    <w:multiLevelType w:val="singleLevel"/>
    <w:tmpl w:val="0FD0142C"/>
    <w:lvl w:ilvl="0">
      <w:start w:val="1"/>
      <w:numFmt w:val="bullet"/>
      <w:pStyle w:val="ListDash4"/>
      <w:lvlText w:val="–"/>
      <w:lvlJc w:val="left"/>
      <w:pPr>
        <w:tabs>
          <w:tab w:val="num" w:pos="1723"/>
        </w:tabs>
        <w:ind w:left="1723" w:hanging="283"/>
      </w:pPr>
      <w:rPr>
        <w:rFonts w:ascii="Times New Roman" w:hAnsi="Times New Roman"/>
      </w:rPr>
    </w:lvl>
  </w:abstractNum>
  <w:abstractNum w:abstractNumId="8" w15:restartNumberingAfterBreak="0">
    <w:nsid w:val="141800C7"/>
    <w:multiLevelType w:val="hybridMultilevel"/>
    <w:tmpl w:val="11706440"/>
    <w:lvl w:ilvl="0" w:tplc="24C6155C">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9"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494262"/>
    <w:multiLevelType w:val="hybridMultilevel"/>
    <w:tmpl w:val="9F5C3216"/>
    <w:lvl w:ilvl="0" w:tplc="04E080B6">
      <w:start w:val="1"/>
      <w:numFmt w:val="bullet"/>
      <w:lvlText w:val=""/>
      <w:lvlJc w:val="left"/>
      <w:pPr>
        <w:ind w:left="720" w:hanging="360"/>
      </w:pPr>
      <w:rPr>
        <w:rFonts w:ascii="Symbol" w:hAnsi="Symbol" w:hint="default"/>
        <w:color w:val="595959"/>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02B3C"/>
    <w:multiLevelType w:val="hybridMultilevel"/>
    <w:tmpl w:val="925C5806"/>
    <w:lvl w:ilvl="0" w:tplc="5F84B092">
      <w:start w:val="1"/>
      <w:numFmt w:val="bullet"/>
      <w:lvlText w:val=""/>
      <w:lvlJc w:val="left"/>
      <w:pPr>
        <w:ind w:left="720" w:hanging="360"/>
      </w:pPr>
      <w:rPr>
        <w:rFonts w:ascii="Symbol" w:hAnsi="Symbol" w:hint="default"/>
      </w:rPr>
    </w:lvl>
    <w:lvl w:ilvl="1" w:tplc="6D7A6886">
      <w:start w:val="1"/>
      <w:numFmt w:val="bullet"/>
      <w:lvlText w:val="o"/>
      <w:lvlJc w:val="left"/>
      <w:pPr>
        <w:ind w:left="1440" w:hanging="360"/>
      </w:pPr>
      <w:rPr>
        <w:rFonts w:ascii="Courier New" w:hAnsi="Courier New" w:cs="Times New Roman" w:hint="default"/>
      </w:rPr>
    </w:lvl>
    <w:lvl w:ilvl="2" w:tplc="540CB382">
      <w:start w:val="1"/>
      <w:numFmt w:val="bullet"/>
      <w:lvlText w:val=""/>
      <w:lvlJc w:val="left"/>
      <w:pPr>
        <w:ind w:left="2160" w:hanging="360"/>
      </w:pPr>
      <w:rPr>
        <w:rFonts w:ascii="Wingdings" w:hAnsi="Wingdings" w:hint="default"/>
      </w:rPr>
    </w:lvl>
    <w:lvl w:ilvl="3" w:tplc="18F6D324">
      <w:start w:val="1"/>
      <w:numFmt w:val="bullet"/>
      <w:lvlText w:val=""/>
      <w:lvlJc w:val="left"/>
      <w:pPr>
        <w:ind w:left="2880" w:hanging="360"/>
      </w:pPr>
      <w:rPr>
        <w:rFonts w:ascii="Symbol" w:hAnsi="Symbol" w:hint="default"/>
      </w:rPr>
    </w:lvl>
    <w:lvl w:ilvl="4" w:tplc="8D4AF8BA">
      <w:start w:val="1"/>
      <w:numFmt w:val="bullet"/>
      <w:lvlText w:val="o"/>
      <w:lvlJc w:val="left"/>
      <w:pPr>
        <w:ind w:left="3600" w:hanging="360"/>
      </w:pPr>
      <w:rPr>
        <w:rFonts w:ascii="Courier New" w:hAnsi="Courier New" w:cs="Times New Roman" w:hint="default"/>
      </w:rPr>
    </w:lvl>
    <w:lvl w:ilvl="5" w:tplc="9BF6974A">
      <w:start w:val="1"/>
      <w:numFmt w:val="bullet"/>
      <w:lvlText w:val=""/>
      <w:lvlJc w:val="left"/>
      <w:pPr>
        <w:ind w:left="4320" w:hanging="360"/>
      </w:pPr>
      <w:rPr>
        <w:rFonts w:ascii="Wingdings" w:hAnsi="Wingdings" w:hint="default"/>
      </w:rPr>
    </w:lvl>
    <w:lvl w:ilvl="6" w:tplc="953457D0">
      <w:start w:val="1"/>
      <w:numFmt w:val="bullet"/>
      <w:lvlText w:val=""/>
      <w:lvlJc w:val="left"/>
      <w:pPr>
        <w:ind w:left="5040" w:hanging="360"/>
      </w:pPr>
      <w:rPr>
        <w:rFonts w:ascii="Symbol" w:hAnsi="Symbol" w:hint="default"/>
      </w:rPr>
    </w:lvl>
    <w:lvl w:ilvl="7" w:tplc="2BA84904">
      <w:start w:val="1"/>
      <w:numFmt w:val="bullet"/>
      <w:lvlText w:val="o"/>
      <w:lvlJc w:val="left"/>
      <w:pPr>
        <w:ind w:left="5760" w:hanging="360"/>
      </w:pPr>
      <w:rPr>
        <w:rFonts w:ascii="Courier New" w:hAnsi="Courier New" w:cs="Times New Roman" w:hint="default"/>
      </w:rPr>
    </w:lvl>
    <w:lvl w:ilvl="8" w:tplc="7D52480A">
      <w:start w:val="1"/>
      <w:numFmt w:val="bullet"/>
      <w:lvlText w:val=""/>
      <w:lvlJc w:val="left"/>
      <w:pPr>
        <w:ind w:left="6480" w:hanging="360"/>
      </w:pPr>
      <w:rPr>
        <w:rFonts w:ascii="Wingdings" w:hAnsi="Wingdings" w:hint="default"/>
      </w:rPr>
    </w:lvl>
  </w:abstractNum>
  <w:abstractNum w:abstractNumId="12" w15:restartNumberingAfterBreak="0">
    <w:nsid w:val="1B511E85"/>
    <w:multiLevelType w:val="singleLevel"/>
    <w:tmpl w:val="82186D90"/>
    <w:lvl w:ilvl="0">
      <w:start w:val="1"/>
      <w:numFmt w:val="bullet"/>
      <w:pStyle w:val="ListBullet4"/>
      <w:lvlText w:val=""/>
      <w:lvlJc w:val="left"/>
      <w:pPr>
        <w:tabs>
          <w:tab w:val="num" w:pos="1723"/>
        </w:tabs>
        <w:ind w:left="1723" w:hanging="283"/>
      </w:pPr>
      <w:rPr>
        <w:rFonts w:ascii="Symbol" w:hAnsi="Symbol"/>
      </w:rPr>
    </w:lvl>
  </w:abstractNum>
  <w:abstractNum w:abstractNumId="13" w15:restartNumberingAfterBreak="0">
    <w:nsid w:val="1C7D1A8D"/>
    <w:multiLevelType w:val="singleLevel"/>
    <w:tmpl w:val="B086A94E"/>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204774F5"/>
    <w:multiLevelType w:val="multilevel"/>
    <w:tmpl w:val="D9F42482"/>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72162AA"/>
    <w:multiLevelType w:val="hybridMultilevel"/>
    <w:tmpl w:val="D4BE07C6"/>
    <w:lvl w:ilvl="0" w:tplc="BE50AD9E">
      <w:start w:val="1"/>
      <w:numFmt w:val="bullet"/>
      <w:lvlText w:val=""/>
      <w:lvlJc w:val="left"/>
      <w:pPr>
        <w:ind w:left="720" w:hanging="360"/>
      </w:pPr>
      <w:rPr>
        <w:rFonts w:ascii="Symbol" w:hAnsi="Symbol" w:hint="default"/>
        <w:sz w:val="21"/>
        <w:szCs w:val="24"/>
      </w:rPr>
    </w:lvl>
    <w:lvl w:ilvl="1" w:tplc="96AE0BB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352FFF"/>
    <w:multiLevelType w:val="hybridMultilevel"/>
    <w:tmpl w:val="548CD240"/>
    <w:lvl w:ilvl="0" w:tplc="69B2380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EE667A"/>
    <w:multiLevelType w:val="hybridMultilevel"/>
    <w:tmpl w:val="087A7580"/>
    <w:lvl w:ilvl="0" w:tplc="BE50AD9E">
      <w:start w:val="1"/>
      <w:numFmt w:val="bullet"/>
      <w:lvlText w:val=""/>
      <w:lvlJc w:val="left"/>
      <w:pPr>
        <w:ind w:left="720" w:hanging="360"/>
      </w:pPr>
      <w:rPr>
        <w:rFonts w:ascii="Symbol" w:hAnsi="Symbol" w:hint="default"/>
      </w:rPr>
    </w:lvl>
    <w:lvl w:ilvl="1" w:tplc="BE50AD9E">
      <w:start w:val="1"/>
      <w:numFmt w:val="bullet"/>
      <w:lvlText w:val=""/>
      <w:lvlJc w:val="left"/>
      <w:pPr>
        <w:ind w:left="1440" w:hanging="360"/>
      </w:pPr>
      <w:rPr>
        <w:rFonts w:ascii="Symbol" w:hAnsi="Symbol" w:hint="default"/>
        <w:sz w:val="21"/>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737DD"/>
    <w:multiLevelType w:val="hybridMultilevel"/>
    <w:tmpl w:val="5C64EC24"/>
    <w:lvl w:ilvl="0" w:tplc="9294DFBC">
      <w:numFmt w:val="bullet"/>
      <w:lvlText w:val="•"/>
      <w:lvlJc w:val="left"/>
      <w:pPr>
        <w:ind w:left="1080" w:hanging="720"/>
      </w:pPr>
      <w:rPr>
        <w:rFonts w:ascii="Verdana" w:eastAsia="Times New Roman" w:hAnsi="Verdana" w:cs="Times New Roman" w:hint="default"/>
      </w:rPr>
    </w:lvl>
    <w:lvl w:ilvl="1" w:tplc="BE50AD9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8475FA"/>
    <w:multiLevelType w:val="multilevel"/>
    <w:tmpl w:val="F65826E8"/>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5646B0E"/>
    <w:multiLevelType w:val="multilevel"/>
    <w:tmpl w:val="C51C4B2C"/>
    <w:lvl w:ilvl="0">
      <w:start w:val="1"/>
      <w:numFmt w:val="bullet"/>
      <w:pStyle w:val="ListBullet3"/>
      <w:lvlText w:val=""/>
      <w:lvlJc w:val="left"/>
      <w:pPr>
        <w:tabs>
          <w:tab w:val="num" w:pos="1723"/>
        </w:tabs>
        <w:ind w:left="172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346497"/>
    <w:multiLevelType w:val="hybridMultilevel"/>
    <w:tmpl w:val="9DF6880C"/>
    <w:lvl w:ilvl="0" w:tplc="24C6155C">
      <w:start w:val="1"/>
      <w:numFmt w:val="bullet"/>
      <w:lvlText w:val=""/>
      <w:lvlJc w:val="left"/>
      <w:pPr>
        <w:ind w:left="720" w:hanging="360"/>
      </w:pPr>
      <w:rPr>
        <w:rFonts w:ascii="Symbol" w:hAnsi="Symbol" w:hint="default"/>
        <w:strike w:val="0"/>
        <w:dstrike w:val="0"/>
        <w:color w:val="auto"/>
        <w:sz w:val="24"/>
        <w:u w:val="none"/>
        <w:effect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C641BA"/>
    <w:multiLevelType w:val="hybridMultilevel"/>
    <w:tmpl w:val="943A1348"/>
    <w:lvl w:ilvl="0" w:tplc="F1F85750">
      <w:start w:val="1"/>
      <w:numFmt w:val="bullet"/>
      <w:lvlText w:val=""/>
      <w:lvlJc w:val="left"/>
      <w:pPr>
        <w:ind w:left="720" w:hanging="360"/>
      </w:pPr>
      <w:rPr>
        <w:rFonts w:ascii="Symbol" w:hAnsi="Symbol" w:hint="default"/>
        <w:color w:val="5959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3D7EE5"/>
    <w:multiLevelType w:val="hybridMultilevel"/>
    <w:tmpl w:val="5DF04E64"/>
    <w:lvl w:ilvl="0" w:tplc="BE50AD9E">
      <w:start w:val="1"/>
      <w:numFmt w:val="bullet"/>
      <w:lvlText w:val=""/>
      <w:lvlJc w:val="left"/>
      <w:pPr>
        <w:ind w:left="7023" w:hanging="360"/>
      </w:pPr>
      <w:rPr>
        <w:rFonts w:ascii="Symbol" w:hAnsi="Symbol" w:hint="default"/>
        <w:b/>
        <w:strike w:val="0"/>
        <w:dstrike w:val="0"/>
        <w:color w:val="auto"/>
        <w:sz w:val="24"/>
        <w:u w:val="none"/>
        <w:effect w:val="none"/>
      </w:rPr>
    </w:lvl>
    <w:lvl w:ilvl="1" w:tplc="44FE2B32">
      <w:start w:val="3"/>
      <w:numFmt w:val="bullet"/>
      <w:lvlText w:val="-"/>
      <w:lvlJc w:val="left"/>
      <w:pPr>
        <w:ind w:left="3381" w:hanging="360"/>
      </w:pPr>
      <w:rPr>
        <w:rFonts w:ascii="Times New Roman" w:eastAsia="Calibri" w:hAnsi="Times New Roman" w:cs="Times New Roman" w:hint="default"/>
        <w:color w:val="auto"/>
      </w:rPr>
    </w:lvl>
    <w:lvl w:ilvl="2" w:tplc="08090005">
      <w:start w:val="1"/>
      <w:numFmt w:val="bullet"/>
      <w:lvlText w:val=""/>
      <w:lvlJc w:val="left"/>
      <w:pPr>
        <w:ind w:left="4101" w:hanging="360"/>
      </w:pPr>
      <w:rPr>
        <w:rFonts w:ascii="Wingdings" w:hAnsi="Wingdings" w:hint="default"/>
      </w:rPr>
    </w:lvl>
    <w:lvl w:ilvl="3" w:tplc="08090001">
      <w:start w:val="1"/>
      <w:numFmt w:val="bullet"/>
      <w:lvlText w:val=""/>
      <w:lvlJc w:val="left"/>
      <w:pPr>
        <w:ind w:left="4821" w:hanging="360"/>
      </w:pPr>
      <w:rPr>
        <w:rFonts w:ascii="Symbol" w:hAnsi="Symbol" w:hint="default"/>
      </w:rPr>
    </w:lvl>
    <w:lvl w:ilvl="4" w:tplc="08090003" w:tentative="1">
      <w:start w:val="1"/>
      <w:numFmt w:val="bullet"/>
      <w:lvlText w:val="o"/>
      <w:lvlJc w:val="left"/>
      <w:pPr>
        <w:ind w:left="5541" w:hanging="360"/>
      </w:pPr>
      <w:rPr>
        <w:rFonts w:ascii="Courier New" w:hAnsi="Courier New" w:cs="Courier New" w:hint="default"/>
      </w:rPr>
    </w:lvl>
    <w:lvl w:ilvl="5" w:tplc="08090005" w:tentative="1">
      <w:start w:val="1"/>
      <w:numFmt w:val="bullet"/>
      <w:lvlText w:val=""/>
      <w:lvlJc w:val="left"/>
      <w:pPr>
        <w:ind w:left="6261" w:hanging="360"/>
      </w:pPr>
      <w:rPr>
        <w:rFonts w:ascii="Wingdings" w:hAnsi="Wingdings" w:hint="default"/>
      </w:rPr>
    </w:lvl>
    <w:lvl w:ilvl="6" w:tplc="08090001" w:tentative="1">
      <w:start w:val="1"/>
      <w:numFmt w:val="bullet"/>
      <w:lvlText w:val=""/>
      <w:lvlJc w:val="left"/>
      <w:pPr>
        <w:ind w:left="6981" w:hanging="360"/>
      </w:pPr>
      <w:rPr>
        <w:rFonts w:ascii="Symbol" w:hAnsi="Symbol" w:hint="default"/>
      </w:rPr>
    </w:lvl>
    <w:lvl w:ilvl="7" w:tplc="08090003" w:tentative="1">
      <w:start w:val="1"/>
      <w:numFmt w:val="bullet"/>
      <w:lvlText w:val="o"/>
      <w:lvlJc w:val="left"/>
      <w:pPr>
        <w:ind w:left="7701" w:hanging="360"/>
      </w:pPr>
      <w:rPr>
        <w:rFonts w:ascii="Courier New" w:hAnsi="Courier New" w:cs="Courier New" w:hint="default"/>
      </w:rPr>
    </w:lvl>
    <w:lvl w:ilvl="8" w:tplc="08090005" w:tentative="1">
      <w:start w:val="1"/>
      <w:numFmt w:val="bullet"/>
      <w:lvlText w:val=""/>
      <w:lvlJc w:val="left"/>
      <w:pPr>
        <w:ind w:left="8421" w:hanging="360"/>
      </w:pPr>
      <w:rPr>
        <w:rFonts w:ascii="Wingdings" w:hAnsi="Wingdings" w:hint="default"/>
      </w:rPr>
    </w:lvl>
  </w:abstractNum>
  <w:abstractNum w:abstractNumId="24" w15:restartNumberingAfterBreak="0">
    <w:nsid w:val="3E0216B9"/>
    <w:multiLevelType w:val="multilevel"/>
    <w:tmpl w:val="49C6B458"/>
    <w:lvl w:ilvl="0">
      <w:start w:val="1"/>
      <w:numFmt w:val="decimal"/>
      <w:lvlText w:val="%1."/>
      <w:lvlJc w:val="left"/>
      <w:pPr>
        <w:tabs>
          <w:tab w:val="num" w:pos="1440"/>
        </w:tabs>
        <w:ind w:left="1440" w:hanging="1440"/>
      </w:pPr>
      <w:rPr>
        <w:i w:val="0"/>
        <w:sz w:val="24"/>
        <w:szCs w:val="28"/>
      </w:rPr>
    </w:lvl>
    <w:lvl w:ilvl="1">
      <w:start w:val="1"/>
      <w:numFmt w:val="decimal"/>
      <w:lvlText w:val="%1.%2."/>
      <w:lvlJc w:val="left"/>
      <w:pPr>
        <w:tabs>
          <w:tab w:val="num" w:pos="1440"/>
        </w:tabs>
        <w:ind w:left="1440" w:hanging="1440"/>
      </w:pPr>
      <w:rPr>
        <w:rFonts w:ascii="Verdana" w:hAnsi="Verdana" w:hint="default"/>
        <w:b/>
        <w:sz w:val="22"/>
        <w:szCs w:val="22"/>
      </w:rPr>
    </w:lvl>
    <w:lvl w:ilvl="2">
      <w:start w:val="1"/>
      <w:numFmt w:val="decimal"/>
      <w:lvlText w:val="%1.%2.%3."/>
      <w:lvlJc w:val="left"/>
      <w:pPr>
        <w:tabs>
          <w:tab w:val="num" w:pos="1724"/>
        </w:tabs>
        <w:ind w:left="1724" w:hanging="1440"/>
      </w:pPr>
      <w:rPr>
        <w:i w:val="0"/>
        <w:sz w:val="24"/>
        <w:szCs w:val="24"/>
      </w:rPr>
    </w:lvl>
    <w:lvl w:ilvl="3">
      <w:start w:val="1"/>
      <w:numFmt w:val="decimal"/>
      <w:pStyle w:val="Heading4"/>
      <w:lvlText w:val="%1.%2.%3.%4."/>
      <w:lvlJc w:val="left"/>
      <w:pPr>
        <w:tabs>
          <w:tab w:val="num" w:pos="1440"/>
        </w:tabs>
        <w:ind w:left="1440" w:hanging="14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E60361F"/>
    <w:multiLevelType w:val="hybridMultilevel"/>
    <w:tmpl w:val="DF28AE3E"/>
    <w:lvl w:ilvl="0" w:tplc="239695B4">
      <w:start w:val="1"/>
      <w:numFmt w:val="bullet"/>
      <w:lvlText w:val=""/>
      <w:lvlJc w:val="left"/>
      <w:pPr>
        <w:ind w:left="720" w:hanging="360"/>
      </w:pPr>
      <w:rPr>
        <w:rFonts w:ascii="Symbol" w:hAnsi="Symbol" w:hint="default"/>
      </w:rPr>
    </w:lvl>
    <w:lvl w:ilvl="1" w:tplc="A6523FA2">
      <w:start w:val="1"/>
      <w:numFmt w:val="bullet"/>
      <w:lvlText w:val="o"/>
      <w:lvlJc w:val="left"/>
      <w:pPr>
        <w:ind w:left="1440" w:hanging="360"/>
      </w:pPr>
      <w:rPr>
        <w:rFonts w:ascii="Courier New" w:hAnsi="Courier New" w:cs="Times New Roman" w:hint="default"/>
      </w:rPr>
    </w:lvl>
    <w:lvl w:ilvl="2" w:tplc="AE2A2790">
      <w:start w:val="1"/>
      <w:numFmt w:val="bullet"/>
      <w:lvlText w:val=""/>
      <w:lvlJc w:val="left"/>
      <w:pPr>
        <w:ind w:left="2160" w:hanging="360"/>
      </w:pPr>
      <w:rPr>
        <w:rFonts w:ascii="Wingdings" w:hAnsi="Wingdings" w:hint="default"/>
      </w:rPr>
    </w:lvl>
    <w:lvl w:ilvl="3" w:tplc="27403B40">
      <w:start w:val="1"/>
      <w:numFmt w:val="bullet"/>
      <w:lvlText w:val=""/>
      <w:lvlJc w:val="left"/>
      <w:pPr>
        <w:ind w:left="2880" w:hanging="360"/>
      </w:pPr>
      <w:rPr>
        <w:rFonts w:ascii="Symbol" w:hAnsi="Symbol" w:hint="default"/>
      </w:rPr>
    </w:lvl>
    <w:lvl w:ilvl="4" w:tplc="4E4AC0A0">
      <w:start w:val="1"/>
      <w:numFmt w:val="bullet"/>
      <w:lvlText w:val="o"/>
      <w:lvlJc w:val="left"/>
      <w:pPr>
        <w:ind w:left="3600" w:hanging="360"/>
      </w:pPr>
      <w:rPr>
        <w:rFonts w:ascii="Courier New" w:hAnsi="Courier New" w:cs="Times New Roman" w:hint="default"/>
      </w:rPr>
    </w:lvl>
    <w:lvl w:ilvl="5" w:tplc="419A324E">
      <w:start w:val="1"/>
      <w:numFmt w:val="bullet"/>
      <w:lvlText w:val=""/>
      <w:lvlJc w:val="left"/>
      <w:pPr>
        <w:ind w:left="4320" w:hanging="360"/>
      </w:pPr>
      <w:rPr>
        <w:rFonts w:ascii="Wingdings" w:hAnsi="Wingdings" w:hint="default"/>
      </w:rPr>
    </w:lvl>
    <w:lvl w:ilvl="6" w:tplc="4656E830">
      <w:start w:val="1"/>
      <w:numFmt w:val="bullet"/>
      <w:lvlText w:val=""/>
      <w:lvlJc w:val="left"/>
      <w:pPr>
        <w:ind w:left="5040" w:hanging="360"/>
      </w:pPr>
      <w:rPr>
        <w:rFonts w:ascii="Symbol" w:hAnsi="Symbol" w:hint="default"/>
      </w:rPr>
    </w:lvl>
    <w:lvl w:ilvl="7" w:tplc="12B2BECA">
      <w:start w:val="1"/>
      <w:numFmt w:val="bullet"/>
      <w:lvlText w:val="o"/>
      <w:lvlJc w:val="left"/>
      <w:pPr>
        <w:ind w:left="5760" w:hanging="360"/>
      </w:pPr>
      <w:rPr>
        <w:rFonts w:ascii="Courier New" w:hAnsi="Courier New" w:cs="Times New Roman" w:hint="default"/>
      </w:rPr>
    </w:lvl>
    <w:lvl w:ilvl="8" w:tplc="02C8FA5A">
      <w:start w:val="1"/>
      <w:numFmt w:val="bullet"/>
      <w:lvlText w:val=""/>
      <w:lvlJc w:val="left"/>
      <w:pPr>
        <w:ind w:left="6480" w:hanging="360"/>
      </w:pPr>
      <w:rPr>
        <w:rFonts w:ascii="Wingdings" w:hAnsi="Wingdings" w:hint="default"/>
      </w:rPr>
    </w:lvl>
  </w:abstractNum>
  <w:abstractNum w:abstractNumId="26" w15:restartNumberingAfterBreak="0">
    <w:nsid w:val="420D3041"/>
    <w:multiLevelType w:val="hybridMultilevel"/>
    <w:tmpl w:val="D00CEF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B64731"/>
    <w:multiLevelType w:val="hybridMultilevel"/>
    <w:tmpl w:val="E1C86960"/>
    <w:lvl w:ilvl="0" w:tplc="038A179E">
      <w:start w:val="1"/>
      <w:numFmt w:val="bullet"/>
      <w:pStyle w:val="ListDash2"/>
      <w:lvlText w:val="–"/>
      <w:lvlJc w:val="left"/>
      <w:pPr>
        <w:tabs>
          <w:tab w:val="num" w:pos="1723"/>
        </w:tabs>
        <w:ind w:left="1723" w:hanging="283"/>
      </w:pPr>
      <w:rPr>
        <w:rFonts w:ascii="Times New Roman" w:hAnsi="Times New Roman"/>
      </w:rPr>
    </w:lvl>
    <w:lvl w:ilvl="1" w:tplc="7C264ED0">
      <w:numFmt w:val="decimal"/>
      <w:lvlText w:val=""/>
      <w:lvlJc w:val="left"/>
    </w:lvl>
    <w:lvl w:ilvl="2" w:tplc="00D2EBD8">
      <w:numFmt w:val="decimal"/>
      <w:lvlText w:val=""/>
      <w:lvlJc w:val="left"/>
    </w:lvl>
    <w:lvl w:ilvl="3" w:tplc="676E3FC4">
      <w:numFmt w:val="decimal"/>
      <w:lvlText w:val=""/>
      <w:lvlJc w:val="left"/>
    </w:lvl>
    <w:lvl w:ilvl="4" w:tplc="A87C3F26">
      <w:numFmt w:val="decimal"/>
      <w:lvlText w:val=""/>
      <w:lvlJc w:val="left"/>
    </w:lvl>
    <w:lvl w:ilvl="5" w:tplc="E5627EE0">
      <w:numFmt w:val="decimal"/>
      <w:lvlText w:val=""/>
      <w:lvlJc w:val="left"/>
    </w:lvl>
    <w:lvl w:ilvl="6" w:tplc="D9E606CA">
      <w:numFmt w:val="decimal"/>
      <w:lvlText w:val=""/>
      <w:lvlJc w:val="left"/>
    </w:lvl>
    <w:lvl w:ilvl="7" w:tplc="DF82021A">
      <w:numFmt w:val="decimal"/>
      <w:lvlText w:val=""/>
      <w:lvlJc w:val="left"/>
    </w:lvl>
    <w:lvl w:ilvl="8" w:tplc="DDA6C10A">
      <w:numFmt w:val="decimal"/>
      <w:lvlText w:val=""/>
      <w:lvlJc w:val="left"/>
    </w:lvl>
  </w:abstractNum>
  <w:abstractNum w:abstractNumId="28" w15:restartNumberingAfterBreak="0">
    <w:nsid w:val="491C066E"/>
    <w:multiLevelType w:val="hybridMultilevel"/>
    <w:tmpl w:val="D5A26558"/>
    <w:lvl w:ilvl="0" w:tplc="8D7666F0">
      <w:start w:val="1"/>
      <w:numFmt w:val="lowerLetter"/>
      <w:lvlText w:val="%1)"/>
      <w:lvlJc w:val="left"/>
      <w:pPr>
        <w:ind w:left="720" w:hanging="360"/>
      </w:pPr>
      <w:rPr>
        <w:rFonts w:ascii="Verdana" w:hAnsi="Verdana" w:hint="default"/>
        <w:b w:val="0"/>
        <w:i w:val="0"/>
        <w:sz w:val="20"/>
        <w:szCs w:val="22"/>
        <w:u w:val="none"/>
      </w:rPr>
    </w:lvl>
    <w:lvl w:ilvl="1" w:tplc="8D7666F0">
      <w:start w:val="1"/>
      <w:numFmt w:val="lowerLetter"/>
      <w:lvlText w:val="%2)"/>
      <w:lvlJc w:val="left"/>
      <w:pPr>
        <w:ind w:left="1440" w:hanging="360"/>
      </w:pPr>
      <w:rPr>
        <w:rFonts w:ascii="Verdana" w:hAnsi="Verdana" w:hint="default"/>
        <w:b w:val="0"/>
        <w:i w:val="0"/>
        <w:sz w:val="20"/>
        <w:szCs w:val="22"/>
        <w:u w:val="none"/>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9" w15:restartNumberingAfterBreak="0">
    <w:nsid w:val="4C801BB6"/>
    <w:multiLevelType w:val="hybridMultilevel"/>
    <w:tmpl w:val="8F32D7DE"/>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24C6155C">
      <w:start w:val="1"/>
      <w:numFmt w:val="bullet"/>
      <w:lvlText w:val=""/>
      <w:lvlJc w:val="left"/>
      <w:pPr>
        <w:ind w:left="1800" w:hanging="360"/>
      </w:pPr>
      <w:rPr>
        <w:rFonts w:ascii="Symbol" w:hAnsi="Symbol"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DD22A24"/>
    <w:multiLevelType w:val="hybridMultilevel"/>
    <w:tmpl w:val="67A0E23E"/>
    <w:lvl w:ilvl="0" w:tplc="BE50AD9E">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1" w15:restartNumberingAfterBreak="0">
    <w:nsid w:val="500A42E9"/>
    <w:multiLevelType w:val="hybridMultilevel"/>
    <w:tmpl w:val="3BCC837E"/>
    <w:lvl w:ilvl="0" w:tplc="BE50AD9E">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6041FE"/>
    <w:multiLevelType w:val="hybridMultilevel"/>
    <w:tmpl w:val="F96417D2"/>
    <w:lvl w:ilvl="0" w:tplc="69B23806">
      <w:start w:val="1"/>
      <w:numFmt w:val="bullet"/>
      <w:lvlText w:val=""/>
      <w:lvlJc w:val="left"/>
      <w:pPr>
        <w:ind w:left="720" w:hanging="360"/>
      </w:pPr>
      <w:rPr>
        <w:rFonts w:ascii="Symbol" w:hAnsi="Symbol" w:hint="default"/>
        <w:color w:val="auto"/>
      </w:rPr>
    </w:lvl>
    <w:lvl w:ilvl="1" w:tplc="8DA6C392">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B45DE7"/>
    <w:multiLevelType w:val="hybridMultilevel"/>
    <w:tmpl w:val="53C4DB58"/>
    <w:lvl w:ilvl="0" w:tplc="EE3C0108">
      <w:start w:val="1"/>
      <w:numFmt w:val="decimal"/>
      <w:pStyle w:val="ListNumber4"/>
      <w:lvlText w:val="(%1)"/>
      <w:lvlJc w:val="left"/>
      <w:pPr>
        <w:tabs>
          <w:tab w:val="num" w:pos="2149"/>
        </w:tabs>
        <w:ind w:left="2149" w:hanging="709"/>
      </w:pPr>
    </w:lvl>
    <w:lvl w:ilvl="1" w:tplc="D8749A26">
      <w:start w:val="1"/>
      <w:numFmt w:val="lowerLetter"/>
      <w:pStyle w:val="ListNumber4Level2"/>
      <w:lvlText w:val="(%2)"/>
      <w:lvlJc w:val="left"/>
      <w:pPr>
        <w:tabs>
          <w:tab w:val="num" w:pos="2857"/>
        </w:tabs>
        <w:ind w:left="2857" w:hanging="708"/>
      </w:pPr>
    </w:lvl>
    <w:lvl w:ilvl="2" w:tplc="21AE8B46">
      <w:start w:val="1"/>
      <w:numFmt w:val="bullet"/>
      <w:pStyle w:val="ListNumber4Level3"/>
      <w:lvlText w:val="–"/>
      <w:lvlJc w:val="left"/>
      <w:pPr>
        <w:tabs>
          <w:tab w:val="num" w:pos="3566"/>
        </w:tabs>
        <w:ind w:left="3566" w:hanging="709"/>
      </w:pPr>
      <w:rPr>
        <w:rFonts w:ascii="Times New Roman" w:hAnsi="Times New Roman" w:hint="default"/>
      </w:rPr>
    </w:lvl>
    <w:lvl w:ilvl="3" w:tplc="99840AC4">
      <w:start w:val="1"/>
      <w:numFmt w:val="bullet"/>
      <w:pStyle w:val="ListNumber4Level4"/>
      <w:lvlText w:val=""/>
      <w:lvlJc w:val="left"/>
      <w:pPr>
        <w:tabs>
          <w:tab w:val="num" w:pos="4275"/>
        </w:tabs>
        <w:ind w:left="4275" w:hanging="709"/>
      </w:pPr>
      <w:rPr>
        <w:rFonts w:ascii="Symbol" w:hAnsi="Symbol" w:hint="default"/>
      </w:rPr>
    </w:lvl>
    <w:lvl w:ilvl="4" w:tplc="654EBFD8">
      <w:start w:val="1"/>
      <w:numFmt w:val="lowerLetter"/>
      <w:lvlText w:val="(%5)"/>
      <w:lvlJc w:val="left"/>
      <w:pPr>
        <w:tabs>
          <w:tab w:val="num" w:pos="1800"/>
        </w:tabs>
        <w:ind w:left="1800" w:hanging="360"/>
      </w:pPr>
    </w:lvl>
    <w:lvl w:ilvl="5" w:tplc="6DF8574A">
      <w:start w:val="1"/>
      <w:numFmt w:val="lowerRoman"/>
      <w:lvlText w:val="(%6)"/>
      <w:lvlJc w:val="left"/>
      <w:pPr>
        <w:tabs>
          <w:tab w:val="num" w:pos="2160"/>
        </w:tabs>
        <w:ind w:left="2160" w:hanging="360"/>
      </w:pPr>
    </w:lvl>
    <w:lvl w:ilvl="6" w:tplc="4ABA14C0">
      <w:start w:val="1"/>
      <w:numFmt w:val="decimal"/>
      <w:lvlText w:val="%7."/>
      <w:lvlJc w:val="left"/>
      <w:pPr>
        <w:tabs>
          <w:tab w:val="num" w:pos="2520"/>
        </w:tabs>
        <w:ind w:left="2520" w:hanging="360"/>
      </w:pPr>
    </w:lvl>
    <w:lvl w:ilvl="7" w:tplc="47D2BEBC">
      <w:start w:val="1"/>
      <w:numFmt w:val="lowerLetter"/>
      <w:lvlText w:val="%8."/>
      <w:lvlJc w:val="left"/>
      <w:pPr>
        <w:tabs>
          <w:tab w:val="num" w:pos="2880"/>
        </w:tabs>
        <w:ind w:left="2880" w:hanging="360"/>
      </w:pPr>
    </w:lvl>
    <w:lvl w:ilvl="8" w:tplc="CB2E1996">
      <w:start w:val="1"/>
      <w:numFmt w:val="lowerRoman"/>
      <w:lvlText w:val="%9."/>
      <w:lvlJc w:val="left"/>
      <w:pPr>
        <w:tabs>
          <w:tab w:val="num" w:pos="3240"/>
        </w:tabs>
        <w:ind w:left="3240" w:hanging="360"/>
      </w:pPr>
    </w:lvl>
  </w:abstractNum>
  <w:abstractNum w:abstractNumId="34" w15:restartNumberingAfterBreak="0">
    <w:nsid w:val="52106FC3"/>
    <w:multiLevelType w:val="hybridMultilevel"/>
    <w:tmpl w:val="A5BA5E8C"/>
    <w:lvl w:ilvl="0" w:tplc="E72635F0">
      <w:start w:val="1"/>
      <w:numFmt w:val="bullet"/>
      <w:pStyle w:val="ListBullet1"/>
      <w:lvlText w:val=""/>
      <w:lvlJc w:val="left"/>
      <w:pPr>
        <w:tabs>
          <w:tab w:val="num" w:pos="1723"/>
        </w:tabs>
        <w:ind w:left="1723" w:hanging="283"/>
      </w:pPr>
      <w:rPr>
        <w:rFonts w:ascii="Symbol" w:hAnsi="Symbol"/>
      </w:rPr>
    </w:lvl>
    <w:lvl w:ilvl="1" w:tplc="A2A40ACA">
      <w:numFmt w:val="decimal"/>
      <w:lvlText w:val=""/>
      <w:lvlJc w:val="left"/>
    </w:lvl>
    <w:lvl w:ilvl="2" w:tplc="626E7278">
      <w:numFmt w:val="decimal"/>
      <w:lvlText w:val=""/>
      <w:lvlJc w:val="left"/>
    </w:lvl>
    <w:lvl w:ilvl="3" w:tplc="EF52CEAC">
      <w:numFmt w:val="decimal"/>
      <w:lvlText w:val=""/>
      <w:lvlJc w:val="left"/>
    </w:lvl>
    <w:lvl w:ilvl="4" w:tplc="5AB65512">
      <w:numFmt w:val="decimal"/>
      <w:lvlText w:val=""/>
      <w:lvlJc w:val="left"/>
    </w:lvl>
    <w:lvl w:ilvl="5" w:tplc="EFB80F84">
      <w:numFmt w:val="decimal"/>
      <w:lvlText w:val=""/>
      <w:lvlJc w:val="left"/>
    </w:lvl>
    <w:lvl w:ilvl="6" w:tplc="AB7EABD2">
      <w:numFmt w:val="decimal"/>
      <w:lvlText w:val=""/>
      <w:lvlJc w:val="left"/>
    </w:lvl>
    <w:lvl w:ilvl="7" w:tplc="434E9688">
      <w:numFmt w:val="decimal"/>
      <w:lvlText w:val=""/>
      <w:lvlJc w:val="left"/>
    </w:lvl>
    <w:lvl w:ilvl="8" w:tplc="5B6A80F4">
      <w:numFmt w:val="decimal"/>
      <w:lvlText w:val=""/>
      <w:lvlJc w:val="left"/>
    </w:lvl>
  </w:abstractNum>
  <w:abstractNum w:abstractNumId="35" w15:restartNumberingAfterBreak="0">
    <w:nsid w:val="526B09AB"/>
    <w:multiLevelType w:val="hybridMultilevel"/>
    <w:tmpl w:val="463012AC"/>
    <w:lvl w:ilvl="0" w:tplc="24C6155C">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6" w15:restartNumberingAfterBreak="0">
    <w:nsid w:val="532C7B77"/>
    <w:multiLevelType w:val="hybridMultilevel"/>
    <w:tmpl w:val="632852C2"/>
    <w:lvl w:ilvl="0" w:tplc="BE50AD9E">
      <w:start w:val="1"/>
      <w:numFmt w:val="bullet"/>
      <w:lvlText w:val=""/>
      <w:lvlJc w:val="left"/>
      <w:pPr>
        <w:ind w:left="786" w:hanging="360"/>
      </w:pPr>
      <w:rPr>
        <w:rFonts w:ascii="Symbol" w:hAnsi="Symbol" w:hint="default"/>
        <w:strike w:val="0"/>
        <w:dstrike w:val="0"/>
        <w:color w:val="auto"/>
        <w:sz w:val="24"/>
        <w:u w:val="none"/>
        <w:effect w:val="none"/>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5CE46C29"/>
    <w:multiLevelType w:val="hybridMultilevel"/>
    <w:tmpl w:val="1A929C5E"/>
    <w:lvl w:ilvl="0" w:tplc="C86EA79A">
      <w:start w:val="1"/>
      <w:numFmt w:val="bullet"/>
      <w:pStyle w:val="ListBullet2"/>
      <w:lvlText w:val=""/>
      <w:lvlJc w:val="left"/>
      <w:pPr>
        <w:tabs>
          <w:tab w:val="num" w:pos="1723"/>
        </w:tabs>
        <w:ind w:left="1723" w:hanging="283"/>
      </w:pPr>
      <w:rPr>
        <w:rFonts w:ascii="Symbol" w:hAnsi="Symbol"/>
      </w:rPr>
    </w:lvl>
    <w:lvl w:ilvl="1" w:tplc="3F225D00">
      <w:numFmt w:val="decimal"/>
      <w:lvlText w:val=""/>
      <w:lvlJc w:val="left"/>
    </w:lvl>
    <w:lvl w:ilvl="2" w:tplc="6080728C">
      <w:numFmt w:val="decimal"/>
      <w:lvlText w:val=""/>
      <w:lvlJc w:val="left"/>
    </w:lvl>
    <w:lvl w:ilvl="3" w:tplc="C8A63B92">
      <w:numFmt w:val="decimal"/>
      <w:lvlText w:val=""/>
      <w:lvlJc w:val="left"/>
    </w:lvl>
    <w:lvl w:ilvl="4" w:tplc="CD3870E0">
      <w:numFmt w:val="decimal"/>
      <w:lvlText w:val=""/>
      <w:lvlJc w:val="left"/>
    </w:lvl>
    <w:lvl w:ilvl="5" w:tplc="BCF45F38">
      <w:numFmt w:val="decimal"/>
      <w:lvlText w:val=""/>
      <w:lvlJc w:val="left"/>
    </w:lvl>
    <w:lvl w:ilvl="6" w:tplc="5FE2F52E">
      <w:numFmt w:val="decimal"/>
      <w:lvlText w:val=""/>
      <w:lvlJc w:val="left"/>
    </w:lvl>
    <w:lvl w:ilvl="7" w:tplc="993402E2">
      <w:numFmt w:val="decimal"/>
      <w:lvlText w:val=""/>
      <w:lvlJc w:val="left"/>
    </w:lvl>
    <w:lvl w:ilvl="8" w:tplc="030A0664">
      <w:numFmt w:val="decimal"/>
      <w:lvlText w:val=""/>
      <w:lvlJc w:val="left"/>
    </w:lvl>
  </w:abstractNum>
  <w:abstractNum w:abstractNumId="38" w15:restartNumberingAfterBreak="0">
    <w:nsid w:val="628C6C8B"/>
    <w:multiLevelType w:val="hybridMultilevel"/>
    <w:tmpl w:val="D9A29BEA"/>
    <w:lvl w:ilvl="0" w:tplc="0A1E9640">
      <w:start w:val="1"/>
      <w:numFmt w:val="bullet"/>
      <w:pStyle w:val="ListDash"/>
      <w:lvlText w:val="–"/>
      <w:lvlJc w:val="left"/>
      <w:pPr>
        <w:tabs>
          <w:tab w:val="num" w:pos="283"/>
        </w:tabs>
        <w:ind w:left="283" w:hanging="283"/>
      </w:pPr>
      <w:rPr>
        <w:rFonts w:ascii="Times New Roman" w:hAnsi="Times New Roman"/>
      </w:rPr>
    </w:lvl>
    <w:lvl w:ilvl="1" w:tplc="C202729E">
      <w:numFmt w:val="decimal"/>
      <w:lvlText w:val=""/>
      <w:lvlJc w:val="left"/>
    </w:lvl>
    <w:lvl w:ilvl="2" w:tplc="BA8642BA">
      <w:numFmt w:val="decimal"/>
      <w:lvlText w:val=""/>
      <w:lvlJc w:val="left"/>
    </w:lvl>
    <w:lvl w:ilvl="3" w:tplc="43D48606">
      <w:numFmt w:val="decimal"/>
      <w:lvlText w:val=""/>
      <w:lvlJc w:val="left"/>
    </w:lvl>
    <w:lvl w:ilvl="4" w:tplc="1CC893D6">
      <w:numFmt w:val="decimal"/>
      <w:lvlText w:val=""/>
      <w:lvlJc w:val="left"/>
    </w:lvl>
    <w:lvl w:ilvl="5" w:tplc="F7341166">
      <w:numFmt w:val="decimal"/>
      <w:lvlText w:val=""/>
      <w:lvlJc w:val="left"/>
    </w:lvl>
    <w:lvl w:ilvl="6" w:tplc="CAAE128C">
      <w:numFmt w:val="decimal"/>
      <w:lvlText w:val=""/>
      <w:lvlJc w:val="left"/>
    </w:lvl>
    <w:lvl w:ilvl="7" w:tplc="D408AFE0">
      <w:numFmt w:val="decimal"/>
      <w:lvlText w:val=""/>
      <w:lvlJc w:val="left"/>
    </w:lvl>
    <w:lvl w:ilvl="8" w:tplc="D842D462">
      <w:numFmt w:val="decimal"/>
      <w:lvlText w:val=""/>
      <w:lvlJc w:val="left"/>
    </w:lvl>
  </w:abstractNum>
  <w:abstractNum w:abstractNumId="39" w15:restartNumberingAfterBreak="0">
    <w:nsid w:val="630D466A"/>
    <w:multiLevelType w:val="hybridMultilevel"/>
    <w:tmpl w:val="938CC7DE"/>
    <w:lvl w:ilvl="0" w:tplc="0AD28318">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0" w15:restartNumberingAfterBreak="0">
    <w:nsid w:val="66CD13BD"/>
    <w:multiLevelType w:val="hybridMultilevel"/>
    <w:tmpl w:val="79B82EE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1" w15:restartNumberingAfterBreak="0">
    <w:nsid w:val="699543D1"/>
    <w:multiLevelType w:val="hybridMultilevel"/>
    <w:tmpl w:val="D5A60282"/>
    <w:lvl w:ilvl="0" w:tplc="B55E7CD0">
      <w:start w:val="1"/>
      <w:numFmt w:val="bullet"/>
      <w:pStyle w:val="ListDash1"/>
      <w:lvlText w:val="–"/>
      <w:lvlJc w:val="left"/>
      <w:pPr>
        <w:tabs>
          <w:tab w:val="num" w:pos="1723"/>
        </w:tabs>
        <w:ind w:left="1723" w:hanging="283"/>
      </w:pPr>
      <w:rPr>
        <w:rFonts w:ascii="Times New Roman" w:hAnsi="Times New Roman"/>
      </w:rPr>
    </w:lvl>
    <w:lvl w:ilvl="1" w:tplc="9976E3C8">
      <w:numFmt w:val="decimal"/>
      <w:lvlText w:val=""/>
      <w:lvlJc w:val="left"/>
    </w:lvl>
    <w:lvl w:ilvl="2" w:tplc="ECECE028">
      <w:numFmt w:val="decimal"/>
      <w:lvlText w:val=""/>
      <w:lvlJc w:val="left"/>
    </w:lvl>
    <w:lvl w:ilvl="3" w:tplc="13343134">
      <w:numFmt w:val="decimal"/>
      <w:lvlText w:val=""/>
      <w:lvlJc w:val="left"/>
    </w:lvl>
    <w:lvl w:ilvl="4" w:tplc="239C91A4">
      <w:numFmt w:val="decimal"/>
      <w:lvlText w:val=""/>
      <w:lvlJc w:val="left"/>
    </w:lvl>
    <w:lvl w:ilvl="5" w:tplc="C59210FE">
      <w:numFmt w:val="decimal"/>
      <w:lvlText w:val=""/>
      <w:lvlJc w:val="left"/>
    </w:lvl>
    <w:lvl w:ilvl="6" w:tplc="65447814">
      <w:numFmt w:val="decimal"/>
      <w:lvlText w:val=""/>
      <w:lvlJc w:val="left"/>
    </w:lvl>
    <w:lvl w:ilvl="7" w:tplc="17E4CECE">
      <w:numFmt w:val="decimal"/>
      <w:lvlText w:val=""/>
      <w:lvlJc w:val="left"/>
    </w:lvl>
    <w:lvl w:ilvl="8" w:tplc="4E324D6A">
      <w:numFmt w:val="decimal"/>
      <w:lvlText w:val=""/>
      <w:lvlJc w:val="left"/>
    </w:lvl>
  </w:abstractNum>
  <w:abstractNum w:abstractNumId="42" w15:restartNumberingAfterBreak="0">
    <w:nsid w:val="69CC7ACA"/>
    <w:multiLevelType w:val="hybridMultilevel"/>
    <w:tmpl w:val="C5749B60"/>
    <w:lvl w:ilvl="0" w:tplc="BE50AD9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A7E3CD3"/>
    <w:multiLevelType w:val="hybridMultilevel"/>
    <w:tmpl w:val="598221D0"/>
    <w:lvl w:ilvl="0" w:tplc="080C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D5A5E87"/>
    <w:multiLevelType w:val="hybridMultilevel"/>
    <w:tmpl w:val="3A58C910"/>
    <w:lvl w:ilvl="0" w:tplc="3CDE6F60">
      <w:start w:val="1"/>
      <w:numFmt w:val="decimal"/>
      <w:pStyle w:val="ListNumber3"/>
      <w:lvlText w:val="(%1)"/>
      <w:lvlJc w:val="left"/>
      <w:pPr>
        <w:tabs>
          <w:tab w:val="num" w:pos="2149"/>
        </w:tabs>
        <w:ind w:left="2149" w:hanging="709"/>
      </w:pPr>
    </w:lvl>
    <w:lvl w:ilvl="1" w:tplc="4724B3C4">
      <w:start w:val="1"/>
      <w:numFmt w:val="lowerLetter"/>
      <w:pStyle w:val="ListNumber3Level2"/>
      <w:lvlText w:val="(%2)"/>
      <w:lvlJc w:val="left"/>
      <w:pPr>
        <w:tabs>
          <w:tab w:val="num" w:pos="2857"/>
        </w:tabs>
        <w:ind w:left="2857" w:hanging="708"/>
      </w:pPr>
    </w:lvl>
    <w:lvl w:ilvl="2" w:tplc="E75672D8">
      <w:start w:val="1"/>
      <w:numFmt w:val="bullet"/>
      <w:pStyle w:val="ListNumber3Level3"/>
      <w:lvlText w:val="–"/>
      <w:lvlJc w:val="left"/>
      <w:pPr>
        <w:tabs>
          <w:tab w:val="num" w:pos="3566"/>
        </w:tabs>
        <w:ind w:left="3566" w:hanging="709"/>
      </w:pPr>
      <w:rPr>
        <w:rFonts w:ascii="Times New Roman" w:hAnsi="Times New Roman" w:hint="default"/>
      </w:rPr>
    </w:lvl>
    <w:lvl w:ilvl="3" w:tplc="582C2598">
      <w:start w:val="1"/>
      <w:numFmt w:val="bullet"/>
      <w:pStyle w:val="ListNumber3Level4"/>
      <w:lvlText w:val=""/>
      <w:lvlJc w:val="left"/>
      <w:pPr>
        <w:tabs>
          <w:tab w:val="num" w:pos="4275"/>
        </w:tabs>
        <w:ind w:left="4275" w:hanging="709"/>
      </w:pPr>
      <w:rPr>
        <w:rFonts w:ascii="Symbol" w:hAnsi="Symbol" w:hint="default"/>
      </w:rPr>
    </w:lvl>
    <w:lvl w:ilvl="4" w:tplc="BCE06DD8">
      <w:start w:val="1"/>
      <w:numFmt w:val="lowerLetter"/>
      <w:lvlText w:val="(%5)"/>
      <w:lvlJc w:val="left"/>
      <w:pPr>
        <w:tabs>
          <w:tab w:val="num" w:pos="1800"/>
        </w:tabs>
        <w:ind w:left="1800" w:hanging="360"/>
      </w:pPr>
    </w:lvl>
    <w:lvl w:ilvl="5" w:tplc="4FDE5DF6">
      <w:start w:val="1"/>
      <w:numFmt w:val="lowerRoman"/>
      <w:lvlText w:val="(%6)"/>
      <w:lvlJc w:val="left"/>
      <w:pPr>
        <w:tabs>
          <w:tab w:val="num" w:pos="2160"/>
        </w:tabs>
        <w:ind w:left="2160" w:hanging="360"/>
      </w:pPr>
    </w:lvl>
    <w:lvl w:ilvl="6" w:tplc="22301246">
      <w:start w:val="1"/>
      <w:numFmt w:val="decimal"/>
      <w:lvlText w:val="%7."/>
      <w:lvlJc w:val="left"/>
      <w:pPr>
        <w:tabs>
          <w:tab w:val="num" w:pos="2520"/>
        </w:tabs>
        <w:ind w:left="2520" w:hanging="360"/>
      </w:pPr>
    </w:lvl>
    <w:lvl w:ilvl="7" w:tplc="51D24918">
      <w:start w:val="1"/>
      <w:numFmt w:val="lowerLetter"/>
      <w:lvlText w:val="%8."/>
      <w:lvlJc w:val="left"/>
      <w:pPr>
        <w:tabs>
          <w:tab w:val="num" w:pos="2880"/>
        </w:tabs>
        <w:ind w:left="2880" w:hanging="360"/>
      </w:pPr>
    </w:lvl>
    <w:lvl w:ilvl="8" w:tplc="ADF2AA4C">
      <w:start w:val="1"/>
      <w:numFmt w:val="lowerRoman"/>
      <w:lvlText w:val="%9."/>
      <w:lvlJc w:val="left"/>
      <w:pPr>
        <w:tabs>
          <w:tab w:val="num" w:pos="3240"/>
        </w:tabs>
        <w:ind w:left="3240" w:hanging="360"/>
      </w:pPr>
    </w:lvl>
  </w:abstractNum>
  <w:abstractNum w:abstractNumId="45" w15:restartNumberingAfterBreak="0">
    <w:nsid w:val="6F1A03D0"/>
    <w:multiLevelType w:val="hybridMultilevel"/>
    <w:tmpl w:val="3AB00464"/>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22A0FA3"/>
    <w:multiLevelType w:val="hybridMultilevel"/>
    <w:tmpl w:val="1D8E4896"/>
    <w:lvl w:ilvl="0" w:tplc="8DBE542A">
      <w:start w:val="1"/>
      <w:numFmt w:val="bullet"/>
      <w:lvlText w:val="o"/>
      <w:lvlJc w:val="left"/>
      <w:rPr>
        <w:rFonts w:ascii="Courier New" w:hAnsi="Courier New" w:cs="Courier New" w:hint="default"/>
        <w:b w:val="0"/>
        <w:bCs w:val="0"/>
        <w:i w:val="0"/>
        <w:iCs w:val="0"/>
        <w:smallCaps w:val="0"/>
        <w:strike w:val="0"/>
        <w:color w:val="595959"/>
        <w:spacing w:val="0"/>
        <w:w w:val="100"/>
        <w:position w:val="0"/>
        <w:sz w:val="22"/>
        <w:szCs w:val="22"/>
        <w:u w:val="none"/>
        <w:lang w:val="en-US" w:eastAsia="en-US" w:bidi="en-US"/>
      </w:rPr>
    </w:lvl>
    <w:lvl w:ilvl="1" w:tplc="60227D96">
      <w:numFmt w:val="decimal"/>
      <w:lvlText w:val=""/>
      <w:lvlJc w:val="left"/>
    </w:lvl>
    <w:lvl w:ilvl="2" w:tplc="828C9C76">
      <w:numFmt w:val="decimal"/>
      <w:lvlText w:val=""/>
      <w:lvlJc w:val="left"/>
    </w:lvl>
    <w:lvl w:ilvl="3" w:tplc="E598A570">
      <w:numFmt w:val="decimal"/>
      <w:lvlText w:val=""/>
      <w:lvlJc w:val="left"/>
    </w:lvl>
    <w:lvl w:ilvl="4" w:tplc="5596BD84">
      <w:numFmt w:val="decimal"/>
      <w:lvlText w:val=""/>
      <w:lvlJc w:val="left"/>
    </w:lvl>
    <w:lvl w:ilvl="5" w:tplc="EC8AF6D8">
      <w:numFmt w:val="decimal"/>
      <w:lvlText w:val=""/>
      <w:lvlJc w:val="left"/>
    </w:lvl>
    <w:lvl w:ilvl="6" w:tplc="5EE62D2C">
      <w:numFmt w:val="decimal"/>
      <w:lvlText w:val=""/>
      <w:lvlJc w:val="left"/>
    </w:lvl>
    <w:lvl w:ilvl="7" w:tplc="497C6DA8">
      <w:numFmt w:val="decimal"/>
      <w:lvlText w:val=""/>
      <w:lvlJc w:val="left"/>
    </w:lvl>
    <w:lvl w:ilvl="8" w:tplc="4A200BEE">
      <w:numFmt w:val="decimal"/>
      <w:lvlText w:val=""/>
      <w:lvlJc w:val="left"/>
    </w:lvl>
  </w:abstractNum>
  <w:abstractNum w:abstractNumId="47" w15:restartNumberingAfterBreak="0">
    <w:nsid w:val="732F1BDE"/>
    <w:multiLevelType w:val="hybridMultilevel"/>
    <w:tmpl w:val="E56E4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57E2C4B"/>
    <w:multiLevelType w:val="hybridMultilevel"/>
    <w:tmpl w:val="0E9023D8"/>
    <w:lvl w:ilvl="0" w:tplc="24C6155C">
      <w:start w:val="1"/>
      <w:numFmt w:val="bullet"/>
      <w:lvlText w:val=""/>
      <w:lvlJc w:val="left"/>
      <w:pPr>
        <w:ind w:left="720" w:hanging="360"/>
      </w:pPr>
      <w:rPr>
        <w:rFonts w:ascii="Symbol" w:hAnsi="Symbol" w:hint="default"/>
      </w:rPr>
    </w:lvl>
    <w:lvl w:ilvl="1" w:tplc="24C6155C">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63A5E4B"/>
    <w:multiLevelType w:val="hybridMultilevel"/>
    <w:tmpl w:val="9BF8F262"/>
    <w:lvl w:ilvl="0" w:tplc="08B6A2BE">
      <w:start w:val="1"/>
      <w:numFmt w:val="decimal"/>
      <w:pStyle w:val="ListNumber2"/>
      <w:lvlText w:val="(%1)"/>
      <w:lvlJc w:val="left"/>
      <w:pPr>
        <w:tabs>
          <w:tab w:val="num" w:pos="2149"/>
        </w:tabs>
        <w:ind w:left="2149" w:hanging="709"/>
      </w:pPr>
    </w:lvl>
    <w:lvl w:ilvl="1" w:tplc="02E20676">
      <w:start w:val="1"/>
      <w:numFmt w:val="lowerLetter"/>
      <w:pStyle w:val="ListNumber2Level2"/>
      <w:lvlText w:val="(%2)"/>
      <w:lvlJc w:val="left"/>
      <w:pPr>
        <w:tabs>
          <w:tab w:val="num" w:pos="2857"/>
        </w:tabs>
        <w:ind w:left="2857" w:hanging="708"/>
      </w:pPr>
    </w:lvl>
    <w:lvl w:ilvl="2" w:tplc="2CB0D676">
      <w:start w:val="1"/>
      <w:numFmt w:val="bullet"/>
      <w:pStyle w:val="ListNumber2Level3"/>
      <w:lvlText w:val="–"/>
      <w:lvlJc w:val="left"/>
      <w:pPr>
        <w:tabs>
          <w:tab w:val="num" w:pos="3566"/>
        </w:tabs>
        <w:ind w:left="3566" w:hanging="709"/>
      </w:pPr>
      <w:rPr>
        <w:rFonts w:ascii="Times New Roman" w:hAnsi="Times New Roman" w:hint="default"/>
      </w:rPr>
    </w:lvl>
    <w:lvl w:ilvl="3" w:tplc="1758E3A2">
      <w:start w:val="1"/>
      <w:numFmt w:val="bullet"/>
      <w:pStyle w:val="ListNumber2Level4"/>
      <w:lvlText w:val=""/>
      <w:lvlJc w:val="left"/>
      <w:pPr>
        <w:tabs>
          <w:tab w:val="num" w:pos="4275"/>
        </w:tabs>
        <w:ind w:left="4275" w:hanging="709"/>
      </w:pPr>
      <w:rPr>
        <w:rFonts w:ascii="Symbol" w:hAnsi="Symbol" w:hint="default"/>
      </w:rPr>
    </w:lvl>
    <w:lvl w:ilvl="4" w:tplc="3E86EE16">
      <w:start w:val="1"/>
      <w:numFmt w:val="lowerLetter"/>
      <w:lvlText w:val="(%5)"/>
      <w:lvlJc w:val="left"/>
      <w:pPr>
        <w:tabs>
          <w:tab w:val="num" w:pos="1800"/>
        </w:tabs>
        <w:ind w:left="1800" w:hanging="360"/>
      </w:pPr>
    </w:lvl>
    <w:lvl w:ilvl="5" w:tplc="54666906">
      <w:start w:val="1"/>
      <w:numFmt w:val="lowerRoman"/>
      <w:lvlText w:val="(%6)"/>
      <w:lvlJc w:val="left"/>
      <w:pPr>
        <w:tabs>
          <w:tab w:val="num" w:pos="2160"/>
        </w:tabs>
        <w:ind w:left="2160" w:hanging="360"/>
      </w:pPr>
    </w:lvl>
    <w:lvl w:ilvl="6" w:tplc="A5F098B0">
      <w:start w:val="1"/>
      <w:numFmt w:val="decimal"/>
      <w:lvlText w:val="%7."/>
      <w:lvlJc w:val="left"/>
      <w:pPr>
        <w:tabs>
          <w:tab w:val="num" w:pos="2520"/>
        </w:tabs>
        <w:ind w:left="2520" w:hanging="360"/>
      </w:pPr>
    </w:lvl>
    <w:lvl w:ilvl="7" w:tplc="2EC2265A">
      <w:start w:val="1"/>
      <w:numFmt w:val="lowerLetter"/>
      <w:lvlText w:val="%8."/>
      <w:lvlJc w:val="left"/>
      <w:pPr>
        <w:tabs>
          <w:tab w:val="num" w:pos="2880"/>
        </w:tabs>
        <w:ind w:left="2880" w:hanging="360"/>
      </w:pPr>
    </w:lvl>
    <w:lvl w:ilvl="8" w:tplc="BBF2C824">
      <w:start w:val="1"/>
      <w:numFmt w:val="lowerRoman"/>
      <w:lvlText w:val="%9."/>
      <w:lvlJc w:val="left"/>
      <w:pPr>
        <w:tabs>
          <w:tab w:val="num" w:pos="3240"/>
        </w:tabs>
        <w:ind w:left="3240" w:hanging="360"/>
      </w:pPr>
    </w:lvl>
  </w:abstractNum>
  <w:abstractNum w:abstractNumId="50" w15:restartNumberingAfterBreak="0">
    <w:nsid w:val="792B473D"/>
    <w:multiLevelType w:val="hybridMultilevel"/>
    <w:tmpl w:val="15E08760"/>
    <w:lvl w:ilvl="0" w:tplc="FFFFFFFF">
      <w:start w:val="1"/>
      <w:numFmt w:val="bullet"/>
      <w:lvlText w:val=""/>
      <w:lvlJc w:val="left"/>
      <w:pPr>
        <w:ind w:left="927" w:hanging="360"/>
      </w:pPr>
      <w:rPr>
        <w:rFonts w:ascii="Symbol" w:hAnsi="Symbol" w:hint="default"/>
      </w:rPr>
    </w:lvl>
    <w:lvl w:ilvl="1" w:tplc="BE50AD9E">
      <w:start w:val="1"/>
      <w:numFmt w:val="bullet"/>
      <w:lvlText w:val=""/>
      <w:lvlJc w:val="left"/>
      <w:pPr>
        <w:ind w:left="1647" w:hanging="360"/>
      </w:pPr>
      <w:rPr>
        <w:rFonts w:ascii="Symbol" w:hAnsi="Symbol"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1" w15:restartNumberingAfterBreak="0">
    <w:nsid w:val="7A8B752A"/>
    <w:multiLevelType w:val="hybridMultilevel"/>
    <w:tmpl w:val="5E1E11F0"/>
    <w:lvl w:ilvl="0" w:tplc="BE50AD9E">
      <w:start w:val="1"/>
      <w:numFmt w:val="bullet"/>
      <w:lvlText w:val=""/>
      <w:lvlJc w:val="left"/>
      <w:pPr>
        <w:ind w:left="6042" w:hanging="360"/>
      </w:pPr>
      <w:rPr>
        <w:rFonts w:ascii="Symbol" w:hAnsi="Symbol" w:hint="default"/>
        <w:b/>
        <w:strike w:val="0"/>
        <w:dstrike w:val="0"/>
        <w:color w:val="auto"/>
        <w:sz w:val="20"/>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52" w15:restartNumberingAfterBreak="0">
    <w:nsid w:val="7B6658A8"/>
    <w:multiLevelType w:val="hybridMultilevel"/>
    <w:tmpl w:val="B910093C"/>
    <w:lvl w:ilvl="0" w:tplc="BE50AD9E">
      <w:start w:val="1"/>
      <w:numFmt w:val="bullet"/>
      <w:lvlText w:val=""/>
      <w:lvlJc w:val="left"/>
      <w:pPr>
        <w:ind w:left="6042" w:hanging="360"/>
      </w:pPr>
      <w:rPr>
        <w:rFonts w:ascii="Symbol" w:hAnsi="Symbol" w:hint="default"/>
        <w:b/>
        <w:strike w:val="0"/>
        <w:dstrike w:val="0"/>
        <w:color w:val="auto"/>
        <w:sz w:val="20"/>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num w:numId="1">
    <w:abstractNumId w:val="1"/>
  </w:num>
  <w:num w:numId="2">
    <w:abstractNumId w:val="0"/>
  </w:num>
  <w:num w:numId="3">
    <w:abstractNumId w:val="24"/>
  </w:num>
  <w:num w:numId="4">
    <w:abstractNumId w:val="13"/>
  </w:num>
  <w:num w:numId="5">
    <w:abstractNumId w:val="34"/>
  </w:num>
  <w:num w:numId="6">
    <w:abstractNumId w:val="37"/>
  </w:num>
  <w:num w:numId="7">
    <w:abstractNumId w:val="20"/>
  </w:num>
  <w:num w:numId="8">
    <w:abstractNumId w:val="12"/>
  </w:num>
  <w:num w:numId="9">
    <w:abstractNumId w:val="38"/>
  </w:num>
  <w:num w:numId="10">
    <w:abstractNumId w:val="41"/>
  </w:num>
  <w:num w:numId="11">
    <w:abstractNumId w:val="27"/>
  </w:num>
  <w:num w:numId="12">
    <w:abstractNumId w:val="5"/>
  </w:num>
  <w:num w:numId="13">
    <w:abstractNumId w:val="7"/>
  </w:num>
  <w:num w:numId="14">
    <w:abstractNumId w:val="19"/>
  </w:num>
  <w:num w:numId="15">
    <w:abstractNumId w:val="14"/>
  </w:num>
  <w:num w:numId="16">
    <w:abstractNumId w:val="49"/>
  </w:num>
  <w:num w:numId="17">
    <w:abstractNumId w:val="44"/>
  </w:num>
  <w:num w:numId="18">
    <w:abstractNumId w:val="33"/>
  </w:num>
  <w:num w:numId="19">
    <w:abstractNumId w:val="45"/>
  </w:num>
  <w:num w:numId="20">
    <w:abstractNumId w:val="29"/>
  </w:num>
  <w:num w:numId="21">
    <w:abstractNumId w:val="15"/>
  </w:num>
  <w:num w:numId="22">
    <w:abstractNumId w:val="50"/>
  </w:num>
  <w:num w:numId="23">
    <w:abstractNumId w:val="26"/>
  </w:num>
  <w:num w:numId="24">
    <w:abstractNumId w:val="16"/>
  </w:num>
  <w:num w:numId="25">
    <w:abstractNumId w:val="10"/>
  </w:num>
  <w:num w:numId="26">
    <w:abstractNumId w:val="22"/>
  </w:num>
  <w:num w:numId="27">
    <w:abstractNumId w:val="46"/>
  </w:num>
  <w:num w:numId="28">
    <w:abstractNumId w:val="47"/>
  </w:num>
  <w:num w:numId="29">
    <w:abstractNumId w:val="31"/>
  </w:num>
  <w:num w:numId="30">
    <w:abstractNumId w:val="43"/>
  </w:num>
  <w:num w:numId="31">
    <w:abstractNumId w:val="30"/>
  </w:num>
  <w:num w:numId="32">
    <w:abstractNumId w:val="4"/>
  </w:num>
  <w:num w:numId="33">
    <w:abstractNumId w:val="23"/>
  </w:num>
  <w:num w:numId="34">
    <w:abstractNumId w:val="35"/>
  </w:num>
  <w:num w:numId="35">
    <w:abstractNumId w:val="21"/>
  </w:num>
  <w:num w:numId="36">
    <w:abstractNumId w:val="51"/>
  </w:num>
  <w:num w:numId="37">
    <w:abstractNumId w:val="52"/>
  </w:num>
  <w:num w:numId="38">
    <w:abstractNumId w:val="36"/>
  </w:num>
  <w:num w:numId="39">
    <w:abstractNumId w:val="8"/>
  </w:num>
  <w:num w:numId="40">
    <w:abstractNumId w:val="32"/>
  </w:num>
  <w:num w:numId="41">
    <w:abstractNumId w:val="18"/>
  </w:num>
  <w:num w:numId="42">
    <w:abstractNumId w:val="17"/>
  </w:num>
  <w:num w:numId="43">
    <w:abstractNumId w:val="9"/>
  </w:num>
  <w:num w:numId="44">
    <w:abstractNumId w:val="42"/>
  </w:num>
  <w:num w:numId="45">
    <w:abstractNumId w:val="48"/>
  </w:num>
  <w:num w:numId="46">
    <w:abstractNumId w:val="3"/>
  </w:num>
  <w:num w:numId="47">
    <w:abstractNumId w:val="25"/>
  </w:num>
  <w:num w:numId="48">
    <w:abstractNumId w:val="40"/>
  </w:num>
  <w:num w:numId="49">
    <w:abstractNumId w:val="11"/>
  </w:num>
  <w:num w:numId="50">
    <w:abstractNumId w:val="6"/>
  </w:num>
  <w:num w:numId="51">
    <w:abstractNumId w:val="17"/>
  </w:num>
  <w:num w:numId="52">
    <w:abstractNumId w:val="51"/>
  </w:num>
  <w:num w:numId="53">
    <w:abstractNumId w:val="52"/>
  </w:num>
  <w:num w:numId="54">
    <w:abstractNumId w:val="39"/>
  </w:num>
  <w:num w:numId="55">
    <w:abstractNumId w:val="2"/>
  </w:num>
  <w:num w:numId="56">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fr-BE" w:vendorID="64" w:dllVersion="4096" w:nlCheck="1" w:checkStyle="0"/>
  <w:activeWritingStyle w:appName="MSWord" w:lang="pt-PT" w:vendorID="64" w:dllVersion="131078" w:nlCheck="1" w:checkStyle="0"/>
  <w:attachedTemplate r:id="rId1"/>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SPE"/>
  </w:docVars>
  <w:rsids>
    <w:rsidRoot w:val="002D3B73"/>
    <w:rsid w:val="0000051B"/>
    <w:rsid w:val="00000525"/>
    <w:rsid w:val="00000A48"/>
    <w:rsid w:val="00000A5A"/>
    <w:rsid w:val="0000139E"/>
    <w:rsid w:val="00001DD9"/>
    <w:rsid w:val="00001F8C"/>
    <w:rsid w:val="00003286"/>
    <w:rsid w:val="000035EC"/>
    <w:rsid w:val="000037EF"/>
    <w:rsid w:val="00003FA6"/>
    <w:rsid w:val="000048FF"/>
    <w:rsid w:val="00004B82"/>
    <w:rsid w:val="00005C2E"/>
    <w:rsid w:val="000106C7"/>
    <w:rsid w:val="00010FB3"/>
    <w:rsid w:val="000110C1"/>
    <w:rsid w:val="0001201B"/>
    <w:rsid w:val="00012DE2"/>
    <w:rsid w:val="00012E3D"/>
    <w:rsid w:val="00012F11"/>
    <w:rsid w:val="0001352B"/>
    <w:rsid w:val="000141AD"/>
    <w:rsid w:val="0001483A"/>
    <w:rsid w:val="000159B8"/>
    <w:rsid w:val="0001642E"/>
    <w:rsid w:val="00017CFE"/>
    <w:rsid w:val="000202D7"/>
    <w:rsid w:val="000207FE"/>
    <w:rsid w:val="0002123A"/>
    <w:rsid w:val="0002138E"/>
    <w:rsid w:val="00022D50"/>
    <w:rsid w:val="00023D49"/>
    <w:rsid w:val="0002436C"/>
    <w:rsid w:val="000259B5"/>
    <w:rsid w:val="00027143"/>
    <w:rsid w:val="0003074D"/>
    <w:rsid w:val="00032658"/>
    <w:rsid w:val="000327FC"/>
    <w:rsid w:val="00032BE9"/>
    <w:rsid w:val="00033DEA"/>
    <w:rsid w:val="000347CD"/>
    <w:rsid w:val="00034DB1"/>
    <w:rsid w:val="00035C88"/>
    <w:rsid w:val="00037DE7"/>
    <w:rsid w:val="000403DA"/>
    <w:rsid w:val="000406B2"/>
    <w:rsid w:val="0004070D"/>
    <w:rsid w:val="000409E8"/>
    <w:rsid w:val="00040B22"/>
    <w:rsid w:val="00040C05"/>
    <w:rsid w:val="00040EE2"/>
    <w:rsid w:val="00042813"/>
    <w:rsid w:val="00042873"/>
    <w:rsid w:val="00042C91"/>
    <w:rsid w:val="000430E6"/>
    <w:rsid w:val="00043815"/>
    <w:rsid w:val="000441AC"/>
    <w:rsid w:val="00044AB8"/>
    <w:rsid w:val="00044C55"/>
    <w:rsid w:val="00045CDD"/>
    <w:rsid w:val="0004651F"/>
    <w:rsid w:val="00047391"/>
    <w:rsid w:val="000476F5"/>
    <w:rsid w:val="00050892"/>
    <w:rsid w:val="000519CE"/>
    <w:rsid w:val="000533A2"/>
    <w:rsid w:val="00053E40"/>
    <w:rsid w:val="000540F7"/>
    <w:rsid w:val="00054936"/>
    <w:rsid w:val="00055750"/>
    <w:rsid w:val="00055DFD"/>
    <w:rsid w:val="00055DFF"/>
    <w:rsid w:val="000564AA"/>
    <w:rsid w:val="00056563"/>
    <w:rsid w:val="00056731"/>
    <w:rsid w:val="000574C6"/>
    <w:rsid w:val="000579AF"/>
    <w:rsid w:val="00057FF3"/>
    <w:rsid w:val="000603B7"/>
    <w:rsid w:val="0006041C"/>
    <w:rsid w:val="00062A81"/>
    <w:rsid w:val="00063141"/>
    <w:rsid w:val="000631BD"/>
    <w:rsid w:val="0006410B"/>
    <w:rsid w:val="0006529A"/>
    <w:rsid w:val="0006612A"/>
    <w:rsid w:val="00066732"/>
    <w:rsid w:val="000669DF"/>
    <w:rsid w:val="00066C05"/>
    <w:rsid w:val="00067BF2"/>
    <w:rsid w:val="00067F09"/>
    <w:rsid w:val="000705E3"/>
    <w:rsid w:val="00070E82"/>
    <w:rsid w:val="00071CBE"/>
    <w:rsid w:val="000720E9"/>
    <w:rsid w:val="00072B1A"/>
    <w:rsid w:val="00072FAA"/>
    <w:rsid w:val="0007449D"/>
    <w:rsid w:val="000748C0"/>
    <w:rsid w:val="00076EE7"/>
    <w:rsid w:val="000775A9"/>
    <w:rsid w:val="00077DA3"/>
    <w:rsid w:val="0008000A"/>
    <w:rsid w:val="00080676"/>
    <w:rsid w:val="00080CD4"/>
    <w:rsid w:val="00081050"/>
    <w:rsid w:val="00083038"/>
    <w:rsid w:val="000844D0"/>
    <w:rsid w:val="00084A8B"/>
    <w:rsid w:val="00084F8A"/>
    <w:rsid w:val="00085A43"/>
    <w:rsid w:val="00085C68"/>
    <w:rsid w:val="00085D55"/>
    <w:rsid w:val="00086B61"/>
    <w:rsid w:val="000874E2"/>
    <w:rsid w:val="000877BA"/>
    <w:rsid w:val="000900C2"/>
    <w:rsid w:val="00090A5C"/>
    <w:rsid w:val="00090C7F"/>
    <w:rsid w:val="00091DCA"/>
    <w:rsid w:val="00092B41"/>
    <w:rsid w:val="0009406D"/>
    <w:rsid w:val="000940AB"/>
    <w:rsid w:val="00095DCB"/>
    <w:rsid w:val="000961CB"/>
    <w:rsid w:val="00096F77"/>
    <w:rsid w:val="0009731E"/>
    <w:rsid w:val="000A2D67"/>
    <w:rsid w:val="000A44D2"/>
    <w:rsid w:val="000A52A2"/>
    <w:rsid w:val="000A7529"/>
    <w:rsid w:val="000B0E7F"/>
    <w:rsid w:val="000B1110"/>
    <w:rsid w:val="000B1BA5"/>
    <w:rsid w:val="000B3314"/>
    <w:rsid w:val="000B3566"/>
    <w:rsid w:val="000B3B01"/>
    <w:rsid w:val="000B4A09"/>
    <w:rsid w:val="000B4B19"/>
    <w:rsid w:val="000B5D31"/>
    <w:rsid w:val="000B616B"/>
    <w:rsid w:val="000B6CED"/>
    <w:rsid w:val="000B7AAC"/>
    <w:rsid w:val="000C0763"/>
    <w:rsid w:val="000C07E1"/>
    <w:rsid w:val="000C16B4"/>
    <w:rsid w:val="000C1E59"/>
    <w:rsid w:val="000C25DF"/>
    <w:rsid w:val="000C270E"/>
    <w:rsid w:val="000C3756"/>
    <w:rsid w:val="000C3922"/>
    <w:rsid w:val="000C4CCF"/>
    <w:rsid w:val="000C4EB7"/>
    <w:rsid w:val="000C6DE8"/>
    <w:rsid w:val="000C7A98"/>
    <w:rsid w:val="000C7B7C"/>
    <w:rsid w:val="000D1C8D"/>
    <w:rsid w:val="000D3C05"/>
    <w:rsid w:val="000D4912"/>
    <w:rsid w:val="000D50F6"/>
    <w:rsid w:val="000D51E7"/>
    <w:rsid w:val="000D56C6"/>
    <w:rsid w:val="000D5E35"/>
    <w:rsid w:val="000D6EA6"/>
    <w:rsid w:val="000D76FB"/>
    <w:rsid w:val="000D7BF7"/>
    <w:rsid w:val="000D7F89"/>
    <w:rsid w:val="000E019B"/>
    <w:rsid w:val="000E1047"/>
    <w:rsid w:val="000E1ECB"/>
    <w:rsid w:val="000E2A38"/>
    <w:rsid w:val="000E2BBE"/>
    <w:rsid w:val="000E44DA"/>
    <w:rsid w:val="000E45DE"/>
    <w:rsid w:val="000E5797"/>
    <w:rsid w:val="000E7913"/>
    <w:rsid w:val="000F0038"/>
    <w:rsid w:val="000F05DF"/>
    <w:rsid w:val="000F076B"/>
    <w:rsid w:val="000F12E4"/>
    <w:rsid w:val="000F1647"/>
    <w:rsid w:val="000F2BA5"/>
    <w:rsid w:val="000F2CDF"/>
    <w:rsid w:val="000F42B6"/>
    <w:rsid w:val="000F4465"/>
    <w:rsid w:val="000F4F5F"/>
    <w:rsid w:val="000F5190"/>
    <w:rsid w:val="000F7C97"/>
    <w:rsid w:val="00100A73"/>
    <w:rsid w:val="00100E82"/>
    <w:rsid w:val="0010315E"/>
    <w:rsid w:val="00103386"/>
    <w:rsid w:val="00104A19"/>
    <w:rsid w:val="00105745"/>
    <w:rsid w:val="00106AA7"/>
    <w:rsid w:val="00110267"/>
    <w:rsid w:val="00110F16"/>
    <w:rsid w:val="00110FFB"/>
    <w:rsid w:val="00112304"/>
    <w:rsid w:val="001126AE"/>
    <w:rsid w:val="00113044"/>
    <w:rsid w:val="00113B96"/>
    <w:rsid w:val="00114C13"/>
    <w:rsid w:val="001154D2"/>
    <w:rsid w:val="001160B5"/>
    <w:rsid w:val="00116930"/>
    <w:rsid w:val="00117796"/>
    <w:rsid w:val="00120B0A"/>
    <w:rsid w:val="001213F5"/>
    <w:rsid w:val="00122451"/>
    <w:rsid w:val="00122581"/>
    <w:rsid w:val="00124050"/>
    <w:rsid w:val="00124570"/>
    <w:rsid w:val="00124700"/>
    <w:rsid w:val="00125355"/>
    <w:rsid w:val="00126429"/>
    <w:rsid w:val="00126457"/>
    <w:rsid w:val="0013083E"/>
    <w:rsid w:val="001308C1"/>
    <w:rsid w:val="00130A12"/>
    <w:rsid w:val="0013108F"/>
    <w:rsid w:val="00131E3D"/>
    <w:rsid w:val="0013220F"/>
    <w:rsid w:val="00132D48"/>
    <w:rsid w:val="0013453E"/>
    <w:rsid w:val="0013535F"/>
    <w:rsid w:val="001353AE"/>
    <w:rsid w:val="00135608"/>
    <w:rsid w:val="00137215"/>
    <w:rsid w:val="0013737B"/>
    <w:rsid w:val="001411B2"/>
    <w:rsid w:val="001414A1"/>
    <w:rsid w:val="00141525"/>
    <w:rsid w:val="001419A7"/>
    <w:rsid w:val="001423B4"/>
    <w:rsid w:val="00142C5E"/>
    <w:rsid w:val="00143102"/>
    <w:rsid w:val="0014507F"/>
    <w:rsid w:val="001459B6"/>
    <w:rsid w:val="00146F2C"/>
    <w:rsid w:val="001472F2"/>
    <w:rsid w:val="001474DC"/>
    <w:rsid w:val="0014766E"/>
    <w:rsid w:val="00150E42"/>
    <w:rsid w:val="001517B5"/>
    <w:rsid w:val="00153478"/>
    <w:rsid w:val="0015357F"/>
    <w:rsid w:val="00153739"/>
    <w:rsid w:val="00153A24"/>
    <w:rsid w:val="00153B98"/>
    <w:rsid w:val="0015466F"/>
    <w:rsid w:val="0015637F"/>
    <w:rsid w:val="00157676"/>
    <w:rsid w:val="001576C9"/>
    <w:rsid w:val="00160B9C"/>
    <w:rsid w:val="00161D60"/>
    <w:rsid w:val="0016264E"/>
    <w:rsid w:val="00162E65"/>
    <w:rsid w:val="001635D2"/>
    <w:rsid w:val="00163978"/>
    <w:rsid w:val="00163D11"/>
    <w:rsid w:val="0016419A"/>
    <w:rsid w:val="00164967"/>
    <w:rsid w:val="00165594"/>
    <w:rsid w:val="0016636F"/>
    <w:rsid w:val="0016763E"/>
    <w:rsid w:val="001676F2"/>
    <w:rsid w:val="001700CE"/>
    <w:rsid w:val="001726C0"/>
    <w:rsid w:val="00172ED6"/>
    <w:rsid w:val="001748F1"/>
    <w:rsid w:val="00175DFA"/>
    <w:rsid w:val="00176C03"/>
    <w:rsid w:val="001779E7"/>
    <w:rsid w:val="0018247A"/>
    <w:rsid w:val="001829E2"/>
    <w:rsid w:val="00182DAD"/>
    <w:rsid w:val="0018363C"/>
    <w:rsid w:val="00183AE4"/>
    <w:rsid w:val="00183D94"/>
    <w:rsid w:val="00184020"/>
    <w:rsid w:val="001843A6"/>
    <w:rsid w:val="001861E8"/>
    <w:rsid w:val="00186842"/>
    <w:rsid w:val="00187D00"/>
    <w:rsid w:val="001902B0"/>
    <w:rsid w:val="001908CC"/>
    <w:rsid w:val="00193767"/>
    <w:rsid w:val="00193DFE"/>
    <w:rsid w:val="00196064"/>
    <w:rsid w:val="0019779F"/>
    <w:rsid w:val="001A072F"/>
    <w:rsid w:val="001A1008"/>
    <w:rsid w:val="001A2CE3"/>
    <w:rsid w:val="001A46FD"/>
    <w:rsid w:val="001A6421"/>
    <w:rsid w:val="001A6893"/>
    <w:rsid w:val="001A6F61"/>
    <w:rsid w:val="001A7098"/>
    <w:rsid w:val="001B0962"/>
    <w:rsid w:val="001B1FCC"/>
    <w:rsid w:val="001B2045"/>
    <w:rsid w:val="001B2811"/>
    <w:rsid w:val="001B2CB1"/>
    <w:rsid w:val="001B3E9F"/>
    <w:rsid w:val="001B474E"/>
    <w:rsid w:val="001B502B"/>
    <w:rsid w:val="001B50C2"/>
    <w:rsid w:val="001B5BE8"/>
    <w:rsid w:val="001B6BA4"/>
    <w:rsid w:val="001B6BCF"/>
    <w:rsid w:val="001B7701"/>
    <w:rsid w:val="001B7B9F"/>
    <w:rsid w:val="001C00CC"/>
    <w:rsid w:val="001C0AD9"/>
    <w:rsid w:val="001C0E99"/>
    <w:rsid w:val="001C1672"/>
    <w:rsid w:val="001C2FB2"/>
    <w:rsid w:val="001C3263"/>
    <w:rsid w:val="001C3D41"/>
    <w:rsid w:val="001C475C"/>
    <w:rsid w:val="001C4949"/>
    <w:rsid w:val="001C4C95"/>
    <w:rsid w:val="001C500C"/>
    <w:rsid w:val="001C5EA3"/>
    <w:rsid w:val="001C662D"/>
    <w:rsid w:val="001C6816"/>
    <w:rsid w:val="001C72D4"/>
    <w:rsid w:val="001C7B38"/>
    <w:rsid w:val="001D0AB4"/>
    <w:rsid w:val="001D0E54"/>
    <w:rsid w:val="001D2DE2"/>
    <w:rsid w:val="001D30CB"/>
    <w:rsid w:val="001D31BD"/>
    <w:rsid w:val="001D43BB"/>
    <w:rsid w:val="001D4463"/>
    <w:rsid w:val="001D55FB"/>
    <w:rsid w:val="001D5814"/>
    <w:rsid w:val="001E01C6"/>
    <w:rsid w:val="001E04FA"/>
    <w:rsid w:val="001E0C5C"/>
    <w:rsid w:val="001E15BE"/>
    <w:rsid w:val="001E1800"/>
    <w:rsid w:val="001E1AEC"/>
    <w:rsid w:val="001E1BE2"/>
    <w:rsid w:val="001E1CBA"/>
    <w:rsid w:val="001E255E"/>
    <w:rsid w:val="001E2740"/>
    <w:rsid w:val="001E2EBB"/>
    <w:rsid w:val="001E2F81"/>
    <w:rsid w:val="001E30E9"/>
    <w:rsid w:val="001E3955"/>
    <w:rsid w:val="001E3EA8"/>
    <w:rsid w:val="001E4200"/>
    <w:rsid w:val="001E4B93"/>
    <w:rsid w:val="001E5AB8"/>
    <w:rsid w:val="001E5EE2"/>
    <w:rsid w:val="001E6C28"/>
    <w:rsid w:val="001E7636"/>
    <w:rsid w:val="001E79F5"/>
    <w:rsid w:val="001F0617"/>
    <w:rsid w:val="001F0FF9"/>
    <w:rsid w:val="001F1744"/>
    <w:rsid w:val="001F2C8E"/>
    <w:rsid w:val="001F3514"/>
    <w:rsid w:val="001F41D6"/>
    <w:rsid w:val="001F48DD"/>
    <w:rsid w:val="001F496B"/>
    <w:rsid w:val="001F5633"/>
    <w:rsid w:val="001F5C93"/>
    <w:rsid w:val="001F5F4B"/>
    <w:rsid w:val="001F71FE"/>
    <w:rsid w:val="001F7AA8"/>
    <w:rsid w:val="002009C9"/>
    <w:rsid w:val="00200E9E"/>
    <w:rsid w:val="002021BA"/>
    <w:rsid w:val="0020287A"/>
    <w:rsid w:val="00202AF1"/>
    <w:rsid w:val="00203A19"/>
    <w:rsid w:val="00203BEE"/>
    <w:rsid w:val="002043EA"/>
    <w:rsid w:val="002043F8"/>
    <w:rsid w:val="0020658B"/>
    <w:rsid w:val="002075A1"/>
    <w:rsid w:val="002076E6"/>
    <w:rsid w:val="00207BC7"/>
    <w:rsid w:val="002102D6"/>
    <w:rsid w:val="002106EC"/>
    <w:rsid w:val="0021096D"/>
    <w:rsid w:val="00211623"/>
    <w:rsid w:val="00211FA8"/>
    <w:rsid w:val="00212608"/>
    <w:rsid w:val="002126F7"/>
    <w:rsid w:val="00213368"/>
    <w:rsid w:val="00215EBF"/>
    <w:rsid w:val="00215FE6"/>
    <w:rsid w:val="002162FB"/>
    <w:rsid w:val="00216695"/>
    <w:rsid w:val="00216B86"/>
    <w:rsid w:val="00216E4E"/>
    <w:rsid w:val="00217CDB"/>
    <w:rsid w:val="00217F79"/>
    <w:rsid w:val="002213F5"/>
    <w:rsid w:val="002223F4"/>
    <w:rsid w:val="00222569"/>
    <w:rsid w:val="002249CB"/>
    <w:rsid w:val="00224B98"/>
    <w:rsid w:val="00225CDB"/>
    <w:rsid w:val="002262D8"/>
    <w:rsid w:val="00226925"/>
    <w:rsid w:val="00226E81"/>
    <w:rsid w:val="00227897"/>
    <w:rsid w:val="00227920"/>
    <w:rsid w:val="00227E2C"/>
    <w:rsid w:val="00227F45"/>
    <w:rsid w:val="00230B1A"/>
    <w:rsid w:val="002316D2"/>
    <w:rsid w:val="00232672"/>
    <w:rsid w:val="00232714"/>
    <w:rsid w:val="00232AAB"/>
    <w:rsid w:val="002331E1"/>
    <w:rsid w:val="00233324"/>
    <w:rsid w:val="002335B4"/>
    <w:rsid w:val="002337F3"/>
    <w:rsid w:val="00233DD6"/>
    <w:rsid w:val="0023435A"/>
    <w:rsid w:val="00234787"/>
    <w:rsid w:val="0023497E"/>
    <w:rsid w:val="00234D67"/>
    <w:rsid w:val="0023505E"/>
    <w:rsid w:val="00235136"/>
    <w:rsid w:val="00235353"/>
    <w:rsid w:val="002367CF"/>
    <w:rsid w:val="00237101"/>
    <w:rsid w:val="002379D7"/>
    <w:rsid w:val="00240B89"/>
    <w:rsid w:val="00241A83"/>
    <w:rsid w:val="00245408"/>
    <w:rsid w:val="00246005"/>
    <w:rsid w:val="0024698E"/>
    <w:rsid w:val="00251391"/>
    <w:rsid w:val="00251717"/>
    <w:rsid w:val="00251796"/>
    <w:rsid w:val="00251A4A"/>
    <w:rsid w:val="002525BF"/>
    <w:rsid w:val="002530F5"/>
    <w:rsid w:val="00253342"/>
    <w:rsid w:val="00254BF2"/>
    <w:rsid w:val="00255991"/>
    <w:rsid w:val="00255B9B"/>
    <w:rsid w:val="00255D06"/>
    <w:rsid w:val="0025760C"/>
    <w:rsid w:val="00260449"/>
    <w:rsid w:val="00260EAA"/>
    <w:rsid w:val="002617A8"/>
    <w:rsid w:val="00263630"/>
    <w:rsid w:val="00264DEA"/>
    <w:rsid w:val="00265517"/>
    <w:rsid w:val="00265DC9"/>
    <w:rsid w:val="00267060"/>
    <w:rsid w:val="00267836"/>
    <w:rsid w:val="00267F07"/>
    <w:rsid w:val="002708CB"/>
    <w:rsid w:val="00271AB7"/>
    <w:rsid w:val="002729E1"/>
    <w:rsid w:val="00272B57"/>
    <w:rsid w:val="00272BB5"/>
    <w:rsid w:val="00272D41"/>
    <w:rsid w:val="00273127"/>
    <w:rsid w:val="00273926"/>
    <w:rsid w:val="00273AA8"/>
    <w:rsid w:val="00275734"/>
    <w:rsid w:val="00275C13"/>
    <w:rsid w:val="00275F15"/>
    <w:rsid w:val="00276A20"/>
    <w:rsid w:val="00276AD7"/>
    <w:rsid w:val="00277012"/>
    <w:rsid w:val="00280015"/>
    <w:rsid w:val="00281602"/>
    <w:rsid w:val="00281EE3"/>
    <w:rsid w:val="00281FD3"/>
    <w:rsid w:val="002831DC"/>
    <w:rsid w:val="0028341F"/>
    <w:rsid w:val="002838AF"/>
    <w:rsid w:val="00283FD1"/>
    <w:rsid w:val="002848E9"/>
    <w:rsid w:val="00285FAD"/>
    <w:rsid w:val="00286CD6"/>
    <w:rsid w:val="00287A04"/>
    <w:rsid w:val="00287C90"/>
    <w:rsid w:val="00287DA1"/>
    <w:rsid w:val="00290E14"/>
    <w:rsid w:val="00292B1E"/>
    <w:rsid w:val="002940C5"/>
    <w:rsid w:val="00294E84"/>
    <w:rsid w:val="0029520E"/>
    <w:rsid w:val="00295890"/>
    <w:rsid w:val="002961CB"/>
    <w:rsid w:val="00296418"/>
    <w:rsid w:val="00296BAF"/>
    <w:rsid w:val="002A0310"/>
    <w:rsid w:val="002A0377"/>
    <w:rsid w:val="002A0D54"/>
    <w:rsid w:val="002A0D8F"/>
    <w:rsid w:val="002A2349"/>
    <w:rsid w:val="002A2DCC"/>
    <w:rsid w:val="002A32D8"/>
    <w:rsid w:val="002A3A8F"/>
    <w:rsid w:val="002A40EA"/>
    <w:rsid w:val="002A4C1A"/>
    <w:rsid w:val="002A58F5"/>
    <w:rsid w:val="002A6432"/>
    <w:rsid w:val="002A65C3"/>
    <w:rsid w:val="002A73C4"/>
    <w:rsid w:val="002A7E19"/>
    <w:rsid w:val="002B0EB1"/>
    <w:rsid w:val="002B160C"/>
    <w:rsid w:val="002B1C03"/>
    <w:rsid w:val="002B1E9E"/>
    <w:rsid w:val="002B457A"/>
    <w:rsid w:val="002B46C0"/>
    <w:rsid w:val="002B4F5E"/>
    <w:rsid w:val="002B5BD3"/>
    <w:rsid w:val="002B5DFF"/>
    <w:rsid w:val="002B5F2A"/>
    <w:rsid w:val="002B5FF8"/>
    <w:rsid w:val="002B620A"/>
    <w:rsid w:val="002B6833"/>
    <w:rsid w:val="002B7DA9"/>
    <w:rsid w:val="002C0EE6"/>
    <w:rsid w:val="002C0FED"/>
    <w:rsid w:val="002C10A7"/>
    <w:rsid w:val="002C1210"/>
    <w:rsid w:val="002C20A1"/>
    <w:rsid w:val="002C23D9"/>
    <w:rsid w:val="002C2980"/>
    <w:rsid w:val="002C2F1C"/>
    <w:rsid w:val="002C4129"/>
    <w:rsid w:val="002C4532"/>
    <w:rsid w:val="002C4717"/>
    <w:rsid w:val="002C50CE"/>
    <w:rsid w:val="002C533F"/>
    <w:rsid w:val="002C59EC"/>
    <w:rsid w:val="002C6F35"/>
    <w:rsid w:val="002C767E"/>
    <w:rsid w:val="002C7B37"/>
    <w:rsid w:val="002D033E"/>
    <w:rsid w:val="002D0C6B"/>
    <w:rsid w:val="002D1390"/>
    <w:rsid w:val="002D27D8"/>
    <w:rsid w:val="002D2A17"/>
    <w:rsid w:val="002D34E3"/>
    <w:rsid w:val="002D38BA"/>
    <w:rsid w:val="002D3B73"/>
    <w:rsid w:val="002D4583"/>
    <w:rsid w:val="002D5C6E"/>
    <w:rsid w:val="002D5FF3"/>
    <w:rsid w:val="002D6FA3"/>
    <w:rsid w:val="002E0795"/>
    <w:rsid w:val="002E161C"/>
    <w:rsid w:val="002E1642"/>
    <w:rsid w:val="002E166B"/>
    <w:rsid w:val="002E432D"/>
    <w:rsid w:val="002E58E3"/>
    <w:rsid w:val="002E5DAF"/>
    <w:rsid w:val="002E5F62"/>
    <w:rsid w:val="002E648A"/>
    <w:rsid w:val="002E64EF"/>
    <w:rsid w:val="002E66FE"/>
    <w:rsid w:val="002E6A2B"/>
    <w:rsid w:val="002E7203"/>
    <w:rsid w:val="002F1583"/>
    <w:rsid w:val="002F1E99"/>
    <w:rsid w:val="002F2FA5"/>
    <w:rsid w:val="002F5CEF"/>
    <w:rsid w:val="002F5F41"/>
    <w:rsid w:val="002F62D3"/>
    <w:rsid w:val="002F6C8E"/>
    <w:rsid w:val="002F749B"/>
    <w:rsid w:val="002F7EBB"/>
    <w:rsid w:val="0030065F"/>
    <w:rsid w:val="00300B20"/>
    <w:rsid w:val="003010B4"/>
    <w:rsid w:val="00301FE1"/>
    <w:rsid w:val="00304D48"/>
    <w:rsid w:val="00304EAE"/>
    <w:rsid w:val="0030558C"/>
    <w:rsid w:val="00306761"/>
    <w:rsid w:val="003069C4"/>
    <w:rsid w:val="00306BA1"/>
    <w:rsid w:val="00306E47"/>
    <w:rsid w:val="00307C01"/>
    <w:rsid w:val="00307C2C"/>
    <w:rsid w:val="00310A7B"/>
    <w:rsid w:val="00310FF1"/>
    <w:rsid w:val="003113BA"/>
    <w:rsid w:val="00311927"/>
    <w:rsid w:val="00311E4D"/>
    <w:rsid w:val="00312A94"/>
    <w:rsid w:val="0031505F"/>
    <w:rsid w:val="003164D2"/>
    <w:rsid w:val="00320922"/>
    <w:rsid w:val="00321BAD"/>
    <w:rsid w:val="00322207"/>
    <w:rsid w:val="00322FF6"/>
    <w:rsid w:val="003242ED"/>
    <w:rsid w:val="00324907"/>
    <w:rsid w:val="00326330"/>
    <w:rsid w:val="0032716B"/>
    <w:rsid w:val="00330493"/>
    <w:rsid w:val="00330BDA"/>
    <w:rsid w:val="00330C5F"/>
    <w:rsid w:val="00331565"/>
    <w:rsid w:val="0033172F"/>
    <w:rsid w:val="00331A7C"/>
    <w:rsid w:val="00331D11"/>
    <w:rsid w:val="00331DA4"/>
    <w:rsid w:val="00332576"/>
    <w:rsid w:val="00334426"/>
    <w:rsid w:val="00334A57"/>
    <w:rsid w:val="00335282"/>
    <w:rsid w:val="003355ED"/>
    <w:rsid w:val="00337943"/>
    <w:rsid w:val="00340303"/>
    <w:rsid w:val="00340A6F"/>
    <w:rsid w:val="003438B0"/>
    <w:rsid w:val="00343F5C"/>
    <w:rsid w:val="003445B7"/>
    <w:rsid w:val="00344979"/>
    <w:rsid w:val="0034512F"/>
    <w:rsid w:val="003466A0"/>
    <w:rsid w:val="00350A5F"/>
    <w:rsid w:val="0035258B"/>
    <w:rsid w:val="00352749"/>
    <w:rsid w:val="00352D94"/>
    <w:rsid w:val="00354247"/>
    <w:rsid w:val="003554D8"/>
    <w:rsid w:val="00355AA9"/>
    <w:rsid w:val="00356109"/>
    <w:rsid w:val="00357478"/>
    <w:rsid w:val="003577AB"/>
    <w:rsid w:val="00360B0F"/>
    <w:rsid w:val="00360DB7"/>
    <w:rsid w:val="003611DE"/>
    <w:rsid w:val="00361B67"/>
    <w:rsid w:val="00361E4C"/>
    <w:rsid w:val="00362228"/>
    <w:rsid w:val="00362DC6"/>
    <w:rsid w:val="0036370D"/>
    <w:rsid w:val="00364E24"/>
    <w:rsid w:val="00365131"/>
    <w:rsid w:val="00365722"/>
    <w:rsid w:val="0036681E"/>
    <w:rsid w:val="00366F83"/>
    <w:rsid w:val="003679CC"/>
    <w:rsid w:val="00367C90"/>
    <w:rsid w:val="00370644"/>
    <w:rsid w:val="00370822"/>
    <w:rsid w:val="003711D5"/>
    <w:rsid w:val="0037136D"/>
    <w:rsid w:val="00371666"/>
    <w:rsid w:val="003719A3"/>
    <w:rsid w:val="00371F9B"/>
    <w:rsid w:val="003723B9"/>
    <w:rsid w:val="00372A37"/>
    <w:rsid w:val="00372CBD"/>
    <w:rsid w:val="003754DD"/>
    <w:rsid w:val="003755AF"/>
    <w:rsid w:val="00376DCA"/>
    <w:rsid w:val="003772C3"/>
    <w:rsid w:val="0038046E"/>
    <w:rsid w:val="003829CC"/>
    <w:rsid w:val="00383B16"/>
    <w:rsid w:val="0038460A"/>
    <w:rsid w:val="003851DF"/>
    <w:rsid w:val="003853C8"/>
    <w:rsid w:val="003867AC"/>
    <w:rsid w:val="00386D0C"/>
    <w:rsid w:val="00387C5A"/>
    <w:rsid w:val="00392518"/>
    <w:rsid w:val="00393A61"/>
    <w:rsid w:val="00394579"/>
    <w:rsid w:val="00394787"/>
    <w:rsid w:val="00394AAD"/>
    <w:rsid w:val="00395054"/>
    <w:rsid w:val="00395473"/>
    <w:rsid w:val="0039604C"/>
    <w:rsid w:val="003961E3"/>
    <w:rsid w:val="00396223"/>
    <w:rsid w:val="00396DE5"/>
    <w:rsid w:val="003A0D64"/>
    <w:rsid w:val="003A176D"/>
    <w:rsid w:val="003A212F"/>
    <w:rsid w:val="003A2E53"/>
    <w:rsid w:val="003A3372"/>
    <w:rsid w:val="003A3FD0"/>
    <w:rsid w:val="003A4148"/>
    <w:rsid w:val="003A4575"/>
    <w:rsid w:val="003A47F8"/>
    <w:rsid w:val="003A715F"/>
    <w:rsid w:val="003B09DE"/>
    <w:rsid w:val="003B0F74"/>
    <w:rsid w:val="003B1405"/>
    <w:rsid w:val="003B1582"/>
    <w:rsid w:val="003B178A"/>
    <w:rsid w:val="003B264C"/>
    <w:rsid w:val="003B32E9"/>
    <w:rsid w:val="003B4B40"/>
    <w:rsid w:val="003B5707"/>
    <w:rsid w:val="003B6715"/>
    <w:rsid w:val="003B7331"/>
    <w:rsid w:val="003C0A79"/>
    <w:rsid w:val="003C1052"/>
    <w:rsid w:val="003C2252"/>
    <w:rsid w:val="003C26DC"/>
    <w:rsid w:val="003C3B59"/>
    <w:rsid w:val="003C3F4B"/>
    <w:rsid w:val="003C5C9B"/>
    <w:rsid w:val="003C67AF"/>
    <w:rsid w:val="003C6B28"/>
    <w:rsid w:val="003C730A"/>
    <w:rsid w:val="003C7CBB"/>
    <w:rsid w:val="003D1DEB"/>
    <w:rsid w:val="003D2AA7"/>
    <w:rsid w:val="003D3330"/>
    <w:rsid w:val="003D3369"/>
    <w:rsid w:val="003D34A7"/>
    <w:rsid w:val="003D3B6A"/>
    <w:rsid w:val="003D41B5"/>
    <w:rsid w:val="003D4771"/>
    <w:rsid w:val="003D5920"/>
    <w:rsid w:val="003D5D72"/>
    <w:rsid w:val="003D6480"/>
    <w:rsid w:val="003D69DA"/>
    <w:rsid w:val="003D6D73"/>
    <w:rsid w:val="003E00C8"/>
    <w:rsid w:val="003E0309"/>
    <w:rsid w:val="003E0560"/>
    <w:rsid w:val="003E05B4"/>
    <w:rsid w:val="003E06B2"/>
    <w:rsid w:val="003E0820"/>
    <w:rsid w:val="003E0BEB"/>
    <w:rsid w:val="003E2FD9"/>
    <w:rsid w:val="003E316A"/>
    <w:rsid w:val="003E31C6"/>
    <w:rsid w:val="003E3699"/>
    <w:rsid w:val="003E37CB"/>
    <w:rsid w:val="003E4D65"/>
    <w:rsid w:val="003E5A36"/>
    <w:rsid w:val="003E7C49"/>
    <w:rsid w:val="003F067A"/>
    <w:rsid w:val="003F0C0A"/>
    <w:rsid w:val="003F24E7"/>
    <w:rsid w:val="003F2D19"/>
    <w:rsid w:val="003F3371"/>
    <w:rsid w:val="003F3479"/>
    <w:rsid w:val="003F3649"/>
    <w:rsid w:val="003F39D2"/>
    <w:rsid w:val="003F3B36"/>
    <w:rsid w:val="003F56D1"/>
    <w:rsid w:val="003F639F"/>
    <w:rsid w:val="003F75AA"/>
    <w:rsid w:val="003F79A6"/>
    <w:rsid w:val="00400B20"/>
    <w:rsid w:val="004024EC"/>
    <w:rsid w:val="00402508"/>
    <w:rsid w:val="004037C4"/>
    <w:rsid w:val="00403B3A"/>
    <w:rsid w:val="0040586A"/>
    <w:rsid w:val="0040589D"/>
    <w:rsid w:val="00405FC0"/>
    <w:rsid w:val="00406905"/>
    <w:rsid w:val="00407269"/>
    <w:rsid w:val="00407ACF"/>
    <w:rsid w:val="00410071"/>
    <w:rsid w:val="004101B3"/>
    <w:rsid w:val="0041062C"/>
    <w:rsid w:val="0041083A"/>
    <w:rsid w:val="00410FA2"/>
    <w:rsid w:val="00411A36"/>
    <w:rsid w:val="004128FF"/>
    <w:rsid w:val="00413349"/>
    <w:rsid w:val="004143E6"/>
    <w:rsid w:val="00414CC3"/>
    <w:rsid w:val="00414FC5"/>
    <w:rsid w:val="00415040"/>
    <w:rsid w:val="00415ABA"/>
    <w:rsid w:val="00416404"/>
    <w:rsid w:val="00416CB5"/>
    <w:rsid w:val="0041720D"/>
    <w:rsid w:val="00417249"/>
    <w:rsid w:val="004176C8"/>
    <w:rsid w:val="00417F25"/>
    <w:rsid w:val="00421A53"/>
    <w:rsid w:val="00422FE5"/>
    <w:rsid w:val="004233D4"/>
    <w:rsid w:val="004239B1"/>
    <w:rsid w:val="00423E86"/>
    <w:rsid w:val="00424BCF"/>
    <w:rsid w:val="00424FB5"/>
    <w:rsid w:val="00424FD8"/>
    <w:rsid w:val="004255C9"/>
    <w:rsid w:val="004259A8"/>
    <w:rsid w:val="00425BCE"/>
    <w:rsid w:val="00430D18"/>
    <w:rsid w:val="00430DBF"/>
    <w:rsid w:val="00431177"/>
    <w:rsid w:val="0043128A"/>
    <w:rsid w:val="0043197C"/>
    <w:rsid w:val="00432CB9"/>
    <w:rsid w:val="00433592"/>
    <w:rsid w:val="00435348"/>
    <w:rsid w:val="004369FD"/>
    <w:rsid w:val="004371EE"/>
    <w:rsid w:val="004374ED"/>
    <w:rsid w:val="004403D3"/>
    <w:rsid w:val="004405F0"/>
    <w:rsid w:val="00440CB7"/>
    <w:rsid w:val="004418C7"/>
    <w:rsid w:val="0044312F"/>
    <w:rsid w:val="004433CF"/>
    <w:rsid w:val="004445E3"/>
    <w:rsid w:val="00445C60"/>
    <w:rsid w:val="00445C7B"/>
    <w:rsid w:val="00447716"/>
    <w:rsid w:val="00447B43"/>
    <w:rsid w:val="00447CF5"/>
    <w:rsid w:val="00447FA0"/>
    <w:rsid w:val="00450006"/>
    <w:rsid w:val="00450AB1"/>
    <w:rsid w:val="0045120F"/>
    <w:rsid w:val="004530AE"/>
    <w:rsid w:val="00453C2A"/>
    <w:rsid w:val="00453F2C"/>
    <w:rsid w:val="004568AA"/>
    <w:rsid w:val="00456BF0"/>
    <w:rsid w:val="004575B9"/>
    <w:rsid w:val="00460C4C"/>
    <w:rsid w:val="00462AC2"/>
    <w:rsid w:val="00463462"/>
    <w:rsid w:val="004636A3"/>
    <w:rsid w:val="0046495B"/>
    <w:rsid w:val="00464BE2"/>
    <w:rsid w:val="00464E7E"/>
    <w:rsid w:val="0046574F"/>
    <w:rsid w:val="004657E0"/>
    <w:rsid w:val="00465C62"/>
    <w:rsid w:val="0046713C"/>
    <w:rsid w:val="00467975"/>
    <w:rsid w:val="004679F2"/>
    <w:rsid w:val="00467F3D"/>
    <w:rsid w:val="00470840"/>
    <w:rsid w:val="00470CD4"/>
    <w:rsid w:val="004721BB"/>
    <w:rsid w:val="004729C4"/>
    <w:rsid w:val="00473B5A"/>
    <w:rsid w:val="00474F7B"/>
    <w:rsid w:val="00476648"/>
    <w:rsid w:val="00476BF1"/>
    <w:rsid w:val="0047776D"/>
    <w:rsid w:val="00480250"/>
    <w:rsid w:val="004804E3"/>
    <w:rsid w:val="00480C00"/>
    <w:rsid w:val="00480DEE"/>
    <w:rsid w:val="00480F4A"/>
    <w:rsid w:val="00481036"/>
    <w:rsid w:val="0048103F"/>
    <w:rsid w:val="00481ABA"/>
    <w:rsid w:val="00481D22"/>
    <w:rsid w:val="00482173"/>
    <w:rsid w:val="00483663"/>
    <w:rsid w:val="004838D8"/>
    <w:rsid w:val="00484A26"/>
    <w:rsid w:val="00484C34"/>
    <w:rsid w:val="00484EEC"/>
    <w:rsid w:val="004854C3"/>
    <w:rsid w:val="0048592A"/>
    <w:rsid w:val="00486C71"/>
    <w:rsid w:val="004872A5"/>
    <w:rsid w:val="00487DD1"/>
    <w:rsid w:val="0049105D"/>
    <w:rsid w:val="00491491"/>
    <w:rsid w:val="00492AB2"/>
    <w:rsid w:val="00492E32"/>
    <w:rsid w:val="00493027"/>
    <w:rsid w:val="004941EE"/>
    <w:rsid w:val="0049436F"/>
    <w:rsid w:val="00494E0C"/>
    <w:rsid w:val="0049524A"/>
    <w:rsid w:val="004966AF"/>
    <w:rsid w:val="004A0F49"/>
    <w:rsid w:val="004A0FF9"/>
    <w:rsid w:val="004A12F6"/>
    <w:rsid w:val="004A3506"/>
    <w:rsid w:val="004A4299"/>
    <w:rsid w:val="004A47F3"/>
    <w:rsid w:val="004A4A2F"/>
    <w:rsid w:val="004A50B2"/>
    <w:rsid w:val="004A5568"/>
    <w:rsid w:val="004A5C02"/>
    <w:rsid w:val="004A6DA6"/>
    <w:rsid w:val="004A7EE2"/>
    <w:rsid w:val="004B0632"/>
    <w:rsid w:val="004B3884"/>
    <w:rsid w:val="004B3D8D"/>
    <w:rsid w:val="004B3FF4"/>
    <w:rsid w:val="004B4431"/>
    <w:rsid w:val="004B4644"/>
    <w:rsid w:val="004B5D8F"/>
    <w:rsid w:val="004B656C"/>
    <w:rsid w:val="004B71C1"/>
    <w:rsid w:val="004B7E74"/>
    <w:rsid w:val="004C227D"/>
    <w:rsid w:val="004C3274"/>
    <w:rsid w:val="004C3708"/>
    <w:rsid w:val="004C3714"/>
    <w:rsid w:val="004C38A5"/>
    <w:rsid w:val="004C38EF"/>
    <w:rsid w:val="004C3B70"/>
    <w:rsid w:val="004C4D86"/>
    <w:rsid w:val="004C50BC"/>
    <w:rsid w:val="004C52CA"/>
    <w:rsid w:val="004C580F"/>
    <w:rsid w:val="004C6739"/>
    <w:rsid w:val="004C74B9"/>
    <w:rsid w:val="004C7933"/>
    <w:rsid w:val="004C7F26"/>
    <w:rsid w:val="004D0252"/>
    <w:rsid w:val="004D1A80"/>
    <w:rsid w:val="004D1C5D"/>
    <w:rsid w:val="004D29DC"/>
    <w:rsid w:val="004D3031"/>
    <w:rsid w:val="004D3345"/>
    <w:rsid w:val="004D4582"/>
    <w:rsid w:val="004D47EB"/>
    <w:rsid w:val="004D50AA"/>
    <w:rsid w:val="004D58AF"/>
    <w:rsid w:val="004D61CE"/>
    <w:rsid w:val="004D6A8F"/>
    <w:rsid w:val="004D6E09"/>
    <w:rsid w:val="004E0D0B"/>
    <w:rsid w:val="004E1FE8"/>
    <w:rsid w:val="004E2520"/>
    <w:rsid w:val="004E252C"/>
    <w:rsid w:val="004E31A1"/>
    <w:rsid w:val="004E3313"/>
    <w:rsid w:val="004E368D"/>
    <w:rsid w:val="004E3F9E"/>
    <w:rsid w:val="004E4956"/>
    <w:rsid w:val="004E562F"/>
    <w:rsid w:val="004E5815"/>
    <w:rsid w:val="004E5DDD"/>
    <w:rsid w:val="004E666E"/>
    <w:rsid w:val="004E6E2A"/>
    <w:rsid w:val="004E7351"/>
    <w:rsid w:val="004F0A46"/>
    <w:rsid w:val="004F0F5C"/>
    <w:rsid w:val="004F0F95"/>
    <w:rsid w:val="004F11F8"/>
    <w:rsid w:val="004F17FB"/>
    <w:rsid w:val="004F215D"/>
    <w:rsid w:val="004F2655"/>
    <w:rsid w:val="004F2AD7"/>
    <w:rsid w:val="004F2B24"/>
    <w:rsid w:val="004F3579"/>
    <w:rsid w:val="004F4573"/>
    <w:rsid w:val="004F567E"/>
    <w:rsid w:val="004F5A35"/>
    <w:rsid w:val="004F67D6"/>
    <w:rsid w:val="00500DB3"/>
    <w:rsid w:val="005017A9"/>
    <w:rsid w:val="0050192C"/>
    <w:rsid w:val="0050217F"/>
    <w:rsid w:val="005021DA"/>
    <w:rsid w:val="00502D61"/>
    <w:rsid w:val="00503830"/>
    <w:rsid w:val="00503E39"/>
    <w:rsid w:val="0050564B"/>
    <w:rsid w:val="005056C4"/>
    <w:rsid w:val="005056E3"/>
    <w:rsid w:val="005069FD"/>
    <w:rsid w:val="00510B7E"/>
    <w:rsid w:val="00511AFE"/>
    <w:rsid w:val="005124D8"/>
    <w:rsid w:val="00512ED6"/>
    <w:rsid w:val="005130D1"/>
    <w:rsid w:val="005139EE"/>
    <w:rsid w:val="00513B01"/>
    <w:rsid w:val="00513C67"/>
    <w:rsid w:val="0051495B"/>
    <w:rsid w:val="00516990"/>
    <w:rsid w:val="00516CE9"/>
    <w:rsid w:val="005177B9"/>
    <w:rsid w:val="00517B96"/>
    <w:rsid w:val="00517DDA"/>
    <w:rsid w:val="00520435"/>
    <w:rsid w:val="00520672"/>
    <w:rsid w:val="00521321"/>
    <w:rsid w:val="00521861"/>
    <w:rsid w:val="00521E96"/>
    <w:rsid w:val="005224A7"/>
    <w:rsid w:val="00523F5C"/>
    <w:rsid w:val="00524312"/>
    <w:rsid w:val="00524A7C"/>
    <w:rsid w:val="00524AEC"/>
    <w:rsid w:val="00524E9C"/>
    <w:rsid w:val="00524F18"/>
    <w:rsid w:val="00525B0A"/>
    <w:rsid w:val="00525EA4"/>
    <w:rsid w:val="0052619E"/>
    <w:rsid w:val="005262B6"/>
    <w:rsid w:val="005268B5"/>
    <w:rsid w:val="00526C3C"/>
    <w:rsid w:val="00526CED"/>
    <w:rsid w:val="005279BA"/>
    <w:rsid w:val="00527AC2"/>
    <w:rsid w:val="00531568"/>
    <w:rsid w:val="00533E74"/>
    <w:rsid w:val="00534454"/>
    <w:rsid w:val="005349BE"/>
    <w:rsid w:val="00534B3F"/>
    <w:rsid w:val="00535501"/>
    <w:rsid w:val="00535D88"/>
    <w:rsid w:val="005368DF"/>
    <w:rsid w:val="00536A72"/>
    <w:rsid w:val="00536AE5"/>
    <w:rsid w:val="005374C9"/>
    <w:rsid w:val="00540408"/>
    <w:rsid w:val="005409BA"/>
    <w:rsid w:val="00541C07"/>
    <w:rsid w:val="00541D60"/>
    <w:rsid w:val="00541DA7"/>
    <w:rsid w:val="0054222A"/>
    <w:rsid w:val="005422EA"/>
    <w:rsid w:val="00542F1C"/>
    <w:rsid w:val="00543394"/>
    <w:rsid w:val="00544348"/>
    <w:rsid w:val="0054443A"/>
    <w:rsid w:val="0054444E"/>
    <w:rsid w:val="00544DAC"/>
    <w:rsid w:val="00546332"/>
    <w:rsid w:val="005463DF"/>
    <w:rsid w:val="00546DD7"/>
    <w:rsid w:val="005472B1"/>
    <w:rsid w:val="00547324"/>
    <w:rsid w:val="00547BBA"/>
    <w:rsid w:val="005501B8"/>
    <w:rsid w:val="00551A3E"/>
    <w:rsid w:val="00551E2D"/>
    <w:rsid w:val="005544AC"/>
    <w:rsid w:val="00554ED5"/>
    <w:rsid w:val="00555C2A"/>
    <w:rsid w:val="00557037"/>
    <w:rsid w:val="005571F2"/>
    <w:rsid w:val="00557219"/>
    <w:rsid w:val="00557885"/>
    <w:rsid w:val="005579E1"/>
    <w:rsid w:val="00560625"/>
    <w:rsid w:val="00560BD8"/>
    <w:rsid w:val="00560F9D"/>
    <w:rsid w:val="005616E6"/>
    <w:rsid w:val="005620CD"/>
    <w:rsid w:val="00562BC9"/>
    <w:rsid w:val="005636A7"/>
    <w:rsid w:val="00563E36"/>
    <w:rsid w:val="0056439B"/>
    <w:rsid w:val="00566371"/>
    <w:rsid w:val="005664DA"/>
    <w:rsid w:val="00566DC2"/>
    <w:rsid w:val="00566FD9"/>
    <w:rsid w:val="0056756C"/>
    <w:rsid w:val="0056758D"/>
    <w:rsid w:val="005710E5"/>
    <w:rsid w:val="005718C8"/>
    <w:rsid w:val="00571EC3"/>
    <w:rsid w:val="00572075"/>
    <w:rsid w:val="00573402"/>
    <w:rsid w:val="00573DD1"/>
    <w:rsid w:val="00574A2D"/>
    <w:rsid w:val="00575FDF"/>
    <w:rsid w:val="005764E8"/>
    <w:rsid w:val="00577C24"/>
    <w:rsid w:val="005802F4"/>
    <w:rsid w:val="00580417"/>
    <w:rsid w:val="00580F68"/>
    <w:rsid w:val="005822CA"/>
    <w:rsid w:val="00582E08"/>
    <w:rsid w:val="005834BE"/>
    <w:rsid w:val="00583CB8"/>
    <w:rsid w:val="00584316"/>
    <w:rsid w:val="00584CD8"/>
    <w:rsid w:val="0058666B"/>
    <w:rsid w:val="00586A26"/>
    <w:rsid w:val="0058799E"/>
    <w:rsid w:val="005906A6"/>
    <w:rsid w:val="00590F35"/>
    <w:rsid w:val="00591C2E"/>
    <w:rsid w:val="0059258C"/>
    <w:rsid w:val="00592A3E"/>
    <w:rsid w:val="00593F0C"/>
    <w:rsid w:val="0059459C"/>
    <w:rsid w:val="00596FFA"/>
    <w:rsid w:val="00597CCB"/>
    <w:rsid w:val="00597E79"/>
    <w:rsid w:val="005A0402"/>
    <w:rsid w:val="005A1518"/>
    <w:rsid w:val="005A1588"/>
    <w:rsid w:val="005A2014"/>
    <w:rsid w:val="005A21A0"/>
    <w:rsid w:val="005A34ED"/>
    <w:rsid w:val="005A3754"/>
    <w:rsid w:val="005A51C3"/>
    <w:rsid w:val="005A543F"/>
    <w:rsid w:val="005A6DF4"/>
    <w:rsid w:val="005A717A"/>
    <w:rsid w:val="005A7643"/>
    <w:rsid w:val="005A7B1E"/>
    <w:rsid w:val="005B0B1A"/>
    <w:rsid w:val="005B1B1A"/>
    <w:rsid w:val="005B2812"/>
    <w:rsid w:val="005B2A03"/>
    <w:rsid w:val="005B30C6"/>
    <w:rsid w:val="005B387C"/>
    <w:rsid w:val="005B4F3D"/>
    <w:rsid w:val="005B55B8"/>
    <w:rsid w:val="005B5B58"/>
    <w:rsid w:val="005B6AAE"/>
    <w:rsid w:val="005B6E73"/>
    <w:rsid w:val="005B7545"/>
    <w:rsid w:val="005C1535"/>
    <w:rsid w:val="005C3782"/>
    <w:rsid w:val="005C41F3"/>
    <w:rsid w:val="005C59D8"/>
    <w:rsid w:val="005C626D"/>
    <w:rsid w:val="005C6FC4"/>
    <w:rsid w:val="005C784E"/>
    <w:rsid w:val="005D16B4"/>
    <w:rsid w:val="005D1DCD"/>
    <w:rsid w:val="005D23EE"/>
    <w:rsid w:val="005D2CCB"/>
    <w:rsid w:val="005D2DA8"/>
    <w:rsid w:val="005D2FD4"/>
    <w:rsid w:val="005D30D4"/>
    <w:rsid w:val="005D31FA"/>
    <w:rsid w:val="005D3F74"/>
    <w:rsid w:val="005D44D0"/>
    <w:rsid w:val="005D4615"/>
    <w:rsid w:val="005D4693"/>
    <w:rsid w:val="005D4E8E"/>
    <w:rsid w:val="005D53CF"/>
    <w:rsid w:val="005D543A"/>
    <w:rsid w:val="005D55CF"/>
    <w:rsid w:val="005D5981"/>
    <w:rsid w:val="005D6631"/>
    <w:rsid w:val="005D7303"/>
    <w:rsid w:val="005D7CB2"/>
    <w:rsid w:val="005E0ACA"/>
    <w:rsid w:val="005E0FAD"/>
    <w:rsid w:val="005E1FE7"/>
    <w:rsid w:val="005E233B"/>
    <w:rsid w:val="005E3615"/>
    <w:rsid w:val="005E363C"/>
    <w:rsid w:val="005E4378"/>
    <w:rsid w:val="005E447B"/>
    <w:rsid w:val="005E5D68"/>
    <w:rsid w:val="005E6063"/>
    <w:rsid w:val="005E6551"/>
    <w:rsid w:val="005E7737"/>
    <w:rsid w:val="005E7B90"/>
    <w:rsid w:val="005F08FC"/>
    <w:rsid w:val="005F0EF2"/>
    <w:rsid w:val="005F20DB"/>
    <w:rsid w:val="005F35A8"/>
    <w:rsid w:val="005F3C2C"/>
    <w:rsid w:val="005F47DE"/>
    <w:rsid w:val="005F4D5E"/>
    <w:rsid w:val="005F534F"/>
    <w:rsid w:val="005F5C18"/>
    <w:rsid w:val="005F5D33"/>
    <w:rsid w:val="005F5E44"/>
    <w:rsid w:val="005F7319"/>
    <w:rsid w:val="005F7B9C"/>
    <w:rsid w:val="005F7FCC"/>
    <w:rsid w:val="006004D2"/>
    <w:rsid w:val="00600A46"/>
    <w:rsid w:val="00600EEA"/>
    <w:rsid w:val="006010BA"/>
    <w:rsid w:val="006016AA"/>
    <w:rsid w:val="006026A3"/>
    <w:rsid w:val="00603850"/>
    <w:rsid w:val="00603CF1"/>
    <w:rsid w:val="006046FD"/>
    <w:rsid w:val="00604B3E"/>
    <w:rsid w:val="00604EC0"/>
    <w:rsid w:val="00604FA0"/>
    <w:rsid w:val="00605221"/>
    <w:rsid w:val="00605D4F"/>
    <w:rsid w:val="0060629E"/>
    <w:rsid w:val="00606CD2"/>
    <w:rsid w:val="006071A7"/>
    <w:rsid w:val="006118FA"/>
    <w:rsid w:val="00611CA3"/>
    <w:rsid w:val="00611E28"/>
    <w:rsid w:val="00612ECF"/>
    <w:rsid w:val="00613EBF"/>
    <w:rsid w:val="006142A5"/>
    <w:rsid w:val="006149F6"/>
    <w:rsid w:val="0061544D"/>
    <w:rsid w:val="00615B82"/>
    <w:rsid w:val="00616089"/>
    <w:rsid w:val="0061648D"/>
    <w:rsid w:val="00616D6E"/>
    <w:rsid w:val="0061767B"/>
    <w:rsid w:val="00617F75"/>
    <w:rsid w:val="006206D7"/>
    <w:rsid w:val="00620DD0"/>
    <w:rsid w:val="006218DA"/>
    <w:rsid w:val="0062273B"/>
    <w:rsid w:val="00622A1F"/>
    <w:rsid w:val="00623078"/>
    <w:rsid w:val="006235EB"/>
    <w:rsid w:val="006238A9"/>
    <w:rsid w:val="00623D2A"/>
    <w:rsid w:val="006241E7"/>
    <w:rsid w:val="006243D0"/>
    <w:rsid w:val="00624941"/>
    <w:rsid w:val="00624EF9"/>
    <w:rsid w:val="006258BA"/>
    <w:rsid w:val="00625B4C"/>
    <w:rsid w:val="006262BB"/>
    <w:rsid w:val="006276A8"/>
    <w:rsid w:val="00630174"/>
    <w:rsid w:val="006312EF"/>
    <w:rsid w:val="00631868"/>
    <w:rsid w:val="006318BA"/>
    <w:rsid w:val="00631A4A"/>
    <w:rsid w:val="00631B5A"/>
    <w:rsid w:val="00633326"/>
    <w:rsid w:val="00633811"/>
    <w:rsid w:val="00634676"/>
    <w:rsid w:val="00635404"/>
    <w:rsid w:val="00636459"/>
    <w:rsid w:val="006367F2"/>
    <w:rsid w:val="00637C88"/>
    <w:rsid w:val="00640BD7"/>
    <w:rsid w:val="00641D36"/>
    <w:rsid w:val="00642048"/>
    <w:rsid w:val="00642572"/>
    <w:rsid w:val="00642650"/>
    <w:rsid w:val="00642769"/>
    <w:rsid w:val="00643041"/>
    <w:rsid w:val="00643CFC"/>
    <w:rsid w:val="006444B9"/>
    <w:rsid w:val="00644A3A"/>
    <w:rsid w:val="00644B4A"/>
    <w:rsid w:val="00644E7B"/>
    <w:rsid w:val="006455A9"/>
    <w:rsid w:val="006456B7"/>
    <w:rsid w:val="006471EB"/>
    <w:rsid w:val="0064752C"/>
    <w:rsid w:val="006511C4"/>
    <w:rsid w:val="00651353"/>
    <w:rsid w:val="00651B25"/>
    <w:rsid w:val="00651DB0"/>
    <w:rsid w:val="0065207E"/>
    <w:rsid w:val="006526A5"/>
    <w:rsid w:val="006527A4"/>
    <w:rsid w:val="00653541"/>
    <w:rsid w:val="00653789"/>
    <w:rsid w:val="00654814"/>
    <w:rsid w:val="00654AF2"/>
    <w:rsid w:val="00654B7A"/>
    <w:rsid w:val="00654C55"/>
    <w:rsid w:val="006557E6"/>
    <w:rsid w:val="00655C06"/>
    <w:rsid w:val="00656CD7"/>
    <w:rsid w:val="00657B32"/>
    <w:rsid w:val="00657ECA"/>
    <w:rsid w:val="0066007A"/>
    <w:rsid w:val="006609DB"/>
    <w:rsid w:val="00660EA8"/>
    <w:rsid w:val="006623D6"/>
    <w:rsid w:val="006629E7"/>
    <w:rsid w:val="00664BE9"/>
    <w:rsid w:val="00664F4F"/>
    <w:rsid w:val="00665256"/>
    <w:rsid w:val="006652B8"/>
    <w:rsid w:val="00665391"/>
    <w:rsid w:val="006654DE"/>
    <w:rsid w:val="006667ED"/>
    <w:rsid w:val="00666B16"/>
    <w:rsid w:val="00666E11"/>
    <w:rsid w:val="00670035"/>
    <w:rsid w:val="00670A9E"/>
    <w:rsid w:val="0067161E"/>
    <w:rsid w:val="00671752"/>
    <w:rsid w:val="00671C1A"/>
    <w:rsid w:val="00671D68"/>
    <w:rsid w:val="00671E3C"/>
    <w:rsid w:val="006727DB"/>
    <w:rsid w:val="00672E2F"/>
    <w:rsid w:val="00673398"/>
    <w:rsid w:val="00674179"/>
    <w:rsid w:val="0067455C"/>
    <w:rsid w:val="00674D50"/>
    <w:rsid w:val="00674DE6"/>
    <w:rsid w:val="00676206"/>
    <w:rsid w:val="00676E32"/>
    <w:rsid w:val="00676FB4"/>
    <w:rsid w:val="006771D1"/>
    <w:rsid w:val="00677403"/>
    <w:rsid w:val="00680756"/>
    <w:rsid w:val="00681690"/>
    <w:rsid w:val="0068190B"/>
    <w:rsid w:val="00682420"/>
    <w:rsid w:val="00682D6E"/>
    <w:rsid w:val="00682D91"/>
    <w:rsid w:val="00682EF4"/>
    <w:rsid w:val="00682F24"/>
    <w:rsid w:val="00683BCF"/>
    <w:rsid w:val="00683E57"/>
    <w:rsid w:val="00684A76"/>
    <w:rsid w:val="00686978"/>
    <w:rsid w:val="00686C74"/>
    <w:rsid w:val="006874A1"/>
    <w:rsid w:val="006876F8"/>
    <w:rsid w:val="00687F1D"/>
    <w:rsid w:val="00690560"/>
    <w:rsid w:val="0069161E"/>
    <w:rsid w:val="00692A4A"/>
    <w:rsid w:val="00692AF3"/>
    <w:rsid w:val="00692CDE"/>
    <w:rsid w:val="0069312C"/>
    <w:rsid w:val="0069324F"/>
    <w:rsid w:val="00693FD8"/>
    <w:rsid w:val="00694CCC"/>
    <w:rsid w:val="00697866"/>
    <w:rsid w:val="006A0DB8"/>
    <w:rsid w:val="006A25E0"/>
    <w:rsid w:val="006A2FB2"/>
    <w:rsid w:val="006A3894"/>
    <w:rsid w:val="006A4616"/>
    <w:rsid w:val="006A5007"/>
    <w:rsid w:val="006A54FC"/>
    <w:rsid w:val="006A60E1"/>
    <w:rsid w:val="006A6322"/>
    <w:rsid w:val="006A71C4"/>
    <w:rsid w:val="006A7545"/>
    <w:rsid w:val="006B0009"/>
    <w:rsid w:val="006B1AF0"/>
    <w:rsid w:val="006B226C"/>
    <w:rsid w:val="006B2482"/>
    <w:rsid w:val="006B2744"/>
    <w:rsid w:val="006B47BE"/>
    <w:rsid w:val="006B542A"/>
    <w:rsid w:val="006B6615"/>
    <w:rsid w:val="006B6BF5"/>
    <w:rsid w:val="006B739D"/>
    <w:rsid w:val="006B7807"/>
    <w:rsid w:val="006B79E9"/>
    <w:rsid w:val="006C018E"/>
    <w:rsid w:val="006C04DC"/>
    <w:rsid w:val="006C0FBE"/>
    <w:rsid w:val="006C15A9"/>
    <w:rsid w:val="006C28D7"/>
    <w:rsid w:val="006C2D98"/>
    <w:rsid w:val="006C358B"/>
    <w:rsid w:val="006C3E12"/>
    <w:rsid w:val="006C5066"/>
    <w:rsid w:val="006C5768"/>
    <w:rsid w:val="006C6030"/>
    <w:rsid w:val="006C71CA"/>
    <w:rsid w:val="006D0B30"/>
    <w:rsid w:val="006D16C6"/>
    <w:rsid w:val="006D22B3"/>
    <w:rsid w:val="006D3248"/>
    <w:rsid w:val="006D3B46"/>
    <w:rsid w:val="006D52C9"/>
    <w:rsid w:val="006D55B1"/>
    <w:rsid w:val="006E0336"/>
    <w:rsid w:val="006E2A2A"/>
    <w:rsid w:val="006E36A4"/>
    <w:rsid w:val="006E38A9"/>
    <w:rsid w:val="006E39B9"/>
    <w:rsid w:val="006E3DE2"/>
    <w:rsid w:val="006E495F"/>
    <w:rsid w:val="006E4AEE"/>
    <w:rsid w:val="006E54E1"/>
    <w:rsid w:val="006E74C9"/>
    <w:rsid w:val="006F03B2"/>
    <w:rsid w:val="006F0478"/>
    <w:rsid w:val="006F137B"/>
    <w:rsid w:val="006F156E"/>
    <w:rsid w:val="006F18E6"/>
    <w:rsid w:val="006F1CE9"/>
    <w:rsid w:val="006F201C"/>
    <w:rsid w:val="006F2DBF"/>
    <w:rsid w:val="006F3878"/>
    <w:rsid w:val="006F4531"/>
    <w:rsid w:val="006F484D"/>
    <w:rsid w:val="006F58BD"/>
    <w:rsid w:val="006F6C37"/>
    <w:rsid w:val="006F6DCF"/>
    <w:rsid w:val="006F7CFD"/>
    <w:rsid w:val="0070044A"/>
    <w:rsid w:val="00703DF7"/>
    <w:rsid w:val="0070479F"/>
    <w:rsid w:val="00705BA8"/>
    <w:rsid w:val="00705FEB"/>
    <w:rsid w:val="00706677"/>
    <w:rsid w:val="00706BC3"/>
    <w:rsid w:val="007107C6"/>
    <w:rsid w:val="007112CE"/>
    <w:rsid w:val="0071138E"/>
    <w:rsid w:val="00711523"/>
    <w:rsid w:val="007126FD"/>
    <w:rsid w:val="007141CB"/>
    <w:rsid w:val="0071428A"/>
    <w:rsid w:val="00714345"/>
    <w:rsid w:val="00714DDD"/>
    <w:rsid w:val="007156D2"/>
    <w:rsid w:val="007162E1"/>
    <w:rsid w:val="007171E6"/>
    <w:rsid w:val="00720CB3"/>
    <w:rsid w:val="00722888"/>
    <w:rsid w:val="0072312A"/>
    <w:rsid w:val="00723167"/>
    <w:rsid w:val="00724B29"/>
    <w:rsid w:val="0072792C"/>
    <w:rsid w:val="007303E9"/>
    <w:rsid w:val="00731A6D"/>
    <w:rsid w:val="00731CDC"/>
    <w:rsid w:val="00731D94"/>
    <w:rsid w:val="00732079"/>
    <w:rsid w:val="0073229C"/>
    <w:rsid w:val="00732512"/>
    <w:rsid w:val="007325C4"/>
    <w:rsid w:val="00732A4F"/>
    <w:rsid w:val="00734AEB"/>
    <w:rsid w:val="00736C6F"/>
    <w:rsid w:val="007371F8"/>
    <w:rsid w:val="0074010C"/>
    <w:rsid w:val="007413EB"/>
    <w:rsid w:val="00741682"/>
    <w:rsid w:val="00741F4D"/>
    <w:rsid w:val="0074229C"/>
    <w:rsid w:val="007426B0"/>
    <w:rsid w:val="00743E49"/>
    <w:rsid w:val="0074458A"/>
    <w:rsid w:val="0074476D"/>
    <w:rsid w:val="00744BBC"/>
    <w:rsid w:val="00744C20"/>
    <w:rsid w:val="00746633"/>
    <w:rsid w:val="00746CFC"/>
    <w:rsid w:val="00747C62"/>
    <w:rsid w:val="007502F1"/>
    <w:rsid w:val="00750472"/>
    <w:rsid w:val="007507E6"/>
    <w:rsid w:val="00750A15"/>
    <w:rsid w:val="0075170E"/>
    <w:rsid w:val="007518E7"/>
    <w:rsid w:val="00751C57"/>
    <w:rsid w:val="00751EA6"/>
    <w:rsid w:val="0075255C"/>
    <w:rsid w:val="007525F4"/>
    <w:rsid w:val="00752D71"/>
    <w:rsid w:val="0075380A"/>
    <w:rsid w:val="0075433E"/>
    <w:rsid w:val="00755068"/>
    <w:rsid w:val="007554A9"/>
    <w:rsid w:val="00755607"/>
    <w:rsid w:val="00756662"/>
    <w:rsid w:val="00757159"/>
    <w:rsid w:val="007574E6"/>
    <w:rsid w:val="00757C59"/>
    <w:rsid w:val="00761EFB"/>
    <w:rsid w:val="00762230"/>
    <w:rsid w:val="00762400"/>
    <w:rsid w:val="00763267"/>
    <w:rsid w:val="00764030"/>
    <w:rsid w:val="007654F8"/>
    <w:rsid w:val="00765601"/>
    <w:rsid w:val="00766A37"/>
    <w:rsid w:val="0076737E"/>
    <w:rsid w:val="0077111C"/>
    <w:rsid w:val="00771274"/>
    <w:rsid w:val="00772620"/>
    <w:rsid w:val="0077298D"/>
    <w:rsid w:val="00772F99"/>
    <w:rsid w:val="0077300A"/>
    <w:rsid w:val="0077340E"/>
    <w:rsid w:val="00774448"/>
    <w:rsid w:val="00774559"/>
    <w:rsid w:val="00774727"/>
    <w:rsid w:val="007747C5"/>
    <w:rsid w:val="0077494B"/>
    <w:rsid w:val="00774D15"/>
    <w:rsid w:val="00774DF6"/>
    <w:rsid w:val="0077513B"/>
    <w:rsid w:val="00775996"/>
    <w:rsid w:val="00776410"/>
    <w:rsid w:val="00776A60"/>
    <w:rsid w:val="00777929"/>
    <w:rsid w:val="00780DBC"/>
    <w:rsid w:val="00781631"/>
    <w:rsid w:val="00781A0E"/>
    <w:rsid w:val="00781B27"/>
    <w:rsid w:val="007835FC"/>
    <w:rsid w:val="00783B85"/>
    <w:rsid w:val="00785E3A"/>
    <w:rsid w:val="00786C3F"/>
    <w:rsid w:val="0078771C"/>
    <w:rsid w:val="007903BC"/>
    <w:rsid w:val="00790E00"/>
    <w:rsid w:val="0079201A"/>
    <w:rsid w:val="0079258F"/>
    <w:rsid w:val="007926FA"/>
    <w:rsid w:val="00792736"/>
    <w:rsid w:val="0079408F"/>
    <w:rsid w:val="0079481B"/>
    <w:rsid w:val="00795629"/>
    <w:rsid w:val="00795A87"/>
    <w:rsid w:val="00796FE7"/>
    <w:rsid w:val="00797449"/>
    <w:rsid w:val="007A10F4"/>
    <w:rsid w:val="007A124A"/>
    <w:rsid w:val="007A1DB0"/>
    <w:rsid w:val="007A28DC"/>
    <w:rsid w:val="007A2CE7"/>
    <w:rsid w:val="007A32C9"/>
    <w:rsid w:val="007A34FC"/>
    <w:rsid w:val="007A412A"/>
    <w:rsid w:val="007A466F"/>
    <w:rsid w:val="007A4E97"/>
    <w:rsid w:val="007A5CED"/>
    <w:rsid w:val="007B0835"/>
    <w:rsid w:val="007B0D45"/>
    <w:rsid w:val="007B28BE"/>
    <w:rsid w:val="007B3F30"/>
    <w:rsid w:val="007B40D1"/>
    <w:rsid w:val="007B4F9E"/>
    <w:rsid w:val="007B50CC"/>
    <w:rsid w:val="007B557A"/>
    <w:rsid w:val="007B5B04"/>
    <w:rsid w:val="007B5D7F"/>
    <w:rsid w:val="007B5DAF"/>
    <w:rsid w:val="007B63D0"/>
    <w:rsid w:val="007B65CD"/>
    <w:rsid w:val="007B694E"/>
    <w:rsid w:val="007B74CA"/>
    <w:rsid w:val="007B7FDC"/>
    <w:rsid w:val="007C129E"/>
    <w:rsid w:val="007C1687"/>
    <w:rsid w:val="007C1BE1"/>
    <w:rsid w:val="007C1E0D"/>
    <w:rsid w:val="007C203E"/>
    <w:rsid w:val="007C37E2"/>
    <w:rsid w:val="007C3973"/>
    <w:rsid w:val="007C41C8"/>
    <w:rsid w:val="007C4A8B"/>
    <w:rsid w:val="007C52F1"/>
    <w:rsid w:val="007C5C6E"/>
    <w:rsid w:val="007C616D"/>
    <w:rsid w:val="007C75BC"/>
    <w:rsid w:val="007C7C0F"/>
    <w:rsid w:val="007D1F54"/>
    <w:rsid w:val="007D20C6"/>
    <w:rsid w:val="007D230F"/>
    <w:rsid w:val="007D23E3"/>
    <w:rsid w:val="007D2612"/>
    <w:rsid w:val="007D3D23"/>
    <w:rsid w:val="007D4818"/>
    <w:rsid w:val="007D4F29"/>
    <w:rsid w:val="007D638C"/>
    <w:rsid w:val="007D6BBF"/>
    <w:rsid w:val="007D7670"/>
    <w:rsid w:val="007E034A"/>
    <w:rsid w:val="007E0427"/>
    <w:rsid w:val="007E1697"/>
    <w:rsid w:val="007E174C"/>
    <w:rsid w:val="007E2137"/>
    <w:rsid w:val="007E21FD"/>
    <w:rsid w:val="007E2B67"/>
    <w:rsid w:val="007E376F"/>
    <w:rsid w:val="007E484C"/>
    <w:rsid w:val="007E569A"/>
    <w:rsid w:val="007E5CA1"/>
    <w:rsid w:val="007E5FF7"/>
    <w:rsid w:val="007E6808"/>
    <w:rsid w:val="007E6BA0"/>
    <w:rsid w:val="007E749F"/>
    <w:rsid w:val="007E7C4D"/>
    <w:rsid w:val="007F02E5"/>
    <w:rsid w:val="007F073F"/>
    <w:rsid w:val="007F0C28"/>
    <w:rsid w:val="007F10E7"/>
    <w:rsid w:val="007F225F"/>
    <w:rsid w:val="007F22F7"/>
    <w:rsid w:val="007F2725"/>
    <w:rsid w:val="007F3354"/>
    <w:rsid w:val="007F3889"/>
    <w:rsid w:val="007F3928"/>
    <w:rsid w:val="007F3A33"/>
    <w:rsid w:val="007F6354"/>
    <w:rsid w:val="007F78E9"/>
    <w:rsid w:val="008002FA"/>
    <w:rsid w:val="00800E94"/>
    <w:rsid w:val="008015CC"/>
    <w:rsid w:val="00801F80"/>
    <w:rsid w:val="00802BBC"/>
    <w:rsid w:val="00802D82"/>
    <w:rsid w:val="008040D1"/>
    <w:rsid w:val="00804FF8"/>
    <w:rsid w:val="00805CDD"/>
    <w:rsid w:val="00807292"/>
    <w:rsid w:val="0081060D"/>
    <w:rsid w:val="0081074A"/>
    <w:rsid w:val="0081075D"/>
    <w:rsid w:val="00810A03"/>
    <w:rsid w:val="00811502"/>
    <w:rsid w:val="008125C9"/>
    <w:rsid w:val="00812FBF"/>
    <w:rsid w:val="008133F5"/>
    <w:rsid w:val="008138BA"/>
    <w:rsid w:val="008138D1"/>
    <w:rsid w:val="008159CE"/>
    <w:rsid w:val="00816413"/>
    <w:rsid w:val="00821962"/>
    <w:rsid w:val="00821FEB"/>
    <w:rsid w:val="008246AA"/>
    <w:rsid w:val="00824768"/>
    <w:rsid w:val="00824952"/>
    <w:rsid w:val="00824987"/>
    <w:rsid w:val="00824B80"/>
    <w:rsid w:val="00825162"/>
    <w:rsid w:val="008255E9"/>
    <w:rsid w:val="008265EF"/>
    <w:rsid w:val="00826C03"/>
    <w:rsid w:val="0082724F"/>
    <w:rsid w:val="008272F3"/>
    <w:rsid w:val="00830A3D"/>
    <w:rsid w:val="00830D5E"/>
    <w:rsid w:val="00830E63"/>
    <w:rsid w:val="008316B1"/>
    <w:rsid w:val="00831954"/>
    <w:rsid w:val="00831A4F"/>
    <w:rsid w:val="00832213"/>
    <w:rsid w:val="0083246D"/>
    <w:rsid w:val="00832AA9"/>
    <w:rsid w:val="00833337"/>
    <w:rsid w:val="008340FE"/>
    <w:rsid w:val="008341B3"/>
    <w:rsid w:val="00835164"/>
    <w:rsid w:val="00835670"/>
    <w:rsid w:val="0083731A"/>
    <w:rsid w:val="00837FA4"/>
    <w:rsid w:val="0084030A"/>
    <w:rsid w:val="00840F59"/>
    <w:rsid w:val="00841E94"/>
    <w:rsid w:val="008420D4"/>
    <w:rsid w:val="00842367"/>
    <w:rsid w:val="00842DFB"/>
    <w:rsid w:val="00843C38"/>
    <w:rsid w:val="00844EDB"/>
    <w:rsid w:val="00844F8E"/>
    <w:rsid w:val="00845575"/>
    <w:rsid w:val="0084666C"/>
    <w:rsid w:val="0084678C"/>
    <w:rsid w:val="0084765B"/>
    <w:rsid w:val="00847E71"/>
    <w:rsid w:val="008514C7"/>
    <w:rsid w:val="00851E37"/>
    <w:rsid w:val="008523DB"/>
    <w:rsid w:val="00852C40"/>
    <w:rsid w:val="0085393C"/>
    <w:rsid w:val="008543F6"/>
    <w:rsid w:val="00854BCD"/>
    <w:rsid w:val="00855D97"/>
    <w:rsid w:val="0085668A"/>
    <w:rsid w:val="00856E7B"/>
    <w:rsid w:val="0086024E"/>
    <w:rsid w:val="008618C0"/>
    <w:rsid w:val="0086397D"/>
    <w:rsid w:val="0086432C"/>
    <w:rsid w:val="0086598B"/>
    <w:rsid w:val="0086772C"/>
    <w:rsid w:val="008678CD"/>
    <w:rsid w:val="00867C05"/>
    <w:rsid w:val="008701CE"/>
    <w:rsid w:val="0087095E"/>
    <w:rsid w:val="00871398"/>
    <w:rsid w:val="00871F59"/>
    <w:rsid w:val="0087354F"/>
    <w:rsid w:val="00874AFD"/>
    <w:rsid w:val="00874D78"/>
    <w:rsid w:val="00875BB5"/>
    <w:rsid w:val="00875C5F"/>
    <w:rsid w:val="00875D2E"/>
    <w:rsid w:val="00876180"/>
    <w:rsid w:val="00876693"/>
    <w:rsid w:val="00877924"/>
    <w:rsid w:val="0088112F"/>
    <w:rsid w:val="008814FB"/>
    <w:rsid w:val="00881EBA"/>
    <w:rsid w:val="008823F6"/>
    <w:rsid w:val="00882768"/>
    <w:rsid w:val="00884C69"/>
    <w:rsid w:val="00885375"/>
    <w:rsid w:val="00885F14"/>
    <w:rsid w:val="008869B6"/>
    <w:rsid w:val="00887331"/>
    <w:rsid w:val="00890183"/>
    <w:rsid w:val="008907BD"/>
    <w:rsid w:val="00890A15"/>
    <w:rsid w:val="00890C95"/>
    <w:rsid w:val="008917AF"/>
    <w:rsid w:val="00891A55"/>
    <w:rsid w:val="00892458"/>
    <w:rsid w:val="00892642"/>
    <w:rsid w:val="00893332"/>
    <w:rsid w:val="008934FA"/>
    <w:rsid w:val="008936B8"/>
    <w:rsid w:val="00893B13"/>
    <w:rsid w:val="00894F92"/>
    <w:rsid w:val="008958A0"/>
    <w:rsid w:val="008961E0"/>
    <w:rsid w:val="008967FD"/>
    <w:rsid w:val="008975C9"/>
    <w:rsid w:val="008A0398"/>
    <w:rsid w:val="008A08EE"/>
    <w:rsid w:val="008A0A01"/>
    <w:rsid w:val="008A0DE0"/>
    <w:rsid w:val="008A1BC3"/>
    <w:rsid w:val="008A1F70"/>
    <w:rsid w:val="008A2093"/>
    <w:rsid w:val="008A2A0C"/>
    <w:rsid w:val="008A3F8E"/>
    <w:rsid w:val="008A406C"/>
    <w:rsid w:val="008A45CA"/>
    <w:rsid w:val="008A483B"/>
    <w:rsid w:val="008A4860"/>
    <w:rsid w:val="008A56D2"/>
    <w:rsid w:val="008B06C5"/>
    <w:rsid w:val="008B100A"/>
    <w:rsid w:val="008B13F1"/>
    <w:rsid w:val="008B1F42"/>
    <w:rsid w:val="008B23B3"/>
    <w:rsid w:val="008B2433"/>
    <w:rsid w:val="008B2566"/>
    <w:rsid w:val="008B2AE2"/>
    <w:rsid w:val="008B30EA"/>
    <w:rsid w:val="008B5590"/>
    <w:rsid w:val="008B5715"/>
    <w:rsid w:val="008B590C"/>
    <w:rsid w:val="008B6B85"/>
    <w:rsid w:val="008C0F8C"/>
    <w:rsid w:val="008C2A2F"/>
    <w:rsid w:val="008C31CE"/>
    <w:rsid w:val="008C334F"/>
    <w:rsid w:val="008C3D9D"/>
    <w:rsid w:val="008C4755"/>
    <w:rsid w:val="008C58B6"/>
    <w:rsid w:val="008C6F8F"/>
    <w:rsid w:val="008C7F3F"/>
    <w:rsid w:val="008D0264"/>
    <w:rsid w:val="008D1490"/>
    <w:rsid w:val="008D14DC"/>
    <w:rsid w:val="008D2D3C"/>
    <w:rsid w:val="008D3191"/>
    <w:rsid w:val="008D31F6"/>
    <w:rsid w:val="008D357E"/>
    <w:rsid w:val="008D3E14"/>
    <w:rsid w:val="008D44D1"/>
    <w:rsid w:val="008D4CEF"/>
    <w:rsid w:val="008D6C30"/>
    <w:rsid w:val="008D6F09"/>
    <w:rsid w:val="008D7360"/>
    <w:rsid w:val="008D7F37"/>
    <w:rsid w:val="008E1A87"/>
    <w:rsid w:val="008E1F99"/>
    <w:rsid w:val="008E2FA3"/>
    <w:rsid w:val="008E3C7B"/>
    <w:rsid w:val="008E4FE9"/>
    <w:rsid w:val="008E5007"/>
    <w:rsid w:val="008E5A7E"/>
    <w:rsid w:val="008E5E46"/>
    <w:rsid w:val="008E5ED9"/>
    <w:rsid w:val="008E699D"/>
    <w:rsid w:val="008E7B20"/>
    <w:rsid w:val="008E7F84"/>
    <w:rsid w:val="008F05C0"/>
    <w:rsid w:val="008F0D17"/>
    <w:rsid w:val="008F0ED2"/>
    <w:rsid w:val="008F1B78"/>
    <w:rsid w:val="008F22D2"/>
    <w:rsid w:val="008F27B9"/>
    <w:rsid w:val="008F2C1D"/>
    <w:rsid w:val="008F36CE"/>
    <w:rsid w:val="008F44CD"/>
    <w:rsid w:val="008F44DE"/>
    <w:rsid w:val="008F4965"/>
    <w:rsid w:val="008F4A23"/>
    <w:rsid w:val="008F4A88"/>
    <w:rsid w:val="008F59E0"/>
    <w:rsid w:val="008F61EC"/>
    <w:rsid w:val="008F7D65"/>
    <w:rsid w:val="008F7F92"/>
    <w:rsid w:val="0090225F"/>
    <w:rsid w:val="00902697"/>
    <w:rsid w:val="009035F2"/>
    <w:rsid w:val="00903B12"/>
    <w:rsid w:val="00903F3F"/>
    <w:rsid w:val="00904018"/>
    <w:rsid w:val="00904473"/>
    <w:rsid w:val="00904912"/>
    <w:rsid w:val="00905D4D"/>
    <w:rsid w:val="00906C25"/>
    <w:rsid w:val="009075D1"/>
    <w:rsid w:val="009117C5"/>
    <w:rsid w:val="00911C93"/>
    <w:rsid w:val="00911E7D"/>
    <w:rsid w:val="00912369"/>
    <w:rsid w:val="00912372"/>
    <w:rsid w:val="00912404"/>
    <w:rsid w:val="00912766"/>
    <w:rsid w:val="00913BD0"/>
    <w:rsid w:val="0091480A"/>
    <w:rsid w:val="0091507B"/>
    <w:rsid w:val="009150A0"/>
    <w:rsid w:val="00915126"/>
    <w:rsid w:val="0091527B"/>
    <w:rsid w:val="00916192"/>
    <w:rsid w:val="009164A9"/>
    <w:rsid w:val="0091731A"/>
    <w:rsid w:val="00917C30"/>
    <w:rsid w:val="00917DB4"/>
    <w:rsid w:val="00920160"/>
    <w:rsid w:val="0092016C"/>
    <w:rsid w:val="0092017B"/>
    <w:rsid w:val="0092146B"/>
    <w:rsid w:val="00921D5D"/>
    <w:rsid w:val="009226C3"/>
    <w:rsid w:val="00922748"/>
    <w:rsid w:val="00922769"/>
    <w:rsid w:val="0092325F"/>
    <w:rsid w:val="009235DC"/>
    <w:rsid w:val="00924362"/>
    <w:rsid w:val="009248E3"/>
    <w:rsid w:val="0092504C"/>
    <w:rsid w:val="00927E57"/>
    <w:rsid w:val="0093038B"/>
    <w:rsid w:val="00930985"/>
    <w:rsid w:val="00930D04"/>
    <w:rsid w:val="009328B6"/>
    <w:rsid w:val="009331BA"/>
    <w:rsid w:val="0093325A"/>
    <w:rsid w:val="0093379C"/>
    <w:rsid w:val="00933F3B"/>
    <w:rsid w:val="00933F52"/>
    <w:rsid w:val="00934283"/>
    <w:rsid w:val="0093644B"/>
    <w:rsid w:val="00937D4E"/>
    <w:rsid w:val="00940515"/>
    <w:rsid w:val="00940A8D"/>
    <w:rsid w:val="00940FDE"/>
    <w:rsid w:val="00941044"/>
    <w:rsid w:val="00941602"/>
    <w:rsid w:val="00941676"/>
    <w:rsid w:val="00942A22"/>
    <w:rsid w:val="00942BB9"/>
    <w:rsid w:val="00943292"/>
    <w:rsid w:val="00943FF6"/>
    <w:rsid w:val="0094597E"/>
    <w:rsid w:val="00946457"/>
    <w:rsid w:val="00952464"/>
    <w:rsid w:val="009529BE"/>
    <w:rsid w:val="00952A60"/>
    <w:rsid w:val="00952D8E"/>
    <w:rsid w:val="00952FDB"/>
    <w:rsid w:val="009540B6"/>
    <w:rsid w:val="00954148"/>
    <w:rsid w:val="00954378"/>
    <w:rsid w:val="0095485F"/>
    <w:rsid w:val="00954D4E"/>
    <w:rsid w:val="00955423"/>
    <w:rsid w:val="00955786"/>
    <w:rsid w:val="00955D93"/>
    <w:rsid w:val="009579FC"/>
    <w:rsid w:val="009604A9"/>
    <w:rsid w:val="009613C5"/>
    <w:rsid w:val="00961E86"/>
    <w:rsid w:val="0096248E"/>
    <w:rsid w:val="009644AC"/>
    <w:rsid w:val="00964627"/>
    <w:rsid w:val="00964CEF"/>
    <w:rsid w:val="00965369"/>
    <w:rsid w:val="0096549C"/>
    <w:rsid w:val="009659E7"/>
    <w:rsid w:val="00965D18"/>
    <w:rsid w:val="00966069"/>
    <w:rsid w:val="0096691B"/>
    <w:rsid w:val="009700B2"/>
    <w:rsid w:val="009704FF"/>
    <w:rsid w:val="009710D8"/>
    <w:rsid w:val="0097177E"/>
    <w:rsid w:val="00971780"/>
    <w:rsid w:val="00971DFD"/>
    <w:rsid w:val="009720DB"/>
    <w:rsid w:val="00972CEB"/>
    <w:rsid w:val="0097311F"/>
    <w:rsid w:val="00974D17"/>
    <w:rsid w:val="009757BC"/>
    <w:rsid w:val="00975A34"/>
    <w:rsid w:val="0097600C"/>
    <w:rsid w:val="00976899"/>
    <w:rsid w:val="00977508"/>
    <w:rsid w:val="00977618"/>
    <w:rsid w:val="0098039D"/>
    <w:rsid w:val="00980998"/>
    <w:rsid w:val="00981CAD"/>
    <w:rsid w:val="00982532"/>
    <w:rsid w:val="00982B47"/>
    <w:rsid w:val="00982B51"/>
    <w:rsid w:val="00982C03"/>
    <w:rsid w:val="00983BC0"/>
    <w:rsid w:val="00985A98"/>
    <w:rsid w:val="00985AB1"/>
    <w:rsid w:val="009860F1"/>
    <w:rsid w:val="009862C3"/>
    <w:rsid w:val="009866A7"/>
    <w:rsid w:val="009869F1"/>
    <w:rsid w:val="00986A4A"/>
    <w:rsid w:val="00986AA2"/>
    <w:rsid w:val="00987086"/>
    <w:rsid w:val="00987376"/>
    <w:rsid w:val="0098767D"/>
    <w:rsid w:val="0098791D"/>
    <w:rsid w:val="00987A03"/>
    <w:rsid w:val="00987F4B"/>
    <w:rsid w:val="0099063F"/>
    <w:rsid w:val="00990FF8"/>
    <w:rsid w:val="009910D3"/>
    <w:rsid w:val="0099157F"/>
    <w:rsid w:val="00991692"/>
    <w:rsid w:val="00991F9D"/>
    <w:rsid w:val="0099263C"/>
    <w:rsid w:val="00992A26"/>
    <w:rsid w:val="009933F6"/>
    <w:rsid w:val="009952EC"/>
    <w:rsid w:val="009955C9"/>
    <w:rsid w:val="00995EC8"/>
    <w:rsid w:val="0099672A"/>
    <w:rsid w:val="00996856"/>
    <w:rsid w:val="00997299"/>
    <w:rsid w:val="009A167A"/>
    <w:rsid w:val="009A22C6"/>
    <w:rsid w:val="009A2B08"/>
    <w:rsid w:val="009A2DEB"/>
    <w:rsid w:val="009A2EB7"/>
    <w:rsid w:val="009A3283"/>
    <w:rsid w:val="009A4762"/>
    <w:rsid w:val="009A4A08"/>
    <w:rsid w:val="009A54AA"/>
    <w:rsid w:val="009A57EA"/>
    <w:rsid w:val="009A5F02"/>
    <w:rsid w:val="009B076E"/>
    <w:rsid w:val="009B2350"/>
    <w:rsid w:val="009B273D"/>
    <w:rsid w:val="009B3251"/>
    <w:rsid w:val="009B4ECF"/>
    <w:rsid w:val="009B617F"/>
    <w:rsid w:val="009C148E"/>
    <w:rsid w:val="009C2F5F"/>
    <w:rsid w:val="009C3DB9"/>
    <w:rsid w:val="009C453A"/>
    <w:rsid w:val="009C572B"/>
    <w:rsid w:val="009C65D6"/>
    <w:rsid w:val="009C6A77"/>
    <w:rsid w:val="009C6B57"/>
    <w:rsid w:val="009C78E7"/>
    <w:rsid w:val="009C7F6F"/>
    <w:rsid w:val="009C7FC2"/>
    <w:rsid w:val="009D01F7"/>
    <w:rsid w:val="009D0585"/>
    <w:rsid w:val="009D17D3"/>
    <w:rsid w:val="009D21BF"/>
    <w:rsid w:val="009D32F8"/>
    <w:rsid w:val="009D4FC3"/>
    <w:rsid w:val="009D6322"/>
    <w:rsid w:val="009D7754"/>
    <w:rsid w:val="009D791C"/>
    <w:rsid w:val="009D7CA9"/>
    <w:rsid w:val="009D7CBA"/>
    <w:rsid w:val="009D7DE4"/>
    <w:rsid w:val="009E08C3"/>
    <w:rsid w:val="009E0B19"/>
    <w:rsid w:val="009E0E8F"/>
    <w:rsid w:val="009E0F0D"/>
    <w:rsid w:val="009E1814"/>
    <w:rsid w:val="009E1BA1"/>
    <w:rsid w:val="009E209A"/>
    <w:rsid w:val="009E2BC2"/>
    <w:rsid w:val="009E33A3"/>
    <w:rsid w:val="009E491C"/>
    <w:rsid w:val="009E49B4"/>
    <w:rsid w:val="009E564A"/>
    <w:rsid w:val="009E6900"/>
    <w:rsid w:val="009E6AE8"/>
    <w:rsid w:val="009E6E4E"/>
    <w:rsid w:val="009F009E"/>
    <w:rsid w:val="009F0186"/>
    <w:rsid w:val="009F04DB"/>
    <w:rsid w:val="009F1DC8"/>
    <w:rsid w:val="009F229A"/>
    <w:rsid w:val="009F2C08"/>
    <w:rsid w:val="009F51AC"/>
    <w:rsid w:val="009F5235"/>
    <w:rsid w:val="009F5905"/>
    <w:rsid w:val="009F675F"/>
    <w:rsid w:val="009F683C"/>
    <w:rsid w:val="009F6C61"/>
    <w:rsid w:val="009F7CE9"/>
    <w:rsid w:val="00A00AB5"/>
    <w:rsid w:val="00A01654"/>
    <w:rsid w:val="00A01F5F"/>
    <w:rsid w:val="00A0271E"/>
    <w:rsid w:val="00A02B74"/>
    <w:rsid w:val="00A02BFD"/>
    <w:rsid w:val="00A03082"/>
    <w:rsid w:val="00A038ED"/>
    <w:rsid w:val="00A03CCF"/>
    <w:rsid w:val="00A03CD2"/>
    <w:rsid w:val="00A04B6B"/>
    <w:rsid w:val="00A04C1D"/>
    <w:rsid w:val="00A054C3"/>
    <w:rsid w:val="00A05C5B"/>
    <w:rsid w:val="00A06BBF"/>
    <w:rsid w:val="00A07DD8"/>
    <w:rsid w:val="00A1039B"/>
    <w:rsid w:val="00A11091"/>
    <w:rsid w:val="00A11EC4"/>
    <w:rsid w:val="00A1311A"/>
    <w:rsid w:val="00A14120"/>
    <w:rsid w:val="00A15626"/>
    <w:rsid w:val="00A16FE1"/>
    <w:rsid w:val="00A21C99"/>
    <w:rsid w:val="00A2214E"/>
    <w:rsid w:val="00A228AA"/>
    <w:rsid w:val="00A2422B"/>
    <w:rsid w:val="00A2572D"/>
    <w:rsid w:val="00A25ACE"/>
    <w:rsid w:val="00A26646"/>
    <w:rsid w:val="00A30385"/>
    <w:rsid w:val="00A30FF5"/>
    <w:rsid w:val="00A318F7"/>
    <w:rsid w:val="00A32077"/>
    <w:rsid w:val="00A322D7"/>
    <w:rsid w:val="00A32612"/>
    <w:rsid w:val="00A32895"/>
    <w:rsid w:val="00A329F7"/>
    <w:rsid w:val="00A3376A"/>
    <w:rsid w:val="00A347F0"/>
    <w:rsid w:val="00A34802"/>
    <w:rsid w:val="00A35812"/>
    <w:rsid w:val="00A3598A"/>
    <w:rsid w:val="00A35C76"/>
    <w:rsid w:val="00A35D36"/>
    <w:rsid w:val="00A362F4"/>
    <w:rsid w:val="00A36D6F"/>
    <w:rsid w:val="00A378AB"/>
    <w:rsid w:val="00A37CB3"/>
    <w:rsid w:val="00A40AEE"/>
    <w:rsid w:val="00A4150D"/>
    <w:rsid w:val="00A4393E"/>
    <w:rsid w:val="00A464AB"/>
    <w:rsid w:val="00A47C3A"/>
    <w:rsid w:val="00A47F83"/>
    <w:rsid w:val="00A508ED"/>
    <w:rsid w:val="00A509A5"/>
    <w:rsid w:val="00A50AEF"/>
    <w:rsid w:val="00A52249"/>
    <w:rsid w:val="00A53E20"/>
    <w:rsid w:val="00A54C2F"/>
    <w:rsid w:val="00A55E10"/>
    <w:rsid w:val="00A56471"/>
    <w:rsid w:val="00A57D8F"/>
    <w:rsid w:val="00A57F61"/>
    <w:rsid w:val="00A60B48"/>
    <w:rsid w:val="00A60D92"/>
    <w:rsid w:val="00A60E54"/>
    <w:rsid w:val="00A619D1"/>
    <w:rsid w:val="00A62F56"/>
    <w:rsid w:val="00A63A8D"/>
    <w:rsid w:val="00A65948"/>
    <w:rsid w:val="00A66A11"/>
    <w:rsid w:val="00A66E73"/>
    <w:rsid w:val="00A67DF3"/>
    <w:rsid w:val="00A70843"/>
    <w:rsid w:val="00A70963"/>
    <w:rsid w:val="00A71306"/>
    <w:rsid w:val="00A71487"/>
    <w:rsid w:val="00A717A8"/>
    <w:rsid w:val="00A71B7D"/>
    <w:rsid w:val="00A727C8"/>
    <w:rsid w:val="00A73503"/>
    <w:rsid w:val="00A74894"/>
    <w:rsid w:val="00A75244"/>
    <w:rsid w:val="00A7560D"/>
    <w:rsid w:val="00A756C6"/>
    <w:rsid w:val="00A76856"/>
    <w:rsid w:val="00A80495"/>
    <w:rsid w:val="00A80D47"/>
    <w:rsid w:val="00A812AF"/>
    <w:rsid w:val="00A82601"/>
    <w:rsid w:val="00A82A40"/>
    <w:rsid w:val="00A82A58"/>
    <w:rsid w:val="00A8317E"/>
    <w:rsid w:val="00A83BA4"/>
    <w:rsid w:val="00A83E3B"/>
    <w:rsid w:val="00A83E7E"/>
    <w:rsid w:val="00A84159"/>
    <w:rsid w:val="00A84C73"/>
    <w:rsid w:val="00A85AE2"/>
    <w:rsid w:val="00A85B6B"/>
    <w:rsid w:val="00A85CC8"/>
    <w:rsid w:val="00A863FA"/>
    <w:rsid w:val="00A86519"/>
    <w:rsid w:val="00A86D0E"/>
    <w:rsid w:val="00A90E6D"/>
    <w:rsid w:val="00A9139A"/>
    <w:rsid w:val="00A91468"/>
    <w:rsid w:val="00A93637"/>
    <w:rsid w:val="00A93C4C"/>
    <w:rsid w:val="00A94F4F"/>
    <w:rsid w:val="00A95D21"/>
    <w:rsid w:val="00A95E1B"/>
    <w:rsid w:val="00A9686B"/>
    <w:rsid w:val="00A96C1B"/>
    <w:rsid w:val="00A97867"/>
    <w:rsid w:val="00A97D07"/>
    <w:rsid w:val="00AA028E"/>
    <w:rsid w:val="00AA0338"/>
    <w:rsid w:val="00AA0769"/>
    <w:rsid w:val="00AA0FEF"/>
    <w:rsid w:val="00AA2B7A"/>
    <w:rsid w:val="00AA2C39"/>
    <w:rsid w:val="00AA3789"/>
    <w:rsid w:val="00AA3E41"/>
    <w:rsid w:val="00AA550A"/>
    <w:rsid w:val="00AB1E1D"/>
    <w:rsid w:val="00AB1FA2"/>
    <w:rsid w:val="00AB27A8"/>
    <w:rsid w:val="00AB2F53"/>
    <w:rsid w:val="00AB3535"/>
    <w:rsid w:val="00AB388E"/>
    <w:rsid w:val="00AB3FE1"/>
    <w:rsid w:val="00AB4343"/>
    <w:rsid w:val="00AB45C5"/>
    <w:rsid w:val="00AB5199"/>
    <w:rsid w:val="00AB60B1"/>
    <w:rsid w:val="00AB6A88"/>
    <w:rsid w:val="00AB6C6C"/>
    <w:rsid w:val="00AB6F4F"/>
    <w:rsid w:val="00AB78BF"/>
    <w:rsid w:val="00AC00E9"/>
    <w:rsid w:val="00AC175E"/>
    <w:rsid w:val="00AC187E"/>
    <w:rsid w:val="00AC2775"/>
    <w:rsid w:val="00AC3EE9"/>
    <w:rsid w:val="00AC444E"/>
    <w:rsid w:val="00AC4F1D"/>
    <w:rsid w:val="00AC643E"/>
    <w:rsid w:val="00AC755E"/>
    <w:rsid w:val="00AC77E8"/>
    <w:rsid w:val="00AC7B1B"/>
    <w:rsid w:val="00AD043E"/>
    <w:rsid w:val="00AD0E7E"/>
    <w:rsid w:val="00AD2684"/>
    <w:rsid w:val="00AD27B4"/>
    <w:rsid w:val="00AD2ABF"/>
    <w:rsid w:val="00AD34CB"/>
    <w:rsid w:val="00AD39F9"/>
    <w:rsid w:val="00AD584E"/>
    <w:rsid w:val="00AD59F8"/>
    <w:rsid w:val="00AD5FA9"/>
    <w:rsid w:val="00AD64BE"/>
    <w:rsid w:val="00AD6576"/>
    <w:rsid w:val="00AD723B"/>
    <w:rsid w:val="00AD770D"/>
    <w:rsid w:val="00AE0F2A"/>
    <w:rsid w:val="00AE12B0"/>
    <w:rsid w:val="00AE188D"/>
    <w:rsid w:val="00AE2B4D"/>
    <w:rsid w:val="00AE4100"/>
    <w:rsid w:val="00AE555B"/>
    <w:rsid w:val="00AE5C30"/>
    <w:rsid w:val="00AE64C9"/>
    <w:rsid w:val="00AE684B"/>
    <w:rsid w:val="00AE70EF"/>
    <w:rsid w:val="00AE7886"/>
    <w:rsid w:val="00AE7E1C"/>
    <w:rsid w:val="00AF0C79"/>
    <w:rsid w:val="00AF11FB"/>
    <w:rsid w:val="00AF1AC3"/>
    <w:rsid w:val="00AF1F1A"/>
    <w:rsid w:val="00AF20CA"/>
    <w:rsid w:val="00AF23D1"/>
    <w:rsid w:val="00AF32E6"/>
    <w:rsid w:val="00AF3C11"/>
    <w:rsid w:val="00AF3E59"/>
    <w:rsid w:val="00AF41ED"/>
    <w:rsid w:val="00AF4219"/>
    <w:rsid w:val="00AF5714"/>
    <w:rsid w:val="00AF5E5A"/>
    <w:rsid w:val="00AF6761"/>
    <w:rsid w:val="00AF68D5"/>
    <w:rsid w:val="00AF75BD"/>
    <w:rsid w:val="00AF7C74"/>
    <w:rsid w:val="00B00300"/>
    <w:rsid w:val="00B004CB"/>
    <w:rsid w:val="00B00662"/>
    <w:rsid w:val="00B00FCF"/>
    <w:rsid w:val="00B0103B"/>
    <w:rsid w:val="00B017E5"/>
    <w:rsid w:val="00B0269C"/>
    <w:rsid w:val="00B02821"/>
    <w:rsid w:val="00B0465C"/>
    <w:rsid w:val="00B06002"/>
    <w:rsid w:val="00B064BD"/>
    <w:rsid w:val="00B06872"/>
    <w:rsid w:val="00B07FAD"/>
    <w:rsid w:val="00B103C0"/>
    <w:rsid w:val="00B11BC0"/>
    <w:rsid w:val="00B13DBA"/>
    <w:rsid w:val="00B142A6"/>
    <w:rsid w:val="00B14EF5"/>
    <w:rsid w:val="00B15328"/>
    <w:rsid w:val="00B159A8"/>
    <w:rsid w:val="00B16723"/>
    <w:rsid w:val="00B16D8A"/>
    <w:rsid w:val="00B2086B"/>
    <w:rsid w:val="00B21D14"/>
    <w:rsid w:val="00B21F85"/>
    <w:rsid w:val="00B22F79"/>
    <w:rsid w:val="00B241BD"/>
    <w:rsid w:val="00B24B35"/>
    <w:rsid w:val="00B24D1D"/>
    <w:rsid w:val="00B25D95"/>
    <w:rsid w:val="00B263DE"/>
    <w:rsid w:val="00B264E6"/>
    <w:rsid w:val="00B27706"/>
    <w:rsid w:val="00B3014C"/>
    <w:rsid w:val="00B30966"/>
    <w:rsid w:val="00B313B6"/>
    <w:rsid w:val="00B31960"/>
    <w:rsid w:val="00B31972"/>
    <w:rsid w:val="00B3253A"/>
    <w:rsid w:val="00B327E7"/>
    <w:rsid w:val="00B34582"/>
    <w:rsid w:val="00B34E8C"/>
    <w:rsid w:val="00B3649F"/>
    <w:rsid w:val="00B41972"/>
    <w:rsid w:val="00B41E81"/>
    <w:rsid w:val="00B42145"/>
    <w:rsid w:val="00B42F5D"/>
    <w:rsid w:val="00B42FC6"/>
    <w:rsid w:val="00B43097"/>
    <w:rsid w:val="00B43184"/>
    <w:rsid w:val="00B44ED9"/>
    <w:rsid w:val="00B45127"/>
    <w:rsid w:val="00B455FE"/>
    <w:rsid w:val="00B45779"/>
    <w:rsid w:val="00B4695C"/>
    <w:rsid w:val="00B46BB0"/>
    <w:rsid w:val="00B47148"/>
    <w:rsid w:val="00B4733D"/>
    <w:rsid w:val="00B47C1D"/>
    <w:rsid w:val="00B50DF8"/>
    <w:rsid w:val="00B5194C"/>
    <w:rsid w:val="00B51D0D"/>
    <w:rsid w:val="00B51EDD"/>
    <w:rsid w:val="00B526CA"/>
    <w:rsid w:val="00B5281A"/>
    <w:rsid w:val="00B53840"/>
    <w:rsid w:val="00B53AA5"/>
    <w:rsid w:val="00B53B32"/>
    <w:rsid w:val="00B54502"/>
    <w:rsid w:val="00B54D19"/>
    <w:rsid w:val="00B5525F"/>
    <w:rsid w:val="00B5544F"/>
    <w:rsid w:val="00B56133"/>
    <w:rsid w:val="00B56B56"/>
    <w:rsid w:val="00B56B63"/>
    <w:rsid w:val="00B57534"/>
    <w:rsid w:val="00B6066D"/>
    <w:rsid w:val="00B6075E"/>
    <w:rsid w:val="00B612F2"/>
    <w:rsid w:val="00B6184E"/>
    <w:rsid w:val="00B61DAF"/>
    <w:rsid w:val="00B63826"/>
    <w:rsid w:val="00B63BD8"/>
    <w:rsid w:val="00B64001"/>
    <w:rsid w:val="00B6417C"/>
    <w:rsid w:val="00B6437F"/>
    <w:rsid w:val="00B672EE"/>
    <w:rsid w:val="00B673F3"/>
    <w:rsid w:val="00B675E7"/>
    <w:rsid w:val="00B703B7"/>
    <w:rsid w:val="00B70489"/>
    <w:rsid w:val="00B7081A"/>
    <w:rsid w:val="00B7199D"/>
    <w:rsid w:val="00B71FD5"/>
    <w:rsid w:val="00B7214C"/>
    <w:rsid w:val="00B72CA5"/>
    <w:rsid w:val="00B730E0"/>
    <w:rsid w:val="00B7349E"/>
    <w:rsid w:val="00B75FA0"/>
    <w:rsid w:val="00B76294"/>
    <w:rsid w:val="00B76417"/>
    <w:rsid w:val="00B76E4A"/>
    <w:rsid w:val="00B773BB"/>
    <w:rsid w:val="00B80740"/>
    <w:rsid w:val="00B808FA"/>
    <w:rsid w:val="00B80C2A"/>
    <w:rsid w:val="00B81657"/>
    <w:rsid w:val="00B827D7"/>
    <w:rsid w:val="00B82C9C"/>
    <w:rsid w:val="00B836FF"/>
    <w:rsid w:val="00B83821"/>
    <w:rsid w:val="00B84124"/>
    <w:rsid w:val="00B84C6D"/>
    <w:rsid w:val="00B85204"/>
    <w:rsid w:val="00B8563B"/>
    <w:rsid w:val="00B857EE"/>
    <w:rsid w:val="00B870D7"/>
    <w:rsid w:val="00B8773D"/>
    <w:rsid w:val="00B9007C"/>
    <w:rsid w:val="00B90B4C"/>
    <w:rsid w:val="00B91DF9"/>
    <w:rsid w:val="00B9295E"/>
    <w:rsid w:val="00B929AF"/>
    <w:rsid w:val="00B93D17"/>
    <w:rsid w:val="00B949B5"/>
    <w:rsid w:val="00B95670"/>
    <w:rsid w:val="00B9631B"/>
    <w:rsid w:val="00B96DCB"/>
    <w:rsid w:val="00BA0343"/>
    <w:rsid w:val="00BA0482"/>
    <w:rsid w:val="00BA0AF9"/>
    <w:rsid w:val="00BA16BA"/>
    <w:rsid w:val="00BA26DF"/>
    <w:rsid w:val="00BA38DB"/>
    <w:rsid w:val="00BA3BAB"/>
    <w:rsid w:val="00BA41D4"/>
    <w:rsid w:val="00BA4F02"/>
    <w:rsid w:val="00BA5378"/>
    <w:rsid w:val="00BA5437"/>
    <w:rsid w:val="00BA57BE"/>
    <w:rsid w:val="00BA6752"/>
    <w:rsid w:val="00BA69DD"/>
    <w:rsid w:val="00BA6D7E"/>
    <w:rsid w:val="00BA7EB3"/>
    <w:rsid w:val="00BA7FF0"/>
    <w:rsid w:val="00BB0516"/>
    <w:rsid w:val="00BB0823"/>
    <w:rsid w:val="00BB1B94"/>
    <w:rsid w:val="00BB40BA"/>
    <w:rsid w:val="00BB54C5"/>
    <w:rsid w:val="00BB63ED"/>
    <w:rsid w:val="00BB74B0"/>
    <w:rsid w:val="00BB761E"/>
    <w:rsid w:val="00BC06B3"/>
    <w:rsid w:val="00BC06E5"/>
    <w:rsid w:val="00BC0BC9"/>
    <w:rsid w:val="00BC0C23"/>
    <w:rsid w:val="00BC0D60"/>
    <w:rsid w:val="00BC0F75"/>
    <w:rsid w:val="00BC20F4"/>
    <w:rsid w:val="00BC378F"/>
    <w:rsid w:val="00BC5759"/>
    <w:rsid w:val="00BC5E2B"/>
    <w:rsid w:val="00BC6280"/>
    <w:rsid w:val="00BC6341"/>
    <w:rsid w:val="00BC6762"/>
    <w:rsid w:val="00BC6AA7"/>
    <w:rsid w:val="00BC6FF4"/>
    <w:rsid w:val="00BC72DC"/>
    <w:rsid w:val="00BC74FD"/>
    <w:rsid w:val="00BC77C3"/>
    <w:rsid w:val="00BC77D2"/>
    <w:rsid w:val="00BC7CEC"/>
    <w:rsid w:val="00BD43F5"/>
    <w:rsid w:val="00BD5BC1"/>
    <w:rsid w:val="00BD5FB0"/>
    <w:rsid w:val="00BD67F7"/>
    <w:rsid w:val="00BD7C62"/>
    <w:rsid w:val="00BD7E37"/>
    <w:rsid w:val="00BE09D3"/>
    <w:rsid w:val="00BE0EB6"/>
    <w:rsid w:val="00BE4197"/>
    <w:rsid w:val="00BE471D"/>
    <w:rsid w:val="00BE48CC"/>
    <w:rsid w:val="00BE4BCE"/>
    <w:rsid w:val="00BE4CEF"/>
    <w:rsid w:val="00BE537C"/>
    <w:rsid w:val="00BE632C"/>
    <w:rsid w:val="00BE6627"/>
    <w:rsid w:val="00BE67B6"/>
    <w:rsid w:val="00BE6F8B"/>
    <w:rsid w:val="00BE7E07"/>
    <w:rsid w:val="00BF07C4"/>
    <w:rsid w:val="00BF109A"/>
    <w:rsid w:val="00BF18FE"/>
    <w:rsid w:val="00BF2F05"/>
    <w:rsid w:val="00BF2F2D"/>
    <w:rsid w:val="00BF3DDD"/>
    <w:rsid w:val="00BF4033"/>
    <w:rsid w:val="00BF4CF1"/>
    <w:rsid w:val="00BF4D1C"/>
    <w:rsid w:val="00BF5947"/>
    <w:rsid w:val="00BF5F74"/>
    <w:rsid w:val="00BF64FB"/>
    <w:rsid w:val="00BF671E"/>
    <w:rsid w:val="00BF69B0"/>
    <w:rsid w:val="00BF7239"/>
    <w:rsid w:val="00C00DC1"/>
    <w:rsid w:val="00C017D2"/>
    <w:rsid w:val="00C01E49"/>
    <w:rsid w:val="00C026E6"/>
    <w:rsid w:val="00C02A6F"/>
    <w:rsid w:val="00C02CD4"/>
    <w:rsid w:val="00C038C5"/>
    <w:rsid w:val="00C03E41"/>
    <w:rsid w:val="00C046A4"/>
    <w:rsid w:val="00C04FD7"/>
    <w:rsid w:val="00C05874"/>
    <w:rsid w:val="00C06118"/>
    <w:rsid w:val="00C07571"/>
    <w:rsid w:val="00C07C07"/>
    <w:rsid w:val="00C07D4F"/>
    <w:rsid w:val="00C07DC2"/>
    <w:rsid w:val="00C104A0"/>
    <w:rsid w:val="00C10E45"/>
    <w:rsid w:val="00C11817"/>
    <w:rsid w:val="00C11C2F"/>
    <w:rsid w:val="00C12D2A"/>
    <w:rsid w:val="00C13C90"/>
    <w:rsid w:val="00C13FD2"/>
    <w:rsid w:val="00C15793"/>
    <w:rsid w:val="00C16D93"/>
    <w:rsid w:val="00C17FFC"/>
    <w:rsid w:val="00C208B6"/>
    <w:rsid w:val="00C208C8"/>
    <w:rsid w:val="00C20D32"/>
    <w:rsid w:val="00C22177"/>
    <w:rsid w:val="00C237F7"/>
    <w:rsid w:val="00C2396C"/>
    <w:rsid w:val="00C23A1F"/>
    <w:rsid w:val="00C23CC0"/>
    <w:rsid w:val="00C24FE6"/>
    <w:rsid w:val="00C25C6D"/>
    <w:rsid w:val="00C25D2B"/>
    <w:rsid w:val="00C2761F"/>
    <w:rsid w:val="00C32CEB"/>
    <w:rsid w:val="00C3341E"/>
    <w:rsid w:val="00C33D61"/>
    <w:rsid w:val="00C35405"/>
    <w:rsid w:val="00C3565C"/>
    <w:rsid w:val="00C35C41"/>
    <w:rsid w:val="00C35FDF"/>
    <w:rsid w:val="00C361FB"/>
    <w:rsid w:val="00C362F5"/>
    <w:rsid w:val="00C365B4"/>
    <w:rsid w:val="00C36932"/>
    <w:rsid w:val="00C36F1F"/>
    <w:rsid w:val="00C4054E"/>
    <w:rsid w:val="00C406C2"/>
    <w:rsid w:val="00C41B03"/>
    <w:rsid w:val="00C41E84"/>
    <w:rsid w:val="00C430A3"/>
    <w:rsid w:val="00C442EE"/>
    <w:rsid w:val="00C4477F"/>
    <w:rsid w:val="00C44A40"/>
    <w:rsid w:val="00C44D66"/>
    <w:rsid w:val="00C45A7B"/>
    <w:rsid w:val="00C46052"/>
    <w:rsid w:val="00C46378"/>
    <w:rsid w:val="00C464F3"/>
    <w:rsid w:val="00C46B74"/>
    <w:rsid w:val="00C47725"/>
    <w:rsid w:val="00C477B1"/>
    <w:rsid w:val="00C47EAF"/>
    <w:rsid w:val="00C50357"/>
    <w:rsid w:val="00C50389"/>
    <w:rsid w:val="00C506C4"/>
    <w:rsid w:val="00C50DC1"/>
    <w:rsid w:val="00C50F86"/>
    <w:rsid w:val="00C51461"/>
    <w:rsid w:val="00C517A7"/>
    <w:rsid w:val="00C51A9B"/>
    <w:rsid w:val="00C51E37"/>
    <w:rsid w:val="00C5286D"/>
    <w:rsid w:val="00C54482"/>
    <w:rsid w:val="00C55BB8"/>
    <w:rsid w:val="00C56028"/>
    <w:rsid w:val="00C56244"/>
    <w:rsid w:val="00C576B0"/>
    <w:rsid w:val="00C577C7"/>
    <w:rsid w:val="00C579D1"/>
    <w:rsid w:val="00C60A62"/>
    <w:rsid w:val="00C6171B"/>
    <w:rsid w:val="00C61D45"/>
    <w:rsid w:val="00C621EF"/>
    <w:rsid w:val="00C62BD4"/>
    <w:rsid w:val="00C64674"/>
    <w:rsid w:val="00C65E77"/>
    <w:rsid w:val="00C66F75"/>
    <w:rsid w:val="00C67B80"/>
    <w:rsid w:val="00C722E2"/>
    <w:rsid w:val="00C73430"/>
    <w:rsid w:val="00C73C1B"/>
    <w:rsid w:val="00C74B49"/>
    <w:rsid w:val="00C75485"/>
    <w:rsid w:val="00C75A45"/>
    <w:rsid w:val="00C75E22"/>
    <w:rsid w:val="00C76084"/>
    <w:rsid w:val="00C764B3"/>
    <w:rsid w:val="00C76B32"/>
    <w:rsid w:val="00C8061E"/>
    <w:rsid w:val="00C806D7"/>
    <w:rsid w:val="00C808EE"/>
    <w:rsid w:val="00C80B62"/>
    <w:rsid w:val="00C811BF"/>
    <w:rsid w:val="00C82072"/>
    <w:rsid w:val="00C82433"/>
    <w:rsid w:val="00C83C09"/>
    <w:rsid w:val="00C85519"/>
    <w:rsid w:val="00C86026"/>
    <w:rsid w:val="00C8657D"/>
    <w:rsid w:val="00C86D26"/>
    <w:rsid w:val="00C8774B"/>
    <w:rsid w:val="00C878BA"/>
    <w:rsid w:val="00C9027A"/>
    <w:rsid w:val="00C90311"/>
    <w:rsid w:val="00C90797"/>
    <w:rsid w:val="00C909EF"/>
    <w:rsid w:val="00C90F39"/>
    <w:rsid w:val="00C93535"/>
    <w:rsid w:val="00C93C87"/>
    <w:rsid w:val="00C96229"/>
    <w:rsid w:val="00C971BD"/>
    <w:rsid w:val="00C971DA"/>
    <w:rsid w:val="00CA0814"/>
    <w:rsid w:val="00CA178C"/>
    <w:rsid w:val="00CA28CE"/>
    <w:rsid w:val="00CA2E5A"/>
    <w:rsid w:val="00CA3110"/>
    <w:rsid w:val="00CA43C6"/>
    <w:rsid w:val="00CA4C88"/>
    <w:rsid w:val="00CA599D"/>
    <w:rsid w:val="00CA64FC"/>
    <w:rsid w:val="00CA67E0"/>
    <w:rsid w:val="00CA6B15"/>
    <w:rsid w:val="00CA7530"/>
    <w:rsid w:val="00CB07A3"/>
    <w:rsid w:val="00CB0884"/>
    <w:rsid w:val="00CB16AB"/>
    <w:rsid w:val="00CB1F10"/>
    <w:rsid w:val="00CB2C89"/>
    <w:rsid w:val="00CB2D32"/>
    <w:rsid w:val="00CB2F51"/>
    <w:rsid w:val="00CB3924"/>
    <w:rsid w:val="00CB49AD"/>
    <w:rsid w:val="00CB6057"/>
    <w:rsid w:val="00CB6FAF"/>
    <w:rsid w:val="00CB712F"/>
    <w:rsid w:val="00CB7C23"/>
    <w:rsid w:val="00CB7CB3"/>
    <w:rsid w:val="00CC07C9"/>
    <w:rsid w:val="00CC0A06"/>
    <w:rsid w:val="00CC111D"/>
    <w:rsid w:val="00CC12F2"/>
    <w:rsid w:val="00CC2315"/>
    <w:rsid w:val="00CC2C3E"/>
    <w:rsid w:val="00CC50FC"/>
    <w:rsid w:val="00CC56F9"/>
    <w:rsid w:val="00CC5DBC"/>
    <w:rsid w:val="00CC5F68"/>
    <w:rsid w:val="00CC76D9"/>
    <w:rsid w:val="00CD03FD"/>
    <w:rsid w:val="00CD068A"/>
    <w:rsid w:val="00CD08E0"/>
    <w:rsid w:val="00CD13A9"/>
    <w:rsid w:val="00CD1DB1"/>
    <w:rsid w:val="00CD3157"/>
    <w:rsid w:val="00CD31FB"/>
    <w:rsid w:val="00CD4422"/>
    <w:rsid w:val="00CD4A8C"/>
    <w:rsid w:val="00CD52FE"/>
    <w:rsid w:val="00CD65E8"/>
    <w:rsid w:val="00CD6C4F"/>
    <w:rsid w:val="00CD7517"/>
    <w:rsid w:val="00CD7727"/>
    <w:rsid w:val="00CD798C"/>
    <w:rsid w:val="00CD7CF0"/>
    <w:rsid w:val="00CE0B67"/>
    <w:rsid w:val="00CE1011"/>
    <w:rsid w:val="00CE1CBA"/>
    <w:rsid w:val="00CE2CE0"/>
    <w:rsid w:val="00CE39DF"/>
    <w:rsid w:val="00CE3DE2"/>
    <w:rsid w:val="00CE510A"/>
    <w:rsid w:val="00CE64E8"/>
    <w:rsid w:val="00CE685D"/>
    <w:rsid w:val="00CE69B7"/>
    <w:rsid w:val="00CE6D50"/>
    <w:rsid w:val="00CF035F"/>
    <w:rsid w:val="00CF06D4"/>
    <w:rsid w:val="00CF172C"/>
    <w:rsid w:val="00CF2375"/>
    <w:rsid w:val="00CF2CFC"/>
    <w:rsid w:val="00CF3058"/>
    <w:rsid w:val="00CF49F2"/>
    <w:rsid w:val="00CF651C"/>
    <w:rsid w:val="00CF711A"/>
    <w:rsid w:val="00CF7A6F"/>
    <w:rsid w:val="00D0024A"/>
    <w:rsid w:val="00D0034E"/>
    <w:rsid w:val="00D004C7"/>
    <w:rsid w:val="00D009EB"/>
    <w:rsid w:val="00D012F6"/>
    <w:rsid w:val="00D01BDD"/>
    <w:rsid w:val="00D01D07"/>
    <w:rsid w:val="00D02502"/>
    <w:rsid w:val="00D03618"/>
    <w:rsid w:val="00D03D85"/>
    <w:rsid w:val="00D04E5C"/>
    <w:rsid w:val="00D05573"/>
    <w:rsid w:val="00D05B63"/>
    <w:rsid w:val="00D0636D"/>
    <w:rsid w:val="00D0667C"/>
    <w:rsid w:val="00D0772D"/>
    <w:rsid w:val="00D07E00"/>
    <w:rsid w:val="00D100A2"/>
    <w:rsid w:val="00D100D6"/>
    <w:rsid w:val="00D10734"/>
    <w:rsid w:val="00D10C44"/>
    <w:rsid w:val="00D11111"/>
    <w:rsid w:val="00D11251"/>
    <w:rsid w:val="00D11B31"/>
    <w:rsid w:val="00D11D3E"/>
    <w:rsid w:val="00D12409"/>
    <w:rsid w:val="00D12AB1"/>
    <w:rsid w:val="00D13C44"/>
    <w:rsid w:val="00D14E4D"/>
    <w:rsid w:val="00D15072"/>
    <w:rsid w:val="00D150DA"/>
    <w:rsid w:val="00D1529C"/>
    <w:rsid w:val="00D154B2"/>
    <w:rsid w:val="00D16BC1"/>
    <w:rsid w:val="00D16E0B"/>
    <w:rsid w:val="00D16ED8"/>
    <w:rsid w:val="00D16FF3"/>
    <w:rsid w:val="00D206D8"/>
    <w:rsid w:val="00D20E76"/>
    <w:rsid w:val="00D21026"/>
    <w:rsid w:val="00D21641"/>
    <w:rsid w:val="00D216E6"/>
    <w:rsid w:val="00D22174"/>
    <w:rsid w:val="00D22257"/>
    <w:rsid w:val="00D22642"/>
    <w:rsid w:val="00D2655B"/>
    <w:rsid w:val="00D300D5"/>
    <w:rsid w:val="00D316B7"/>
    <w:rsid w:val="00D31A6F"/>
    <w:rsid w:val="00D32546"/>
    <w:rsid w:val="00D3407A"/>
    <w:rsid w:val="00D345BD"/>
    <w:rsid w:val="00D35C30"/>
    <w:rsid w:val="00D36E20"/>
    <w:rsid w:val="00D37470"/>
    <w:rsid w:val="00D37706"/>
    <w:rsid w:val="00D406B8"/>
    <w:rsid w:val="00D414DB"/>
    <w:rsid w:val="00D422C1"/>
    <w:rsid w:val="00D42784"/>
    <w:rsid w:val="00D43991"/>
    <w:rsid w:val="00D44222"/>
    <w:rsid w:val="00D46C73"/>
    <w:rsid w:val="00D47016"/>
    <w:rsid w:val="00D4744C"/>
    <w:rsid w:val="00D51B6C"/>
    <w:rsid w:val="00D52D15"/>
    <w:rsid w:val="00D52E93"/>
    <w:rsid w:val="00D538CD"/>
    <w:rsid w:val="00D54C56"/>
    <w:rsid w:val="00D55EA5"/>
    <w:rsid w:val="00D5626C"/>
    <w:rsid w:val="00D56A5E"/>
    <w:rsid w:val="00D571F9"/>
    <w:rsid w:val="00D6006E"/>
    <w:rsid w:val="00D60EFE"/>
    <w:rsid w:val="00D611F0"/>
    <w:rsid w:val="00D62B27"/>
    <w:rsid w:val="00D62BA2"/>
    <w:rsid w:val="00D62CA2"/>
    <w:rsid w:val="00D63883"/>
    <w:rsid w:val="00D63AF4"/>
    <w:rsid w:val="00D64601"/>
    <w:rsid w:val="00D66780"/>
    <w:rsid w:val="00D70F4F"/>
    <w:rsid w:val="00D7114C"/>
    <w:rsid w:val="00D71AF9"/>
    <w:rsid w:val="00D72653"/>
    <w:rsid w:val="00D72C60"/>
    <w:rsid w:val="00D73898"/>
    <w:rsid w:val="00D73F27"/>
    <w:rsid w:val="00D73FA0"/>
    <w:rsid w:val="00D74BA3"/>
    <w:rsid w:val="00D7578B"/>
    <w:rsid w:val="00D7768E"/>
    <w:rsid w:val="00D77F61"/>
    <w:rsid w:val="00D8061E"/>
    <w:rsid w:val="00D80DF0"/>
    <w:rsid w:val="00D8152C"/>
    <w:rsid w:val="00D8171A"/>
    <w:rsid w:val="00D818B9"/>
    <w:rsid w:val="00D82000"/>
    <w:rsid w:val="00D8291A"/>
    <w:rsid w:val="00D83297"/>
    <w:rsid w:val="00D83A05"/>
    <w:rsid w:val="00D8462D"/>
    <w:rsid w:val="00D84DC3"/>
    <w:rsid w:val="00D84E69"/>
    <w:rsid w:val="00D85421"/>
    <w:rsid w:val="00D85AAF"/>
    <w:rsid w:val="00D8632F"/>
    <w:rsid w:val="00D865E4"/>
    <w:rsid w:val="00D86BEF"/>
    <w:rsid w:val="00D87245"/>
    <w:rsid w:val="00D87EBC"/>
    <w:rsid w:val="00D900A1"/>
    <w:rsid w:val="00D9083A"/>
    <w:rsid w:val="00D90C35"/>
    <w:rsid w:val="00D9124D"/>
    <w:rsid w:val="00D93377"/>
    <w:rsid w:val="00D9439C"/>
    <w:rsid w:val="00D9492C"/>
    <w:rsid w:val="00D964B4"/>
    <w:rsid w:val="00D96B1C"/>
    <w:rsid w:val="00D97542"/>
    <w:rsid w:val="00DA11A3"/>
    <w:rsid w:val="00DA2512"/>
    <w:rsid w:val="00DA2554"/>
    <w:rsid w:val="00DA3B87"/>
    <w:rsid w:val="00DA41CF"/>
    <w:rsid w:val="00DA44FA"/>
    <w:rsid w:val="00DA4F49"/>
    <w:rsid w:val="00DA5021"/>
    <w:rsid w:val="00DA592C"/>
    <w:rsid w:val="00DA6156"/>
    <w:rsid w:val="00DB02A4"/>
    <w:rsid w:val="00DB110C"/>
    <w:rsid w:val="00DB14A8"/>
    <w:rsid w:val="00DB2588"/>
    <w:rsid w:val="00DB4494"/>
    <w:rsid w:val="00DB458C"/>
    <w:rsid w:val="00DB5278"/>
    <w:rsid w:val="00DB5FBF"/>
    <w:rsid w:val="00DC1C43"/>
    <w:rsid w:val="00DC3A61"/>
    <w:rsid w:val="00DC4301"/>
    <w:rsid w:val="00DC47B2"/>
    <w:rsid w:val="00DC4BA1"/>
    <w:rsid w:val="00DC5513"/>
    <w:rsid w:val="00DC58CC"/>
    <w:rsid w:val="00DC6275"/>
    <w:rsid w:val="00DC7977"/>
    <w:rsid w:val="00DD02A8"/>
    <w:rsid w:val="00DD0B2F"/>
    <w:rsid w:val="00DD137E"/>
    <w:rsid w:val="00DD1ABC"/>
    <w:rsid w:val="00DD1EE1"/>
    <w:rsid w:val="00DD305E"/>
    <w:rsid w:val="00DD32AC"/>
    <w:rsid w:val="00DD3835"/>
    <w:rsid w:val="00DD51A6"/>
    <w:rsid w:val="00DD6438"/>
    <w:rsid w:val="00DD6FB7"/>
    <w:rsid w:val="00DD70D8"/>
    <w:rsid w:val="00DD743D"/>
    <w:rsid w:val="00DE056C"/>
    <w:rsid w:val="00DE09D3"/>
    <w:rsid w:val="00DE0C98"/>
    <w:rsid w:val="00DE2663"/>
    <w:rsid w:val="00DE2B34"/>
    <w:rsid w:val="00DE34E3"/>
    <w:rsid w:val="00DE39DA"/>
    <w:rsid w:val="00DE3CAD"/>
    <w:rsid w:val="00DE4B7C"/>
    <w:rsid w:val="00DE53D8"/>
    <w:rsid w:val="00DE6A43"/>
    <w:rsid w:val="00DE7AA8"/>
    <w:rsid w:val="00DE7BF6"/>
    <w:rsid w:val="00DE7CFF"/>
    <w:rsid w:val="00DF0E43"/>
    <w:rsid w:val="00DF0EF9"/>
    <w:rsid w:val="00DF1A7E"/>
    <w:rsid w:val="00DF3371"/>
    <w:rsid w:val="00DF630B"/>
    <w:rsid w:val="00DF64DF"/>
    <w:rsid w:val="00E00AC6"/>
    <w:rsid w:val="00E00D5B"/>
    <w:rsid w:val="00E020A3"/>
    <w:rsid w:val="00E02338"/>
    <w:rsid w:val="00E0235B"/>
    <w:rsid w:val="00E0239A"/>
    <w:rsid w:val="00E02DF9"/>
    <w:rsid w:val="00E02E47"/>
    <w:rsid w:val="00E0396C"/>
    <w:rsid w:val="00E0419F"/>
    <w:rsid w:val="00E04BE3"/>
    <w:rsid w:val="00E05E56"/>
    <w:rsid w:val="00E05E63"/>
    <w:rsid w:val="00E069EF"/>
    <w:rsid w:val="00E06B02"/>
    <w:rsid w:val="00E06D4B"/>
    <w:rsid w:val="00E06E65"/>
    <w:rsid w:val="00E06F7E"/>
    <w:rsid w:val="00E10A9A"/>
    <w:rsid w:val="00E112CB"/>
    <w:rsid w:val="00E1340F"/>
    <w:rsid w:val="00E13560"/>
    <w:rsid w:val="00E14BAE"/>
    <w:rsid w:val="00E172CB"/>
    <w:rsid w:val="00E174BC"/>
    <w:rsid w:val="00E17677"/>
    <w:rsid w:val="00E200CF"/>
    <w:rsid w:val="00E21261"/>
    <w:rsid w:val="00E21D18"/>
    <w:rsid w:val="00E22357"/>
    <w:rsid w:val="00E24A9E"/>
    <w:rsid w:val="00E25526"/>
    <w:rsid w:val="00E255E1"/>
    <w:rsid w:val="00E25904"/>
    <w:rsid w:val="00E25DA4"/>
    <w:rsid w:val="00E26F74"/>
    <w:rsid w:val="00E27052"/>
    <w:rsid w:val="00E27239"/>
    <w:rsid w:val="00E275F3"/>
    <w:rsid w:val="00E27D61"/>
    <w:rsid w:val="00E30ACA"/>
    <w:rsid w:val="00E30E8D"/>
    <w:rsid w:val="00E30F85"/>
    <w:rsid w:val="00E31D05"/>
    <w:rsid w:val="00E332C5"/>
    <w:rsid w:val="00E343E3"/>
    <w:rsid w:val="00E3443B"/>
    <w:rsid w:val="00E34DA8"/>
    <w:rsid w:val="00E35598"/>
    <w:rsid w:val="00E35F87"/>
    <w:rsid w:val="00E363CA"/>
    <w:rsid w:val="00E36DFC"/>
    <w:rsid w:val="00E36E8F"/>
    <w:rsid w:val="00E36F56"/>
    <w:rsid w:val="00E40081"/>
    <w:rsid w:val="00E40823"/>
    <w:rsid w:val="00E4089E"/>
    <w:rsid w:val="00E40F64"/>
    <w:rsid w:val="00E42C21"/>
    <w:rsid w:val="00E43171"/>
    <w:rsid w:val="00E434B2"/>
    <w:rsid w:val="00E437CD"/>
    <w:rsid w:val="00E46B38"/>
    <w:rsid w:val="00E473D0"/>
    <w:rsid w:val="00E50534"/>
    <w:rsid w:val="00E5287C"/>
    <w:rsid w:val="00E5375C"/>
    <w:rsid w:val="00E5627D"/>
    <w:rsid w:val="00E600C1"/>
    <w:rsid w:val="00E6072B"/>
    <w:rsid w:val="00E60C13"/>
    <w:rsid w:val="00E614DB"/>
    <w:rsid w:val="00E62203"/>
    <w:rsid w:val="00E62FDC"/>
    <w:rsid w:val="00E631CF"/>
    <w:rsid w:val="00E63603"/>
    <w:rsid w:val="00E636D8"/>
    <w:rsid w:val="00E63A6A"/>
    <w:rsid w:val="00E63E75"/>
    <w:rsid w:val="00E6504D"/>
    <w:rsid w:val="00E659CF"/>
    <w:rsid w:val="00E65DCA"/>
    <w:rsid w:val="00E67C6C"/>
    <w:rsid w:val="00E70B50"/>
    <w:rsid w:val="00E70D56"/>
    <w:rsid w:val="00E72EA4"/>
    <w:rsid w:val="00E738BE"/>
    <w:rsid w:val="00E73BD2"/>
    <w:rsid w:val="00E7434D"/>
    <w:rsid w:val="00E74815"/>
    <w:rsid w:val="00E74F80"/>
    <w:rsid w:val="00E751E8"/>
    <w:rsid w:val="00E752E3"/>
    <w:rsid w:val="00E7536C"/>
    <w:rsid w:val="00E756F8"/>
    <w:rsid w:val="00E75A81"/>
    <w:rsid w:val="00E76045"/>
    <w:rsid w:val="00E818A1"/>
    <w:rsid w:val="00E81913"/>
    <w:rsid w:val="00E81CEB"/>
    <w:rsid w:val="00E827F4"/>
    <w:rsid w:val="00E83660"/>
    <w:rsid w:val="00E83685"/>
    <w:rsid w:val="00E84163"/>
    <w:rsid w:val="00E842E2"/>
    <w:rsid w:val="00E85189"/>
    <w:rsid w:val="00E853BD"/>
    <w:rsid w:val="00E854EF"/>
    <w:rsid w:val="00E85551"/>
    <w:rsid w:val="00E856A2"/>
    <w:rsid w:val="00E85905"/>
    <w:rsid w:val="00E85C9D"/>
    <w:rsid w:val="00E85E35"/>
    <w:rsid w:val="00E86856"/>
    <w:rsid w:val="00E87A4D"/>
    <w:rsid w:val="00E90295"/>
    <w:rsid w:val="00E91728"/>
    <w:rsid w:val="00E92215"/>
    <w:rsid w:val="00E92298"/>
    <w:rsid w:val="00E94DFF"/>
    <w:rsid w:val="00E95AAC"/>
    <w:rsid w:val="00E967C0"/>
    <w:rsid w:val="00E96C09"/>
    <w:rsid w:val="00EA008A"/>
    <w:rsid w:val="00EA0EA3"/>
    <w:rsid w:val="00EA1C52"/>
    <w:rsid w:val="00EA2535"/>
    <w:rsid w:val="00EA29EB"/>
    <w:rsid w:val="00EA31D2"/>
    <w:rsid w:val="00EA357F"/>
    <w:rsid w:val="00EA35E9"/>
    <w:rsid w:val="00EA57CC"/>
    <w:rsid w:val="00EA5AD3"/>
    <w:rsid w:val="00EA5DCC"/>
    <w:rsid w:val="00EA6475"/>
    <w:rsid w:val="00EA6739"/>
    <w:rsid w:val="00EA6E68"/>
    <w:rsid w:val="00EB1AD2"/>
    <w:rsid w:val="00EB1C74"/>
    <w:rsid w:val="00EB3A41"/>
    <w:rsid w:val="00EB3CF0"/>
    <w:rsid w:val="00EB3DA7"/>
    <w:rsid w:val="00EB457F"/>
    <w:rsid w:val="00EB4583"/>
    <w:rsid w:val="00EB6396"/>
    <w:rsid w:val="00EB664A"/>
    <w:rsid w:val="00EC0315"/>
    <w:rsid w:val="00EC1067"/>
    <w:rsid w:val="00EC1206"/>
    <w:rsid w:val="00EC1923"/>
    <w:rsid w:val="00EC1AC0"/>
    <w:rsid w:val="00EC1B5F"/>
    <w:rsid w:val="00EC1C0E"/>
    <w:rsid w:val="00EC3F4A"/>
    <w:rsid w:val="00EC4A05"/>
    <w:rsid w:val="00EC4BC8"/>
    <w:rsid w:val="00EC75B9"/>
    <w:rsid w:val="00ED0A20"/>
    <w:rsid w:val="00ED1B4C"/>
    <w:rsid w:val="00ED1E83"/>
    <w:rsid w:val="00ED20BF"/>
    <w:rsid w:val="00ED23C5"/>
    <w:rsid w:val="00ED28C8"/>
    <w:rsid w:val="00ED29EE"/>
    <w:rsid w:val="00ED35AA"/>
    <w:rsid w:val="00ED368B"/>
    <w:rsid w:val="00ED47DA"/>
    <w:rsid w:val="00ED5285"/>
    <w:rsid w:val="00ED577B"/>
    <w:rsid w:val="00ED5CAD"/>
    <w:rsid w:val="00ED6A73"/>
    <w:rsid w:val="00EE003B"/>
    <w:rsid w:val="00EE0196"/>
    <w:rsid w:val="00EE0FCF"/>
    <w:rsid w:val="00EE255A"/>
    <w:rsid w:val="00EE2B7E"/>
    <w:rsid w:val="00EE2BCF"/>
    <w:rsid w:val="00EE2D56"/>
    <w:rsid w:val="00EE3DC7"/>
    <w:rsid w:val="00EE5732"/>
    <w:rsid w:val="00EE5CE7"/>
    <w:rsid w:val="00EE5E67"/>
    <w:rsid w:val="00EE64EB"/>
    <w:rsid w:val="00EE6E5E"/>
    <w:rsid w:val="00EE7294"/>
    <w:rsid w:val="00EE7E60"/>
    <w:rsid w:val="00EF0536"/>
    <w:rsid w:val="00EF0648"/>
    <w:rsid w:val="00EF14AD"/>
    <w:rsid w:val="00EF1EAD"/>
    <w:rsid w:val="00EF2C35"/>
    <w:rsid w:val="00EF36CA"/>
    <w:rsid w:val="00EF3875"/>
    <w:rsid w:val="00EF3FA6"/>
    <w:rsid w:val="00EF4CB8"/>
    <w:rsid w:val="00EF4F3E"/>
    <w:rsid w:val="00EF5018"/>
    <w:rsid w:val="00EF5958"/>
    <w:rsid w:val="00EF6489"/>
    <w:rsid w:val="00EF68DD"/>
    <w:rsid w:val="00EF6C7D"/>
    <w:rsid w:val="00EF73DA"/>
    <w:rsid w:val="00F01415"/>
    <w:rsid w:val="00F02594"/>
    <w:rsid w:val="00F02792"/>
    <w:rsid w:val="00F03BF5"/>
    <w:rsid w:val="00F046E5"/>
    <w:rsid w:val="00F05D59"/>
    <w:rsid w:val="00F06704"/>
    <w:rsid w:val="00F06F2D"/>
    <w:rsid w:val="00F114D2"/>
    <w:rsid w:val="00F117CE"/>
    <w:rsid w:val="00F11F01"/>
    <w:rsid w:val="00F1265F"/>
    <w:rsid w:val="00F12977"/>
    <w:rsid w:val="00F133FF"/>
    <w:rsid w:val="00F134FF"/>
    <w:rsid w:val="00F13697"/>
    <w:rsid w:val="00F13BF4"/>
    <w:rsid w:val="00F13FB6"/>
    <w:rsid w:val="00F141DB"/>
    <w:rsid w:val="00F14350"/>
    <w:rsid w:val="00F14364"/>
    <w:rsid w:val="00F146B5"/>
    <w:rsid w:val="00F15D2B"/>
    <w:rsid w:val="00F15D46"/>
    <w:rsid w:val="00F16873"/>
    <w:rsid w:val="00F17574"/>
    <w:rsid w:val="00F17989"/>
    <w:rsid w:val="00F17CAD"/>
    <w:rsid w:val="00F210CD"/>
    <w:rsid w:val="00F21C6C"/>
    <w:rsid w:val="00F243C2"/>
    <w:rsid w:val="00F255C8"/>
    <w:rsid w:val="00F25A83"/>
    <w:rsid w:val="00F25AA8"/>
    <w:rsid w:val="00F26AA9"/>
    <w:rsid w:val="00F27074"/>
    <w:rsid w:val="00F27847"/>
    <w:rsid w:val="00F27C5B"/>
    <w:rsid w:val="00F30224"/>
    <w:rsid w:val="00F302D2"/>
    <w:rsid w:val="00F32A85"/>
    <w:rsid w:val="00F3327B"/>
    <w:rsid w:val="00F33B21"/>
    <w:rsid w:val="00F33B77"/>
    <w:rsid w:val="00F359B1"/>
    <w:rsid w:val="00F35AD1"/>
    <w:rsid w:val="00F35DC1"/>
    <w:rsid w:val="00F36D50"/>
    <w:rsid w:val="00F37B1F"/>
    <w:rsid w:val="00F41992"/>
    <w:rsid w:val="00F41A23"/>
    <w:rsid w:val="00F42364"/>
    <w:rsid w:val="00F42B4F"/>
    <w:rsid w:val="00F433BC"/>
    <w:rsid w:val="00F434FC"/>
    <w:rsid w:val="00F45120"/>
    <w:rsid w:val="00F4607C"/>
    <w:rsid w:val="00F46341"/>
    <w:rsid w:val="00F468B9"/>
    <w:rsid w:val="00F468E0"/>
    <w:rsid w:val="00F46931"/>
    <w:rsid w:val="00F4778B"/>
    <w:rsid w:val="00F50938"/>
    <w:rsid w:val="00F50BEB"/>
    <w:rsid w:val="00F50F6A"/>
    <w:rsid w:val="00F516AA"/>
    <w:rsid w:val="00F516D0"/>
    <w:rsid w:val="00F5224C"/>
    <w:rsid w:val="00F52256"/>
    <w:rsid w:val="00F52289"/>
    <w:rsid w:val="00F53D8A"/>
    <w:rsid w:val="00F54837"/>
    <w:rsid w:val="00F549DE"/>
    <w:rsid w:val="00F556B0"/>
    <w:rsid w:val="00F55BAC"/>
    <w:rsid w:val="00F55E7F"/>
    <w:rsid w:val="00F565A9"/>
    <w:rsid w:val="00F57E16"/>
    <w:rsid w:val="00F6018D"/>
    <w:rsid w:val="00F61588"/>
    <w:rsid w:val="00F61836"/>
    <w:rsid w:val="00F61C3B"/>
    <w:rsid w:val="00F630C5"/>
    <w:rsid w:val="00F6423B"/>
    <w:rsid w:val="00F65302"/>
    <w:rsid w:val="00F6611E"/>
    <w:rsid w:val="00F669AD"/>
    <w:rsid w:val="00F669EA"/>
    <w:rsid w:val="00F66F63"/>
    <w:rsid w:val="00F72560"/>
    <w:rsid w:val="00F72C59"/>
    <w:rsid w:val="00F736AE"/>
    <w:rsid w:val="00F747ED"/>
    <w:rsid w:val="00F75DC1"/>
    <w:rsid w:val="00F75E73"/>
    <w:rsid w:val="00F77400"/>
    <w:rsid w:val="00F77E2E"/>
    <w:rsid w:val="00F815B4"/>
    <w:rsid w:val="00F81E91"/>
    <w:rsid w:val="00F8213B"/>
    <w:rsid w:val="00F82473"/>
    <w:rsid w:val="00F8288C"/>
    <w:rsid w:val="00F82DA5"/>
    <w:rsid w:val="00F82FF9"/>
    <w:rsid w:val="00F84BA1"/>
    <w:rsid w:val="00F84FF8"/>
    <w:rsid w:val="00F8552B"/>
    <w:rsid w:val="00F86AB3"/>
    <w:rsid w:val="00F86F63"/>
    <w:rsid w:val="00F87215"/>
    <w:rsid w:val="00F87C48"/>
    <w:rsid w:val="00F90971"/>
    <w:rsid w:val="00F90D8B"/>
    <w:rsid w:val="00F90DEE"/>
    <w:rsid w:val="00F91388"/>
    <w:rsid w:val="00F919ED"/>
    <w:rsid w:val="00F92EEC"/>
    <w:rsid w:val="00F931A3"/>
    <w:rsid w:val="00F942CF"/>
    <w:rsid w:val="00F94450"/>
    <w:rsid w:val="00F94DC4"/>
    <w:rsid w:val="00F9543E"/>
    <w:rsid w:val="00F963F4"/>
    <w:rsid w:val="00F96780"/>
    <w:rsid w:val="00F96E2C"/>
    <w:rsid w:val="00F96E92"/>
    <w:rsid w:val="00F975A5"/>
    <w:rsid w:val="00F9780D"/>
    <w:rsid w:val="00FA1014"/>
    <w:rsid w:val="00FA12A1"/>
    <w:rsid w:val="00FA1594"/>
    <w:rsid w:val="00FA1E3B"/>
    <w:rsid w:val="00FA1E73"/>
    <w:rsid w:val="00FA404D"/>
    <w:rsid w:val="00FA4200"/>
    <w:rsid w:val="00FA50BD"/>
    <w:rsid w:val="00FA51ED"/>
    <w:rsid w:val="00FA7ECD"/>
    <w:rsid w:val="00FB02DF"/>
    <w:rsid w:val="00FB0F81"/>
    <w:rsid w:val="00FB20F0"/>
    <w:rsid w:val="00FB2202"/>
    <w:rsid w:val="00FB43D0"/>
    <w:rsid w:val="00FB44B8"/>
    <w:rsid w:val="00FB463E"/>
    <w:rsid w:val="00FB5320"/>
    <w:rsid w:val="00FB72CA"/>
    <w:rsid w:val="00FB7748"/>
    <w:rsid w:val="00FB7CCD"/>
    <w:rsid w:val="00FC1E0B"/>
    <w:rsid w:val="00FC1FAF"/>
    <w:rsid w:val="00FC207A"/>
    <w:rsid w:val="00FC3269"/>
    <w:rsid w:val="00FC5CF4"/>
    <w:rsid w:val="00FC5DE9"/>
    <w:rsid w:val="00FC5F9B"/>
    <w:rsid w:val="00FC63AC"/>
    <w:rsid w:val="00FC6A86"/>
    <w:rsid w:val="00FC6B6C"/>
    <w:rsid w:val="00FC6E1F"/>
    <w:rsid w:val="00FC6FD4"/>
    <w:rsid w:val="00FC72DC"/>
    <w:rsid w:val="00FD2D65"/>
    <w:rsid w:val="00FD3012"/>
    <w:rsid w:val="00FD475D"/>
    <w:rsid w:val="00FD4B42"/>
    <w:rsid w:val="00FD4F03"/>
    <w:rsid w:val="00FD5310"/>
    <w:rsid w:val="00FD5563"/>
    <w:rsid w:val="00FD5E52"/>
    <w:rsid w:val="00FD62A6"/>
    <w:rsid w:val="00FD68EC"/>
    <w:rsid w:val="00FD7D41"/>
    <w:rsid w:val="00FE2BCA"/>
    <w:rsid w:val="00FE2CB5"/>
    <w:rsid w:val="00FE3268"/>
    <w:rsid w:val="00FE3717"/>
    <w:rsid w:val="00FE3C66"/>
    <w:rsid w:val="00FE475D"/>
    <w:rsid w:val="00FE4BCD"/>
    <w:rsid w:val="00FE53A7"/>
    <w:rsid w:val="00FE58D1"/>
    <w:rsid w:val="00FE5E20"/>
    <w:rsid w:val="00FE7328"/>
    <w:rsid w:val="00FE7AAE"/>
    <w:rsid w:val="00FE7C81"/>
    <w:rsid w:val="00FE7FEA"/>
    <w:rsid w:val="00FE7FF6"/>
    <w:rsid w:val="00FF08DE"/>
    <w:rsid w:val="00FF1831"/>
    <w:rsid w:val="00FF234C"/>
    <w:rsid w:val="00FF361F"/>
    <w:rsid w:val="00FF4756"/>
    <w:rsid w:val="00FF4E49"/>
    <w:rsid w:val="00FF5A6E"/>
    <w:rsid w:val="00FF630A"/>
    <w:rsid w:val="00FF679B"/>
    <w:rsid w:val="00FF6B30"/>
    <w:rsid w:val="00FF6FD2"/>
    <w:rsid w:val="00FF7039"/>
    <w:rsid w:val="025A6FD9"/>
    <w:rsid w:val="0279852D"/>
    <w:rsid w:val="028D0F54"/>
    <w:rsid w:val="0311D669"/>
    <w:rsid w:val="066B3BFB"/>
    <w:rsid w:val="069521FF"/>
    <w:rsid w:val="076471EE"/>
    <w:rsid w:val="08490F3F"/>
    <w:rsid w:val="084CAA5A"/>
    <w:rsid w:val="08562850"/>
    <w:rsid w:val="0888FAB2"/>
    <w:rsid w:val="08F18FD1"/>
    <w:rsid w:val="0981AC2D"/>
    <w:rsid w:val="0A532016"/>
    <w:rsid w:val="0B0A5BAE"/>
    <w:rsid w:val="0B25046F"/>
    <w:rsid w:val="0B4C0DA4"/>
    <w:rsid w:val="0DBA8B15"/>
    <w:rsid w:val="0DC60665"/>
    <w:rsid w:val="0F23F793"/>
    <w:rsid w:val="0FFCE76C"/>
    <w:rsid w:val="100AE301"/>
    <w:rsid w:val="105DA16F"/>
    <w:rsid w:val="10759C76"/>
    <w:rsid w:val="11103CD2"/>
    <w:rsid w:val="11775458"/>
    <w:rsid w:val="1184D4BF"/>
    <w:rsid w:val="11E71DBA"/>
    <w:rsid w:val="12082736"/>
    <w:rsid w:val="126D8E91"/>
    <w:rsid w:val="127297B2"/>
    <w:rsid w:val="13594CD2"/>
    <w:rsid w:val="13FE6E03"/>
    <w:rsid w:val="141F7796"/>
    <w:rsid w:val="1456E6C1"/>
    <w:rsid w:val="14D5D42D"/>
    <w:rsid w:val="167AF227"/>
    <w:rsid w:val="1689B5CD"/>
    <w:rsid w:val="16F7F3EB"/>
    <w:rsid w:val="176F7390"/>
    <w:rsid w:val="181493B3"/>
    <w:rsid w:val="181CBDA7"/>
    <w:rsid w:val="1B18F7B8"/>
    <w:rsid w:val="1B490911"/>
    <w:rsid w:val="1B4EFD5E"/>
    <w:rsid w:val="1B55A348"/>
    <w:rsid w:val="1C5202EA"/>
    <w:rsid w:val="1CDA0322"/>
    <w:rsid w:val="1F5EBF46"/>
    <w:rsid w:val="22E6764D"/>
    <w:rsid w:val="23A2AC68"/>
    <w:rsid w:val="245606DB"/>
    <w:rsid w:val="245A0DFA"/>
    <w:rsid w:val="2533B356"/>
    <w:rsid w:val="256BE950"/>
    <w:rsid w:val="25D79715"/>
    <w:rsid w:val="2828770F"/>
    <w:rsid w:val="29503A65"/>
    <w:rsid w:val="29E5526D"/>
    <w:rsid w:val="2A2619CA"/>
    <w:rsid w:val="2B1DE3B1"/>
    <w:rsid w:val="2B2EF0EE"/>
    <w:rsid w:val="2CD52B9D"/>
    <w:rsid w:val="2CF8E18F"/>
    <w:rsid w:val="2D36EDF9"/>
    <w:rsid w:val="2DB83F99"/>
    <w:rsid w:val="2E2070DD"/>
    <w:rsid w:val="2EDDC100"/>
    <w:rsid w:val="3051E3BE"/>
    <w:rsid w:val="312BCB97"/>
    <w:rsid w:val="324B7DE6"/>
    <w:rsid w:val="32E92D4C"/>
    <w:rsid w:val="33224B1C"/>
    <w:rsid w:val="3429D429"/>
    <w:rsid w:val="3517061B"/>
    <w:rsid w:val="36A44D6C"/>
    <w:rsid w:val="3703558D"/>
    <w:rsid w:val="37807627"/>
    <w:rsid w:val="37F924EA"/>
    <w:rsid w:val="39C8F76D"/>
    <w:rsid w:val="3A6666B5"/>
    <w:rsid w:val="3A92473C"/>
    <w:rsid w:val="3B5EB27E"/>
    <w:rsid w:val="3B900FD4"/>
    <w:rsid w:val="3BBCE1E2"/>
    <w:rsid w:val="3D8A2044"/>
    <w:rsid w:val="401A51CE"/>
    <w:rsid w:val="408716C7"/>
    <w:rsid w:val="41129025"/>
    <w:rsid w:val="412B1C95"/>
    <w:rsid w:val="41F3C200"/>
    <w:rsid w:val="42BB08A3"/>
    <w:rsid w:val="447ED48F"/>
    <w:rsid w:val="4657B9EC"/>
    <w:rsid w:val="469AB140"/>
    <w:rsid w:val="4AE5094D"/>
    <w:rsid w:val="4AEEBC59"/>
    <w:rsid w:val="4BE74A46"/>
    <w:rsid w:val="4C17007C"/>
    <w:rsid w:val="4CDFF5A4"/>
    <w:rsid w:val="4CE82AA0"/>
    <w:rsid w:val="4D8F8A84"/>
    <w:rsid w:val="4EFE48BA"/>
    <w:rsid w:val="528B9426"/>
    <w:rsid w:val="52D94C98"/>
    <w:rsid w:val="531D1497"/>
    <w:rsid w:val="5354BD9E"/>
    <w:rsid w:val="53DCC8D9"/>
    <w:rsid w:val="53F6DE82"/>
    <w:rsid w:val="54EE852D"/>
    <w:rsid w:val="553AAC1D"/>
    <w:rsid w:val="55697007"/>
    <w:rsid w:val="55E3A550"/>
    <w:rsid w:val="55E5382E"/>
    <w:rsid w:val="5628D09C"/>
    <w:rsid w:val="5A0A8866"/>
    <w:rsid w:val="5A764CA2"/>
    <w:rsid w:val="5E22177D"/>
    <w:rsid w:val="5E66E419"/>
    <w:rsid w:val="5E997141"/>
    <w:rsid w:val="5FB2D9F4"/>
    <w:rsid w:val="5FB5DB98"/>
    <w:rsid w:val="5FD3230C"/>
    <w:rsid w:val="5FF16E68"/>
    <w:rsid w:val="60C22A3F"/>
    <w:rsid w:val="6102C078"/>
    <w:rsid w:val="620F13E5"/>
    <w:rsid w:val="62101FB1"/>
    <w:rsid w:val="63770060"/>
    <w:rsid w:val="63844EF1"/>
    <w:rsid w:val="63A8BCDD"/>
    <w:rsid w:val="63D1A1E3"/>
    <w:rsid w:val="64998290"/>
    <w:rsid w:val="64EEDC0D"/>
    <w:rsid w:val="659748FB"/>
    <w:rsid w:val="67843A21"/>
    <w:rsid w:val="68ACC2EA"/>
    <w:rsid w:val="69CB1990"/>
    <w:rsid w:val="6B1AAF69"/>
    <w:rsid w:val="6B44805B"/>
    <w:rsid w:val="6B4E9EA0"/>
    <w:rsid w:val="6B763879"/>
    <w:rsid w:val="6C7DCFD5"/>
    <w:rsid w:val="6C8676F1"/>
    <w:rsid w:val="6E4169D8"/>
    <w:rsid w:val="70008092"/>
    <w:rsid w:val="7030409B"/>
    <w:rsid w:val="70A29351"/>
    <w:rsid w:val="71A0426A"/>
    <w:rsid w:val="71F9414F"/>
    <w:rsid w:val="730FFEC4"/>
    <w:rsid w:val="735DEE06"/>
    <w:rsid w:val="73CCB6B0"/>
    <w:rsid w:val="749C386B"/>
    <w:rsid w:val="74A0351F"/>
    <w:rsid w:val="74AF42E8"/>
    <w:rsid w:val="74ECE3D5"/>
    <w:rsid w:val="76CCB272"/>
    <w:rsid w:val="77501A39"/>
    <w:rsid w:val="77F65B91"/>
    <w:rsid w:val="78014D5B"/>
    <w:rsid w:val="78BB3376"/>
    <w:rsid w:val="798607D1"/>
    <w:rsid w:val="7A1506A9"/>
    <w:rsid w:val="7A3D673F"/>
    <w:rsid w:val="7B307D95"/>
    <w:rsid w:val="7B7634D1"/>
    <w:rsid w:val="7BB4FF62"/>
    <w:rsid w:val="7CFD2F89"/>
    <w:rsid w:val="7EABDF9A"/>
    <w:rsid w:val="7F1EB6CB"/>
    <w:rsid w:val="7F6AF924"/>
    <w:rsid w:val="7FFAD7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2FFC272"/>
  <w15:chartTrackingRefBased/>
  <w15:docId w15:val="{2A35A26C-DA8D-486C-8B9E-ADC71DC5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534"/>
    <w:pPr>
      <w:spacing w:after="200"/>
      <w:jc w:val="both"/>
    </w:pPr>
    <w:rPr>
      <w:rFonts w:ascii="Verdana" w:hAnsi="Verdana"/>
      <w:lang w:eastAsia="en-US"/>
    </w:rPr>
  </w:style>
  <w:style w:type="paragraph" w:styleId="Heading1">
    <w:name w:val="heading 1"/>
    <w:basedOn w:val="Normal"/>
    <w:next w:val="Text1"/>
    <w:link w:val="Heading1Char"/>
    <w:qFormat/>
    <w:rsid w:val="00692CDE"/>
    <w:pPr>
      <w:widowControl w:val="0"/>
      <w:outlineLvl w:val="0"/>
    </w:pPr>
    <w:rPr>
      <w:b/>
      <w:color w:val="A50021"/>
    </w:rPr>
  </w:style>
  <w:style w:type="paragraph" w:styleId="Heading2">
    <w:name w:val="heading 2"/>
    <w:basedOn w:val="Normal"/>
    <w:next w:val="Text2"/>
    <w:link w:val="Heading2Char"/>
    <w:qFormat/>
    <w:rsid w:val="006E495F"/>
    <w:pPr>
      <w:widowControl w:val="0"/>
      <w:outlineLvl w:val="1"/>
    </w:pPr>
    <w:rPr>
      <w:b/>
      <w:color w:val="A50021"/>
    </w:rPr>
  </w:style>
  <w:style w:type="paragraph" w:styleId="Heading3">
    <w:name w:val="heading 3"/>
    <w:basedOn w:val="Normal"/>
    <w:next w:val="Text3"/>
    <w:link w:val="Heading3Char"/>
    <w:qFormat/>
    <w:rsid w:val="00510B7E"/>
    <w:pPr>
      <w:widowControl w:val="0"/>
      <w:outlineLvl w:val="2"/>
    </w:pPr>
    <w:rPr>
      <w:i/>
      <w:color w:val="A50021"/>
      <w:u w:val="single"/>
    </w:rPr>
  </w:style>
  <w:style w:type="paragraph" w:styleId="Heading4">
    <w:name w:val="heading 4"/>
    <w:basedOn w:val="Normal"/>
    <w:next w:val="Text4"/>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rPr>
  </w:style>
  <w:style w:type="paragraph" w:styleId="Heading8">
    <w:name w:val="heading 8"/>
    <w:basedOn w:val="Normal"/>
    <w:next w:val="Normal"/>
    <w:pPr>
      <w:tabs>
        <w:tab w:val="num" w:pos="0"/>
      </w:tabs>
      <w:spacing w:before="240" w:after="60"/>
      <w:outlineLvl w:val="7"/>
    </w:pPr>
    <w:rPr>
      <w:rFonts w:ascii="Arial" w:hAnsi="Arial"/>
      <w:i/>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tabs>
        <w:tab w:val="left" w:pos="2160"/>
      </w:tabs>
      <w:ind w:left="1440"/>
    </w:pPr>
  </w:style>
  <w:style w:type="paragraph" w:customStyle="1" w:styleId="Text2">
    <w:name w:val="Text 2"/>
    <w:basedOn w:val="Normal"/>
    <w:link w:val="Text2Car"/>
    <w:pPr>
      <w:tabs>
        <w:tab w:val="left" w:pos="2160"/>
      </w:tabs>
      <w:ind w:left="1440"/>
    </w:pPr>
  </w:style>
  <w:style w:type="paragraph" w:customStyle="1" w:styleId="Text3">
    <w:name w:val="Text 3"/>
    <w:basedOn w:val="Normal"/>
    <w:pPr>
      <w:tabs>
        <w:tab w:val="left" w:pos="2160"/>
      </w:tabs>
      <w:ind w:left="1440"/>
    </w:pPr>
  </w:style>
  <w:style w:type="paragraph" w:customStyle="1" w:styleId="Text4">
    <w:name w:val="Text 4"/>
    <w:basedOn w:val="Normal"/>
    <w:pPr>
      <w:tabs>
        <w:tab w:val="left" w:pos="2160"/>
      </w:tabs>
      <w:ind w:left="1440"/>
    </w:pPr>
  </w:style>
  <w:style w:type="paragraph" w:styleId="BlockText">
    <w:name w:val="Block Text"/>
    <w:basedOn w:val="Normal"/>
    <w:semiHidden/>
    <w:pPr>
      <w:spacing w:after="120"/>
      <w:ind w:left="1440" w:right="1440"/>
    </w:pPr>
  </w:style>
  <w:style w:type="paragraph" w:styleId="BodyText">
    <w:name w:val="Body Text"/>
    <w:basedOn w:val="Normal"/>
    <w:link w:val="BodyTextChar"/>
    <w:uiPriority w:val="1"/>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link w:val="BodyTextIndentChar"/>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rPr>
  </w:style>
  <w:style w:type="paragraph" w:styleId="Closing">
    <w:name w:val="Closing"/>
    <w:basedOn w:val="Normal"/>
    <w:semiHidden/>
    <w:pPr>
      <w:ind w:left="4252"/>
    </w:pPr>
  </w:style>
  <w:style w:type="paragraph" w:styleId="CommentText">
    <w:name w:val="annotation text"/>
    <w:basedOn w:val="Normal"/>
    <w:link w:val="CommentTextChar"/>
    <w:uiPriority w:val="99"/>
  </w:style>
  <w:style w:type="paragraph" w:styleId="Date">
    <w:name w:val="Date"/>
    <w:basedOn w:val="Normal"/>
    <w:next w:val="References"/>
    <w:semiHidden/>
    <w:pPr>
      <w:spacing w:after="0"/>
      <w:ind w:left="5103" w:right="-567"/>
      <w:jc w:val="left"/>
    </w:pPr>
    <w:rPr>
      <w:sz w:val="24"/>
    </w:rPr>
  </w:style>
  <w:style w:type="paragraph" w:customStyle="1" w:styleId="References">
    <w:name w:val="References"/>
    <w:basedOn w:val="Normal"/>
    <w:next w:val="Normal"/>
    <w:pPr>
      <w:ind w:left="5103"/>
      <w:jc w:val="left"/>
    </w:pPr>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spacing w:after="0"/>
    </w:pPr>
    <w:rPr>
      <w:sz w:val="24"/>
    </w:rPr>
  </w:style>
  <w:style w:type="paragraph" w:styleId="EnvelopeReturn">
    <w:name w:val="envelope return"/>
    <w:basedOn w:val="Normal"/>
    <w:semiHidden/>
    <w:pPr>
      <w:spacing w:after="0"/>
    </w:p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2,Footnote Text Char1 Char,Footnote Text Char2 Char Char,Footnote Text Char1 Char Char Char,Footnote Text Char2 Char Char Char Char,Footnote Text Char Char1 Char Char Char Char,Footnote Text Char1,Schriftart: 9 pt,FoodNot"/>
    <w:basedOn w:val="Normal"/>
    <w:link w:val="FootnoteTextChar"/>
    <w:pPr>
      <w:ind w:left="357" w:hanging="357"/>
    </w:p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80" w:hanging="280"/>
    </w:pPr>
  </w:style>
  <w:style w:type="paragraph" w:styleId="Index2">
    <w:name w:val="index 2"/>
    <w:basedOn w:val="Normal"/>
    <w:next w:val="Normal"/>
    <w:autoRedefine/>
    <w:semiHidden/>
    <w:pPr>
      <w:ind w:left="560" w:hanging="280"/>
    </w:pPr>
  </w:style>
  <w:style w:type="paragraph" w:styleId="Index3">
    <w:name w:val="index 3"/>
    <w:basedOn w:val="Normal"/>
    <w:next w:val="Normal"/>
    <w:autoRedefine/>
    <w:semiHidden/>
    <w:pPr>
      <w:ind w:left="840" w:hanging="280"/>
    </w:pPr>
  </w:style>
  <w:style w:type="paragraph" w:styleId="Index4">
    <w:name w:val="index 4"/>
    <w:basedOn w:val="Normal"/>
    <w:next w:val="Normal"/>
    <w:autoRedefine/>
    <w:semiHidden/>
    <w:pPr>
      <w:ind w:left="1120" w:hanging="280"/>
    </w:pPr>
  </w:style>
  <w:style w:type="paragraph" w:styleId="Index5">
    <w:name w:val="index 5"/>
    <w:basedOn w:val="Normal"/>
    <w:next w:val="Normal"/>
    <w:autoRedefine/>
    <w:semiHidden/>
    <w:pPr>
      <w:ind w:left="1400" w:hanging="280"/>
    </w:pPr>
  </w:style>
  <w:style w:type="paragraph" w:styleId="Index6">
    <w:name w:val="index 6"/>
    <w:basedOn w:val="Normal"/>
    <w:next w:val="Normal"/>
    <w:autoRedefine/>
    <w:semiHidden/>
    <w:pPr>
      <w:ind w:left="1680" w:hanging="280"/>
    </w:pPr>
  </w:style>
  <w:style w:type="paragraph" w:styleId="Index7">
    <w:name w:val="index 7"/>
    <w:basedOn w:val="Normal"/>
    <w:next w:val="Normal"/>
    <w:autoRedefine/>
    <w:semiHidden/>
    <w:pPr>
      <w:ind w:left="1960" w:hanging="280"/>
    </w:pPr>
  </w:style>
  <w:style w:type="paragraph" w:styleId="Index8">
    <w:name w:val="index 8"/>
    <w:basedOn w:val="Normal"/>
    <w:next w:val="Normal"/>
    <w:autoRedefine/>
    <w:semiHidden/>
    <w:pPr>
      <w:ind w:left="2240" w:hanging="280"/>
    </w:pPr>
  </w:style>
  <w:style w:type="paragraph" w:styleId="Index9">
    <w:name w:val="index 9"/>
    <w:basedOn w:val="Normal"/>
    <w:next w:val="Normal"/>
    <w:autoRedefine/>
    <w:semiHidden/>
    <w:pPr>
      <w:ind w:left="2520" w:hanging="28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Text2"/>
    <w:semiHidden/>
    <w:pPr>
      <w:numPr>
        <w:numId w:val="6"/>
      </w:numPr>
      <w:tabs>
        <w:tab w:val="clear" w:pos="2160"/>
      </w:tabs>
    </w:pPr>
  </w:style>
  <w:style w:type="paragraph" w:styleId="ListBullet3">
    <w:name w:val="List Bullet 3"/>
    <w:basedOn w:val="Text3"/>
    <w:semiHidden/>
    <w:pPr>
      <w:numPr>
        <w:numId w:val="7"/>
      </w:numPr>
      <w:tabs>
        <w:tab w:val="clear" w:pos="2160"/>
      </w:tabs>
    </w:pPr>
  </w:style>
  <w:style w:type="paragraph" w:styleId="ListBullet4">
    <w:name w:val="List Bullet 4"/>
    <w:basedOn w:val="Text4"/>
    <w:semiHidden/>
    <w:pPr>
      <w:numPr>
        <w:numId w:val="8"/>
      </w:numPr>
      <w:tabs>
        <w:tab w:val="clear" w:pos="2160"/>
      </w:tabs>
    </w:pPr>
  </w:style>
  <w:style w:type="paragraph" w:styleId="ListBullet5">
    <w:name w:val="List Bullet 5"/>
    <w:basedOn w:val="Normal"/>
    <w:autoRedefine/>
    <w:semiHidden/>
    <w:pPr>
      <w:numPr>
        <w:numId w:val="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pPr>
      <w:numPr>
        <w:numId w:val="15"/>
      </w:numPr>
    </w:pPr>
  </w:style>
  <w:style w:type="paragraph" w:styleId="ListNumber2">
    <w:name w:val="List Number 2"/>
    <w:basedOn w:val="Text2"/>
    <w:semiHidden/>
    <w:pPr>
      <w:numPr>
        <w:numId w:val="16"/>
      </w:numPr>
    </w:pPr>
  </w:style>
  <w:style w:type="paragraph" w:styleId="ListNumber3">
    <w:name w:val="List Number 3"/>
    <w:basedOn w:val="Text3"/>
    <w:semiHidden/>
    <w:pPr>
      <w:numPr>
        <w:numId w:val="17"/>
      </w:numPr>
    </w:pPr>
  </w:style>
  <w:style w:type="paragraph" w:styleId="ListNumber4">
    <w:name w:val="List Number 4"/>
    <w:basedOn w:val="Text4"/>
    <w:semiHidden/>
    <w:pPr>
      <w:numPr>
        <w:numId w:val="18"/>
      </w:numPr>
    </w:pPr>
  </w:style>
  <w:style w:type="paragraph" w:styleId="ListNumber5">
    <w:name w:val="List Number 5"/>
    <w:basedOn w:val="Normal"/>
    <w:semiHidden/>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umPar1">
    <w:name w:val="NumPar 1"/>
    <w:basedOn w:val="Heading1"/>
    <w:next w:val="Text1"/>
    <w:pPr>
      <w:outlineLvl w:val="9"/>
    </w:pPr>
    <w:rPr>
      <w:b w:val="0"/>
      <w:smallCaps/>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semiHidden/>
    <w:rPr>
      <w:rFonts w:ascii="Courier New" w:hAnsi="Courier New"/>
    </w:rPr>
  </w:style>
  <w:style w:type="paragraph" w:styleId="Salutation">
    <w:name w:val="Salutation"/>
    <w:basedOn w:val="Normal"/>
    <w:next w:val="Normal"/>
    <w:semiHidden/>
  </w:style>
  <w:style w:type="paragraph" w:styleId="Signature">
    <w:name w:val="Signature"/>
    <w:basedOn w:val="Normal"/>
    <w:semiHidden/>
    <w:pPr>
      <w:ind w:left="4252"/>
    </w:pPr>
  </w:style>
  <w:style w:type="paragraph" w:customStyle="1" w:styleId="Subject">
    <w:name w:val="Subject"/>
    <w:basedOn w:val="Normal"/>
    <w:next w:val="Normal"/>
    <w:pPr>
      <w:spacing w:after="480"/>
      <w:ind w:left="1191" w:hanging="1191"/>
      <w:jc w:val="left"/>
    </w:pPr>
    <w:rPr>
      <w:b/>
    </w:rPr>
  </w:style>
  <w:style w:type="paragraph" w:styleId="Subtitle">
    <w:name w:val="Subtitle"/>
    <w:basedOn w:val="Normal"/>
    <w:pPr>
      <w:spacing w:after="60"/>
      <w:jc w:val="center"/>
      <w:outlineLvl w:val="1"/>
    </w:pPr>
    <w:rPr>
      <w:rFonts w:ascii="Arial" w:hAnsi="Arial"/>
      <w:sz w:val="24"/>
    </w:rPr>
  </w:style>
  <w:style w:type="paragraph" w:styleId="TableofAuthorities">
    <w:name w:val="table of authorities"/>
    <w:basedOn w:val="Normal"/>
    <w:next w:val="Normal"/>
    <w:semiHidden/>
    <w:pPr>
      <w:ind w:left="280" w:hanging="280"/>
    </w:pPr>
  </w:style>
  <w:style w:type="paragraph" w:styleId="TableofFigures">
    <w:name w:val="table of figures"/>
    <w:basedOn w:val="Normal"/>
    <w:next w:val="Normal"/>
    <w:semiHidden/>
    <w:pPr>
      <w:ind w:left="560" w:hanging="560"/>
    </w:pPr>
  </w:style>
  <w:style w:type="paragraph" w:styleId="Title">
    <w:name w:val="Title"/>
    <w:basedOn w:val="Normal"/>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uiPriority w:val="39"/>
    <w:qFormat/>
    <w:rsid w:val="00A57D8F"/>
    <w:pPr>
      <w:tabs>
        <w:tab w:val="right" w:leader="dot" w:pos="8640"/>
      </w:tabs>
      <w:spacing w:before="60" w:after="60"/>
      <w:ind w:left="482" w:right="720" w:hanging="482"/>
    </w:pPr>
    <w:rPr>
      <w:sz w:val="16"/>
    </w:rPr>
  </w:style>
  <w:style w:type="paragraph" w:styleId="TOC2">
    <w:name w:val="toc 2"/>
    <w:basedOn w:val="Normal"/>
    <w:next w:val="Normal"/>
    <w:uiPriority w:val="39"/>
    <w:qFormat/>
    <w:rsid w:val="00A57D8F"/>
    <w:pPr>
      <w:tabs>
        <w:tab w:val="right" w:leader="dot" w:pos="8640"/>
      </w:tabs>
      <w:spacing w:before="60" w:after="60"/>
      <w:ind w:left="568" w:right="720" w:hanging="284"/>
    </w:pPr>
    <w:rPr>
      <w:noProof/>
      <w:sz w:val="16"/>
    </w:rPr>
  </w:style>
  <w:style w:type="paragraph" w:styleId="TOC3">
    <w:name w:val="toc 3"/>
    <w:basedOn w:val="TOC2"/>
    <w:next w:val="Normal"/>
    <w:uiPriority w:val="39"/>
    <w:qFormat/>
    <w:rsid w:val="00A57D8F"/>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400"/>
    </w:pPr>
  </w:style>
  <w:style w:type="paragraph" w:styleId="TOC7">
    <w:name w:val="toc 7"/>
    <w:basedOn w:val="Normal"/>
    <w:next w:val="Normal"/>
    <w:autoRedefine/>
    <w:semiHidden/>
    <w:pPr>
      <w:ind w:left="1680"/>
    </w:pPr>
  </w:style>
  <w:style w:type="paragraph" w:styleId="TOC8">
    <w:name w:val="toc 8"/>
    <w:basedOn w:val="Normal"/>
    <w:next w:val="Normal"/>
    <w:autoRedefine/>
    <w:semiHidden/>
    <w:pPr>
      <w:ind w:left="1960"/>
    </w:pPr>
  </w:style>
  <w:style w:type="paragraph" w:styleId="TOC9">
    <w:name w:val="toc 9"/>
    <w:basedOn w:val="Normal"/>
    <w:next w:val="Normal"/>
    <w:autoRedefine/>
    <w:semiHidden/>
    <w:pPr>
      <w:ind w:left="2240"/>
    </w:pPr>
  </w:style>
  <w:style w:type="paragraph" w:customStyle="1" w:styleId="ListBullet1">
    <w:name w:val="List Bullet 1"/>
    <w:basedOn w:val="Text1"/>
    <w:pPr>
      <w:numPr>
        <w:numId w:val="5"/>
      </w:numPr>
      <w:tabs>
        <w:tab w:val="clear" w:pos="2160"/>
      </w:tabs>
    </w:pPr>
  </w:style>
  <w:style w:type="paragraph" w:customStyle="1" w:styleId="ListDash">
    <w:name w:val="List Dash"/>
    <w:basedOn w:val="Normal"/>
    <w:pPr>
      <w:numPr>
        <w:numId w:val="9"/>
      </w:numPr>
    </w:pPr>
  </w:style>
  <w:style w:type="paragraph" w:customStyle="1" w:styleId="ListDash1">
    <w:name w:val="List Dash 1"/>
    <w:basedOn w:val="Text1"/>
    <w:pPr>
      <w:numPr>
        <w:numId w:val="10"/>
      </w:numPr>
      <w:tabs>
        <w:tab w:val="clear" w:pos="2160"/>
      </w:tabs>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160"/>
      </w:tabs>
    </w:pPr>
  </w:style>
  <w:style w:type="paragraph" w:customStyle="1" w:styleId="ListDash4">
    <w:name w:val="List Dash 4"/>
    <w:basedOn w:val="Text4"/>
    <w:pPr>
      <w:numPr>
        <w:numId w:val="13"/>
      </w:numPr>
      <w:tabs>
        <w:tab w:val="clear" w:pos="2160"/>
      </w:tabs>
    </w:pPr>
  </w:style>
  <w:style w:type="paragraph" w:customStyle="1" w:styleId="ListNumberLevel2">
    <w:name w:val="List Number (Level 2)"/>
    <w:basedOn w:val="Normal"/>
    <w:pPr>
      <w:numPr>
        <w:ilvl w:val="1"/>
        <w:numId w:val="15"/>
      </w:numPr>
    </w:pPr>
  </w:style>
  <w:style w:type="paragraph" w:customStyle="1" w:styleId="ListNumberLevel3">
    <w:name w:val="List Number (Level 3)"/>
    <w:basedOn w:val="Normal"/>
    <w:pPr>
      <w:numPr>
        <w:ilvl w:val="2"/>
        <w:numId w:val="15"/>
      </w:numPr>
    </w:pPr>
  </w:style>
  <w:style w:type="paragraph" w:customStyle="1" w:styleId="ListNumberLevel4">
    <w:name w:val="List Number (Level 4)"/>
    <w:basedOn w:val="Normal"/>
    <w:pPr>
      <w:numPr>
        <w:ilvl w:val="3"/>
        <w:numId w:val="15"/>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tabs>
        <w:tab w:val="clear" w:pos="2160"/>
      </w:tabs>
    </w:pPr>
  </w:style>
  <w:style w:type="paragraph" w:customStyle="1" w:styleId="ListNumber1Level3">
    <w:name w:val="List Number 1 (Level 3)"/>
    <w:basedOn w:val="Text1"/>
    <w:pPr>
      <w:numPr>
        <w:ilvl w:val="2"/>
        <w:numId w:val="14"/>
      </w:numPr>
      <w:tabs>
        <w:tab w:val="clear" w:pos="2160"/>
      </w:tabs>
    </w:pPr>
  </w:style>
  <w:style w:type="paragraph" w:customStyle="1" w:styleId="ListNumber1Level4">
    <w:name w:val="List Number 1 (Level 4)"/>
    <w:basedOn w:val="Text1"/>
    <w:pPr>
      <w:numPr>
        <w:ilvl w:val="3"/>
        <w:numId w:val="14"/>
      </w:numPr>
      <w:tabs>
        <w:tab w:val="clear" w:pos="2160"/>
      </w:tabs>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pPr>
  </w:style>
  <w:style w:type="paragraph" w:customStyle="1" w:styleId="ListNumber3Level2">
    <w:name w:val="List Number 3 (Level 2)"/>
    <w:basedOn w:val="Text3"/>
    <w:pPr>
      <w:numPr>
        <w:ilvl w:val="1"/>
        <w:numId w:val="17"/>
      </w:numPr>
      <w:tabs>
        <w:tab w:val="clear" w:pos="2160"/>
      </w:tabs>
    </w:pPr>
  </w:style>
  <w:style w:type="paragraph" w:customStyle="1" w:styleId="ListNumber3Level3">
    <w:name w:val="List Number 3 (Level 3)"/>
    <w:basedOn w:val="Text3"/>
    <w:pPr>
      <w:numPr>
        <w:ilvl w:val="2"/>
        <w:numId w:val="17"/>
      </w:numPr>
      <w:tabs>
        <w:tab w:val="clear" w:pos="2160"/>
      </w:tabs>
    </w:pPr>
  </w:style>
  <w:style w:type="paragraph" w:customStyle="1" w:styleId="ListNumber3Level4">
    <w:name w:val="List Number 3 (Level 4)"/>
    <w:basedOn w:val="Text3"/>
    <w:pPr>
      <w:numPr>
        <w:ilvl w:val="3"/>
        <w:numId w:val="17"/>
      </w:numPr>
      <w:tabs>
        <w:tab w:val="clear" w:pos="2160"/>
      </w:tabs>
    </w:pPr>
  </w:style>
  <w:style w:type="paragraph" w:customStyle="1" w:styleId="ListNumber4Level2">
    <w:name w:val="List Number 4 (Level 2)"/>
    <w:basedOn w:val="Text4"/>
    <w:pPr>
      <w:numPr>
        <w:ilvl w:val="1"/>
        <w:numId w:val="18"/>
      </w:numPr>
      <w:tabs>
        <w:tab w:val="clear" w:pos="2160"/>
      </w:tabs>
    </w:pPr>
  </w:style>
  <w:style w:type="paragraph" w:customStyle="1" w:styleId="ListNumber4Level3">
    <w:name w:val="List Number 4 (Level 3)"/>
    <w:basedOn w:val="Text4"/>
    <w:pPr>
      <w:numPr>
        <w:ilvl w:val="2"/>
        <w:numId w:val="18"/>
      </w:numPr>
      <w:tabs>
        <w:tab w:val="clear" w:pos="2160"/>
      </w:tabs>
    </w:pPr>
  </w:style>
  <w:style w:type="paragraph" w:customStyle="1" w:styleId="ListNumber4Level4">
    <w:name w:val="List Number 4 (Level 4)"/>
    <w:basedOn w:val="Text4"/>
    <w:pPr>
      <w:numPr>
        <w:ilvl w:val="3"/>
        <w:numId w:val="18"/>
      </w:numPr>
      <w:tabs>
        <w:tab w:val="clear" w:pos="2160"/>
      </w:tabs>
    </w:pPr>
  </w:style>
  <w:style w:type="paragraph" w:styleId="TOCHeading">
    <w:name w:val="TOC Heading"/>
    <w:basedOn w:val="Normal"/>
    <w:next w:val="Normal"/>
    <w:qFormat/>
    <w:pPr>
      <w:keepNext/>
      <w:spacing w:before="240"/>
      <w:jc w:val="center"/>
    </w:pPr>
    <w:rPr>
      <w:b/>
    </w:rPr>
  </w:style>
  <w:style w:type="character" w:customStyle="1" w:styleId="FooterChar">
    <w:name w:val="Footer Char"/>
    <w:link w:val="Footer"/>
    <w:uiPriority w:val="99"/>
    <w:rsid w:val="002D3B73"/>
    <w:rPr>
      <w:rFonts w:ascii="Arial" w:hAnsi="Arial"/>
      <w:sz w:val="16"/>
      <w:lang w:eastAsia="en-US"/>
    </w:rPr>
  </w:style>
  <w:style w:type="paragraph" w:customStyle="1" w:styleId="ZCom">
    <w:name w:val="Z_Com"/>
    <w:basedOn w:val="Normal"/>
    <w:next w:val="ZDGName"/>
    <w:uiPriority w:val="99"/>
    <w:rsid w:val="002D3B73"/>
    <w:pPr>
      <w:widowControl w:val="0"/>
      <w:autoSpaceDE w:val="0"/>
      <w:autoSpaceDN w:val="0"/>
      <w:spacing w:after="0"/>
      <w:ind w:right="85"/>
    </w:pPr>
    <w:rPr>
      <w:rFonts w:ascii="Arial" w:hAnsi="Arial" w:cs="Arial"/>
      <w:sz w:val="24"/>
      <w:szCs w:val="24"/>
      <w:lang w:eastAsia="en-GB"/>
    </w:rPr>
  </w:style>
  <w:style w:type="paragraph" w:customStyle="1" w:styleId="ZDGName">
    <w:name w:val="Z_DGName"/>
    <w:basedOn w:val="Normal"/>
    <w:uiPriority w:val="99"/>
    <w:rsid w:val="002D3B73"/>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2D3B73"/>
    <w:rPr>
      <w:sz w:val="28"/>
      <w:lang w:eastAsia="en-US"/>
    </w:rPr>
  </w:style>
  <w:style w:type="paragraph" w:styleId="BalloonText">
    <w:name w:val="Balloon Text"/>
    <w:basedOn w:val="Normal"/>
    <w:link w:val="BalloonTextChar"/>
    <w:uiPriority w:val="99"/>
    <w:semiHidden/>
    <w:unhideWhenUsed/>
    <w:rsid w:val="00B02821"/>
    <w:pPr>
      <w:spacing w:after="0"/>
    </w:pPr>
    <w:rPr>
      <w:rFonts w:ascii="Tahoma" w:hAnsi="Tahoma" w:cs="Tahoma"/>
      <w:sz w:val="16"/>
      <w:szCs w:val="16"/>
    </w:rPr>
  </w:style>
  <w:style w:type="character" w:customStyle="1" w:styleId="BalloonTextChar">
    <w:name w:val="Balloon Text Char"/>
    <w:link w:val="BalloonText"/>
    <w:uiPriority w:val="99"/>
    <w:semiHidden/>
    <w:rsid w:val="00B02821"/>
    <w:rPr>
      <w:rFonts w:ascii="Tahoma" w:hAnsi="Tahoma" w:cs="Tahoma"/>
      <w:sz w:val="16"/>
      <w:szCs w:val="16"/>
      <w:lang w:eastAsia="en-US"/>
    </w:rPr>
  </w:style>
  <w:style w:type="character" w:styleId="FootnoteReference">
    <w:name w:val="footnote reference"/>
    <w:aliases w:val=" BVI fnr,BVI fnr, BVI fnr Car Car,BVI fnr Car, BVI fnr Car Car Car Car, BVI fnr Car Car Car Car Char,Footnote symbol,Footnote reference number,Footnote,Times 10 Point,Exposant 3 Point,Ref,de nota al pie,note TESI,SUPERS,EN Footnote te"/>
    <w:link w:val="Char2"/>
    <w:uiPriority w:val="99"/>
    <w:unhideWhenUsed/>
    <w:qFormat/>
    <w:rsid w:val="00CC12F2"/>
    <w:rPr>
      <w:vertAlign w:val="superscript"/>
    </w:rPr>
  </w:style>
  <w:style w:type="table" w:styleId="TableGrid">
    <w:name w:val="Table Grid"/>
    <w:basedOn w:val="TableNormal"/>
    <w:rsid w:val="00415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386D0C"/>
    <w:pPr>
      <w:spacing w:after="160" w:line="240" w:lineRule="exact"/>
      <w:jc w:val="left"/>
    </w:pPr>
    <w:rPr>
      <w:rFonts w:ascii="Tahoma" w:hAnsi="Tahoma"/>
    </w:rPr>
  </w:style>
  <w:style w:type="character" w:customStyle="1" w:styleId="FootnoteTextChar">
    <w:name w:val="Footnote Text Char"/>
    <w:aliases w:val="Footnote Text Char2 Char,Footnote Text Char1 Char Char,Footnote Text Char2 Char Char Char,Footnote Text Char1 Char Char Char Char,Footnote Text Char2 Char Char Char Char Char,Footnote Text Char Char1 Char Char Char Char Char"/>
    <w:link w:val="FootnoteText"/>
    <w:locked/>
    <w:rsid w:val="00165594"/>
    <w:rPr>
      <w:lang w:eastAsia="en-US"/>
    </w:rPr>
  </w:style>
  <w:style w:type="character" w:styleId="Hyperlink">
    <w:name w:val="Hyperlink"/>
    <w:uiPriority w:val="99"/>
    <w:rsid w:val="00E04BE3"/>
    <w:rPr>
      <w:rFonts w:cs="Times New Roman"/>
      <w:color w:val="0088CC"/>
      <w:u w:val="single"/>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Ha"/>
    <w:basedOn w:val="Normal"/>
    <w:link w:val="ListParagraphChar"/>
    <w:uiPriority w:val="34"/>
    <w:qFormat/>
    <w:rsid w:val="000B4B19"/>
    <w:pPr>
      <w:spacing w:after="0"/>
      <w:ind w:left="720"/>
      <w:contextualSpacing/>
      <w:jc w:val="left"/>
    </w:pPr>
    <w:rPr>
      <w:snapToGrid w:val="0"/>
      <w:sz w:val="24"/>
      <w:szCs w:val="24"/>
      <w:lang w:eastAsia="en-GB"/>
    </w:rPr>
  </w:style>
  <w:style w:type="character" w:styleId="FollowedHyperlink">
    <w:name w:val="FollowedHyperlink"/>
    <w:uiPriority w:val="99"/>
    <w:semiHidden/>
    <w:unhideWhenUsed/>
    <w:rsid w:val="0093325A"/>
    <w:rPr>
      <w:color w:val="800080"/>
      <w:u w:val="single"/>
    </w:rPr>
  </w:style>
  <w:style w:type="character" w:styleId="CommentReference">
    <w:name w:val="annotation reference"/>
    <w:uiPriority w:val="99"/>
    <w:unhideWhenUsed/>
    <w:rsid w:val="003961E3"/>
    <w:rPr>
      <w:sz w:val="16"/>
      <w:szCs w:val="16"/>
    </w:rPr>
  </w:style>
  <w:style w:type="paragraph" w:styleId="CommentSubject">
    <w:name w:val="annotation subject"/>
    <w:basedOn w:val="CommentText"/>
    <w:next w:val="CommentText"/>
    <w:link w:val="CommentSubjectChar"/>
    <w:uiPriority w:val="99"/>
    <w:semiHidden/>
    <w:unhideWhenUsed/>
    <w:rsid w:val="003961E3"/>
    <w:rPr>
      <w:b/>
      <w:bCs/>
    </w:rPr>
  </w:style>
  <w:style w:type="character" w:customStyle="1" w:styleId="CommentTextChar">
    <w:name w:val="Comment Text Char"/>
    <w:link w:val="CommentText"/>
    <w:uiPriority w:val="99"/>
    <w:rsid w:val="003961E3"/>
    <w:rPr>
      <w:lang w:eastAsia="en-US"/>
    </w:rPr>
  </w:style>
  <w:style w:type="character" w:customStyle="1" w:styleId="CommentSubjectChar">
    <w:name w:val="Comment Subject Char"/>
    <w:link w:val="CommentSubject"/>
    <w:uiPriority w:val="99"/>
    <w:semiHidden/>
    <w:rsid w:val="003961E3"/>
    <w:rPr>
      <w:b/>
      <w:bCs/>
      <w:lang w:eastAsia="en-US"/>
    </w:rPr>
  </w:style>
  <w:style w:type="paragraph" w:styleId="Revision">
    <w:name w:val="Revision"/>
    <w:hidden/>
    <w:uiPriority w:val="99"/>
    <w:semiHidden/>
    <w:rsid w:val="003961E3"/>
    <w:rPr>
      <w:sz w:val="28"/>
      <w:lang w:eastAsia="en-US"/>
    </w:rPr>
  </w:style>
  <w:style w:type="character" w:customStyle="1" w:styleId="Heading1Char">
    <w:name w:val="Heading 1 Char"/>
    <w:link w:val="Heading1"/>
    <w:rsid w:val="00692CDE"/>
    <w:rPr>
      <w:rFonts w:ascii="Verdana" w:hAnsi="Verdana"/>
      <w:b/>
      <w:color w:val="A50021"/>
      <w:lang w:eastAsia="en-US"/>
    </w:rPr>
  </w:style>
  <w:style w:type="character" w:customStyle="1" w:styleId="Heading2Char">
    <w:name w:val="Heading 2 Char"/>
    <w:link w:val="Heading2"/>
    <w:rsid w:val="006E495F"/>
    <w:rPr>
      <w:rFonts w:ascii="Verdana" w:hAnsi="Verdana"/>
      <w:b/>
      <w:color w:val="A50021"/>
      <w:lang w:eastAsia="en-US"/>
    </w:rPr>
  </w:style>
  <w:style w:type="paragraph" w:customStyle="1" w:styleId="Default">
    <w:name w:val="Default"/>
    <w:link w:val="DefaultChar"/>
    <w:rsid w:val="008514C7"/>
    <w:pPr>
      <w:autoSpaceDE w:val="0"/>
      <w:autoSpaceDN w:val="0"/>
      <w:adjustRightInd w:val="0"/>
    </w:pPr>
    <w:rPr>
      <w:color w:val="000000"/>
      <w:sz w:val="24"/>
      <w:szCs w:val="24"/>
      <w:lang w:eastAsia="en-GB"/>
    </w:rPr>
  </w:style>
  <w:style w:type="paragraph" w:customStyle="1" w:styleId="CM1">
    <w:name w:val="CM1"/>
    <w:basedOn w:val="Default"/>
    <w:next w:val="Default"/>
    <w:uiPriority w:val="99"/>
    <w:rsid w:val="00845575"/>
    <w:rPr>
      <w:rFonts w:ascii="EUAlbertina" w:hAnsi="EUAlbertina"/>
      <w:color w:val="auto"/>
    </w:rPr>
  </w:style>
  <w:style w:type="paragraph" w:customStyle="1" w:styleId="CM3">
    <w:name w:val="CM3"/>
    <w:basedOn w:val="Default"/>
    <w:next w:val="Default"/>
    <w:uiPriority w:val="99"/>
    <w:rsid w:val="00845575"/>
    <w:rPr>
      <w:rFonts w:ascii="EUAlbertina" w:hAnsi="EUAlbertina"/>
      <w:color w:val="auto"/>
    </w:rPr>
  </w:style>
  <w:style w:type="character" w:customStyle="1" w:styleId="DefaultChar">
    <w:name w:val="Default Char"/>
    <w:link w:val="Default"/>
    <w:rsid w:val="00C62BD4"/>
    <w:rPr>
      <w:color w:val="000000"/>
      <w:sz w:val="24"/>
      <w:szCs w:val="24"/>
    </w:rPr>
  </w:style>
  <w:style w:type="paragraph" w:customStyle="1" w:styleId="Pagedecouverture">
    <w:name w:val="Page de couverture"/>
    <w:basedOn w:val="Normal"/>
    <w:next w:val="Normal"/>
    <w:rsid w:val="00B773BB"/>
    <w:pPr>
      <w:spacing w:after="0"/>
    </w:pPr>
    <w:rPr>
      <w:rFonts w:eastAsia="Calibri"/>
      <w:sz w:val="24"/>
      <w:szCs w:val="22"/>
    </w:rPr>
  </w:style>
  <w:style w:type="paragraph" w:customStyle="1" w:styleId="Char2">
    <w:name w:val="Char2"/>
    <w:basedOn w:val="Normal"/>
    <w:link w:val="FootnoteReference"/>
    <w:uiPriority w:val="99"/>
    <w:rsid w:val="003B7331"/>
    <w:pPr>
      <w:spacing w:after="160" w:line="240" w:lineRule="exact"/>
      <w:jc w:val="left"/>
    </w:pPr>
    <w:rPr>
      <w:vertAlign w:val="superscript"/>
      <w:lang w:eastAsia="en-GB"/>
    </w:rPr>
  </w:style>
  <w:style w:type="character" w:customStyle="1" w:styleId="BodyTextChar">
    <w:name w:val="Body Text Char"/>
    <w:link w:val="BodyText"/>
    <w:uiPriority w:val="1"/>
    <w:rsid w:val="007502F1"/>
    <w:rPr>
      <w:sz w:val="28"/>
      <w:lang w:eastAsia="en-US"/>
    </w:rPr>
  </w:style>
  <w:style w:type="paragraph" w:customStyle="1" w:styleId="TableParagraph">
    <w:name w:val="Table Paragraph"/>
    <w:basedOn w:val="Normal"/>
    <w:uiPriority w:val="1"/>
    <w:rsid w:val="0044312F"/>
    <w:pPr>
      <w:widowControl w:val="0"/>
      <w:spacing w:before="79" w:after="0"/>
      <w:ind w:left="103"/>
      <w:jc w:val="left"/>
    </w:pPr>
    <w:rPr>
      <w:rFonts w:eastAsia="Verdana" w:cs="Verdana"/>
      <w:sz w:val="22"/>
      <w:szCs w:val="22"/>
    </w:rPr>
  </w:style>
  <w:style w:type="character" w:customStyle="1" w:styleId="Text1Char">
    <w:name w:val="Text 1 Char"/>
    <w:link w:val="Text1"/>
    <w:rsid w:val="004B4644"/>
    <w:rPr>
      <w:sz w:val="28"/>
      <w:lang w:eastAsia="en-US"/>
    </w:rPr>
  </w:style>
  <w:style w:type="character" w:customStyle="1" w:styleId="Bodytext20">
    <w:name w:val="Body text (2)_"/>
    <w:rsid w:val="00544DAC"/>
    <w:rPr>
      <w:b w:val="0"/>
      <w:bCs w:val="0"/>
      <w:i w:val="0"/>
      <w:iCs w:val="0"/>
      <w:smallCaps w:val="0"/>
      <w:strike w:val="0"/>
      <w:sz w:val="22"/>
      <w:szCs w:val="22"/>
      <w:u w:val="none"/>
    </w:rPr>
  </w:style>
  <w:style w:type="character" w:customStyle="1" w:styleId="Bodytext21">
    <w:name w:val="Body text (2)"/>
    <w:rsid w:val="00544DA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t-PT" w:eastAsia="en-US" w:bidi="en-US"/>
    </w:rPr>
  </w:style>
  <w:style w:type="character" w:customStyle="1" w:styleId="Heading20">
    <w:name w:val="Heading #2_"/>
    <w:link w:val="Heading21"/>
    <w:rsid w:val="00544DAC"/>
    <w:rPr>
      <w:sz w:val="22"/>
      <w:szCs w:val="22"/>
      <w:shd w:val="clear" w:color="auto" w:fill="FFFFFF"/>
    </w:rPr>
  </w:style>
  <w:style w:type="paragraph" w:customStyle="1" w:styleId="Heading21">
    <w:name w:val="Heading #2"/>
    <w:basedOn w:val="Normal"/>
    <w:link w:val="Heading20"/>
    <w:rsid w:val="00544DAC"/>
    <w:pPr>
      <w:widowControl w:val="0"/>
      <w:shd w:val="clear" w:color="auto" w:fill="FFFFFF"/>
      <w:spacing w:after="0" w:line="514" w:lineRule="exact"/>
      <w:ind w:hanging="600"/>
      <w:outlineLvl w:val="1"/>
    </w:pPr>
    <w:rPr>
      <w:rFonts w:ascii="Times New Roman" w:hAnsi="Times New Roman"/>
      <w:sz w:val="22"/>
      <w:szCs w:val="22"/>
      <w:lang w:eastAsia="en-GB"/>
    </w:rPr>
  </w:style>
  <w:style w:type="character" w:customStyle="1" w:styleId="Text2Car">
    <w:name w:val="Text 2 Car"/>
    <w:link w:val="Text2"/>
    <w:rsid w:val="00BC77D2"/>
    <w:rPr>
      <w:rFonts w:ascii="Verdana" w:hAnsi="Verdana"/>
      <w:lang w:eastAsia="en-US"/>
    </w:rPr>
  </w:style>
  <w:style w:type="character" w:customStyle="1" w:styleId="Heading3Char">
    <w:name w:val="Heading 3 Char"/>
    <w:link w:val="Heading3"/>
    <w:rsid w:val="00510B7E"/>
    <w:rPr>
      <w:rFonts w:ascii="Verdana" w:hAnsi="Verdana"/>
      <w:i/>
      <w:color w:val="A50021"/>
      <w:u w:val="single"/>
      <w:lang w:eastAsia="en-US"/>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Ha Char"/>
    <w:link w:val="ListParagraph"/>
    <w:uiPriority w:val="34"/>
    <w:rsid w:val="002C50CE"/>
    <w:rPr>
      <w:rFonts w:ascii="Verdana" w:hAnsi="Verdana"/>
      <w:snapToGrid w:val="0"/>
      <w:sz w:val="24"/>
      <w:szCs w:val="24"/>
    </w:rPr>
  </w:style>
  <w:style w:type="character" w:customStyle="1" w:styleId="iceouttxt36">
    <w:name w:val="iceouttxt36"/>
    <w:rsid w:val="002D1390"/>
    <w:rPr>
      <w:rFonts w:ascii="Times New Roman" w:hAnsi="Times New Roman" w:cs="Times New Roman" w:hint="default"/>
      <w:bdr w:val="none" w:sz="0" w:space="0" w:color="auto" w:frame="1"/>
      <w:vertAlign w:val="baseline"/>
    </w:rPr>
  </w:style>
  <w:style w:type="paragraph" w:customStyle="1" w:styleId="1">
    <w:name w:val="1"/>
    <w:basedOn w:val="Normal"/>
    <w:uiPriority w:val="99"/>
    <w:qFormat/>
    <w:rsid w:val="002D1390"/>
    <w:pPr>
      <w:spacing w:after="160" w:line="240" w:lineRule="exact"/>
      <w:jc w:val="left"/>
    </w:pPr>
    <w:rPr>
      <w:rFonts w:ascii="Times New Roman" w:hAnsi="Times New Roman"/>
      <w:vertAlign w:val="superscript"/>
      <w:lang w:eastAsia="en-GB"/>
    </w:rPr>
  </w:style>
  <w:style w:type="character" w:customStyle="1" w:styleId="BodyTextIndentChar">
    <w:name w:val="Body Text Indent Char"/>
    <w:link w:val="BodyTextIndent"/>
    <w:semiHidden/>
    <w:rsid w:val="00A53E20"/>
    <w:rPr>
      <w:rFonts w:ascii="Verdana" w:hAnsi="Verdana"/>
      <w:lang w:eastAsia="en-US"/>
    </w:rPr>
  </w:style>
  <w:style w:type="paragraph" w:customStyle="1" w:styleId="Body">
    <w:name w:val="Body"/>
    <w:rsid w:val="00510B7E"/>
    <w:pPr>
      <w:pBdr>
        <w:top w:val="nil"/>
        <w:left w:val="nil"/>
        <w:bottom w:val="nil"/>
        <w:right w:val="nil"/>
        <w:between w:val="nil"/>
        <w:bar w:val="nil"/>
      </w:pBdr>
      <w:spacing w:after="200"/>
      <w:jc w:val="both"/>
    </w:pPr>
    <w:rPr>
      <w:rFonts w:ascii="Verdana" w:eastAsia="Arial Unicode MS" w:hAnsi="Verdana" w:cs="Arial Unicode MS"/>
      <w:color w:val="000000"/>
      <w:u w:color="000000"/>
      <w:bdr w:val="nil"/>
      <w:lang w:eastAsia="en-GB"/>
    </w:rPr>
  </w:style>
  <w:style w:type="character" w:customStyle="1" w:styleId="Hyperlink3">
    <w:name w:val="Hyperlink.3"/>
    <w:rsid w:val="00510B7E"/>
  </w:style>
  <w:style w:type="paragraph" w:customStyle="1" w:styleId="footnote1">
    <w:name w:val="footnote1"/>
    <w:basedOn w:val="Normal"/>
    <w:qFormat/>
    <w:rsid w:val="00C909EF"/>
    <w:pPr>
      <w:spacing w:after="0"/>
      <w:ind w:left="720" w:hanging="720"/>
    </w:pPr>
    <w:rPr>
      <w:rFonts w:ascii="Times New Roman" w:hAnsi="Times New Roman"/>
      <w:szCs w:val="22"/>
      <w:lang w:eastAsia="en-GB"/>
    </w:rPr>
  </w:style>
  <w:style w:type="paragraph" w:styleId="NormalWeb">
    <w:name w:val="Normal (Web)"/>
    <w:basedOn w:val="Normal"/>
    <w:uiPriority w:val="99"/>
    <w:semiHidden/>
    <w:unhideWhenUsed/>
    <w:rsid w:val="00832213"/>
    <w:pPr>
      <w:spacing w:before="100" w:beforeAutospacing="1" w:after="100" w:afterAutospacing="1"/>
      <w:jc w:val="left"/>
    </w:pPr>
    <w:rPr>
      <w:rFonts w:ascii="Times New Roman" w:hAnsi="Times New Roman"/>
      <w:sz w:val="24"/>
      <w:szCs w:val="24"/>
      <w:lang w:eastAsia="en-GB"/>
    </w:rPr>
  </w:style>
  <w:style w:type="paragraph" w:customStyle="1" w:styleId="paragraph">
    <w:name w:val="paragraph"/>
    <w:basedOn w:val="Normal"/>
    <w:rsid w:val="008B1F42"/>
    <w:pPr>
      <w:spacing w:before="100" w:beforeAutospacing="1" w:after="100" w:afterAutospacing="1"/>
      <w:jc w:val="left"/>
    </w:pPr>
    <w:rPr>
      <w:rFonts w:ascii="Times New Roman" w:hAnsi="Times New Roman"/>
      <w:sz w:val="24"/>
      <w:szCs w:val="24"/>
      <w:lang w:eastAsia="fr-BE"/>
    </w:rPr>
  </w:style>
  <w:style w:type="character" w:customStyle="1" w:styleId="normaltextrun">
    <w:name w:val="normaltextrun"/>
    <w:rsid w:val="008B1F42"/>
  </w:style>
  <w:style w:type="character" w:customStyle="1" w:styleId="eop">
    <w:name w:val="eop"/>
    <w:rsid w:val="008B1F42"/>
  </w:style>
  <w:style w:type="table" w:customStyle="1" w:styleId="TableLetterhead">
    <w:name w:val="Table Letterhead"/>
    <w:basedOn w:val="TableNormal"/>
    <w:semiHidden/>
    <w:rsid w:val="0062273B"/>
    <w:rPr>
      <w:sz w:val="24"/>
    </w:rPr>
    <w:tblPr>
      <w:tblCellMar>
        <w:left w:w="0" w:type="dxa"/>
        <w:bottom w:w="34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8761">
      <w:bodyDiv w:val="1"/>
      <w:marLeft w:val="0"/>
      <w:marRight w:val="0"/>
      <w:marTop w:val="0"/>
      <w:marBottom w:val="0"/>
      <w:divBdr>
        <w:top w:val="none" w:sz="0" w:space="0" w:color="auto"/>
        <w:left w:val="none" w:sz="0" w:space="0" w:color="auto"/>
        <w:bottom w:val="none" w:sz="0" w:space="0" w:color="auto"/>
        <w:right w:val="none" w:sz="0" w:space="0" w:color="auto"/>
      </w:divBdr>
      <w:divsChild>
        <w:div w:id="95683694">
          <w:marLeft w:val="0"/>
          <w:marRight w:val="0"/>
          <w:marTop w:val="0"/>
          <w:marBottom w:val="0"/>
          <w:divBdr>
            <w:top w:val="none" w:sz="0" w:space="0" w:color="auto"/>
            <w:left w:val="none" w:sz="0" w:space="0" w:color="auto"/>
            <w:bottom w:val="none" w:sz="0" w:space="0" w:color="auto"/>
            <w:right w:val="none" w:sz="0" w:space="0" w:color="auto"/>
          </w:divBdr>
        </w:div>
      </w:divsChild>
    </w:div>
    <w:div w:id="38669110">
      <w:bodyDiv w:val="1"/>
      <w:marLeft w:val="0"/>
      <w:marRight w:val="0"/>
      <w:marTop w:val="0"/>
      <w:marBottom w:val="0"/>
      <w:divBdr>
        <w:top w:val="none" w:sz="0" w:space="0" w:color="auto"/>
        <w:left w:val="none" w:sz="0" w:space="0" w:color="auto"/>
        <w:bottom w:val="none" w:sz="0" w:space="0" w:color="auto"/>
        <w:right w:val="none" w:sz="0" w:space="0" w:color="auto"/>
      </w:divBdr>
    </w:div>
    <w:div w:id="90123816">
      <w:bodyDiv w:val="1"/>
      <w:marLeft w:val="0"/>
      <w:marRight w:val="0"/>
      <w:marTop w:val="0"/>
      <w:marBottom w:val="0"/>
      <w:divBdr>
        <w:top w:val="none" w:sz="0" w:space="0" w:color="auto"/>
        <w:left w:val="none" w:sz="0" w:space="0" w:color="auto"/>
        <w:bottom w:val="none" w:sz="0" w:space="0" w:color="auto"/>
        <w:right w:val="none" w:sz="0" w:space="0" w:color="auto"/>
      </w:divBdr>
    </w:div>
    <w:div w:id="103040698">
      <w:bodyDiv w:val="1"/>
      <w:marLeft w:val="0"/>
      <w:marRight w:val="0"/>
      <w:marTop w:val="0"/>
      <w:marBottom w:val="0"/>
      <w:divBdr>
        <w:top w:val="none" w:sz="0" w:space="0" w:color="auto"/>
        <w:left w:val="none" w:sz="0" w:space="0" w:color="auto"/>
        <w:bottom w:val="none" w:sz="0" w:space="0" w:color="auto"/>
        <w:right w:val="none" w:sz="0" w:space="0" w:color="auto"/>
      </w:divBdr>
    </w:div>
    <w:div w:id="141432808">
      <w:bodyDiv w:val="1"/>
      <w:marLeft w:val="0"/>
      <w:marRight w:val="0"/>
      <w:marTop w:val="0"/>
      <w:marBottom w:val="0"/>
      <w:divBdr>
        <w:top w:val="none" w:sz="0" w:space="0" w:color="auto"/>
        <w:left w:val="none" w:sz="0" w:space="0" w:color="auto"/>
        <w:bottom w:val="none" w:sz="0" w:space="0" w:color="auto"/>
        <w:right w:val="none" w:sz="0" w:space="0" w:color="auto"/>
      </w:divBdr>
    </w:div>
    <w:div w:id="176887031">
      <w:bodyDiv w:val="1"/>
      <w:marLeft w:val="0"/>
      <w:marRight w:val="0"/>
      <w:marTop w:val="0"/>
      <w:marBottom w:val="0"/>
      <w:divBdr>
        <w:top w:val="none" w:sz="0" w:space="0" w:color="auto"/>
        <w:left w:val="none" w:sz="0" w:space="0" w:color="auto"/>
        <w:bottom w:val="none" w:sz="0" w:space="0" w:color="auto"/>
        <w:right w:val="none" w:sz="0" w:space="0" w:color="auto"/>
      </w:divBdr>
    </w:div>
    <w:div w:id="190265158">
      <w:bodyDiv w:val="1"/>
      <w:marLeft w:val="0"/>
      <w:marRight w:val="0"/>
      <w:marTop w:val="0"/>
      <w:marBottom w:val="0"/>
      <w:divBdr>
        <w:top w:val="none" w:sz="0" w:space="0" w:color="auto"/>
        <w:left w:val="none" w:sz="0" w:space="0" w:color="auto"/>
        <w:bottom w:val="none" w:sz="0" w:space="0" w:color="auto"/>
        <w:right w:val="none" w:sz="0" w:space="0" w:color="auto"/>
      </w:divBdr>
    </w:div>
    <w:div w:id="210846157">
      <w:bodyDiv w:val="1"/>
      <w:marLeft w:val="0"/>
      <w:marRight w:val="0"/>
      <w:marTop w:val="0"/>
      <w:marBottom w:val="0"/>
      <w:divBdr>
        <w:top w:val="none" w:sz="0" w:space="0" w:color="auto"/>
        <w:left w:val="none" w:sz="0" w:space="0" w:color="auto"/>
        <w:bottom w:val="none" w:sz="0" w:space="0" w:color="auto"/>
        <w:right w:val="none" w:sz="0" w:space="0" w:color="auto"/>
      </w:divBdr>
    </w:div>
    <w:div w:id="211692104">
      <w:bodyDiv w:val="1"/>
      <w:marLeft w:val="0"/>
      <w:marRight w:val="0"/>
      <w:marTop w:val="0"/>
      <w:marBottom w:val="0"/>
      <w:divBdr>
        <w:top w:val="none" w:sz="0" w:space="0" w:color="auto"/>
        <w:left w:val="none" w:sz="0" w:space="0" w:color="auto"/>
        <w:bottom w:val="none" w:sz="0" w:space="0" w:color="auto"/>
        <w:right w:val="none" w:sz="0" w:space="0" w:color="auto"/>
      </w:divBdr>
    </w:div>
    <w:div w:id="219949969">
      <w:bodyDiv w:val="1"/>
      <w:marLeft w:val="0"/>
      <w:marRight w:val="0"/>
      <w:marTop w:val="0"/>
      <w:marBottom w:val="0"/>
      <w:divBdr>
        <w:top w:val="none" w:sz="0" w:space="0" w:color="auto"/>
        <w:left w:val="none" w:sz="0" w:space="0" w:color="auto"/>
        <w:bottom w:val="none" w:sz="0" w:space="0" w:color="auto"/>
        <w:right w:val="none" w:sz="0" w:space="0" w:color="auto"/>
      </w:divBdr>
    </w:div>
    <w:div w:id="221603459">
      <w:bodyDiv w:val="1"/>
      <w:marLeft w:val="0"/>
      <w:marRight w:val="0"/>
      <w:marTop w:val="0"/>
      <w:marBottom w:val="0"/>
      <w:divBdr>
        <w:top w:val="none" w:sz="0" w:space="0" w:color="auto"/>
        <w:left w:val="none" w:sz="0" w:space="0" w:color="auto"/>
        <w:bottom w:val="none" w:sz="0" w:space="0" w:color="auto"/>
        <w:right w:val="none" w:sz="0" w:space="0" w:color="auto"/>
      </w:divBdr>
    </w:div>
    <w:div w:id="227038112">
      <w:bodyDiv w:val="1"/>
      <w:marLeft w:val="0"/>
      <w:marRight w:val="0"/>
      <w:marTop w:val="0"/>
      <w:marBottom w:val="0"/>
      <w:divBdr>
        <w:top w:val="none" w:sz="0" w:space="0" w:color="auto"/>
        <w:left w:val="none" w:sz="0" w:space="0" w:color="auto"/>
        <w:bottom w:val="none" w:sz="0" w:space="0" w:color="auto"/>
        <w:right w:val="none" w:sz="0" w:space="0" w:color="auto"/>
      </w:divBdr>
      <w:divsChild>
        <w:div w:id="1323775610">
          <w:marLeft w:val="0"/>
          <w:marRight w:val="0"/>
          <w:marTop w:val="0"/>
          <w:marBottom w:val="0"/>
          <w:divBdr>
            <w:top w:val="none" w:sz="0" w:space="0" w:color="auto"/>
            <w:left w:val="none" w:sz="0" w:space="0" w:color="auto"/>
            <w:bottom w:val="none" w:sz="0" w:space="0" w:color="auto"/>
            <w:right w:val="none" w:sz="0" w:space="0" w:color="auto"/>
          </w:divBdr>
        </w:div>
      </w:divsChild>
    </w:div>
    <w:div w:id="262030436">
      <w:bodyDiv w:val="1"/>
      <w:marLeft w:val="0"/>
      <w:marRight w:val="0"/>
      <w:marTop w:val="0"/>
      <w:marBottom w:val="0"/>
      <w:divBdr>
        <w:top w:val="none" w:sz="0" w:space="0" w:color="auto"/>
        <w:left w:val="none" w:sz="0" w:space="0" w:color="auto"/>
        <w:bottom w:val="none" w:sz="0" w:space="0" w:color="auto"/>
        <w:right w:val="none" w:sz="0" w:space="0" w:color="auto"/>
      </w:divBdr>
    </w:div>
    <w:div w:id="359743173">
      <w:bodyDiv w:val="1"/>
      <w:marLeft w:val="0"/>
      <w:marRight w:val="0"/>
      <w:marTop w:val="0"/>
      <w:marBottom w:val="0"/>
      <w:divBdr>
        <w:top w:val="none" w:sz="0" w:space="0" w:color="auto"/>
        <w:left w:val="none" w:sz="0" w:space="0" w:color="auto"/>
        <w:bottom w:val="none" w:sz="0" w:space="0" w:color="auto"/>
        <w:right w:val="none" w:sz="0" w:space="0" w:color="auto"/>
      </w:divBdr>
    </w:div>
    <w:div w:id="409469453">
      <w:bodyDiv w:val="1"/>
      <w:marLeft w:val="0"/>
      <w:marRight w:val="0"/>
      <w:marTop w:val="0"/>
      <w:marBottom w:val="0"/>
      <w:divBdr>
        <w:top w:val="none" w:sz="0" w:space="0" w:color="auto"/>
        <w:left w:val="none" w:sz="0" w:space="0" w:color="auto"/>
        <w:bottom w:val="none" w:sz="0" w:space="0" w:color="auto"/>
        <w:right w:val="none" w:sz="0" w:space="0" w:color="auto"/>
      </w:divBdr>
    </w:div>
    <w:div w:id="419571455">
      <w:bodyDiv w:val="1"/>
      <w:marLeft w:val="0"/>
      <w:marRight w:val="0"/>
      <w:marTop w:val="0"/>
      <w:marBottom w:val="0"/>
      <w:divBdr>
        <w:top w:val="none" w:sz="0" w:space="0" w:color="auto"/>
        <w:left w:val="none" w:sz="0" w:space="0" w:color="auto"/>
        <w:bottom w:val="none" w:sz="0" w:space="0" w:color="auto"/>
        <w:right w:val="none" w:sz="0" w:space="0" w:color="auto"/>
      </w:divBdr>
    </w:div>
    <w:div w:id="424419585">
      <w:bodyDiv w:val="1"/>
      <w:marLeft w:val="0"/>
      <w:marRight w:val="0"/>
      <w:marTop w:val="0"/>
      <w:marBottom w:val="0"/>
      <w:divBdr>
        <w:top w:val="none" w:sz="0" w:space="0" w:color="auto"/>
        <w:left w:val="none" w:sz="0" w:space="0" w:color="auto"/>
        <w:bottom w:val="none" w:sz="0" w:space="0" w:color="auto"/>
        <w:right w:val="none" w:sz="0" w:space="0" w:color="auto"/>
      </w:divBdr>
    </w:div>
    <w:div w:id="447773217">
      <w:bodyDiv w:val="1"/>
      <w:marLeft w:val="0"/>
      <w:marRight w:val="0"/>
      <w:marTop w:val="0"/>
      <w:marBottom w:val="0"/>
      <w:divBdr>
        <w:top w:val="none" w:sz="0" w:space="0" w:color="auto"/>
        <w:left w:val="none" w:sz="0" w:space="0" w:color="auto"/>
        <w:bottom w:val="none" w:sz="0" w:space="0" w:color="auto"/>
        <w:right w:val="none" w:sz="0" w:space="0" w:color="auto"/>
      </w:divBdr>
    </w:div>
    <w:div w:id="533690867">
      <w:bodyDiv w:val="1"/>
      <w:marLeft w:val="0"/>
      <w:marRight w:val="0"/>
      <w:marTop w:val="0"/>
      <w:marBottom w:val="0"/>
      <w:divBdr>
        <w:top w:val="none" w:sz="0" w:space="0" w:color="auto"/>
        <w:left w:val="none" w:sz="0" w:space="0" w:color="auto"/>
        <w:bottom w:val="none" w:sz="0" w:space="0" w:color="auto"/>
        <w:right w:val="none" w:sz="0" w:space="0" w:color="auto"/>
      </w:divBdr>
      <w:divsChild>
        <w:div w:id="772475555">
          <w:marLeft w:val="0"/>
          <w:marRight w:val="0"/>
          <w:marTop w:val="0"/>
          <w:marBottom w:val="0"/>
          <w:divBdr>
            <w:top w:val="none" w:sz="0" w:space="0" w:color="auto"/>
            <w:left w:val="none" w:sz="0" w:space="0" w:color="auto"/>
            <w:bottom w:val="none" w:sz="0" w:space="0" w:color="auto"/>
            <w:right w:val="none" w:sz="0" w:space="0" w:color="auto"/>
          </w:divBdr>
        </w:div>
      </w:divsChild>
    </w:div>
    <w:div w:id="570122764">
      <w:bodyDiv w:val="1"/>
      <w:marLeft w:val="0"/>
      <w:marRight w:val="0"/>
      <w:marTop w:val="0"/>
      <w:marBottom w:val="0"/>
      <w:divBdr>
        <w:top w:val="none" w:sz="0" w:space="0" w:color="auto"/>
        <w:left w:val="none" w:sz="0" w:space="0" w:color="auto"/>
        <w:bottom w:val="none" w:sz="0" w:space="0" w:color="auto"/>
        <w:right w:val="none" w:sz="0" w:space="0" w:color="auto"/>
      </w:divBdr>
    </w:div>
    <w:div w:id="611135809">
      <w:bodyDiv w:val="1"/>
      <w:marLeft w:val="0"/>
      <w:marRight w:val="0"/>
      <w:marTop w:val="0"/>
      <w:marBottom w:val="0"/>
      <w:divBdr>
        <w:top w:val="none" w:sz="0" w:space="0" w:color="auto"/>
        <w:left w:val="none" w:sz="0" w:space="0" w:color="auto"/>
        <w:bottom w:val="none" w:sz="0" w:space="0" w:color="auto"/>
        <w:right w:val="none" w:sz="0" w:space="0" w:color="auto"/>
      </w:divBdr>
    </w:div>
    <w:div w:id="616529841">
      <w:bodyDiv w:val="1"/>
      <w:marLeft w:val="0"/>
      <w:marRight w:val="0"/>
      <w:marTop w:val="0"/>
      <w:marBottom w:val="0"/>
      <w:divBdr>
        <w:top w:val="none" w:sz="0" w:space="0" w:color="auto"/>
        <w:left w:val="none" w:sz="0" w:space="0" w:color="auto"/>
        <w:bottom w:val="none" w:sz="0" w:space="0" w:color="auto"/>
        <w:right w:val="none" w:sz="0" w:space="0" w:color="auto"/>
      </w:divBdr>
    </w:div>
    <w:div w:id="630791554">
      <w:bodyDiv w:val="1"/>
      <w:marLeft w:val="0"/>
      <w:marRight w:val="0"/>
      <w:marTop w:val="0"/>
      <w:marBottom w:val="0"/>
      <w:divBdr>
        <w:top w:val="none" w:sz="0" w:space="0" w:color="auto"/>
        <w:left w:val="none" w:sz="0" w:space="0" w:color="auto"/>
        <w:bottom w:val="none" w:sz="0" w:space="0" w:color="auto"/>
        <w:right w:val="none" w:sz="0" w:space="0" w:color="auto"/>
      </w:divBdr>
    </w:div>
    <w:div w:id="631522879">
      <w:bodyDiv w:val="1"/>
      <w:marLeft w:val="0"/>
      <w:marRight w:val="0"/>
      <w:marTop w:val="0"/>
      <w:marBottom w:val="0"/>
      <w:divBdr>
        <w:top w:val="none" w:sz="0" w:space="0" w:color="auto"/>
        <w:left w:val="none" w:sz="0" w:space="0" w:color="auto"/>
        <w:bottom w:val="none" w:sz="0" w:space="0" w:color="auto"/>
        <w:right w:val="none" w:sz="0" w:space="0" w:color="auto"/>
      </w:divBdr>
    </w:div>
    <w:div w:id="666978706">
      <w:bodyDiv w:val="1"/>
      <w:marLeft w:val="0"/>
      <w:marRight w:val="0"/>
      <w:marTop w:val="0"/>
      <w:marBottom w:val="0"/>
      <w:divBdr>
        <w:top w:val="none" w:sz="0" w:space="0" w:color="auto"/>
        <w:left w:val="none" w:sz="0" w:space="0" w:color="auto"/>
        <w:bottom w:val="none" w:sz="0" w:space="0" w:color="auto"/>
        <w:right w:val="none" w:sz="0" w:space="0" w:color="auto"/>
      </w:divBdr>
    </w:div>
    <w:div w:id="668796837">
      <w:bodyDiv w:val="1"/>
      <w:marLeft w:val="0"/>
      <w:marRight w:val="0"/>
      <w:marTop w:val="0"/>
      <w:marBottom w:val="0"/>
      <w:divBdr>
        <w:top w:val="none" w:sz="0" w:space="0" w:color="auto"/>
        <w:left w:val="none" w:sz="0" w:space="0" w:color="auto"/>
        <w:bottom w:val="none" w:sz="0" w:space="0" w:color="auto"/>
        <w:right w:val="none" w:sz="0" w:space="0" w:color="auto"/>
      </w:divBdr>
    </w:div>
    <w:div w:id="672874959">
      <w:bodyDiv w:val="1"/>
      <w:marLeft w:val="0"/>
      <w:marRight w:val="0"/>
      <w:marTop w:val="0"/>
      <w:marBottom w:val="0"/>
      <w:divBdr>
        <w:top w:val="none" w:sz="0" w:space="0" w:color="auto"/>
        <w:left w:val="none" w:sz="0" w:space="0" w:color="auto"/>
        <w:bottom w:val="none" w:sz="0" w:space="0" w:color="auto"/>
        <w:right w:val="none" w:sz="0" w:space="0" w:color="auto"/>
      </w:divBdr>
    </w:div>
    <w:div w:id="724332788">
      <w:bodyDiv w:val="1"/>
      <w:marLeft w:val="0"/>
      <w:marRight w:val="0"/>
      <w:marTop w:val="0"/>
      <w:marBottom w:val="0"/>
      <w:divBdr>
        <w:top w:val="none" w:sz="0" w:space="0" w:color="auto"/>
        <w:left w:val="none" w:sz="0" w:space="0" w:color="auto"/>
        <w:bottom w:val="none" w:sz="0" w:space="0" w:color="auto"/>
        <w:right w:val="none" w:sz="0" w:space="0" w:color="auto"/>
      </w:divBdr>
    </w:div>
    <w:div w:id="724571305">
      <w:bodyDiv w:val="1"/>
      <w:marLeft w:val="0"/>
      <w:marRight w:val="0"/>
      <w:marTop w:val="0"/>
      <w:marBottom w:val="0"/>
      <w:divBdr>
        <w:top w:val="none" w:sz="0" w:space="0" w:color="auto"/>
        <w:left w:val="none" w:sz="0" w:space="0" w:color="auto"/>
        <w:bottom w:val="none" w:sz="0" w:space="0" w:color="auto"/>
        <w:right w:val="none" w:sz="0" w:space="0" w:color="auto"/>
      </w:divBdr>
    </w:div>
    <w:div w:id="726759194">
      <w:bodyDiv w:val="1"/>
      <w:marLeft w:val="0"/>
      <w:marRight w:val="0"/>
      <w:marTop w:val="0"/>
      <w:marBottom w:val="0"/>
      <w:divBdr>
        <w:top w:val="none" w:sz="0" w:space="0" w:color="auto"/>
        <w:left w:val="none" w:sz="0" w:space="0" w:color="auto"/>
        <w:bottom w:val="none" w:sz="0" w:space="0" w:color="auto"/>
        <w:right w:val="none" w:sz="0" w:space="0" w:color="auto"/>
      </w:divBdr>
    </w:div>
    <w:div w:id="788429702">
      <w:bodyDiv w:val="1"/>
      <w:marLeft w:val="0"/>
      <w:marRight w:val="0"/>
      <w:marTop w:val="0"/>
      <w:marBottom w:val="0"/>
      <w:divBdr>
        <w:top w:val="none" w:sz="0" w:space="0" w:color="auto"/>
        <w:left w:val="none" w:sz="0" w:space="0" w:color="auto"/>
        <w:bottom w:val="none" w:sz="0" w:space="0" w:color="auto"/>
        <w:right w:val="none" w:sz="0" w:space="0" w:color="auto"/>
      </w:divBdr>
    </w:div>
    <w:div w:id="796067230">
      <w:bodyDiv w:val="1"/>
      <w:marLeft w:val="0"/>
      <w:marRight w:val="0"/>
      <w:marTop w:val="0"/>
      <w:marBottom w:val="0"/>
      <w:divBdr>
        <w:top w:val="none" w:sz="0" w:space="0" w:color="auto"/>
        <w:left w:val="none" w:sz="0" w:space="0" w:color="auto"/>
        <w:bottom w:val="none" w:sz="0" w:space="0" w:color="auto"/>
        <w:right w:val="none" w:sz="0" w:space="0" w:color="auto"/>
      </w:divBdr>
    </w:div>
    <w:div w:id="821583369">
      <w:bodyDiv w:val="1"/>
      <w:marLeft w:val="0"/>
      <w:marRight w:val="0"/>
      <w:marTop w:val="0"/>
      <w:marBottom w:val="0"/>
      <w:divBdr>
        <w:top w:val="none" w:sz="0" w:space="0" w:color="auto"/>
        <w:left w:val="none" w:sz="0" w:space="0" w:color="auto"/>
        <w:bottom w:val="none" w:sz="0" w:space="0" w:color="auto"/>
        <w:right w:val="none" w:sz="0" w:space="0" w:color="auto"/>
      </w:divBdr>
    </w:div>
    <w:div w:id="854685111">
      <w:bodyDiv w:val="1"/>
      <w:marLeft w:val="0"/>
      <w:marRight w:val="0"/>
      <w:marTop w:val="0"/>
      <w:marBottom w:val="0"/>
      <w:divBdr>
        <w:top w:val="none" w:sz="0" w:space="0" w:color="auto"/>
        <w:left w:val="none" w:sz="0" w:space="0" w:color="auto"/>
        <w:bottom w:val="none" w:sz="0" w:space="0" w:color="auto"/>
        <w:right w:val="none" w:sz="0" w:space="0" w:color="auto"/>
      </w:divBdr>
    </w:div>
    <w:div w:id="894436173">
      <w:bodyDiv w:val="1"/>
      <w:marLeft w:val="0"/>
      <w:marRight w:val="0"/>
      <w:marTop w:val="0"/>
      <w:marBottom w:val="0"/>
      <w:divBdr>
        <w:top w:val="none" w:sz="0" w:space="0" w:color="auto"/>
        <w:left w:val="none" w:sz="0" w:space="0" w:color="auto"/>
        <w:bottom w:val="none" w:sz="0" w:space="0" w:color="auto"/>
        <w:right w:val="none" w:sz="0" w:space="0" w:color="auto"/>
      </w:divBdr>
    </w:div>
    <w:div w:id="895354809">
      <w:bodyDiv w:val="1"/>
      <w:marLeft w:val="0"/>
      <w:marRight w:val="0"/>
      <w:marTop w:val="0"/>
      <w:marBottom w:val="0"/>
      <w:divBdr>
        <w:top w:val="none" w:sz="0" w:space="0" w:color="auto"/>
        <w:left w:val="none" w:sz="0" w:space="0" w:color="auto"/>
        <w:bottom w:val="none" w:sz="0" w:space="0" w:color="auto"/>
        <w:right w:val="none" w:sz="0" w:space="0" w:color="auto"/>
      </w:divBdr>
    </w:div>
    <w:div w:id="997726798">
      <w:bodyDiv w:val="1"/>
      <w:marLeft w:val="0"/>
      <w:marRight w:val="0"/>
      <w:marTop w:val="0"/>
      <w:marBottom w:val="0"/>
      <w:divBdr>
        <w:top w:val="none" w:sz="0" w:space="0" w:color="auto"/>
        <w:left w:val="none" w:sz="0" w:space="0" w:color="auto"/>
        <w:bottom w:val="none" w:sz="0" w:space="0" w:color="auto"/>
        <w:right w:val="none" w:sz="0" w:space="0" w:color="auto"/>
      </w:divBdr>
    </w:div>
    <w:div w:id="1109156641">
      <w:bodyDiv w:val="1"/>
      <w:marLeft w:val="0"/>
      <w:marRight w:val="0"/>
      <w:marTop w:val="0"/>
      <w:marBottom w:val="0"/>
      <w:divBdr>
        <w:top w:val="none" w:sz="0" w:space="0" w:color="auto"/>
        <w:left w:val="none" w:sz="0" w:space="0" w:color="auto"/>
        <w:bottom w:val="none" w:sz="0" w:space="0" w:color="auto"/>
        <w:right w:val="none" w:sz="0" w:space="0" w:color="auto"/>
      </w:divBdr>
    </w:div>
    <w:div w:id="1145196951">
      <w:bodyDiv w:val="1"/>
      <w:marLeft w:val="0"/>
      <w:marRight w:val="0"/>
      <w:marTop w:val="0"/>
      <w:marBottom w:val="0"/>
      <w:divBdr>
        <w:top w:val="none" w:sz="0" w:space="0" w:color="auto"/>
        <w:left w:val="none" w:sz="0" w:space="0" w:color="auto"/>
        <w:bottom w:val="none" w:sz="0" w:space="0" w:color="auto"/>
        <w:right w:val="none" w:sz="0" w:space="0" w:color="auto"/>
      </w:divBdr>
    </w:div>
    <w:div w:id="1156262582">
      <w:bodyDiv w:val="1"/>
      <w:marLeft w:val="0"/>
      <w:marRight w:val="0"/>
      <w:marTop w:val="0"/>
      <w:marBottom w:val="0"/>
      <w:divBdr>
        <w:top w:val="none" w:sz="0" w:space="0" w:color="auto"/>
        <w:left w:val="none" w:sz="0" w:space="0" w:color="auto"/>
        <w:bottom w:val="none" w:sz="0" w:space="0" w:color="auto"/>
        <w:right w:val="none" w:sz="0" w:space="0" w:color="auto"/>
      </w:divBdr>
    </w:div>
    <w:div w:id="1173647993">
      <w:bodyDiv w:val="1"/>
      <w:marLeft w:val="0"/>
      <w:marRight w:val="0"/>
      <w:marTop w:val="0"/>
      <w:marBottom w:val="0"/>
      <w:divBdr>
        <w:top w:val="none" w:sz="0" w:space="0" w:color="auto"/>
        <w:left w:val="none" w:sz="0" w:space="0" w:color="auto"/>
        <w:bottom w:val="none" w:sz="0" w:space="0" w:color="auto"/>
        <w:right w:val="none" w:sz="0" w:space="0" w:color="auto"/>
      </w:divBdr>
    </w:div>
    <w:div w:id="1250698026">
      <w:bodyDiv w:val="1"/>
      <w:marLeft w:val="0"/>
      <w:marRight w:val="0"/>
      <w:marTop w:val="0"/>
      <w:marBottom w:val="0"/>
      <w:divBdr>
        <w:top w:val="none" w:sz="0" w:space="0" w:color="auto"/>
        <w:left w:val="none" w:sz="0" w:space="0" w:color="auto"/>
        <w:bottom w:val="none" w:sz="0" w:space="0" w:color="auto"/>
        <w:right w:val="none" w:sz="0" w:space="0" w:color="auto"/>
      </w:divBdr>
    </w:div>
    <w:div w:id="1256867543">
      <w:bodyDiv w:val="1"/>
      <w:marLeft w:val="0"/>
      <w:marRight w:val="0"/>
      <w:marTop w:val="0"/>
      <w:marBottom w:val="0"/>
      <w:divBdr>
        <w:top w:val="none" w:sz="0" w:space="0" w:color="auto"/>
        <w:left w:val="none" w:sz="0" w:space="0" w:color="auto"/>
        <w:bottom w:val="none" w:sz="0" w:space="0" w:color="auto"/>
        <w:right w:val="none" w:sz="0" w:space="0" w:color="auto"/>
      </w:divBdr>
    </w:div>
    <w:div w:id="1360471180">
      <w:bodyDiv w:val="1"/>
      <w:marLeft w:val="0"/>
      <w:marRight w:val="0"/>
      <w:marTop w:val="0"/>
      <w:marBottom w:val="0"/>
      <w:divBdr>
        <w:top w:val="none" w:sz="0" w:space="0" w:color="auto"/>
        <w:left w:val="none" w:sz="0" w:space="0" w:color="auto"/>
        <w:bottom w:val="none" w:sz="0" w:space="0" w:color="auto"/>
        <w:right w:val="none" w:sz="0" w:space="0" w:color="auto"/>
      </w:divBdr>
    </w:div>
    <w:div w:id="1384131897">
      <w:bodyDiv w:val="1"/>
      <w:marLeft w:val="0"/>
      <w:marRight w:val="0"/>
      <w:marTop w:val="0"/>
      <w:marBottom w:val="0"/>
      <w:divBdr>
        <w:top w:val="none" w:sz="0" w:space="0" w:color="auto"/>
        <w:left w:val="none" w:sz="0" w:space="0" w:color="auto"/>
        <w:bottom w:val="none" w:sz="0" w:space="0" w:color="auto"/>
        <w:right w:val="none" w:sz="0" w:space="0" w:color="auto"/>
      </w:divBdr>
    </w:div>
    <w:div w:id="1451827119">
      <w:bodyDiv w:val="1"/>
      <w:marLeft w:val="0"/>
      <w:marRight w:val="0"/>
      <w:marTop w:val="0"/>
      <w:marBottom w:val="0"/>
      <w:divBdr>
        <w:top w:val="none" w:sz="0" w:space="0" w:color="auto"/>
        <w:left w:val="none" w:sz="0" w:space="0" w:color="auto"/>
        <w:bottom w:val="none" w:sz="0" w:space="0" w:color="auto"/>
        <w:right w:val="none" w:sz="0" w:space="0" w:color="auto"/>
      </w:divBdr>
    </w:div>
    <w:div w:id="1517234381">
      <w:bodyDiv w:val="1"/>
      <w:marLeft w:val="0"/>
      <w:marRight w:val="0"/>
      <w:marTop w:val="0"/>
      <w:marBottom w:val="0"/>
      <w:divBdr>
        <w:top w:val="none" w:sz="0" w:space="0" w:color="auto"/>
        <w:left w:val="none" w:sz="0" w:space="0" w:color="auto"/>
        <w:bottom w:val="none" w:sz="0" w:space="0" w:color="auto"/>
        <w:right w:val="none" w:sz="0" w:space="0" w:color="auto"/>
      </w:divBdr>
    </w:div>
    <w:div w:id="1539776412">
      <w:bodyDiv w:val="1"/>
      <w:marLeft w:val="0"/>
      <w:marRight w:val="0"/>
      <w:marTop w:val="0"/>
      <w:marBottom w:val="0"/>
      <w:divBdr>
        <w:top w:val="none" w:sz="0" w:space="0" w:color="auto"/>
        <w:left w:val="none" w:sz="0" w:space="0" w:color="auto"/>
        <w:bottom w:val="none" w:sz="0" w:space="0" w:color="auto"/>
        <w:right w:val="none" w:sz="0" w:space="0" w:color="auto"/>
      </w:divBdr>
    </w:div>
    <w:div w:id="1541359469">
      <w:bodyDiv w:val="1"/>
      <w:marLeft w:val="0"/>
      <w:marRight w:val="0"/>
      <w:marTop w:val="0"/>
      <w:marBottom w:val="0"/>
      <w:divBdr>
        <w:top w:val="none" w:sz="0" w:space="0" w:color="auto"/>
        <w:left w:val="none" w:sz="0" w:space="0" w:color="auto"/>
        <w:bottom w:val="none" w:sz="0" w:space="0" w:color="auto"/>
        <w:right w:val="none" w:sz="0" w:space="0" w:color="auto"/>
      </w:divBdr>
    </w:div>
    <w:div w:id="163506059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87976972">
      <w:bodyDiv w:val="1"/>
      <w:marLeft w:val="0"/>
      <w:marRight w:val="0"/>
      <w:marTop w:val="0"/>
      <w:marBottom w:val="0"/>
      <w:divBdr>
        <w:top w:val="none" w:sz="0" w:space="0" w:color="auto"/>
        <w:left w:val="none" w:sz="0" w:space="0" w:color="auto"/>
        <w:bottom w:val="none" w:sz="0" w:space="0" w:color="auto"/>
        <w:right w:val="none" w:sz="0" w:space="0" w:color="auto"/>
      </w:divBdr>
    </w:div>
    <w:div w:id="1771504641">
      <w:bodyDiv w:val="1"/>
      <w:marLeft w:val="0"/>
      <w:marRight w:val="0"/>
      <w:marTop w:val="0"/>
      <w:marBottom w:val="0"/>
      <w:divBdr>
        <w:top w:val="none" w:sz="0" w:space="0" w:color="auto"/>
        <w:left w:val="none" w:sz="0" w:space="0" w:color="auto"/>
        <w:bottom w:val="none" w:sz="0" w:space="0" w:color="auto"/>
        <w:right w:val="none" w:sz="0" w:space="0" w:color="auto"/>
      </w:divBdr>
    </w:div>
    <w:div w:id="1811172023">
      <w:bodyDiv w:val="1"/>
      <w:marLeft w:val="0"/>
      <w:marRight w:val="0"/>
      <w:marTop w:val="0"/>
      <w:marBottom w:val="0"/>
      <w:divBdr>
        <w:top w:val="none" w:sz="0" w:space="0" w:color="auto"/>
        <w:left w:val="none" w:sz="0" w:space="0" w:color="auto"/>
        <w:bottom w:val="none" w:sz="0" w:space="0" w:color="auto"/>
        <w:right w:val="none" w:sz="0" w:space="0" w:color="auto"/>
      </w:divBdr>
      <w:divsChild>
        <w:div w:id="1701783708">
          <w:marLeft w:val="0"/>
          <w:marRight w:val="0"/>
          <w:marTop w:val="0"/>
          <w:marBottom w:val="0"/>
          <w:divBdr>
            <w:top w:val="none" w:sz="0" w:space="0" w:color="auto"/>
            <w:left w:val="none" w:sz="0" w:space="0" w:color="auto"/>
            <w:bottom w:val="none" w:sz="0" w:space="0" w:color="auto"/>
            <w:right w:val="none" w:sz="0" w:space="0" w:color="auto"/>
          </w:divBdr>
          <w:divsChild>
            <w:div w:id="2048604006">
              <w:marLeft w:val="0"/>
              <w:marRight w:val="0"/>
              <w:marTop w:val="0"/>
              <w:marBottom w:val="0"/>
              <w:divBdr>
                <w:top w:val="none" w:sz="0" w:space="0" w:color="auto"/>
                <w:left w:val="none" w:sz="0" w:space="0" w:color="auto"/>
                <w:bottom w:val="none" w:sz="0" w:space="0" w:color="auto"/>
                <w:right w:val="none" w:sz="0" w:space="0" w:color="auto"/>
              </w:divBdr>
              <w:divsChild>
                <w:div w:id="287513148">
                  <w:marLeft w:val="0"/>
                  <w:marRight w:val="0"/>
                  <w:marTop w:val="0"/>
                  <w:marBottom w:val="0"/>
                  <w:divBdr>
                    <w:top w:val="none" w:sz="0" w:space="0" w:color="auto"/>
                    <w:left w:val="none" w:sz="0" w:space="0" w:color="auto"/>
                    <w:bottom w:val="none" w:sz="0" w:space="0" w:color="auto"/>
                    <w:right w:val="none" w:sz="0" w:space="0" w:color="auto"/>
                  </w:divBdr>
                  <w:divsChild>
                    <w:div w:id="660088048">
                      <w:marLeft w:val="1"/>
                      <w:marRight w:val="1"/>
                      <w:marTop w:val="0"/>
                      <w:marBottom w:val="0"/>
                      <w:divBdr>
                        <w:top w:val="none" w:sz="0" w:space="0" w:color="auto"/>
                        <w:left w:val="none" w:sz="0" w:space="0" w:color="auto"/>
                        <w:bottom w:val="none" w:sz="0" w:space="0" w:color="auto"/>
                        <w:right w:val="none" w:sz="0" w:space="0" w:color="auto"/>
                      </w:divBdr>
                      <w:divsChild>
                        <w:div w:id="1348950006">
                          <w:marLeft w:val="0"/>
                          <w:marRight w:val="0"/>
                          <w:marTop w:val="0"/>
                          <w:marBottom w:val="0"/>
                          <w:divBdr>
                            <w:top w:val="none" w:sz="0" w:space="0" w:color="auto"/>
                            <w:left w:val="none" w:sz="0" w:space="0" w:color="auto"/>
                            <w:bottom w:val="none" w:sz="0" w:space="0" w:color="auto"/>
                            <w:right w:val="none" w:sz="0" w:space="0" w:color="auto"/>
                          </w:divBdr>
                          <w:divsChild>
                            <w:div w:id="1189299253">
                              <w:marLeft w:val="0"/>
                              <w:marRight w:val="0"/>
                              <w:marTop w:val="0"/>
                              <w:marBottom w:val="360"/>
                              <w:divBdr>
                                <w:top w:val="none" w:sz="0" w:space="0" w:color="auto"/>
                                <w:left w:val="none" w:sz="0" w:space="0" w:color="auto"/>
                                <w:bottom w:val="none" w:sz="0" w:space="0" w:color="auto"/>
                                <w:right w:val="none" w:sz="0" w:space="0" w:color="auto"/>
                              </w:divBdr>
                              <w:divsChild>
                                <w:div w:id="465394015">
                                  <w:marLeft w:val="0"/>
                                  <w:marRight w:val="0"/>
                                  <w:marTop w:val="0"/>
                                  <w:marBottom w:val="0"/>
                                  <w:divBdr>
                                    <w:top w:val="none" w:sz="0" w:space="0" w:color="auto"/>
                                    <w:left w:val="none" w:sz="0" w:space="0" w:color="auto"/>
                                    <w:bottom w:val="none" w:sz="0" w:space="0" w:color="auto"/>
                                    <w:right w:val="none" w:sz="0" w:space="0" w:color="auto"/>
                                  </w:divBdr>
                                  <w:divsChild>
                                    <w:div w:id="11322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326886">
      <w:bodyDiv w:val="1"/>
      <w:marLeft w:val="0"/>
      <w:marRight w:val="0"/>
      <w:marTop w:val="0"/>
      <w:marBottom w:val="0"/>
      <w:divBdr>
        <w:top w:val="none" w:sz="0" w:space="0" w:color="auto"/>
        <w:left w:val="none" w:sz="0" w:space="0" w:color="auto"/>
        <w:bottom w:val="none" w:sz="0" w:space="0" w:color="auto"/>
        <w:right w:val="none" w:sz="0" w:space="0" w:color="auto"/>
      </w:divBdr>
    </w:div>
    <w:div w:id="1823424812">
      <w:bodyDiv w:val="1"/>
      <w:marLeft w:val="0"/>
      <w:marRight w:val="0"/>
      <w:marTop w:val="0"/>
      <w:marBottom w:val="0"/>
      <w:divBdr>
        <w:top w:val="none" w:sz="0" w:space="0" w:color="auto"/>
        <w:left w:val="none" w:sz="0" w:space="0" w:color="auto"/>
        <w:bottom w:val="none" w:sz="0" w:space="0" w:color="auto"/>
        <w:right w:val="none" w:sz="0" w:space="0" w:color="auto"/>
      </w:divBdr>
    </w:div>
    <w:div w:id="1855455251">
      <w:bodyDiv w:val="1"/>
      <w:marLeft w:val="0"/>
      <w:marRight w:val="0"/>
      <w:marTop w:val="0"/>
      <w:marBottom w:val="0"/>
      <w:divBdr>
        <w:top w:val="none" w:sz="0" w:space="0" w:color="auto"/>
        <w:left w:val="none" w:sz="0" w:space="0" w:color="auto"/>
        <w:bottom w:val="none" w:sz="0" w:space="0" w:color="auto"/>
        <w:right w:val="none" w:sz="0" w:space="0" w:color="auto"/>
      </w:divBdr>
    </w:div>
    <w:div w:id="1935435643">
      <w:bodyDiv w:val="1"/>
      <w:marLeft w:val="0"/>
      <w:marRight w:val="0"/>
      <w:marTop w:val="0"/>
      <w:marBottom w:val="0"/>
      <w:divBdr>
        <w:top w:val="none" w:sz="0" w:space="0" w:color="auto"/>
        <w:left w:val="none" w:sz="0" w:space="0" w:color="auto"/>
        <w:bottom w:val="none" w:sz="0" w:space="0" w:color="auto"/>
        <w:right w:val="none" w:sz="0" w:space="0" w:color="auto"/>
      </w:divBdr>
    </w:div>
    <w:div w:id="1998458193">
      <w:bodyDiv w:val="1"/>
      <w:marLeft w:val="0"/>
      <w:marRight w:val="0"/>
      <w:marTop w:val="0"/>
      <w:marBottom w:val="0"/>
      <w:divBdr>
        <w:top w:val="none" w:sz="0" w:space="0" w:color="auto"/>
        <w:left w:val="none" w:sz="0" w:space="0" w:color="auto"/>
        <w:bottom w:val="none" w:sz="0" w:space="0" w:color="auto"/>
        <w:right w:val="none" w:sz="0" w:space="0" w:color="auto"/>
      </w:divBdr>
    </w:div>
    <w:div w:id="2075003046">
      <w:bodyDiv w:val="1"/>
      <w:marLeft w:val="0"/>
      <w:marRight w:val="0"/>
      <w:marTop w:val="0"/>
      <w:marBottom w:val="0"/>
      <w:divBdr>
        <w:top w:val="none" w:sz="0" w:space="0" w:color="auto"/>
        <w:left w:val="none" w:sz="0" w:space="0" w:color="auto"/>
        <w:bottom w:val="none" w:sz="0" w:space="0" w:color="auto"/>
        <w:right w:val="none" w:sz="0" w:space="0" w:color="auto"/>
      </w:divBdr>
      <w:divsChild>
        <w:div w:id="1712268450">
          <w:marLeft w:val="0"/>
          <w:marRight w:val="0"/>
          <w:marTop w:val="0"/>
          <w:marBottom w:val="0"/>
          <w:divBdr>
            <w:top w:val="none" w:sz="0" w:space="0" w:color="auto"/>
            <w:left w:val="none" w:sz="0" w:space="0" w:color="auto"/>
            <w:bottom w:val="none" w:sz="0" w:space="0" w:color="auto"/>
            <w:right w:val="none" w:sz="0" w:space="0" w:color="auto"/>
          </w:divBdr>
          <w:divsChild>
            <w:div w:id="180778035">
              <w:marLeft w:val="0"/>
              <w:marRight w:val="0"/>
              <w:marTop w:val="0"/>
              <w:marBottom w:val="0"/>
              <w:divBdr>
                <w:top w:val="none" w:sz="0" w:space="0" w:color="auto"/>
                <w:left w:val="none" w:sz="0" w:space="0" w:color="auto"/>
                <w:bottom w:val="none" w:sz="0" w:space="0" w:color="auto"/>
                <w:right w:val="none" w:sz="0" w:space="0" w:color="auto"/>
              </w:divBdr>
              <w:divsChild>
                <w:div w:id="1595285576">
                  <w:marLeft w:val="0"/>
                  <w:marRight w:val="0"/>
                  <w:marTop w:val="0"/>
                  <w:marBottom w:val="0"/>
                  <w:divBdr>
                    <w:top w:val="none" w:sz="0" w:space="0" w:color="auto"/>
                    <w:left w:val="none" w:sz="0" w:space="0" w:color="auto"/>
                    <w:bottom w:val="none" w:sz="0" w:space="0" w:color="auto"/>
                    <w:right w:val="none" w:sz="0" w:space="0" w:color="auto"/>
                  </w:divBdr>
                  <w:divsChild>
                    <w:div w:id="1975213155">
                      <w:marLeft w:val="1"/>
                      <w:marRight w:val="1"/>
                      <w:marTop w:val="0"/>
                      <w:marBottom w:val="0"/>
                      <w:divBdr>
                        <w:top w:val="none" w:sz="0" w:space="0" w:color="auto"/>
                        <w:left w:val="none" w:sz="0" w:space="0" w:color="auto"/>
                        <w:bottom w:val="none" w:sz="0" w:space="0" w:color="auto"/>
                        <w:right w:val="none" w:sz="0" w:space="0" w:color="auto"/>
                      </w:divBdr>
                      <w:divsChild>
                        <w:div w:id="1348167530">
                          <w:marLeft w:val="0"/>
                          <w:marRight w:val="0"/>
                          <w:marTop w:val="0"/>
                          <w:marBottom w:val="0"/>
                          <w:divBdr>
                            <w:top w:val="none" w:sz="0" w:space="0" w:color="auto"/>
                            <w:left w:val="none" w:sz="0" w:space="0" w:color="auto"/>
                            <w:bottom w:val="none" w:sz="0" w:space="0" w:color="auto"/>
                            <w:right w:val="none" w:sz="0" w:space="0" w:color="auto"/>
                          </w:divBdr>
                          <w:divsChild>
                            <w:div w:id="1717856329">
                              <w:marLeft w:val="0"/>
                              <w:marRight w:val="0"/>
                              <w:marTop w:val="0"/>
                              <w:marBottom w:val="360"/>
                              <w:divBdr>
                                <w:top w:val="none" w:sz="0" w:space="0" w:color="auto"/>
                                <w:left w:val="none" w:sz="0" w:space="0" w:color="auto"/>
                                <w:bottom w:val="none" w:sz="0" w:space="0" w:color="auto"/>
                                <w:right w:val="none" w:sz="0" w:space="0" w:color="auto"/>
                              </w:divBdr>
                              <w:divsChild>
                                <w:div w:id="1654404583">
                                  <w:marLeft w:val="0"/>
                                  <w:marRight w:val="0"/>
                                  <w:marTop w:val="0"/>
                                  <w:marBottom w:val="0"/>
                                  <w:divBdr>
                                    <w:top w:val="none" w:sz="0" w:space="0" w:color="auto"/>
                                    <w:left w:val="none" w:sz="0" w:space="0" w:color="auto"/>
                                    <w:bottom w:val="none" w:sz="0" w:space="0" w:color="auto"/>
                                    <w:right w:val="none" w:sz="0" w:space="0" w:color="auto"/>
                                  </w:divBdr>
                                  <w:divsChild>
                                    <w:div w:id="1388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655696">
      <w:bodyDiv w:val="1"/>
      <w:marLeft w:val="0"/>
      <w:marRight w:val="0"/>
      <w:marTop w:val="0"/>
      <w:marBottom w:val="0"/>
      <w:divBdr>
        <w:top w:val="none" w:sz="0" w:space="0" w:color="auto"/>
        <w:left w:val="none" w:sz="0" w:space="0" w:color="auto"/>
        <w:bottom w:val="none" w:sz="0" w:space="0" w:color="auto"/>
        <w:right w:val="none" w:sz="0" w:space="0" w:color="auto"/>
      </w:divBdr>
    </w:div>
    <w:div w:id="2113821858">
      <w:bodyDiv w:val="1"/>
      <w:marLeft w:val="0"/>
      <w:marRight w:val="0"/>
      <w:marTop w:val="0"/>
      <w:marBottom w:val="0"/>
      <w:divBdr>
        <w:top w:val="none" w:sz="0" w:space="0" w:color="auto"/>
        <w:left w:val="none" w:sz="0" w:space="0" w:color="auto"/>
        <w:bottom w:val="none" w:sz="0" w:space="0" w:color="auto"/>
        <w:right w:val="none" w:sz="0" w:space="0" w:color="auto"/>
      </w:divBdr>
    </w:div>
    <w:div w:id="2123644850">
      <w:bodyDiv w:val="1"/>
      <w:marLeft w:val="0"/>
      <w:marRight w:val="0"/>
      <w:marTop w:val="0"/>
      <w:marBottom w:val="0"/>
      <w:divBdr>
        <w:top w:val="none" w:sz="0" w:space="0" w:color="auto"/>
        <w:left w:val="none" w:sz="0" w:space="0" w:color="auto"/>
        <w:bottom w:val="none" w:sz="0" w:space="0" w:color="auto"/>
        <w:right w:val="none" w:sz="0" w:space="0" w:color="auto"/>
      </w:divBdr>
    </w:div>
    <w:div w:id="21374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hyperlink" Target="https://ec.europa.eu/info/funding-tenders/opportunities/portal/screen/opportunities/projects-results;programCode=REC" TargetMode="External"/><Relationship Id="rId39" Type="http://schemas.openxmlformats.org/officeDocument/2006/relationships/hyperlink" Target="https://eur-lex.europa.eu/legal-content/EN/ALL/?uri=CELEX:32016R0679&amp;qid=1613382053477" TargetMode="External"/><Relationship Id="rId21" Type="http://schemas.openxmlformats.org/officeDocument/2006/relationships/hyperlink" Target="https://eur-lex.europa.eu/legal-content/EN/ALL/?uri=CELEX:32018R1046&amp;qid=1535046024012" TargetMode="External"/><Relationship Id="rId34" Type="http://schemas.openxmlformats.org/officeDocument/2006/relationships/hyperlink" Target="https://ec.europa.eu/info/funding-tenders/opportunities/portal/screen/how-to-participate/participant-register" TargetMode="External"/><Relationship Id="rId42" Type="http://schemas.openxmlformats.org/officeDocument/2006/relationships/hyperlink" Target="https://eige.europa.eu/gender-mainstreaming/methods-tools/sex-disaggregated-data" TargetMode="External"/><Relationship Id="rId47" Type="http://schemas.openxmlformats.org/officeDocument/2006/relationships/hyperlink" Target="https://ec.europa.eu/info/funding-tenders/opportunities/docs/2021-2027/common/ftp/tc_en.pdf" TargetMode="External"/><Relationship Id="rId50" Type="http://schemas.openxmlformats.org/officeDocument/2006/relationships/hyperlink" Target="https://webgate.ec.europa.eu/cas/eim/external/register.cgi" TargetMode="External"/><Relationship Id="rId55" Type="http://schemas.openxmlformats.org/officeDocument/2006/relationships/hyperlink" Target="https://ec.europa.eu/info/funding-tenders/opportunities/docs/2021-2027/common/guidance/om_en.pdf" TargetMode="External"/><Relationship Id="rId63" Type="http://schemas.openxmlformats.org/officeDocument/2006/relationships/hyperlink" Target="https://ec.europa.eu/budget/fts/index_en.htm"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ec.europa.eu/info/funding-tenders/opportunities/docs/2021-2027/common/guidance/aga_en.pdf" TargetMode="External"/><Relationship Id="rId32" Type="http://schemas.openxmlformats.org/officeDocument/2006/relationships/hyperlink" Target="https://ec.europa.eu/info/funding-tenders/opportunities/docs/2021-2027/common/guidance/om_en.pdf" TargetMode="External"/><Relationship Id="rId37" Type="http://schemas.openxmlformats.org/officeDocument/2006/relationships/hyperlink" Target="http://eur-lex.europa.eu/LexUriServ/LexUriServ.do?uri=OJ:C:2013:205:FULL:EN:PDF" TargetMode="External"/><Relationship Id="rId40" Type="http://schemas.openxmlformats.org/officeDocument/2006/relationships/hyperlink" Target="https://eige.europa.eu/gender-mainstreaming/toolkits/gender-impact-assessment/guide-gender-impact-assessment" TargetMode="External"/><Relationship Id="rId45" Type="http://schemas.openxmlformats.org/officeDocument/2006/relationships/hyperlink" Target="https://ec.europa.eu/info/funding-tenders/opportunities/docs/2021-2027/common/guidance/rules-lev-lear-fca_en.pdf" TargetMode="External"/><Relationship Id="rId53" Type="http://schemas.openxmlformats.org/officeDocument/2006/relationships/hyperlink" Target="https://ec.europa.eu/info/funding-tenders/opportunities/portal/screen/support/helpdesks/contact-form" TargetMode="External"/><Relationship Id="rId58" Type="http://schemas.openxmlformats.org/officeDocument/2006/relationships/hyperlink" Target="mailto:EACEA-CERV@ec.europa.eu" TargetMode="Externa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ec.europa.eu/info/funding-tenders/opportunities/docs/2021-2027/common/guidance/om_en.pdf" TargetMode="External"/><Relationship Id="rId28"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36" Type="http://schemas.openxmlformats.org/officeDocument/2006/relationships/hyperlink" Target="http://www.sanctionsmap.eu/" TargetMode="External"/><Relationship Id="rId49" Type="http://schemas.openxmlformats.org/officeDocument/2006/relationships/hyperlink" Target="https://ec.europa.eu/info/funding-tenders/opportunities/docs/2021-2027/common/guidance/aga_en.pdf" TargetMode="External"/><Relationship Id="rId57" Type="http://schemas.openxmlformats.org/officeDocument/2006/relationships/hyperlink" Target="https://ec.europa.eu/info/funding-tenders/opportunities/portal/screen/support/helpdesks/contact-form" TargetMode="External"/><Relationship Id="rId61" Type="http://schemas.openxmlformats.org/officeDocument/2006/relationships/hyperlink" Target="https://ec.europa.eu/info/funding-tenders/opportunities/docs/2021-2027/common/guidance/aga_en.pdf" TargetMode="External"/><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image" Target="media/image5.png"/><Relationship Id="rId44" Type="http://schemas.openxmlformats.org/officeDocument/2006/relationships/hyperlink" Target="https://ec.europa.eu/info/funding-tenders/opportunities/portal/screen/how-to-participate/participant-register" TargetMode="External"/><Relationship Id="rId52"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60" Type="http://schemas.openxmlformats.org/officeDocument/2006/relationships/hyperlink" Target="https://ec.europa.eu/info/funding-tenders/opportunities/portal/screen/how-to-participate/participant-register" TargetMode="External"/><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eur-lex.europa.eu/legal-content/EN/ALL/?uri=CELEX:32021R0692&amp;qid=1621199407469" TargetMode="External"/><Relationship Id="rId27" Type="http://schemas.openxmlformats.org/officeDocument/2006/relationships/hyperlink" Target="https://ec.europa.eu/justice/grants/results/daphne-toolkit/daphne-toolkit-%E2%80%93-active-resource-daphne-programme_en" TargetMode="External"/><Relationship Id="rId30" Type="http://schemas.openxmlformats.org/officeDocument/2006/relationships/hyperlink" Target="https://ec.europa.eu/info/sites/info/files/standards_child_protection_kcsc_en_1.pdf" TargetMode="External"/><Relationship Id="rId35" Type="http://schemas.openxmlformats.org/officeDocument/2006/relationships/image" Target="media/image6.png"/><Relationship Id="rId43" Type="http://schemas.openxmlformats.org/officeDocument/2006/relationships/hyperlink" Target="https://ec.europa.eu/info/sites/info/files/standards_child_protection_kcsc_en_1.pdf" TargetMode="External"/><Relationship Id="rId48" Type="http://schemas.openxmlformats.org/officeDocument/2006/relationships/hyperlink" Target="https://ec.europa.eu/info/funding-tenders/opportunities/portal/screen/how-to-participate/reference-documents" TargetMode="External"/><Relationship Id="rId56" Type="http://schemas.openxmlformats.org/officeDocument/2006/relationships/hyperlink" Target="https://ec.europa.eu/info/funding-tenders/opportunities/portal/screen/support/faq;categories=;programme=null;actions=;keyword=" TargetMode="External"/><Relationship Id="rId64" Type="http://schemas.openxmlformats.org/officeDocument/2006/relationships/hyperlink" Target="https://ec.europa.eu/info/funding-tenders/opportunities/docs/2021-2027/common/ftp/privacy-statement_en.pdf" TargetMode="External"/><Relationship Id="rId8" Type="http://schemas.openxmlformats.org/officeDocument/2006/relationships/customXml" Target="../customXml/item8.xml"/><Relationship Id="rId51" Type="http://schemas.openxmlformats.org/officeDocument/2006/relationships/hyperlink" Target="https://ec.europa.eu/info/funding-tenders/opportunities/portal/screen/how-to-participate/participant-register" TargetMode="Externa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ec.europa.eu/programmes/europe-for-citizens/projects/" TargetMode="External"/><Relationship Id="rId33" Type="http://schemas.openxmlformats.org/officeDocument/2006/relationships/hyperlink" Target="https://ec.europa.eu/info/funding-tenders/opportunities/docs/2021-2027/cerv/guidance/list-3rd-country-participation_cerv_en.pdf" TargetMode="External"/><Relationship Id="rId38" Type="http://schemas.openxmlformats.org/officeDocument/2006/relationships/hyperlink" Target="https://ec.europa.eu/info/funding-tenders/opportunities/docs/2021-2027/common/guidance/rules-lev-lear-fca_en.pdf" TargetMode="External"/><Relationship Id="rId46" Type="http://schemas.openxmlformats.org/officeDocument/2006/relationships/hyperlink" Target="http://eur-lex.europa.eu/legal-content/EN/ALL/?uri=CELEX:31995R2988&amp;qid=1501598622514" TargetMode="External"/><Relationship Id="rId59" Type="http://schemas.openxmlformats.org/officeDocument/2006/relationships/hyperlink" Target="https://ec.europa.eu/info/funding-tenders/opportunities/docs/2021-2027/common/ftp/tc_en.pdf" TargetMode="External"/><Relationship Id="rId67" Type="http://schemas.openxmlformats.org/officeDocument/2006/relationships/theme" Target="theme/theme1.xml"/><Relationship Id="rId20" Type="http://schemas.openxmlformats.org/officeDocument/2006/relationships/image" Target="media/image3.png"/><Relationship Id="rId41" Type="http://schemas.openxmlformats.org/officeDocument/2006/relationships/hyperlink" Target="http://www.enil.eu/wp-content/uploads/2012/07/Non-discrimination-mainstreaming-instruments-case-studies-way-forward.pdf" TargetMode="External"/><Relationship Id="rId54" Type="http://schemas.openxmlformats.org/officeDocument/2006/relationships/hyperlink" Target="https://ec.europa.eu/info/funding-tenders/opportunities/docs/2021-2027/common/guidance/om_en.pdf" TargetMode="External"/><Relationship Id="rId62" Type="http://schemas.openxmlformats.org/officeDocument/2006/relationships/hyperlink" Target="https://eur-lex.europa.eu/legal-content/EN/ALL/?uri=CELEX:32018R1046&amp;qid=153504602401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xUriServ/LexUriServ.do?uri=OJ:C:2013:205:FULL:PT:PDF" TargetMode="External"/><Relationship Id="rId3" Type="http://schemas.openxmlformats.org/officeDocument/2006/relationships/hyperlink" Target="https://ec.europa.eu/info/sites/default/files/eu_citizenship_report_2020_-_empowering_citizens_and_protecting_their_rights_en.pdf" TargetMode="External"/><Relationship Id="rId7" Type="http://schemas.openxmlformats.org/officeDocument/2006/relationships/hyperlink" Target="http://www.sanctionsmap.eu/" TargetMode="External"/><Relationship Id="rId12" Type="http://schemas.openxmlformats.org/officeDocument/2006/relationships/hyperlink" Target="https://ec.europa.eu/info/funding-tenders/opportunities/docs/2021-2027/cerv/guidance/ls-decision_cerv_en.pdf" TargetMode="External"/><Relationship Id="rId2" Type="http://schemas.openxmlformats.org/officeDocument/2006/relationships/hyperlink" Target="https://ec.europa.eu/info/aid-development-cooperation-fundamental-rights/your-rights-eu/eu-charter-fundamental-rights/application-charter/eu-strategy-strengthen-application-charter_en" TargetMode="External"/><Relationship Id="rId1" Type="http://schemas.openxmlformats.org/officeDocument/2006/relationships/hyperlink" Target="https://ec.europa.eu/info/publications/new-eu-roma-strategic-framework-equality-inclusion-and-participation-full-package_en" TargetMode="External"/><Relationship Id="rId6" Type="http://schemas.openxmlformats.org/officeDocument/2006/relationships/hyperlink" Target="https://eur-lex.europa.eu/legal-content/EN/ALL/?uri=CELEX:32018R1046&amp;qid=1535046024012" TargetMode="External"/><Relationship Id="rId11" Type="http://schemas.openxmlformats.org/officeDocument/2006/relationships/hyperlink" Target="https://eur-lex.europa.eu/legal-content/EN/ALL/?uri=CELEX:32018R1046&amp;qid=1535046024012" TargetMode="External"/><Relationship Id="rId5" Type="http://schemas.openxmlformats.org/officeDocument/2006/relationships/hyperlink" Target="https://eur-lex.europa.eu/legal-content/EN/ALL/?uri=CELEX:32018R1046&amp;qid=1535046024012" TargetMode="External"/><Relationship Id="rId10" Type="http://schemas.openxmlformats.org/officeDocument/2006/relationships/hyperlink" Target="https://eur-lex.europa.eu/legal-content/EN/ALL/?uri=CELEX:32018R1046&amp;qid=1535046024012" TargetMode="External"/><Relationship Id="rId4" Type="http://schemas.openxmlformats.org/officeDocument/2006/relationships/hyperlink" Target="https://ec.europa.eu/info/strategy/priorities-2019-2024/new-push-european-democracy/conference-future-europe_pt" TargetMode="External"/><Relationship Id="rId9" Type="http://schemas.openxmlformats.org/officeDocument/2006/relationships/hyperlink" Target="http://www.enil.eu/wp-content/uploads/2012/07/Non-discrimination-mainstreaming-instruments-case-studies-way-forwar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Texts>
  <SecurityPersonalData>Personal data</SecurityPersonalData>
  <SecurityPharma>Pharma investigations</SecurityPharma>
  <MarkingUntilText>UNTIL</MarkingUntilText>
  <SecurityMediationServiceMatter>Mediation service</SecurityMediationServiceMatter>
  <SecurityEconomyAndFinance>Economy and finance</SecurityEconomyAndFinance>
  <FooterFax>Fax</FooterFax>
  <FooterOffice>Office:</FooterOffice>
  <SecurityOlafInvestigations>OLAF investigations</SecurityOlafInvestigations>
  <SensitiveHandling>Handling instructions for SENSITIVE information are given at https://europa.eu/!db43PX</SensitiveHandling>
  <SecurityOlafSpecialHandling>OLAF investigations</SecurityOlafSpecialHandling>
  <SecurityPersonal>Personal</SecurityPersonal>
  <CourtProceduralDocuments>Court procedural documents</CourtProceduralDocuments>
  <OrgaRoot>EUROPEAN COMMISSION</OrgaRoot>
  <SensitiveLabel>Sensitive</SensitiveLabel>
  <SpecialHandlingLabel>Special Handling</SpecialHandlingLabel>
  <SecurityInvestigationsDisciplinary>Investigations and disciplinary matters</SecurityInvestigationsDisciplinary>
  <SecurityCompOperations>COMP Operations</SecurityCompOperations>
  <SecurityEuSatellite>EU satellite navigation matters</SecurityEuSatellite>
  <SecurityReleasable>RELEASABLE TO:</SecurityReleasable>
  <SecurityStaffMatter>Staff matter</SecurityStaffMatter>
  <SecurityOpinionLegalService>Opinion of the Legal Service</SecurityOpinionLegalService>
  <SpecialHandlingFootnote>Special handling instructions are given at https://europa.eu/!db43PX</SpecialHandlingFootnote>
  <SecurityEtsSensitive>ETS</SecurityEtsSensitive>
  <SecurityEtsCritical>ETS Critical</SecurityEtsCritical>
  <SecurityCompSpecial>COMP</SecurityCompSpecial>
  <SecurityPharmaSpecial>Pharma investigations</SecurityPharmaSpecial>
  <TOCHeading>Table of Contents</TOCHeading>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TLPAmber>TLP: Amber</TLPAmber>
  <SecurityMedicalSecret>Medical secret</SecurityMedicalSecret>
  <SecurityEmbargo>Embargo until</SecurityEmbargo>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Document" ma:contentTypeID="0x01010043D24022E66C1540A3B1E037465E0CE3" ma:contentTypeVersion="4" ma:contentTypeDescription="Create a new document." ma:contentTypeScope="" ma:versionID="ed01af0cf8280fc8bb4fc4e81038fd21">
  <xsd:schema xmlns:xsd="http://www.w3.org/2001/XMLSchema" xmlns:xs="http://www.w3.org/2001/XMLSchema" xmlns:p="http://schemas.microsoft.com/office/2006/metadata/properties" xmlns:ns2="d07530ff-ae8d-4383-9420-67306a016191" targetNamespace="http://schemas.microsoft.com/office/2006/metadata/properties" ma:root="true" ma:fieldsID="af8d9a1147f775ca281a46cdfa936f4a" ns2:_="">
    <xsd:import namespace="d07530ff-ae8d-4383-9420-67306a0161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30ff-ae8d-4383-9420-67306a016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EurolookProperties>
  <ProductCustomizationId/>
  <Created>
    <Version>4.5</Version>
    <Date>2019-04-12T14:20:34</Date>
    <Language>EN</Language>
    <Note/>
  </Created>
  <Edited>
    <Version>10.0.42447.0</Version>
    <Date>2021-11-09T09:08:35</Date>
  </Edited>
  <DocumentModel>
    <Id>758e4243-45d9-4080-b5fe-135751945526</Id>
    <Name>Speech</Name>
  </DocumentModel>
  <DocumentDate/>
  <DocumentVersion/>
  <CompatibilityMode>Eurolook4X</CompatibilityMode>
</EurolookProperties>
</file>

<file path=customXml/item6.xml><?xml version="1.0" encoding="utf-8"?>
<Author Role="Creator">
  <Id>1d61e911-a39a-4b43-bbd8-7e4df8ddd3c8</Id>
  <Names>
    <Latin>
      <FirstName>Konstantinos</FirstName>
      <LastName>KOKOSIS</LastName>
    </Latin>
    <Greek>
      <FirstName/>
      <LastName/>
    </Greek>
    <Cyrillic>
      <FirstName/>
      <LastName/>
    </Cyrillic>
    <DocumentScript>
      <FirstName>Konstantinos</FirstName>
      <LastName>KOKOSIS</LastName>
      <FullName>Konstantinos KOKOSIS</FullName>
    </DocumentScript>
  </Names>
  <Initials>DinosK</Initials>
  <Gender>m</Gender>
  <Email>Konstantinos.KOKOSIS@ext.ec.europa.eu</Email>
  <Service>RTD.J.4.004</Service>
  <Function ShowInSignature="true"/>
  <WebAddress/>
  <InheritedWebAddress>WebAddress</InheritedWebAddress>
  <OrgaEntity1>
    <Id>201586b8-400f-4f1b-ab81-bfd045290f9b</Id>
    <LogicalLevel>1</LogicalLevel>
    <Name>RTD</Name>
    <HeadLine1>DIRECTORATE-GENERAL FOR RESEARCH &amp; INNOVATION</HeadLine1>
    <HeadLine2/>
    <PrimaryAddressId>f03b5801-04c9-4931-aa17-c6d6c70bc579</PrimaryAddressId>
    <SecondaryAddressId/>
    <WebAddress>WebAddress</WebAddress>
    <InheritedWebAddress>WebAddress</InheritedWebAddress>
    <ShowInHeader>true</ShowInHeader>
  </OrgaEntity1>
  <OrgaEntity2>
    <Id>4c8f0bf8-d9c9-47b3-8eb7-3ab9cc8e7e7c</Id>
    <LogicalLevel>2</LogicalLevel>
    <Name>RTD.J</Name>
    <HeadLine1>Common Support Centre</HeadLine1>
    <HeadLine2/>
    <PrimaryAddressId>f03b5801-04c9-4931-aa17-c6d6c70bc579</PrimaryAddressId>
    <SecondaryAddressId/>
    <WebAddress/>
    <InheritedWebAddress>WebAddress</InheritedWebAddress>
    <ShowInHeader>true</ShowInHeader>
  </OrgaEntity2>
  <OrgaEntity3>
    <Id>7d918adf-1a57-4e57-9ca2-3ad57f2888d2</Id>
    <LogicalLevel>3</LogicalLevel>
    <Name>RTD.J.4</Name>
    <HeadLine1>Common IT service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+32 229 83882</Phone>
    <Office>ORBN 05/095</Office>
  </MainWorkplace>
  <Workplaces>
    <Workplace IsMain="false">
      <AddressId>1264fb81-f6bb-475e-9f9d-a937d3be6ee2</AddressId>
      <Fax/>
      <Phone/>
      <Office/>
    </Workplace>
    <Workplace IsMain="true">
      <AddressId>f03b5801-04c9-4931-aa17-c6d6c70bc579</AddressId>
      <Fax/>
      <Phone>+32 229 83882</Phone>
      <Office>ORBN 05/095</Office>
    </Workplace>
  </Workplaces>
</Author>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A5B75-1EA7-4628-935C-286E27E0EEEB}">
  <ds:schemaRefs/>
</ds:datastoreItem>
</file>

<file path=customXml/itemProps2.xml><?xml version="1.0" encoding="utf-8"?>
<ds:datastoreItem xmlns:ds="http://schemas.openxmlformats.org/officeDocument/2006/customXml" ds:itemID="{1E5F6601-D36A-42D2-8B9E-CF2F7A382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30ff-ae8d-4383-9420-67306a016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AF4B3D-80B9-475A-93B0-1C898EC057A7}">
  <ds:schemaRefs>
    <ds:schemaRef ds:uri="http://schemas.microsoft.com/office/2006/metadata/longProperties"/>
  </ds:schemaRefs>
</ds:datastoreItem>
</file>

<file path=customXml/itemProps4.xml><?xml version="1.0" encoding="utf-8"?>
<ds:datastoreItem xmlns:ds="http://schemas.openxmlformats.org/officeDocument/2006/customXml" ds:itemID="{6861A413-90F2-4273-AA7B-403E11F13F13}">
  <ds:schemaRefs>
    <ds:schemaRef ds:uri="http://schemas.microsoft.com/sharepoint/v3/contenttype/forms"/>
  </ds:schemaRefs>
</ds:datastoreItem>
</file>

<file path=customXml/itemProps5.xml><?xml version="1.0" encoding="utf-8"?>
<ds:datastoreItem xmlns:ds="http://schemas.openxmlformats.org/officeDocument/2006/customXml" ds:itemID="{A64404DA-45EE-468F-9B83-25C3DBD29BC4}">
  <ds:schemaRefs/>
</ds:datastoreItem>
</file>

<file path=customXml/itemProps6.xml><?xml version="1.0" encoding="utf-8"?>
<ds:datastoreItem xmlns:ds="http://schemas.openxmlformats.org/officeDocument/2006/customXml" ds:itemID="{9034E5F8-F5C8-4DD5-B73A-9040160523CA}">
  <ds:schemaRefs/>
</ds:datastoreItem>
</file>

<file path=customXml/itemProps7.xml><?xml version="1.0" encoding="utf-8"?>
<ds:datastoreItem xmlns:ds="http://schemas.openxmlformats.org/officeDocument/2006/customXml" ds:itemID="{260DCBEA-C60B-4717-BD55-FC8385B26BE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07530ff-ae8d-4383-9420-67306a016191"/>
    <ds:schemaRef ds:uri="http://purl.org/dc/terms/"/>
    <ds:schemaRef ds:uri="http://www.w3.org/XML/1998/namespace"/>
    <ds:schemaRef ds:uri="http://purl.org/dc/dcmitype/"/>
  </ds:schemaRefs>
</ds:datastoreItem>
</file>

<file path=customXml/itemProps8.xml><?xml version="1.0" encoding="utf-8"?>
<ds:datastoreItem xmlns:ds="http://schemas.openxmlformats.org/officeDocument/2006/customXml" ds:itemID="{3B6DDCBC-7AAF-4E78-B601-911DDDAF4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58</TotalTime>
  <Pages>28</Pages>
  <Words>9428</Words>
  <Characters>62120</Characters>
  <Application>Microsoft Office Word</Application>
  <DocSecurity>0</DocSecurity>
  <PresentationFormat>Microsoft Word 14.0</PresentationFormat>
  <Lines>517</Lines>
  <Paragraphs>142</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71406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dc:description/>
  <cp:lastModifiedBy>SOKOLOWSKA Malgorzata (EACEA-EXT)</cp:lastModifiedBy>
  <cp:revision>43</cp:revision>
  <cp:lastPrinted>2017-11-06T13:30:00Z</cp:lastPrinted>
  <dcterms:created xsi:type="dcterms:W3CDTF">2021-12-09T12:20:00Z</dcterms:created>
  <dcterms:modified xsi:type="dcterms:W3CDTF">2022-01-24T11:59:00Z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4.5..01</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spe.dot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Danielle BARBIEUX</vt:lpwstr>
  </property>
  <property fmtid="{D5CDD505-2E9C-101B-9397-08002B2CF9AE}" pid="10" name="Type">
    <vt:lpwstr>Eurolook Speech</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0x01010043D24022E66C1540A3B1E037465E0CE3</vt:lpwstr>
  </property>
</Properties>
</file>