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CDCDD" w14:textId="14428E11" w:rsidR="00F9780D" w:rsidRPr="00D139A0" w:rsidRDefault="00811E16" w:rsidP="00BC77C3">
      <w:pPr>
        <w:jc w:val="center"/>
        <w:rPr>
          <w:b/>
          <w:color w:val="00B0F0"/>
        </w:rPr>
      </w:pPr>
      <w:r w:rsidRPr="00D139A0">
        <w:rPr>
          <w:rFonts w:ascii="EC Square Sans Pro" w:hAnsi="EC Square Sans Pro"/>
          <w:b/>
          <w:color w:val="00B0F0"/>
          <w:sz w:val="30"/>
          <w:szCs w:val="30"/>
        </w:rPr>
        <w:t>W przypadku różnic pomiędzy różnymi wersjami językowymi, tekst angielski będzie rozstrzygający</w:t>
      </w:r>
    </w:p>
    <w:p w14:paraId="0385DD63" w14:textId="77777777" w:rsidR="00BC77C3" w:rsidRPr="003E3D16" w:rsidRDefault="00BC77C3" w:rsidP="00BC77C3">
      <w:pPr>
        <w:jc w:val="center"/>
      </w:pPr>
    </w:p>
    <w:p w14:paraId="418ADFA1" w14:textId="75C8365F" w:rsidR="00BC77C3" w:rsidRPr="003E3D16" w:rsidRDefault="005A3754" w:rsidP="00091DCA">
      <w:pPr>
        <w:jc w:val="center"/>
        <w:rPr>
          <w:rFonts w:ascii="Arial" w:hAnsi="Arial"/>
        </w:rPr>
      </w:pPr>
      <w:r w:rsidRPr="003E3D16">
        <w:rPr>
          <w:noProof/>
          <w:lang w:val="fr-BE" w:eastAsia="fr-BE"/>
        </w:rPr>
        <w:drawing>
          <wp:inline distT="0" distB="0" distL="0" distR="0" wp14:anchorId="3A69CB9C" wp14:editId="4CD3D611">
            <wp:extent cx="3198873" cy="2175753"/>
            <wp:effectExtent l="0" t="0" r="0" b="0"/>
            <wp:docPr id="1" name="Picture 1307357487" title="Title: Title: Title: Title: flag_yellow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7357487" name="Picture 1307357487" title="Title: Title: Title: Title: flag_yellow_low"/>
                    <pic:cNvPicPr/>
                  </pic:nvPicPr>
                  <pic:blipFill>
                    <a:blip r:embed="rId15">
                      <a:extLst>
                        <a:ext uri="{28A0092B-C50C-407E-A947-70E740481C1C}">
                          <a14:useLocalDpi xmlns:a14="http://schemas.microsoft.com/office/drawing/2010/main" val="0"/>
                        </a:ext>
                      </a:extLst>
                    </a:blip>
                    <a:srcRect r="-59" b="-115"/>
                    <a:stretch>
                      <a:fillRect/>
                    </a:stretch>
                  </pic:blipFill>
                  <pic:spPr>
                    <a:xfrm>
                      <a:off x="0" y="0"/>
                      <a:ext cx="3198495" cy="2175510"/>
                    </a:xfrm>
                    <a:prstGeom prst="rect">
                      <a:avLst/>
                    </a:prstGeom>
                  </pic:spPr>
                </pic:pic>
              </a:graphicData>
            </a:graphic>
          </wp:inline>
        </w:drawing>
      </w:r>
      <w:bookmarkStart w:id="0" w:name="_GoBack"/>
      <w:bookmarkEnd w:id="0"/>
    </w:p>
    <w:p w14:paraId="5C568077" w14:textId="77777777" w:rsidR="00BC77C3" w:rsidRPr="003E3D16" w:rsidRDefault="00BC77C3" w:rsidP="00F9780D">
      <w:pPr>
        <w:jc w:val="center"/>
        <w:rPr>
          <w:rFonts w:ascii="Arial" w:hAnsi="Arial"/>
        </w:rPr>
      </w:pPr>
    </w:p>
    <w:p w14:paraId="7D8B3237" w14:textId="77777777" w:rsidR="00BC77C3" w:rsidRPr="003E3D16" w:rsidRDefault="00BC77C3" w:rsidP="00F9780D">
      <w:pPr>
        <w:jc w:val="center"/>
        <w:rPr>
          <w:rFonts w:ascii="Arial" w:hAnsi="Arial"/>
        </w:rPr>
      </w:pPr>
    </w:p>
    <w:p w14:paraId="35065F78" w14:textId="37D7826A" w:rsidR="00877924" w:rsidRPr="003E3D16" w:rsidRDefault="00DE39DA" w:rsidP="42BB08A3">
      <w:pPr>
        <w:jc w:val="center"/>
        <w:rPr>
          <w:rFonts w:ascii="EC Square Sans Pro Light" w:hAnsi="EC Square Sans Pro Light"/>
          <w:b/>
          <w:bCs/>
          <w:sz w:val="48"/>
          <w:szCs w:val="48"/>
        </w:rPr>
      </w:pPr>
      <w:r w:rsidRPr="003E3D16">
        <w:rPr>
          <w:rFonts w:ascii="EC Square Sans Pro Medium" w:hAnsi="EC Square Sans Pro Medium"/>
          <w:b/>
          <w:bCs/>
          <w:sz w:val="48"/>
          <w:szCs w:val="48"/>
        </w:rPr>
        <w:t>Progr</w:t>
      </w:r>
      <w:r w:rsidR="00811E16">
        <w:rPr>
          <w:rFonts w:ascii="EC Square Sans Pro Medium" w:hAnsi="EC Square Sans Pro Medium"/>
          <w:b/>
          <w:bCs/>
          <w:sz w:val="48"/>
          <w:szCs w:val="48"/>
        </w:rPr>
        <w:t xml:space="preserve">am „Obywatele, równość, prawa i </w:t>
      </w:r>
      <w:r w:rsidRPr="003E3D16">
        <w:rPr>
          <w:rFonts w:ascii="EC Square Sans Pro Medium" w:hAnsi="EC Square Sans Pro Medium"/>
          <w:b/>
          <w:bCs/>
          <w:sz w:val="48"/>
          <w:szCs w:val="48"/>
        </w:rPr>
        <w:t>wartości” (CERV)</w:t>
      </w:r>
    </w:p>
    <w:p w14:paraId="50894FE4" w14:textId="77777777" w:rsidR="00877924" w:rsidRPr="003E3D16" w:rsidRDefault="00877924" w:rsidP="00874AFD">
      <w:pPr>
        <w:jc w:val="center"/>
        <w:rPr>
          <w:rFonts w:ascii="EC Square Sans Pro Light" w:hAnsi="EC Square Sans Pro Light"/>
          <w:b/>
        </w:rPr>
      </w:pPr>
    </w:p>
    <w:p w14:paraId="3ECABABD" w14:textId="43646D72" w:rsidR="00877924" w:rsidRPr="003E3D16" w:rsidRDefault="00874AFD" w:rsidP="009E0E8F">
      <w:pPr>
        <w:spacing w:after="320"/>
        <w:jc w:val="center"/>
        <w:rPr>
          <w:rFonts w:ascii="EC Square Sans Pro Light" w:hAnsi="EC Square Sans Pro Light"/>
          <w:b/>
          <w:bCs/>
          <w:sz w:val="48"/>
          <w:szCs w:val="48"/>
        </w:rPr>
      </w:pPr>
      <w:r w:rsidRPr="003E3D16">
        <w:rPr>
          <w:rFonts w:ascii="EC Square Sans Pro Light" w:hAnsi="EC Square Sans Pro Light"/>
          <w:b/>
          <w:bCs/>
          <w:sz w:val="48"/>
          <w:szCs w:val="48"/>
        </w:rPr>
        <w:t xml:space="preserve">Zaproszenie do składania wniosków </w:t>
      </w:r>
    </w:p>
    <w:p w14:paraId="026AC77F" w14:textId="77777777" w:rsidR="00BA69DD" w:rsidRPr="00FE0460" w:rsidRDefault="00BA69DD" w:rsidP="00BA69DD">
      <w:pPr>
        <w:spacing w:after="320"/>
        <w:jc w:val="center"/>
        <w:rPr>
          <w:rFonts w:ascii="EC Square Sans Pro Light" w:hAnsi="EC Square Sans Pro Light"/>
          <w:b/>
          <w:bCs/>
          <w:sz w:val="48"/>
          <w:szCs w:val="48"/>
        </w:rPr>
      </w:pPr>
    </w:p>
    <w:p w14:paraId="5D3C2DA6" w14:textId="1B65FD34" w:rsidR="00BE4CEF" w:rsidRPr="003E3D16" w:rsidRDefault="00811E16" w:rsidP="00BE4CEF">
      <w:pPr>
        <w:jc w:val="center"/>
        <w:rPr>
          <w:rFonts w:ascii="EC Square Sans Pro" w:eastAsia="EC Square Sans Pro" w:hAnsi="EC Square Sans Pro" w:cs="EC Square Sans Pro"/>
          <w:color w:val="000000"/>
          <w:sz w:val="30"/>
          <w:szCs w:val="30"/>
        </w:rPr>
      </w:pPr>
      <w:r>
        <w:rPr>
          <w:rFonts w:ascii="EC Square Sans Pro" w:hAnsi="EC Square Sans Pro"/>
          <w:color w:val="000000"/>
          <w:sz w:val="30"/>
          <w:szCs w:val="30"/>
        </w:rPr>
        <w:t xml:space="preserve">Partnerstwo miast i </w:t>
      </w:r>
      <w:r w:rsidR="00BE4CEF" w:rsidRPr="003E3D16">
        <w:rPr>
          <w:rFonts w:ascii="EC Square Sans Pro" w:hAnsi="EC Square Sans Pro"/>
          <w:color w:val="000000"/>
          <w:sz w:val="30"/>
          <w:szCs w:val="30"/>
        </w:rPr>
        <w:t>Sieci miast</w:t>
      </w:r>
    </w:p>
    <w:p w14:paraId="7A38AB7F" w14:textId="32C6C549" w:rsidR="00BE4CEF" w:rsidRPr="00FE0460" w:rsidRDefault="00E81CEB" w:rsidP="00BE4CEF">
      <w:pPr>
        <w:jc w:val="center"/>
        <w:rPr>
          <w:rFonts w:ascii="EC Square Sans Pro" w:hAnsi="EC Square Sans Pro" w:cs="EC Square Sans Pro"/>
          <w:color w:val="000000"/>
          <w:sz w:val="30"/>
          <w:szCs w:val="30"/>
          <w:lang w:val="en-US"/>
        </w:rPr>
      </w:pPr>
      <w:r w:rsidRPr="00FE0460">
        <w:rPr>
          <w:rFonts w:ascii="EC Square Sans Pro" w:hAnsi="EC Square Sans Pro"/>
          <w:color w:val="000000"/>
          <w:sz w:val="30"/>
          <w:szCs w:val="30"/>
          <w:lang w:val="en-US"/>
        </w:rPr>
        <w:t xml:space="preserve">(CERV-2022-CITIZENS-TOWN: </w:t>
      </w:r>
    </w:p>
    <w:p w14:paraId="68B0281F" w14:textId="4C206E2A" w:rsidR="00BE4CEF" w:rsidRPr="00FE0460" w:rsidRDefault="00E81CEB" w:rsidP="00BE4CEF">
      <w:pPr>
        <w:jc w:val="center"/>
        <w:rPr>
          <w:rFonts w:ascii="EC Square Sans Pro" w:eastAsia="EC Square Sans Pro" w:hAnsi="EC Square Sans Pro" w:cs="EC Square Sans Pro"/>
          <w:color w:val="000000"/>
          <w:sz w:val="30"/>
          <w:szCs w:val="30"/>
          <w:lang w:val="en-US"/>
        </w:rPr>
      </w:pPr>
      <w:r w:rsidRPr="00FE0460">
        <w:rPr>
          <w:rFonts w:ascii="EC Square Sans Pro" w:hAnsi="EC Square Sans Pro"/>
          <w:color w:val="000000"/>
          <w:sz w:val="30"/>
          <w:szCs w:val="30"/>
          <w:lang w:val="en-US"/>
        </w:rPr>
        <w:t>CERV-2022-TOWN-TT, CERV-2022-TOWN-NT)</w:t>
      </w:r>
    </w:p>
    <w:p w14:paraId="3EDE395E" w14:textId="77777777" w:rsidR="007A412A" w:rsidRPr="00FE0460" w:rsidRDefault="007A412A" w:rsidP="007A412A">
      <w:pPr>
        <w:jc w:val="center"/>
        <w:rPr>
          <w:rFonts w:ascii="EC Square Sans Pro Light" w:hAnsi="EC Square Sans Pro Light"/>
          <w:b/>
          <w:lang w:val="en-US"/>
        </w:rPr>
      </w:pPr>
    </w:p>
    <w:p w14:paraId="6E4B9879" w14:textId="77777777" w:rsidR="007A412A" w:rsidRPr="00FE0460" w:rsidRDefault="007A412A" w:rsidP="007A412A">
      <w:pPr>
        <w:jc w:val="center"/>
        <w:rPr>
          <w:rFonts w:ascii="EC Square Sans Pro Light" w:hAnsi="EC Square Sans Pro Light"/>
          <w:b/>
          <w:lang w:val="en-US"/>
        </w:rPr>
      </w:pPr>
    </w:p>
    <w:p w14:paraId="6525452D" w14:textId="77777777" w:rsidR="007A412A" w:rsidRPr="00FE0460" w:rsidRDefault="007A412A" w:rsidP="007A412A">
      <w:pPr>
        <w:jc w:val="center"/>
        <w:rPr>
          <w:rFonts w:ascii="EC Square Sans Pro Light" w:hAnsi="EC Square Sans Pro Light"/>
          <w:b/>
          <w:lang w:val="en-US"/>
        </w:rPr>
      </w:pPr>
    </w:p>
    <w:p w14:paraId="61DBCCDA" w14:textId="77777777" w:rsidR="007A412A" w:rsidRPr="00FE0460" w:rsidRDefault="007A412A" w:rsidP="007A412A">
      <w:pPr>
        <w:jc w:val="center"/>
        <w:rPr>
          <w:rFonts w:ascii="EC Square Sans Pro Light" w:hAnsi="EC Square Sans Pro Light"/>
          <w:b/>
          <w:lang w:val="en-US"/>
        </w:rPr>
      </w:pPr>
    </w:p>
    <w:p w14:paraId="5FB6A2F5" w14:textId="51B3A1A9" w:rsidR="00877924" w:rsidRPr="003E3D16" w:rsidRDefault="00877924" w:rsidP="007A412A">
      <w:pPr>
        <w:spacing w:after="0"/>
        <w:jc w:val="center"/>
        <w:rPr>
          <w:rFonts w:ascii="EC Square Sans Pro Light" w:hAnsi="EC Square Sans Pro Light"/>
          <w:b/>
        </w:rPr>
      </w:pPr>
      <w:r w:rsidRPr="003E3D16">
        <w:rPr>
          <w:rFonts w:ascii="EC Square Sans Pro Light" w:hAnsi="EC Square Sans Pro Light"/>
          <w:b/>
        </w:rPr>
        <w:t>Wersja 1.0</w:t>
      </w:r>
    </w:p>
    <w:p w14:paraId="6AA6E93A" w14:textId="5A75814B" w:rsidR="00A2572D" w:rsidRPr="003E3D16" w:rsidRDefault="0086598B" w:rsidP="00A2572D">
      <w:pPr>
        <w:spacing w:after="0"/>
        <w:jc w:val="center"/>
        <w:rPr>
          <w:rFonts w:ascii="EC Square Sans Pro Light" w:hAnsi="EC Square Sans Pro Light"/>
          <w:b/>
        </w:rPr>
      </w:pPr>
      <w:r w:rsidRPr="003E3D16">
        <w:rPr>
          <w:rFonts w:ascii="EC Square Sans Pro Light" w:hAnsi="EC Square Sans Pro Light"/>
          <w:b/>
        </w:rPr>
        <w:t>16 listopada 2021 r.</w:t>
      </w:r>
    </w:p>
    <w:p w14:paraId="048B71E5" w14:textId="77777777" w:rsidR="00A2572D" w:rsidRPr="003E3D16" w:rsidRDefault="00A2572D" w:rsidP="00A2572D">
      <w:pPr>
        <w:spacing w:after="0"/>
        <w:jc w:val="center"/>
        <w:rPr>
          <w:rFonts w:ascii="EC Square Sans Pro Light" w:hAnsi="EC Square Sans Pro Light"/>
          <w:bCs/>
          <w:lang w:val="en-US" w:eastAsia="en-GB"/>
        </w:rPr>
        <w:sectPr w:rsidR="00A2572D" w:rsidRPr="003E3D16" w:rsidSect="007E6BA0">
          <w:headerReference w:type="default" r:id="rId16"/>
          <w:footerReference w:type="default" r:id="rId17"/>
          <w:headerReference w:type="first" r:id="rId18"/>
          <w:footerReference w:type="first" r:id="rId19"/>
          <w:pgSz w:w="11906" w:h="16838" w:code="9"/>
          <w:pgMar w:top="1560" w:right="1588" w:bottom="1276" w:left="1588" w:header="567" w:footer="737" w:gutter="0"/>
          <w:cols w:space="720"/>
          <w:titlePg/>
          <w:docGrid w:linePitch="381"/>
        </w:sectPr>
      </w:pPr>
    </w:p>
    <w:tbl>
      <w:tblPr>
        <w:tblW w:w="9000"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45" w:type="dxa"/>
          <w:right w:w="45" w:type="dxa"/>
        </w:tblCellMar>
        <w:tblLook w:val="04A0" w:firstRow="1" w:lastRow="0" w:firstColumn="1" w:lastColumn="0" w:noHBand="0" w:noVBand="1"/>
      </w:tblPr>
      <w:tblGrid>
        <w:gridCol w:w="975"/>
        <w:gridCol w:w="1350"/>
        <w:gridCol w:w="6000"/>
        <w:gridCol w:w="675"/>
      </w:tblGrid>
      <w:tr w:rsidR="002F6C8E" w:rsidRPr="003E3D16" w14:paraId="366E97BE" w14:textId="77777777" w:rsidTr="002F6C8E">
        <w:trPr>
          <w:jc w:val="center"/>
        </w:trPr>
        <w:tc>
          <w:tcPr>
            <w:tcW w:w="9000" w:type="dxa"/>
            <w:gridSpan w:val="4"/>
            <w:hideMark/>
          </w:tcPr>
          <w:p w14:paraId="6DE6483F" w14:textId="77777777" w:rsidR="00877924" w:rsidRPr="003E3D16" w:rsidRDefault="00877924" w:rsidP="00877924">
            <w:pPr>
              <w:spacing w:before="160" w:after="160"/>
              <w:jc w:val="center"/>
              <w:rPr>
                <w:b/>
                <w:color w:val="595959"/>
              </w:rPr>
            </w:pPr>
            <w:r w:rsidRPr="003E3D16">
              <w:lastRenderedPageBreak/>
              <w:br w:type="page"/>
            </w:r>
            <w:r w:rsidRPr="003E3D16">
              <w:br w:type="page"/>
            </w:r>
            <w:r w:rsidRPr="003E3D16">
              <w:br w:type="page"/>
            </w:r>
            <w:r w:rsidRPr="003E3D16">
              <w:rPr>
                <w:b/>
                <w:color w:val="595959"/>
              </w:rPr>
              <w:t>HISTORIA ZMIAN</w:t>
            </w:r>
          </w:p>
        </w:tc>
      </w:tr>
      <w:tr w:rsidR="002F6C8E" w:rsidRPr="003E3D16" w14:paraId="4E3EB65A" w14:textId="77777777" w:rsidTr="002F6C8E">
        <w:trPr>
          <w:jc w:val="center"/>
        </w:trPr>
        <w:tc>
          <w:tcPr>
            <w:tcW w:w="975" w:type="dxa"/>
            <w:vAlign w:val="center"/>
            <w:hideMark/>
          </w:tcPr>
          <w:p w14:paraId="4BC01B6E" w14:textId="77777777" w:rsidR="00877924" w:rsidRPr="003E3D16" w:rsidRDefault="00877924" w:rsidP="00877924">
            <w:pPr>
              <w:spacing w:before="60" w:after="60"/>
              <w:jc w:val="center"/>
              <w:rPr>
                <w:b/>
                <w:color w:val="595959"/>
              </w:rPr>
            </w:pPr>
            <w:r w:rsidRPr="003E3D16">
              <w:rPr>
                <w:b/>
                <w:color w:val="595959"/>
              </w:rPr>
              <w:t>Wersja</w:t>
            </w:r>
          </w:p>
        </w:tc>
        <w:tc>
          <w:tcPr>
            <w:tcW w:w="1350" w:type="dxa"/>
            <w:vAlign w:val="center"/>
            <w:hideMark/>
          </w:tcPr>
          <w:p w14:paraId="23E928C6" w14:textId="77777777" w:rsidR="00877924" w:rsidRPr="003E3D16" w:rsidRDefault="00877924" w:rsidP="00877924">
            <w:pPr>
              <w:keepNext/>
              <w:tabs>
                <w:tab w:val="right" w:pos="9063"/>
              </w:tabs>
              <w:spacing w:before="60" w:after="60"/>
              <w:ind w:left="-54"/>
              <w:jc w:val="center"/>
              <w:outlineLvl w:val="1"/>
              <w:rPr>
                <w:b/>
                <w:bCs/>
                <w:iCs/>
                <w:color w:val="595959"/>
              </w:rPr>
            </w:pPr>
            <w:r w:rsidRPr="003E3D16">
              <w:rPr>
                <w:b/>
                <w:bCs/>
                <w:iCs/>
                <w:color w:val="595959"/>
              </w:rPr>
              <w:t>Data publikacji</w:t>
            </w:r>
          </w:p>
        </w:tc>
        <w:tc>
          <w:tcPr>
            <w:tcW w:w="6000" w:type="dxa"/>
            <w:vAlign w:val="center"/>
            <w:hideMark/>
          </w:tcPr>
          <w:p w14:paraId="42CDF74A" w14:textId="77777777" w:rsidR="00877924" w:rsidRPr="003E3D16" w:rsidRDefault="00877924" w:rsidP="00877924">
            <w:pPr>
              <w:keepNext/>
              <w:tabs>
                <w:tab w:val="right" w:pos="9063"/>
              </w:tabs>
              <w:spacing w:before="60" w:after="60"/>
              <w:jc w:val="center"/>
              <w:outlineLvl w:val="1"/>
              <w:rPr>
                <w:b/>
                <w:bCs/>
                <w:iCs/>
                <w:color w:val="595959"/>
              </w:rPr>
            </w:pPr>
            <w:r w:rsidRPr="003E3D16">
              <w:rPr>
                <w:b/>
                <w:bCs/>
                <w:iCs/>
                <w:color w:val="595959"/>
              </w:rPr>
              <w:t>Zmiana</w:t>
            </w:r>
          </w:p>
        </w:tc>
        <w:tc>
          <w:tcPr>
            <w:tcW w:w="675" w:type="dxa"/>
            <w:vAlign w:val="center"/>
            <w:hideMark/>
          </w:tcPr>
          <w:p w14:paraId="7294B709" w14:textId="77777777" w:rsidR="00877924" w:rsidRPr="003E3D16" w:rsidRDefault="00877924" w:rsidP="00877924">
            <w:pPr>
              <w:spacing w:before="60" w:after="60"/>
              <w:jc w:val="center"/>
              <w:rPr>
                <w:b/>
                <w:color w:val="595959"/>
              </w:rPr>
            </w:pPr>
            <w:r w:rsidRPr="003E3D16">
              <w:rPr>
                <w:b/>
                <w:color w:val="595959"/>
              </w:rPr>
              <w:t>Strona</w:t>
            </w:r>
          </w:p>
        </w:tc>
      </w:tr>
      <w:tr w:rsidR="002F6C8E" w:rsidRPr="003E3D16" w14:paraId="6AD94C27" w14:textId="77777777" w:rsidTr="002F6C8E">
        <w:trPr>
          <w:jc w:val="center"/>
        </w:trPr>
        <w:tc>
          <w:tcPr>
            <w:tcW w:w="975" w:type="dxa"/>
            <w:hideMark/>
          </w:tcPr>
          <w:p w14:paraId="56E66BB1" w14:textId="77777777" w:rsidR="007C1E0D" w:rsidRPr="003E3D16" w:rsidRDefault="007C1E0D" w:rsidP="0084666C">
            <w:pPr>
              <w:spacing w:before="60" w:after="60"/>
              <w:jc w:val="center"/>
              <w:rPr>
                <w:color w:val="595959"/>
                <w:sz w:val="18"/>
                <w:szCs w:val="18"/>
              </w:rPr>
            </w:pPr>
            <w:r w:rsidRPr="003E3D16">
              <w:rPr>
                <w:color w:val="595959"/>
                <w:sz w:val="18"/>
                <w:szCs w:val="18"/>
              </w:rPr>
              <w:t>1.0</w:t>
            </w:r>
          </w:p>
        </w:tc>
        <w:tc>
          <w:tcPr>
            <w:tcW w:w="1350" w:type="dxa"/>
            <w:hideMark/>
          </w:tcPr>
          <w:p w14:paraId="60BE4CB3" w14:textId="30249BF1" w:rsidR="007C1E0D" w:rsidRPr="003E3D16" w:rsidRDefault="00BE4CEF" w:rsidP="00F52256">
            <w:pPr>
              <w:keepNext/>
              <w:tabs>
                <w:tab w:val="right" w:pos="9063"/>
              </w:tabs>
              <w:spacing w:before="60" w:after="60"/>
              <w:jc w:val="center"/>
              <w:outlineLvl w:val="1"/>
              <w:rPr>
                <w:color w:val="595959"/>
                <w:sz w:val="18"/>
                <w:szCs w:val="18"/>
              </w:rPr>
            </w:pPr>
            <w:r w:rsidRPr="003E3D16">
              <w:rPr>
                <w:color w:val="595959"/>
                <w:sz w:val="18"/>
                <w:szCs w:val="18"/>
              </w:rPr>
              <w:t>16.11.2021</w:t>
            </w:r>
          </w:p>
        </w:tc>
        <w:tc>
          <w:tcPr>
            <w:tcW w:w="6000" w:type="dxa"/>
            <w:hideMark/>
          </w:tcPr>
          <w:p w14:paraId="7F916257" w14:textId="077F49C4" w:rsidR="007C1E0D" w:rsidRPr="003E3D16" w:rsidRDefault="009E1814" w:rsidP="00584316">
            <w:pPr>
              <w:keepNext/>
              <w:numPr>
                <w:ilvl w:val="0"/>
                <w:numId w:val="23"/>
              </w:numPr>
              <w:tabs>
                <w:tab w:val="left" w:pos="318"/>
                <w:tab w:val="right" w:pos="9063"/>
              </w:tabs>
              <w:spacing w:before="60" w:after="60"/>
              <w:ind w:left="318" w:hanging="284"/>
              <w:outlineLvl w:val="1"/>
              <w:rPr>
                <w:color w:val="595959"/>
                <w:sz w:val="18"/>
                <w:szCs w:val="18"/>
              </w:rPr>
            </w:pPr>
            <w:r w:rsidRPr="003E3D16">
              <w:rPr>
                <w:color w:val="595959"/>
                <w:sz w:val="18"/>
                <w:szCs w:val="18"/>
              </w:rPr>
              <w:t>Wersja pierwotna (WRF 2021–2022)</w:t>
            </w:r>
          </w:p>
        </w:tc>
        <w:tc>
          <w:tcPr>
            <w:tcW w:w="675" w:type="dxa"/>
            <w:hideMark/>
          </w:tcPr>
          <w:p w14:paraId="0776925A" w14:textId="77777777" w:rsidR="007C1E0D" w:rsidRPr="003E3D16" w:rsidRDefault="007C1E0D" w:rsidP="00877924">
            <w:pPr>
              <w:keepNext/>
              <w:tabs>
                <w:tab w:val="right" w:pos="9063"/>
              </w:tabs>
              <w:spacing w:before="60" w:after="60"/>
              <w:jc w:val="center"/>
              <w:outlineLvl w:val="1"/>
              <w:rPr>
                <w:color w:val="595959"/>
                <w:sz w:val="18"/>
                <w:szCs w:val="18"/>
                <w:lang w:val="en-US"/>
              </w:rPr>
            </w:pPr>
          </w:p>
        </w:tc>
      </w:tr>
      <w:tr w:rsidR="002F6C8E" w:rsidRPr="003E3D16" w14:paraId="6B8E79B0" w14:textId="77777777" w:rsidTr="002F6C8E">
        <w:trPr>
          <w:jc w:val="center"/>
        </w:trPr>
        <w:tc>
          <w:tcPr>
            <w:tcW w:w="975" w:type="dxa"/>
          </w:tcPr>
          <w:p w14:paraId="2D4B5C9F" w14:textId="77777777" w:rsidR="007C1E0D" w:rsidRPr="003E3D16" w:rsidRDefault="007C1E0D" w:rsidP="0084666C">
            <w:pPr>
              <w:spacing w:before="60" w:after="60"/>
              <w:jc w:val="center"/>
              <w:rPr>
                <w:color w:val="595959"/>
                <w:sz w:val="18"/>
                <w:szCs w:val="18"/>
              </w:rPr>
            </w:pPr>
          </w:p>
        </w:tc>
        <w:tc>
          <w:tcPr>
            <w:tcW w:w="1350" w:type="dxa"/>
          </w:tcPr>
          <w:p w14:paraId="3F2CFB55" w14:textId="77777777" w:rsidR="007C1E0D" w:rsidRPr="003E3D16" w:rsidRDefault="007C1E0D" w:rsidP="0084666C">
            <w:pPr>
              <w:keepNext/>
              <w:tabs>
                <w:tab w:val="right" w:pos="9063"/>
              </w:tabs>
              <w:spacing w:before="60" w:after="60"/>
              <w:jc w:val="center"/>
              <w:outlineLvl w:val="1"/>
              <w:rPr>
                <w:color w:val="595959"/>
                <w:sz w:val="18"/>
                <w:szCs w:val="18"/>
              </w:rPr>
            </w:pPr>
          </w:p>
        </w:tc>
        <w:tc>
          <w:tcPr>
            <w:tcW w:w="6000" w:type="dxa"/>
            <w:hideMark/>
          </w:tcPr>
          <w:p w14:paraId="3BB2AEDE" w14:textId="77777777" w:rsidR="007C1E0D" w:rsidRPr="003E3D16"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50EB3CF6" w14:textId="77777777" w:rsidR="007C1E0D" w:rsidRPr="003E3D16" w:rsidRDefault="007C1E0D" w:rsidP="00877924">
            <w:pPr>
              <w:keepNext/>
              <w:tabs>
                <w:tab w:val="right" w:pos="9063"/>
              </w:tabs>
              <w:spacing w:before="60" w:after="60"/>
              <w:jc w:val="center"/>
              <w:outlineLvl w:val="1"/>
              <w:rPr>
                <w:color w:val="595959"/>
                <w:sz w:val="18"/>
                <w:szCs w:val="18"/>
                <w:lang w:val="en-US"/>
              </w:rPr>
            </w:pPr>
          </w:p>
        </w:tc>
      </w:tr>
      <w:tr w:rsidR="002F6C8E" w:rsidRPr="003E3D16" w14:paraId="543D7828" w14:textId="77777777" w:rsidTr="002F6C8E">
        <w:trPr>
          <w:jc w:val="center"/>
        </w:trPr>
        <w:tc>
          <w:tcPr>
            <w:tcW w:w="975" w:type="dxa"/>
          </w:tcPr>
          <w:p w14:paraId="53DF4A59" w14:textId="77777777" w:rsidR="007C1E0D" w:rsidRPr="003E3D16" w:rsidRDefault="007C1E0D" w:rsidP="0084666C">
            <w:pPr>
              <w:spacing w:before="60" w:after="60"/>
              <w:jc w:val="center"/>
              <w:rPr>
                <w:color w:val="595959"/>
                <w:sz w:val="18"/>
                <w:szCs w:val="18"/>
              </w:rPr>
            </w:pPr>
          </w:p>
        </w:tc>
        <w:tc>
          <w:tcPr>
            <w:tcW w:w="1350" w:type="dxa"/>
          </w:tcPr>
          <w:p w14:paraId="38342A73" w14:textId="77777777" w:rsidR="007C1E0D" w:rsidRPr="003E3D16" w:rsidRDefault="007C1E0D" w:rsidP="0084666C">
            <w:pPr>
              <w:keepNext/>
              <w:tabs>
                <w:tab w:val="right" w:pos="9063"/>
              </w:tabs>
              <w:spacing w:before="60" w:after="60"/>
              <w:jc w:val="center"/>
              <w:outlineLvl w:val="1"/>
              <w:rPr>
                <w:color w:val="595959"/>
                <w:sz w:val="18"/>
                <w:szCs w:val="18"/>
              </w:rPr>
            </w:pPr>
          </w:p>
        </w:tc>
        <w:tc>
          <w:tcPr>
            <w:tcW w:w="6000" w:type="dxa"/>
          </w:tcPr>
          <w:p w14:paraId="444D49C1" w14:textId="77777777" w:rsidR="007C1E0D" w:rsidRPr="003E3D16"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641351FE" w14:textId="77777777" w:rsidR="007C1E0D" w:rsidRPr="003E3D16" w:rsidRDefault="007C1E0D" w:rsidP="00877924">
            <w:pPr>
              <w:keepNext/>
              <w:tabs>
                <w:tab w:val="right" w:pos="9063"/>
              </w:tabs>
              <w:spacing w:before="60" w:after="60"/>
              <w:jc w:val="center"/>
              <w:outlineLvl w:val="1"/>
              <w:rPr>
                <w:color w:val="595959"/>
                <w:sz w:val="18"/>
                <w:szCs w:val="18"/>
                <w:lang w:val="en-US"/>
              </w:rPr>
            </w:pPr>
          </w:p>
        </w:tc>
      </w:tr>
      <w:tr w:rsidR="002F6C8E" w:rsidRPr="003E3D16" w14:paraId="30FE2898" w14:textId="77777777" w:rsidTr="002F6C8E">
        <w:trPr>
          <w:jc w:val="center"/>
        </w:trPr>
        <w:tc>
          <w:tcPr>
            <w:tcW w:w="975" w:type="dxa"/>
          </w:tcPr>
          <w:p w14:paraId="55376C2C" w14:textId="77777777" w:rsidR="007C1E0D" w:rsidRPr="003E3D16" w:rsidRDefault="007C1E0D" w:rsidP="0084666C">
            <w:pPr>
              <w:spacing w:before="60" w:after="60"/>
              <w:jc w:val="center"/>
              <w:rPr>
                <w:color w:val="595959"/>
                <w:sz w:val="18"/>
                <w:szCs w:val="18"/>
              </w:rPr>
            </w:pPr>
          </w:p>
        </w:tc>
        <w:tc>
          <w:tcPr>
            <w:tcW w:w="1350" w:type="dxa"/>
          </w:tcPr>
          <w:p w14:paraId="4A3DC56D" w14:textId="77777777" w:rsidR="007C1E0D" w:rsidRPr="003E3D16" w:rsidRDefault="007C1E0D" w:rsidP="0084666C">
            <w:pPr>
              <w:keepNext/>
              <w:tabs>
                <w:tab w:val="right" w:pos="9063"/>
              </w:tabs>
              <w:spacing w:before="60" w:after="60"/>
              <w:jc w:val="center"/>
              <w:outlineLvl w:val="1"/>
              <w:rPr>
                <w:color w:val="595959"/>
                <w:sz w:val="18"/>
                <w:szCs w:val="18"/>
              </w:rPr>
            </w:pPr>
          </w:p>
        </w:tc>
        <w:tc>
          <w:tcPr>
            <w:tcW w:w="6000" w:type="dxa"/>
          </w:tcPr>
          <w:p w14:paraId="3ECBC096" w14:textId="77777777" w:rsidR="007C1E0D" w:rsidRPr="003E3D16"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29A81A1A" w14:textId="77777777" w:rsidR="007C1E0D" w:rsidRPr="003E3D16" w:rsidRDefault="007C1E0D" w:rsidP="00877924">
            <w:pPr>
              <w:keepNext/>
              <w:tabs>
                <w:tab w:val="right" w:pos="9063"/>
              </w:tabs>
              <w:spacing w:before="60" w:after="60"/>
              <w:jc w:val="center"/>
              <w:outlineLvl w:val="1"/>
              <w:rPr>
                <w:color w:val="595959"/>
                <w:sz w:val="18"/>
                <w:szCs w:val="18"/>
                <w:lang w:val="en-US"/>
              </w:rPr>
            </w:pPr>
          </w:p>
        </w:tc>
      </w:tr>
    </w:tbl>
    <w:p w14:paraId="21681E32" w14:textId="77777777" w:rsidR="00877924" w:rsidRPr="003E3D16" w:rsidRDefault="00877924" w:rsidP="00877924">
      <w:pPr>
        <w:spacing w:after="0"/>
        <w:rPr>
          <w:sz w:val="22"/>
          <w:szCs w:val="22"/>
          <w:lang w:val="en-US"/>
        </w:rPr>
      </w:pPr>
    </w:p>
    <w:p w14:paraId="129A5496" w14:textId="77777777" w:rsidR="0062273B" w:rsidRPr="003E3D16" w:rsidRDefault="00877924" w:rsidP="00771274">
      <w:pPr>
        <w:spacing w:after="0"/>
        <w:jc w:val="center"/>
        <w:rPr>
          <w:sz w:val="22"/>
          <w:szCs w:val="22"/>
        </w:rPr>
      </w:pPr>
      <w:r w:rsidRPr="003E3D16">
        <w:br w:type="page"/>
      </w:r>
    </w:p>
    <w:tbl>
      <w:tblPr>
        <w:tblStyle w:val="TableLetterhead"/>
        <w:tblW w:w="9480" w:type="dxa"/>
        <w:tblLook w:val="04A0" w:firstRow="1" w:lastRow="0" w:firstColumn="1" w:lastColumn="0" w:noHBand="0" w:noVBand="1"/>
      </w:tblPr>
      <w:tblGrid>
        <w:gridCol w:w="2400"/>
        <w:gridCol w:w="7080"/>
      </w:tblGrid>
      <w:tr w:rsidR="0062273B" w:rsidRPr="003E3D16" w14:paraId="63C3AADA" w14:textId="77777777" w:rsidTr="000579AF">
        <w:tc>
          <w:tcPr>
            <w:tcW w:w="2400" w:type="dxa"/>
          </w:tcPr>
          <w:p w14:paraId="45ABB2A4" w14:textId="1231702F" w:rsidR="0062273B" w:rsidRPr="003E3D16" w:rsidRDefault="005A3754" w:rsidP="0062273B">
            <w:pPr>
              <w:widowControl w:val="0"/>
              <w:spacing w:after="0"/>
              <w:ind w:right="85"/>
              <w:rPr>
                <w:rFonts w:ascii="Times New Roman" w:hAnsi="Times New Roman"/>
              </w:rPr>
            </w:pPr>
            <w:r w:rsidRPr="003E3D16">
              <w:rPr>
                <w:rFonts w:ascii="Times New Roman" w:hAnsi="Times New Roman"/>
                <w:noProof/>
                <w:lang w:val="fr-BE" w:eastAsia="fr-BE"/>
              </w:rPr>
              <w:lastRenderedPageBreak/>
              <w:drawing>
                <wp:inline distT="0" distB="0" distL="0" distR="0" wp14:anchorId="09CA6CCD" wp14:editId="2A0B6514">
                  <wp:extent cx="1371600" cy="672465"/>
                  <wp:effectExtent l="0" t="0" r="0" b="0"/>
                  <wp:docPr id="3" name="Picture 3"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f the European Commission, 12 yellow stars on a blue background arranged in a circle and framed by two light grey graphic elements representing the Berlaymont building, which is the headquarter of the European Commiss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1600" cy="672465"/>
                          </a:xfrm>
                          <a:prstGeom prst="rect">
                            <a:avLst/>
                          </a:prstGeom>
                          <a:noFill/>
                          <a:ln>
                            <a:noFill/>
                          </a:ln>
                        </pic:spPr>
                      </pic:pic>
                    </a:graphicData>
                  </a:graphic>
                </wp:inline>
              </w:drawing>
            </w:r>
          </w:p>
        </w:tc>
        <w:tc>
          <w:tcPr>
            <w:tcW w:w="7080" w:type="dxa"/>
          </w:tcPr>
          <w:p w14:paraId="66F12799" w14:textId="408A0EF9" w:rsidR="0062273B" w:rsidRPr="003E3D16" w:rsidRDefault="0062273B" w:rsidP="0062273B">
            <w:pPr>
              <w:widowControl w:val="0"/>
              <w:spacing w:before="90" w:after="0"/>
              <w:ind w:right="85"/>
              <w:jc w:val="left"/>
              <w:rPr>
                <w:rFonts w:ascii="Times New Roman" w:hAnsi="Times New Roman"/>
                <w:caps/>
              </w:rPr>
            </w:pPr>
            <w:r w:rsidRPr="003E3D16">
              <w:rPr>
                <w:rFonts w:ascii="Times New Roman" w:hAnsi="Times New Roman"/>
                <w:caps/>
              </w:rPr>
              <w:t>EUROPEJSKA AGENCJA WYKONAWCZA</w:t>
            </w:r>
          </w:p>
          <w:p w14:paraId="4C89199C" w14:textId="44C382F9" w:rsidR="0062273B" w:rsidRPr="003E3D16" w:rsidRDefault="0062273B" w:rsidP="0062273B">
            <w:pPr>
              <w:widowControl w:val="0"/>
              <w:spacing w:after="0"/>
              <w:ind w:right="85"/>
              <w:jc w:val="left"/>
              <w:rPr>
                <w:rFonts w:ascii="Times New Roman" w:hAnsi="Times New Roman"/>
                <w:caps/>
              </w:rPr>
            </w:pPr>
            <w:r w:rsidRPr="003E3D16">
              <w:rPr>
                <w:rFonts w:ascii="Times New Roman" w:hAnsi="Times New Roman"/>
                <w:caps/>
              </w:rPr>
              <w:t>DS. EDUKACJI I KULTURY (EACEA)</w:t>
            </w:r>
          </w:p>
          <w:p w14:paraId="42A84745" w14:textId="77777777" w:rsidR="0062273B" w:rsidRPr="003E3D16" w:rsidRDefault="0062273B" w:rsidP="0062273B">
            <w:pPr>
              <w:widowControl w:val="0"/>
              <w:spacing w:after="0"/>
              <w:ind w:right="85"/>
              <w:jc w:val="left"/>
              <w:rPr>
                <w:rFonts w:ascii="Times New Roman" w:hAnsi="Times New Roman"/>
                <w:sz w:val="16"/>
                <w:lang w:eastAsia="fr-BE"/>
              </w:rPr>
            </w:pPr>
          </w:p>
          <w:p w14:paraId="4CC2F47D" w14:textId="09BE9929" w:rsidR="0062273B" w:rsidRPr="003E3D16" w:rsidRDefault="0062273B" w:rsidP="0062273B">
            <w:pPr>
              <w:widowControl w:val="0"/>
              <w:spacing w:after="0"/>
              <w:ind w:right="85"/>
              <w:jc w:val="left"/>
              <w:rPr>
                <w:rFonts w:ascii="Times New Roman" w:hAnsi="Times New Roman"/>
                <w:sz w:val="16"/>
              </w:rPr>
            </w:pPr>
            <w:r w:rsidRPr="003E3D16">
              <w:rPr>
                <w:rFonts w:ascii="Times New Roman" w:hAnsi="Times New Roman"/>
                <w:sz w:val="16"/>
              </w:rPr>
              <w:t>EACEA.B – Kreatywność, obywatelstwo i wspólne operacje</w:t>
            </w:r>
          </w:p>
          <w:p w14:paraId="6E2A31C1" w14:textId="0B6D355C" w:rsidR="0062273B" w:rsidRPr="003E3D16" w:rsidRDefault="0062273B" w:rsidP="0062273B">
            <w:pPr>
              <w:widowControl w:val="0"/>
              <w:spacing w:after="0"/>
              <w:ind w:right="85"/>
              <w:jc w:val="left"/>
              <w:rPr>
                <w:rFonts w:ascii="Times New Roman" w:hAnsi="Times New Roman"/>
                <w:b/>
                <w:sz w:val="16"/>
              </w:rPr>
            </w:pPr>
            <w:r w:rsidRPr="003E3D16">
              <w:rPr>
                <w:rFonts w:ascii="Times New Roman" w:hAnsi="Times New Roman"/>
                <w:b/>
                <w:sz w:val="16"/>
              </w:rPr>
              <w:t>EACEA.B.3 – Europa dla Obywateli</w:t>
            </w:r>
          </w:p>
        </w:tc>
      </w:tr>
    </w:tbl>
    <w:p w14:paraId="60377700" w14:textId="77777777" w:rsidR="00233324" w:rsidRPr="003E3D16" w:rsidRDefault="00233324" w:rsidP="007502F1">
      <w:pPr>
        <w:pStyle w:val="BodyText"/>
        <w:spacing w:before="8"/>
        <w:jc w:val="center"/>
        <w:rPr>
          <w:sz w:val="22"/>
          <w:szCs w:val="22"/>
        </w:rPr>
      </w:pPr>
    </w:p>
    <w:p w14:paraId="4ADD2FD0" w14:textId="77777777" w:rsidR="007502F1" w:rsidRPr="003E3D16" w:rsidRDefault="00233324" w:rsidP="007502F1">
      <w:pPr>
        <w:pStyle w:val="BodyText"/>
        <w:spacing w:before="8"/>
        <w:jc w:val="center"/>
        <w:rPr>
          <w:b/>
          <w:sz w:val="22"/>
          <w:szCs w:val="22"/>
        </w:rPr>
      </w:pPr>
      <w:r w:rsidRPr="003E3D16">
        <w:rPr>
          <w:b/>
          <w:sz w:val="22"/>
          <w:szCs w:val="22"/>
        </w:rPr>
        <w:t xml:space="preserve">ZAPROSZENIE DO SKŁADANIA WNIOSKÓW </w:t>
      </w:r>
    </w:p>
    <w:p w14:paraId="22801F39" w14:textId="77777777" w:rsidR="00004B82" w:rsidRPr="003E3D16" w:rsidRDefault="00004B82" w:rsidP="00B57534">
      <w:pPr>
        <w:widowControl w:val="0"/>
      </w:pPr>
    </w:p>
    <w:p w14:paraId="694C64CB" w14:textId="77777777" w:rsidR="0084666C" w:rsidRPr="003E3D16" w:rsidRDefault="0084666C" w:rsidP="005A543F">
      <w:pPr>
        <w:autoSpaceDE w:val="0"/>
        <w:autoSpaceDN w:val="0"/>
        <w:adjustRightInd w:val="0"/>
        <w:jc w:val="left"/>
        <w:rPr>
          <w:rFonts w:eastAsia="Calibri" w:cs="Verdana"/>
          <w:b/>
          <w:color w:val="A50021"/>
          <w:sz w:val="18"/>
        </w:rPr>
      </w:pPr>
      <w:r w:rsidRPr="003E3D16">
        <w:rPr>
          <w:b/>
          <w:color w:val="A50021"/>
          <w:sz w:val="18"/>
        </w:rPr>
        <w:t>SPIS TREŚCI</w:t>
      </w:r>
    </w:p>
    <w:p w14:paraId="79627FEA" w14:textId="426F3CD9" w:rsidR="003E3D16" w:rsidRPr="003E3D16" w:rsidRDefault="00340A6F">
      <w:pPr>
        <w:pStyle w:val="TOC1"/>
        <w:rPr>
          <w:rFonts w:asciiTheme="minorHAnsi" w:eastAsiaTheme="minorEastAsia" w:hAnsiTheme="minorHAnsi" w:cstheme="minorBidi"/>
          <w:noProof/>
          <w:sz w:val="22"/>
          <w:szCs w:val="22"/>
          <w:lang w:val="fr-LU" w:eastAsia="fr-LU"/>
        </w:rPr>
      </w:pPr>
      <w:r w:rsidRPr="003E3D16">
        <w:fldChar w:fldCharType="begin"/>
      </w:r>
      <w:r w:rsidRPr="003E3D16">
        <w:instrText xml:space="preserve"> TOC \o "1-1" \h \z \t "Heading 2,2,Heading 3,3,Subtitle,2" </w:instrText>
      </w:r>
      <w:r w:rsidRPr="003E3D16">
        <w:fldChar w:fldCharType="separate"/>
      </w:r>
      <w:hyperlink w:anchor="_Toc92978215" w:history="1">
        <w:r w:rsidR="003E3D16" w:rsidRPr="003E3D16">
          <w:rPr>
            <w:rStyle w:val="Hyperlink"/>
            <w:noProof/>
          </w:rPr>
          <w:t>0.</w:t>
        </w:r>
        <w:r w:rsidR="003E3D16" w:rsidRPr="003E3D16">
          <w:rPr>
            <w:rFonts w:asciiTheme="minorHAnsi" w:eastAsiaTheme="minorEastAsia" w:hAnsiTheme="minorHAnsi" w:cstheme="minorBidi"/>
            <w:noProof/>
            <w:sz w:val="22"/>
            <w:szCs w:val="22"/>
            <w:lang w:val="fr-LU" w:eastAsia="fr-LU"/>
          </w:rPr>
          <w:tab/>
        </w:r>
        <w:r w:rsidR="003E3D16" w:rsidRPr="003E3D16">
          <w:rPr>
            <w:rStyle w:val="Hyperlink"/>
            <w:noProof/>
          </w:rPr>
          <w:t>Wprowadzenie</w:t>
        </w:r>
        <w:r w:rsidR="003E3D16" w:rsidRPr="003E3D16">
          <w:rPr>
            <w:noProof/>
            <w:webHidden/>
          </w:rPr>
          <w:tab/>
        </w:r>
        <w:r w:rsidR="003E3D16" w:rsidRPr="003E3D16">
          <w:rPr>
            <w:noProof/>
            <w:webHidden/>
          </w:rPr>
          <w:fldChar w:fldCharType="begin"/>
        </w:r>
        <w:r w:rsidR="003E3D16" w:rsidRPr="003E3D16">
          <w:rPr>
            <w:noProof/>
            <w:webHidden/>
          </w:rPr>
          <w:instrText xml:space="preserve"> PAGEREF _Toc92978215 \h </w:instrText>
        </w:r>
        <w:r w:rsidR="003E3D16" w:rsidRPr="003E3D16">
          <w:rPr>
            <w:noProof/>
            <w:webHidden/>
          </w:rPr>
        </w:r>
        <w:r w:rsidR="003E3D16" w:rsidRPr="003E3D16">
          <w:rPr>
            <w:noProof/>
            <w:webHidden/>
          </w:rPr>
          <w:fldChar w:fldCharType="separate"/>
        </w:r>
        <w:r w:rsidR="000D4025">
          <w:rPr>
            <w:noProof/>
            <w:webHidden/>
          </w:rPr>
          <w:t>5</w:t>
        </w:r>
        <w:r w:rsidR="003E3D16" w:rsidRPr="003E3D16">
          <w:rPr>
            <w:noProof/>
            <w:webHidden/>
          </w:rPr>
          <w:fldChar w:fldCharType="end"/>
        </w:r>
      </w:hyperlink>
    </w:p>
    <w:p w14:paraId="52D231BD" w14:textId="703F50E7" w:rsidR="003E3D16" w:rsidRPr="003E3D16" w:rsidRDefault="00D139A0">
      <w:pPr>
        <w:pStyle w:val="TOC1"/>
        <w:rPr>
          <w:rFonts w:asciiTheme="minorHAnsi" w:eastAsiaTheme="minorEastAsia" w:hAnsiTheme="minorHAnsi" w:cstheme="minorBidi"/>
          <w:noProof/>
          <w:sz w:val="22"/>
          <w:szCs w:val="22"/>
          <w:lang w:val="fr-LU" w:eastAsia="fr-LU"/>
        </w:rPr>
      </w:pPr>
      <w:hyperlink w:anchor="_Toc92978216" w:history="1">
        <w:r w:rsidR="003E3D16" w:rsidRPr="003E3D16">
          <w:rPr>
            <w:rStyle w:val="Hyperlink"/>
            <w:noProof/>
          </w:rPr>
          <w:t>1.</w:t>
        </w:r>
        <w:r w:rsidR="003E3D16" w:rsidRPr="003E3D16">
          <w:rPr>
            <w:rFonts w:asciiTheme="minorHAnsi" w:eastAsiaTheme="minorEastAsia" w:hAnsiTheme="minorHAnsi" w:cstheme="minorBidi"/>
            <w:noProof/>
            <w:sz w:val="22"/>
            <w:szCs w:val="22"/>
            <w:lang w:val="fr-LU" w:eastAsia="fr-LU"/>
          </w:rPr>
          <w:tab/>
        </w:r>
        <w:r w:rsidR="003E3D16" w:rsidRPr="003E3D16">
          <w:rPr>
            <w:rStyle w:val="Hyperlink"/>
            <w:noProof/>
          </w:rPr>
          <w:t>Informacje ogólne</w:t>
        </w:r>
        <w:r w:rsidR="003E3D16" w:rsidRPr="003E3D16">
          <w:rPr>
            <w:noProof/>
            <w:webHidden/>
          </w:rPr>
          <w:tab/>
        </w:r>
        <w:r w:rsidR="003E3D16" w:rsidRPr="003E3D16">
          <w:rPr>
            <w:noProof/>
            <w:webHidden/>
          </w:rPr>
          <w:fldChar w:fldCharType="begin"/>
        </w:r>
        <w:r w:rsidR="003E3D16" w:rsidRPr="003E3D16">
          <w:rPr>
            <w:noProof/>
            <w:webHidden/>
          </w:rPr>
          <w:instrText xml:space="preserve"> PAGEREF _Toc92978216 \h </w:instrText>
        </w:r>
        <w:r w:rsidR="003E3D16" w:rsidRPr="003E3D16">
          <w:rPr>
            <w:noProof/>
            <w:webHidden/>
          </w:rPr>
        </w:r>
        <w:r w:rsidR="003E3D16" w:rsidRPr="003E3D16">
          <w:rPr>
            <w:noProof/>
            <w:webHidden/>
          </w:rPr>
          <w:fldChar w:fldCharType="separate"/>
        </w:r>
        <w:r w:rsidR="000D4025">
          <w:rPr>
            <w:noProof/>
            <w:webHidden/>
          </w:rPr>
          <w:t>6</w:t>
        </w:r>
        <w:r w:rsidR="003E3D16" w:rsidRPr="003E3D16">
          <w:rPr>
            <w:noProof/>
            <w:webHidden/>
          </w:rPr>
          <w:fldChar w:fldCharType="end"/>
        </w:r>
      </w:hyperlink>
    </w:p>
    <w:p w14:paraId="64CAF1B4" w14:textId="5AD24BF3" w:rsidR="003E3D16" w:rsidRPr="003E3D16" w:rsidRDefault="00D139A0">
      <w:pPr>
        <w:pStyle w:val="TOC1"/>
        <w:rPr>
          <w:rFonts w:asciiTheme="minorHAnsi" w:eastAsiaTheme="minorEastAsia" w:hAnsiTheme="minorHAnsi" w:cstheme="minorBidi"/>
          <w:noProof/>
          <w:sz w:val="22"/>
          <w:szCs w:val="22"/>
          <w:lang w:val="fr-LU" w:eastAsia="fr-LU"/>
        </w:rPr>
      </w:pPr>
      <w:hyperlink w:anchor="_Toc92978217" w:history="1">
        <w:r w:rsidR="003E3D16" w:rsidRPr="003E3D16">
          <w:rPr>
            <w:rStyle w:val="Hyperlink"/>
            <w:noProof/>
          </w:rPr>
          <w:t>2.</w:t>
        </w:r>
        <w:r w:rsidR="003E3D16" w:rsidRPr="003E3D16">
          <w:rPr>
            <w:rFonts w:asciiTheme="minorHAnsi" w:eastAsiaTheme="minorEastAsia" w:hAnsiTheme="minorHAnsi" w:cstheme="minorBidi"/>
            <w:noProof/>
            <w:sz w:val="22"/>
            <w:szCs w:val="22"/>
            <w:lang w:val="fr-LU" w:eastAsia="fr-LU"/>
          </w:rPr>
          <w:tab/>
        </w:r>
        <w:r w:rsidR="003E3D16" w:rsidRPr="003E3D16">
          <w:rPr>
            <w:rStyle w:val="Hyperlink"/>
            <w:noProof/>
          </w:rPr>
          <w:t>Cele — Tematy i priorytety — Działania, które mogą uzyskać dofinansowanie — Oczekiwane oddziaływanie</w:t>
        </w:r>
        <w:r w:rsidR="003E3D16" w:rsidRPr="003E3D16">
          <w:rPr>
            <w:noProof/>
            <w:webHidden/>
          </w:rPr>
          <w:tab/>
        </w:r>
        <w:r w:rsidR="003E3D16" w:rsidRPr="003E3D16">
          <w:rPr>
            <w:noProof/>
            <w:webHidden/>
          </w:rPr>
          <w:fldChar w:fldCharType="begin"/>
        </w:r>
        <w:r w:rsidR="003E3D16" w:rsidRPr="003E3D16">
          <w:rPr>
            <w:noProof/>
            <w:webHidden/>
          </w:rPr>
          <w:instrText xml:space="preserve"> PAGEREF _Toc92978217 \h </w:instrText>
        </w:r>
        <w:r w:rsidR="003E3D16" w:rsidRPr="003E3D16">
          <w:rPr>
            <w:noProof/>
            <w:webHidden/>
          </w:rPr>
        </w:r>
        <w:r w:rsidR="003E3D16" w:rsidRPr="003E3D16">
          <w:rPr>
            <w:noProof/>
            <w:webHidden/>
          </w:rPr>
          <w:fldChar w:fldCharType="separate"/>
        </w:r>
        <w:r w:rsidR="000D4025">
          <w:rPr>
            <w:noProof/>
            <w:webHidden/>
          </w:rPr>
          <w:t>6</w:t>
        </w:r>
        <w:r w:rsidR="003E3D16" w:rsidRPr="003E3D16">
          <w:rPr>
            <w:noProof/>
            <w:webHidden/>
          </w:rPr>
          <w:fldChar w:fldCharType="end"/>
        </w:r>
      </w:hyperlink>
    </w:p>
    <w:p w14:paraId="58A7829F" w14:textId="468D7DC9" w:rsidR="003E3D16" w:rsidRPr="003E3D16" w:rsidRDefault="00D139A0">
      <w:pPr>
        <w:pStyle w:val="TOC3"/>
        <w:rPr>
          <w:rFonts w:asciiTheme="minorHAnsi" w:eastAsiaTheme="minorEastAsia" w:hAnsiTheme="minorHAnsi" w:cstheme="minorBidi"/>
          <w:sz w:val="22"/>
          <w:szCs w:val="22"/>
          <w:lang w:val="fr-LU" w:eastAsia="fr-LU"/>
        </w:rPr>
      </w:pPr>
      <w:hyperlink w:anchor="_Toc92978218" w:history="1">
        <w:r w:rsidR="003E3D16" w:rsidRPr="003E3D16">
          <w:rPr>
            <w:rStyle w:val="Hyperlink"/>
          </w:rPr>
          <w:t>Cele</w:t>
        </w:r>
        <w:r w:rsidR="003E3D16" w:rsidRPr="003E3D16">
          <w:rPr>
            <w:webHidden/>
          </w:rPr>
          <w:tab/>
        </w:r>
        <w:r w:rsidR="003E3D16" w:rsidRPr="003E3D16">
          <w:rPr>
            <w:webHidden/>
          </w:rPr>
          <w:fldChar w:fldCharType="begin"/>
        </w:r>
        <w:r w:rsidR="003E3D16" w:rsidRPr="003E3D16">
          <w:rPr>
            <w:webHidden/>
          </w:rPr>
          <w:instrText xml:space="preserve"> PAGEREF _Toc92978218 \h </w:instrText>
        </w:r>
        <w:r w:rsidR="003E3D16" w:rsidRPr="003E3D16">
          <w:rPr>
            <w:webHidden/>
          </w:rPr>
        </w:r>
        <w:r w:rsidR="003E3D16" w:rsidRPr="003E3D16">
          <w:rPr>
            <w:webHidden/>
          </w:rPr>
          <w:fldChar w:fldCharType="separate"/>
        </w:r>
        <w:r w:rsidR="000D4025">
          <w:rPr>
            <w:webHidden/>
          </w:rPr>
          <w:t>6</w:t>
        </w:r>
        <w:r w:rsidR="003E3D16" w:rsidRPr="003E3D16">
          <w:rPr>
            <w:webHidden/>
          </w:rPr>
          <w:fldChar w:fldCharType="end"/>
        </w:r>
      </w:hyperlink>
    </w:p>
    <w:p w14:paraId="2D4AEDBF" w14:textId="07149348" w:rsidR="003E3D16" w:rsidRPr="003E3D16" w:rsidRDefault="00D139A0">
      <w:pPr>
        <w:pStyle w:val="TOC3"/>
        <w:rPr>
          <w:rFonts w:asciiTheme="minorHAnsi" w:eastAsiaTheme="minorEastAsia" w:hAnsiTheme="minorHAnsi" w:cstheme="minorBidi"/>
          <w:sz w:val="22"/>
          <w:szCs w:val="22"/>
          <w:lang w:val="fr-LU" w:eastAsia="fr-LU"/>
        </w:rPr>
      </w:pPr>
      <w:hyperlink w:anchor="_Toc92978219" w:history="1">
        <w:r w:rsidR="003E3D16" w:rsidRPr="003E3D16">
          <w:rPr>
            <w:rStyle w:val="Hyperlink"/>
          </w:rPr>
          <w:t>Tematy i priorytety (zakres)</w:t>
        </w:r>
        <w:r w:rsidR="003E3D16" w:rsidRPr="003E3D16">
          <w:rPr>
            <w:webHidden/>
          </w:rPr>
          <w:tab/>
        </w:r>
        <w:r w:rsidR="003E3D16" w:rsidRPr="003E3D16">
          <w:rPr>
            <w:webHidden/>
          </w:rPr>
          <w:fldChar w:fldCharType="begin"/>
        </w:r>
        <w:r w:rsidR="003E3D16" w:rsidRPr="003E3D16">
          <w:rPr>
            <w:webHidden/>
          </w:rPr>
          <w:instrText xml:space="preserve"> PAGEREF _Toc92978219 \h </w:instrText>
        </w:r>
        <w:r w:rsidR="003E3D16" w:rsidRPr="003E3D16">
          <w:rPr>
            <w:webHidden/>
          </w:rPr>
        </w:r>
        <w:r w:rsidR="003E3D16" w:rsidRPr="003E3D16">
          <w:rPr>
            <w:webHidden/>
          </w:rPr>
          <w:fldChar w:fldCharType="separate"/>
        </w:r>
        <w:r w:rsidR="000D4025">
          <w:rPr>
            <w:webHidden/>
          </w:rPr>
          <w:t>7</w:t>
        </w:r>
        <w:r w:rsidR="003E3D16" w:rsidRPr="003E3D16">
          <w:rPr>
            <w:webHidden/>
          </w:rPr>
          <w:fldChar w:fldCharType="end"/>
        </w:r>
      </w:hyperlink>
    </w:p>
    <w:p w14:paraId="2E8F8604" w14:textId="1E712C63" w:rsidR="003E3D16" w:rsidRPr="003E3D16" w:rsidRDefault="00D139A0">
      <w:pPr>
        <w:pStyle w:val="TOC3"/>
        <w:rPr>
          <w:rFonts w:asciiTheme="minorHAnsi" w:eastAsiaTheme="minorEastAsia" w:hAnsiTheme="minorHAnsi" w:cstheme="minorBidi"/>
          <w:sz w:val="22"/>
          <w:szCs w:val="22"/>
          <w:lang w:val="fr-LU" w:eastAsia="fr-LU"/>
        </w:rPr>
      </w:pPr>
      <w:hyperlink w:anchor="_Toc92978220" w:history="1">
        <w:r w:rsidR="003E3D16" w:rsidRPr="003E3D16">
          <w:rPr>
            <w:rStyle w:val="Hyperlink"/>
          </w:rPr>
          <w:t>Cele</w:t>
        </w:r>
        <w:r w:rsidR="003E3D16" w:rsidRPr="003E3D16">
          <w:rPr>
            <w:webHidden/>
          </w:rPr>
          <w:tab/>
        </w:r>
        <w:r w:rsidR="003E3D16" w:rsidRPr="003E3D16">
          <w:rPr>
            <w:webHidden/>
          </w:rPr>
          <w:fldChar w:fldCharType="begin"/>
        </w:r>
        <w:r w:rsidR="003E3D16" w:rsidRPr="003E3D16">
          <w:rPr>
            <w:webHidden/>
          </w:rPr>
          <w:instrText xml:space="preserve"> PAGEREF _Toc92978220 \h </w:instrText>
        </w:r>
        <w:r w:rsidR="003E3D16" w:rsidRPr="003E3D16">
          <w:rPr>
            <w:webHidden/>
          </w:rPr>
        </w:r>
        <w:r w:rsidR="003E3D16" w:rsidRPr="003E3D16">
          <w:rPr>
            <w:webHidden/>
          </w:rPr>
          <w:fldChar w:fldCharType="separate"/>
        </w:r>
        <w:r w:rsidR="000D4025">
          <w:rPr>
            <w:webHidden/>
          </w:rPr>
          <w:t>8</w:t>
        </w:r>
        <w:r w:rsidR="003E3D16" w:rsidRPr="003E3D16">
          <w:rPr>
            <w:webHidden/>
          </w:rPr>
          <w:fldChar w:fldCharType="end"/>
        </w:r>
      </w:hyperlink>
    </w:p>
    <w:p w14:paraId="531501D2" w14:textId="34B22E31" w:rsidR="003E3D16" w:rsidRPr="003E3D16" w:rsidRDefault="00D139A0">
      <w:pPr>
        <w:pStyle w:val="TOC3"/>
        <w:rPr>
          <w:rFonts w:asciiTheme="minorHAnsi" w:eastAsiaTheme="minorEastAsia" w:hAnsiTheme="minorHAnsi" w:cstheme="minorBidi"/>
          <w:sz w:val="22"/>
          <w:szCs w:val="22"/>
          <w:lang w:val="fr-LU" w:eastAsia="fr-LU"/>
        </w:rPr>
      </w:pPr>
      <w:hyperlink w:anchor="_Toc92978221" w:history="1">
        <w:r w:rsidR="003E3D16" w:rsidRPr="003E3D16">
          <w:rPr>
            <w:rStyle w:val="Hyperlink"/>
          </w:rPr>
          <w:t>Tematy i priorytety (zakres)</w:t>
        </w:r>
        <w:r w:rsidR="003E3D16" w:rsidRPr="003E3D16">
          <w:rPr>
            <w:webHidden/>
          </w:rPr>
          <w:tab/>
        </w:r>
        <w:r w:rsidR="003E3D16" w:rsidRPr="003E3D16">
          <w:rPr>
            <w:webHidden/>
          </w:rPr>
          <w:fldChar w:fldCharType="begin"/>
        </w:r>
        <w:r w:rsidR="003E3D16" w:rsidRPr="003E3D16">
          <w:rPr>
            <w:webHidden/>
          </w:rPr>
          <w:instrText xml:space="preserve"> PAGEREF _Toc92978221 \h </w:instrText>
        </w:r>
        <w:r w:rsidR="003E3D16" w:rsidRPr="003E3D16">
          <w:rPr>
            <w:webHidden/>
          </w:rPr>
        </w:r>
        <w:r w:rsidR="003E3D16" w:rsidRPr="003E3D16">
          <w:rPr>
            <w:webHidden/>
          </w:rPr>
          <w:fldChar w:fldCharType="separate"/>
        </w:r>
        <w:r w:rsidR="000D4025">
          <w:rPr>
            <w:webHidden/>
          </w:rPr>
          <w:t>9</w:t>
        </w:r>
        <w:r w:rsidR="003E3D16" w:rsidRPr="003E3D16">
          <w:rPr>
            <w:webHidden/>
          </w:rPr>
          <w:fldChar w:fldCharType="end"/>
        </w:r>
      </w:hyperlink>
    </w:p>
    <w:p w14:paraId="67F3C23C" w14:textId="48A23BFF" w:rsidR="003E3D16" w:rsidRPr="003E3D16" w:rsidRDefault="00D139A0">
      <w:pPr>
        <w:pStyle w:val="TOC3"/>
        <w:rPr>
          <w:rFonts w:asciiTheme="minorHAnsi" w:eastAsiaTheme="minorEastAsia" w:hAnsiTheme="minorHAnsi" w:cstheme="minorBidi"/>
          <w:sz w:val="22"/>
          <w:szCs w:val="22"/>
          <w:lang w:val="fr-LU" w:eastAsia="fr-LU"/>
        </w:rPr>
      </w:pPr>
      <w:hyperlink w:anchor="_Toc92978222" w:history="1">
        <w:r w:rsidR="003E3D16" w:rsidRPr="003E3D16">
          <w:rPr>
            <w:rStyle w:val="Hyperlink"/>
          </w:rPr>
          <w:t>Działania, które mogą uzyskać dofinansowanie (zakres)</w:t>
        </w:r>
        <w:r w:rsidR="003E3D16" w:rsidRPr="003E3D16">
          <w:rPr>
            <w:webHidden/>
          </w:rPr>
          <w:tab/>
        </w:r>
        <w:r w:rsidR="003E3D16" w:rsidRPr="003E3D16">
          <w:rPr>
            <w:webHidden/>
          </w:rPr>
          <w:fldChar w:fldCharType="begin"/>
        </w:r>
        <w:r w:rsidR="003E3D16" w:rsidRPr="003E3D16">
          <w:rPr>
            <w:webHidden/>
          </w:rPr>
          <w:instrText xml:space="preserve"> PAGEREF _Toc92978222 \h </w:instrText>
        </w:r>
        <w:r w:rsidR="003E3D16" w:rsidRPr="003E3D16">
          <w:rPr>
            <w:webHidden/>
          </w:rPr>
        </w:r>
        <w:r w:rsidR="003E3D16" w:rsidRPr="003E3D16">
          <w:rPr>
            <w:webHidden/>
          </w:rPr>
          <w:fldChar w:fldCharType="separate"/>
        </w:r>
        <w:r w:rsidR="000D4025">
          <w:rPr>
            <w:webHidden/>
          </w:rPr>
          <w:t>10</w:t>
        </w:r>
        <w:r w:rsidR="003E3D16" w:rsidRPr="003E3D16">
          <w:rPr>
            <w:webHidden/>
          </w:rPr>
          <w:fldChar w:fldCharType="end"/>
        </w:r>
      </w:hyperlink>
    </w:p>
    <w:p w14:paraId="0D6F55AF" w14:textId="1A2E096B" w:rsidR="003E3D16" w:rsidRPr="003E3D16" w:rsidRDefault="00D139A0">
      <w:pPr>
        <w:pStyle w:val="TOC3"/>
        <w:rPr>
          <w:rFonts w:asciiTheme="minorHAnsi" w:eastAsiaTheme="minorEastAsia" w:hAnsiTheme="minorHAnsi" w:cstheme="minorBidi"/>
          <w:sz w:val="22"/>
          <w:szCs w:val="22"/>
          <w:lang w:val="fr-LU" w:eastAsia="fr-LU"/>
        </w:rPr>
      </w:pPr>
      <w:hyperlink w:anchor="_Toc92978223" w:history="1">
        <w:r w:rsidR="003E3D16" w:rsidRPr="003E3D16">
          <w:rPr>
            <w:rStyle w:val="Hyperlink"/>
          </w:rPr>
          <w:t>Oczekiwan</w:t>
        </w:r>
        <w:r w:rsidR="00426CDD">
          <w:rPr>
            <w:rStyle w:val="Hyperlink"/>
          </w:rPr>
          <w:t>y wpływ</w:t>
        </w:r>
        <w:r w:rsidR="003E3D16" w:rsidRPr="003E3D16">
          <w:rPr>
            <w:webHidden/>
          </w:rPr>
          <w:tab/>
        </w:r>
        <w:r w:rsidR="003E3D16" w:rsidRPr="003E3D16">
          <w:rPr>
            <w:webHidden/>
          </w:rPr>
          <w:fldChar w:fldCharType="begin"/>
        </w:r>
        <w:r w:rsidR="003E3D16" w:rsidRPr="003E3D16">
          <w:rPr>
            <w:webHidden/>
          </w:rPr>
          <w:instrText xml:space="preserve"> PAGEREF _Toc92978223 \h </w:instrText>
        </w:r>
        <w:r w:rsidR="003E3D16" w:rsidRPr="003E3D16">
          <w:rPr>
            <w:webHidden/>
          </w:rPr>
        </w:r>
        <w:r w:rsidR="003E3D16" w:rsidRPr="003E3D16">
          <w:rPr>
            <w:webHidden/>
          </w:rPr>
          <w:fldChar w:fldCharType="separate"/>
        </w:r>
        <w:r w:rsidR="000D4025">
          <w:rPr>
            <w:webHidden/>
          </w:rPr>
          <w:t>10</w:t>
        </w:r>
        <w:r w:rsidR="003E3D16" w:rsidRPr="003E3D16">
          <w:rPr>
            <w:webHidden/>
          </w:rPr>
          <w:fldChar w:fldCharType="end"/>
        </w:r>
      </w:hyperlink>
    </w:p>
    <w:p w14:paraId="0336E4E8" w14:textId="742CD68B" w:rsidR="003E3D16" w:rsidRPr="003E3D16" w:rsidRDefault="00D139A0">
      <w:pPr>
        <w:pStyle w:val="TOC1"/>
        <w:rPr>
          <w:rFonts w:asciiTheme="minorHAnsi" w:eastAsiaTheme="minorEastAsia" w:hAnsiTheme="minorHAnsi" w:cstheme="minorBidi"/>
          <w:noProof/>
          <w:sz w:val="22"/>
          <w:szCs w:val="22"/>
          <w:lang w:val="fr-LU" w:eastAsia="fr-LU"/>
        </w:rPr>
      </w:pPr>
      <w:hyperlink w:anchor="_Toc92978224" w:history="1">
        <w:r w:rsidR="003E3D16" w:rsidRPr="003E3D16">
          <w:rPr>
            <w:rStyle w:val="Hyperlink"/>
            <w:noProof/>
          </w:rPr>
          <w:t>3.</w:t>
        </w:r>
        <w:r w:rsidR="003E3D16" w:rsidRPr="003E3D16">
          <w:rPr>
            <w:rFonts w:asciiTheme="minorHAnsi" w:eastAsiaTheme="minorEastAsia" w:hAnsiTheme="minorHAnsi" w:cstheme="minorBidi"/>
            <w:noProof/>
            <w:sz w:val="22"/>
            <w:szCs w:val="22"/>
            <w:lang w:val="fr-LU" w:eastAsia="fr-LU"/>
          </w:rPr>
          <w:tab/>
        </w:r>
        <w:r w:rsidR="003E3D16" w:rsidRPr="003E3D16">
          <w:rPr>
            <w:rStyle w:val="Hyperlink"/>
            <w:noProof/>
          </w:rPr>
          <w:t>Przeznaczona alokacja budżetowa</w:t>
        </w:r>
        <w:r w:rsidR="003E3D16" w:rsidRPr="003E3D16">
          <w:rPr>
            <w:noProof/>
            <w:webHidden/>
          </w:rPr>
          <w:tab/>
        </w:r>
        <w:r w:rsidR="003E3D16" w:rsidRPr="003E3D16">
          <w:rPr>
            <w:noProof/>
            <w:webHidden/>
          </w:rPr>
          <w:fldChar w:fldCharType="begin"/>
        </w:r>
        <w:r w:rsidR="003E3D16" w:rsidRPr="003E3D16">
          <w:rPr>
            <w:noProof/>
            <w:webHidden/>
          </w:rPr>
          <w:instrText xml:space="preserve"> PAGEREF _Toc92978224 \h </w:instrText>
        </w:r>
        <w:r w:rsidR="003E3D16" w:rsidRPr="003E3D16">
          <w:rPr>
            <w:noProof/>
            <w:webHidden/>
          </w:rPr>
        </w:r>
        <w:r w:rsidR="003E3D16" w:rsidRPr="003E3D16">
          <w:rPr>
            <w:noProof/>
            <w:webHidden/>
          </w:rPr>
          <w:fldChar w:fldCharType="separate"/>
        </w:r>
        <w:r w:rsidR="000D4025">
          <w:rPr>
            <w:noProof/>
            <w:webHidden/>
          </w:rPr>
          <w:t>10</w:t>
        </w:r>
        <w:r w:rsidR="003E3D16" w:rsidRPr="003E3D16">
          <w:rPr>
            <w:noProof/>
            <w:webHidden/>
          </w:rPr>
          <w:fldChar w:fldCharType="end"/>
        </w:r>
      </w:hyperlink>
    </w:p>
    <w:p w14:paraId="6BF852F3" w14:textId="4CF2038C" w:rsidR="003E3D16" w:rsidRPr="003E3D16" w:rsidRDefault="00D139A0">
      <w:pPr>
        <w:pStyle w:val="TOC1"/>
        <w:rPr>
          <w:rFonts w:asciiTheme="minorHAnsi" w:eastAsiaTheme="minorEastAsia" w:hAnsiTheme="minorHAnsi" w:cstheme="minorBidi"/>
          <w:noProof/>
          <w:sz w:val="22"/>
          <w:szCs w:val="22"/>
          <w:lang w:val="fr-LU" w:eastAsia="fr-LU"/>
        </w:rPr>
      </w:pPr>
      <w:hyperlink w:anchor="_Toc92978225" w:history="1">
        <w:r w:rsidR="003E3D16" w:rsidRPr="003E3D16">
          <w:rPr>
            <w:rStyle w:val="Hyperlink"/>
            <w:noProof/>
          </w:rPr>
          <w:t>4.</w:t>
        </w:r>
        <w:r w:rsidR="003E3D16" w:rsidRPr="003E3D16">
          <w:rPr>
            <w:rFonts w:asciiTheme="minorHAnsi" w:eastAsiaTheme="minorEastAsia" w:hAnsiTheme="minorHAnsi" w:cstheme="minorBidi"/>
            <w:noProof/>
            <w:sz w:val="22"/>
            <w:szCs w:val="22"/>
            <w:lang w:val="fr-LU" w:eastAsia="fr-LU"/>
          </w:rPr>
          <w:tab/>
        </w:r>
        <w:r w:rsidR="003E3D16" w:rsidRPr="003E3D16">
          <w:rPr>
            <w:rStyle w:val="Hyperlink"/>
            <w:noProof/>
          </w:rPr>
          <w:t>Harmonogram i terminy</w:t>
        </w:r>
        <w:r w:rsidR="003E3D16" w:rsidRPr="003E3D16">
          <w:rPr>
            <w:noProof/>
            <w:webHidden/>
          </w:rPr>
          <w:tab/>
        </w:r>
        <w:r w:rsidR="003E3D16" w:rsidRPr="003E3D16">
          <w:rPr>
            <w:noProof/>
            <w:webHidden/>
          </w:rPr>
          <w:fldChar w:fldCharType="begin"/>
        </w:r>
        <w:r w:rsidR="003E3D16" w:rsidRPr="003E3D16">
          <w:rPr>
            <w:noProof/>
            <w:webHidden/>
          </w:rPr>
          <w:instrText xml:space="preserve"> PAGEREF _Toc92978225 \h </w:instrText>
        </w:r>
        <w:r w:rsidR="003E3D16" w:rsidRPr="003E3D16">
          <w:rPr>
            <w:noProof/>
            <w:webHidden/>
          </w:rPr>
        </w:r>
        <w:r w:rsidR="003E3D16" w:rsidRPr="003E3D16">
          <w:rPr>
            <w:noProof/>
            <w:webHidden/>
          </w:rPr>
          <w:fldChar w:fldCharType="separate"/>
        </w:r>
        <w:r w:rsidR="000D4025">
          <w:rPr>
            <w:noProof/>
            <w:webHidden/>
          </w:rPr>
          <w:t>11</w:t>
        </w:r>
        <w:r w:rsidR="003E3D16" w:rsidRPr="003E3D16">
          <w:rPr>
            <w:noProof/>
            <w:webHidden/>
          </w:rPr>
          <w:fldChar w:fldCharType="end"/>
        </w:r>
      </w:hyperlink>
    </w:p>
    <w:p w14:paraId="309316BD" w14:textId="0371D632" w:rsidR="003E3D16" w:rsidRPr="003E3D16" w:rsidRDefault="00D139A0">
      <w:pPr>
        <w:pStyle w:val="TOC1"/>
        <w:rPr>
          <w:rFonts w:asciiTheme="minorHAnsi" w:eastAsiaTheme="minorEastAsia" w:hAnsiTheme="minorHAnsi" w:cstheme="minorBidi"/>
          <w:noProof/>
          <w:sz w:val="22"/>
          <w:szCs w:val="22"/>
          <w:lang w:val="fr-LU" w:eastAsia="fr-LU"/>
        </w:rPr>
      </w:pPr>
      <w:hyperlink w:anchor="_Toc92978226" w:history="1">
        <w:r w:rsidR="003E3D16" w:rsidRPr="003E3D16">
          <w:rPr>
            <w:rStyle w:val="Hyperlink"/>
            <w:noProof/>
          </w:rPr>
          <w:t>5.</w:t>
        </w:r>
        <w:r w:rsidR="003E3D16" w:rsidRPr="003E3D16">
          <w:rPr>
            <w:rFonts w:asciiTheme="minorHAnsi" w:eastAsiaTheme="minorEastAsia" w:hAnsiTheme="minorHAnsi" w:cstheme="minorBidi"/>
            <w:noProof/>
            <w:sz w:val="22"/>
            <w:szCs w:val="22"/>
            <w:lang w:val="fr-LU" w:eastAsia="fr-LU"/>
          </w:rPr>
          <w:tab/>
        </w:r>
        <w:r w:rsidR="003E3D16" w:rsidRPr="003E3D16">
          <w:rPr>
            <w:rStyle w:val="Hyperlink"/>
            <w:noProof/>
          </w:rPr>
          <w:t>Dopuszczalność i dokumenty</w:t>
        </w:r>
        <w:r w:rsidR="003E3D16" w:rsidRPr="003E3D16">
          <w:rPr>
            <w:noProof/>
            <w:webHidden/>
          </w:rPr>
          <w:tab/>
        </w:r>
        <w:r w:rsidR="003E3D16" w:rsidRPr="003E3D16">
          <w:rPr>
            <w:noProof/>
            <w:webHidden/>
          </w:rPr>
          <w:fldChar w:fldCharType="begin"/>
        </w:r>
        <w:r w:rsidR="003E3D16" w:rsidRPr="003E3D16">
          <w:rPr>
            <w:noProof/>
            <w:webHidden/>
          </w:rPr>
          <w:instrText xml:space="preserve"> PAGEREF _Toc92978226 \h </w:instrText>
        </w:r>
        <w:r w:rsidR="003E3D16" w:rsidRPr="003E3D16">
          <w:rPr>
            <w:noProof/>
            <w:webHidden/>
          </w:rPr>
        </w:r>
        <w:r w:rsidR="003E3D16" w:rsidRPr="003E3D16">
          <w:rPr>
            <w:noProof/>
            <w:webHidden/>
          </w:rPr>
          <w:fldChar w:fldCharType="separate"/>
        </w:r>
        <w:r w:rsidR="000D4025">
          <w:rPr>
            <w:noProof/>
            <w:webHidden/>
          </w:rPr>
          <w:t>11</w:t>
        </w:r>
        <w:r w:rsidR="003E3D16" w:rsidRPr="003E3D16">
          <w:rPr>
            <w:noProof/>
            <w:webHidden/>
          </w:rPr>
          <w:fldChar w:fldCharType="end"/>
        </w:r>
      </w:hyperlink>
    </w:p>
    <w:p w14:paraId="15DC0EC7" w14:textId="4A9FF85F" w:rsidR="003E3D16" w:rsidRPr="003E3D16" w:rsidRDefault="00D139A0">
      <w:pPr>
        <w:pStyle w:val="TOC1"/>
        <w:rPr>
          <w:rFonts w:asciiTheme="minorHAnsi" w:eastAsiaTheme="minorEastAsia" w:hAnsiTheme="minorHAnsi" w:cstheme="minorBidi"/>
          <w:noProof/>
          <w:sz w:val="22"/>
          <w:szCs w:val="22"/>
          <w:lang w:val="fr-LU" w:eastAsia="fr-LU"/>
        </w:rPr>
      </w:pPr>
      <w:hyperlink w:anchor="_Toc92978227" w:history="1">
        <w:r w:rsidR="003E3D16" w:rsidRPr="003E3D16">
          <w:rPr>
            <w:rStyle w:val="Hyperlink"/>
            <w:noProof/>
          </w:rPr>
          <w:t>6.</w:t>
        </w:r>
        <w:r w:rsidR="003E3D16" w:rsidRPr="003E3D16">
          <w:rPr>
            <w:rFonts w:asciiTheme="minorHAnsi" w:eastAsiaTheme="minorEastAsia" w:hAnsiTheme="minorHAnsi" w:cstheme="minorBidi"/>
            <w:noProof/>
            <w:sz w:val="22"/>
            <w:szCs w:val="22"/>
            <w:lang w:val="fr-LU" w:eastAsia="fr-LU"/>
          </w:rPr>
          <w:tab/>
        </w:r>
        <w:r w:rsidR="003E3D16" w:rsidRPr="003E3D16">
          <w:rPr>
            <w:rStyle w:val="Hyperlink"/>
            <w:noProof/>
          </w:rPr>
          <w:t>Kwalifikowalność</w:t>
        </w:r>
        <w:r w:rsidR="003E3D16" w:rsidRPr="003E3D16">
          <w:rPr>
            <w:noProof/>
            <w:webHidden/>
          </w:rPr>
          <w:tab/>
        </w:r>
        <w:r w:rsidR="003E3D16" w:rsidRPr="003E3D16">
          <w:rPr>
            <w:noProof/>
            <w:webHidden/>
          </w:rPr>
          <w:fldChar w:fldCharType="begin"/>
        </w:r>
        <w:r w:rsidR="003E3D16" w:rsidRPr="003E3D16">
          <w:rPr>
            <w:noProof/>
            <w:webHidden/>
          </w:rPr>
          <w:instrText xml:space="preserve"> PAGEREF _Toc92978227 \h </w:instrText>
        </w:r>
        <w:r w:rsidR="003E3D16" w:rsidRPr="003E3D16">
          <w:rPr>
            <w:noProof/>
            <w:webHidden/>
          </w:rPr>
        </w:r>
        <w:r w:rsidR="003E3D16" w:rsidRPr="003E3D16">
          <w:rPr>
            <w:noProof/>
            <w:webHidden/>
          </w:rPr>
          <w:fldChar w:fldCharType="separate"/>
        </w:r>
        <w:r w:rsidR="000D4025">
          <w:rPr>
            <w:noProof/>
            <w:webHidden/>
          </w:rPr>
          <w:t>12</w:t>
        </w:r>
        <w:r w:rsidR="003E3D16" w:rsidRPr="003E3D16">
          <w:rPr>
            <w:noProof/>
            <w:webHidden/>
          </w:rPr>
          <w:fldChar w:fldCharType="end"/>
        </w:r>
      </w:hyperlink>
    </w:p>
    <w:p w14:paraId="362FB206" w14:textId="7B6AFD4E" w:rsidR="003E3D16" w:rsidRPr="003E3D16" w:rsidRDefault="00D139A0">
      <w:pPr>
        <w:pStyle w:val="TOC3"/>
        <w:rPr>
          <w:rFonts w:asciiTheme="minorHAnsi" w:eastAsiaTheme="minorEastAsia" w:hAnsiTheme="minorHAnsi" w:cstheme="minorBidi"/>
          <w:sz w:val="22"/>
          <w:szCs w:val="22"/>
          <w:lang w:val="fr-LU" w:eastAsia="fr-LU"/>
        </w:rPr>
      </w:pPr>
      <w:hyperlink w:anchor="_Toc92978228" w:history="1">
        <w:r w:rsidR="003E3D16" w:rsidRPr="003E3D16">
          <w:rPr>
            <w:rStyle w:val="Hyperlink"/>
          </w:rPr>
          <w:t>Kwalifikujący się uczestnicy (kwalifikujące się kraje)</w:t>
        </w:r>
        <w:r w:rsidR="003E3D16" w:rsidRPr="003E3D16">
          <w:rPr>
            <w:webHidden/>
          </w:rPr>
          <w:tab/>
        </w:r>
        <w:r w:rsidR="003E3D16" w:rsidRPr="003E3D16">
          <w:rPr>
            <w:webHidden/>
          </w:rPr>
          <w:fldChar w:fldCharType="begin"/>
        </w:r>
        <w:r w:rsidR="003E3D16" w:rsidRPr="003E3D16">
          <w:rPr>
            <w:webHidden/>
          </w:rPr>
          <w:instrText xml:space="preserve"> PAGEREF _Toc92978228 \h </w:instrText>
        </w:r>
        <w:r w:rsidR="003E3D16" w:rsidRPr="003E3D16">
          <w:rPr>
            <w:webHidden/>
          </w:rPr>
        </w:r>
        <w:r w:rsidR="003E3D16" w:rsidRPr="003E3D16">
          <w:rPr>
            <w:webHidden/>
          </w:rPr>
          <w:fldChar w:fldCharType="separate"/>
        </w:r>
        <w:r w:rsidR="000D4025">
          <w:rPr>
            <w:webHidden/>
          </w:rPr>
          <w:t>12</w:t>
        </w:r>
        <w:r w:rsidR="003E3D16" w:rsidRPr="003E3D16">
          <w:rPr>
            <w:webHidden/>
          </w:rPr>
          <w:fldChar w:fldCharType="end"/>
        </w:r>
      </w:hyperlink>
    </w:p>
    <w:p w14:paraId="5ECD5FD4" w14:textId="239C56B5" w:rsidR="003E3D16" w:rsidRPr="003E3D16" w:rsidRDefault="00D139A0">
      <w:pPr>
        <w:pStyle w:val="TOC3"/>
        <w:rPr>
          <w:rFonts w:asciiTheme="minorHAnsi" w:eastAsiaTheme="minorEastAsia" w:hAnsiTheme="minorHAnsi" w:cstheme="minorBidi"/>
          <w:sz w:val="22"/>
          <w:szCs w:val="22"/>
          <w:lang w:val="fr-LU" w:eastAsia="fr-LU"/>
        </w:rPr>
      </w:pPr>
      <w:hyperlink w:anchor="_Toc92978229" w:history="1">
        <w:r w:rsidR="003E3D16" w:rsidRPr="003E3D16">
          <w:rPr>
            <w:rStyle w:val="Hyperlink"/>
          </w:rPr>
          <w:t>Skład konsorcjum</w:t>
        </w:r>
        <w:r w:rsidR="003E3D16" w:rsidRPr="003E3D16">
          <w:rPr>
            <w:webHidden/>
          </w:rPr>
          <w:tab/>
        </w:r>
        <w:r w:rsidR="003E3D16" w:rsidRPr="003E3D16">
          <w:rPr>
            <w:webHidden/>
          </w:rPr>
          <w:fldChar w:fldCharType="begin"/>
        </w:r>
        <w:r w:rsidR="003E3D16" w:rsidRPr="003E3D16">
          <w:rPr>
            <w:webHidden/>
          </w:rPr>
          <w:instrText xml:space="preserve"> PAGEREF _Toc92978229 \h </w:instrText>
        </w:r>
        <w:r w:rsidR="003E3D16" w:rsidRPr="003E3D16">
          <w:rPr>
            <w:webHidden/>
          </w:rPr>
        </w:r>
        <w:r w:rsidR="003E3D16" w:rsidRPr="003E3D16">
          <w:rPr>
            <w:webHidden/>
          </w:rPr>
          <w:fldChar w:fldCharType="separate"/>
        </w:r>
        <w:r w:rsidR="000D4025">
          <w:rPr>
            <w:webHidden/>
          </w:rPr>
          <w:t>14</w:t>
        </w:r>
        <w:r w:rsidR="003E3D16" w:rsidRPr="003E3D16">
          <w:rPr>
            <w:webHidden/>
          </w:rPr>
          <w:fldChar w:fldCharType="end"/>
        </w:r>
      </w:hyperlink>
    </w:p>
    <w:p w14:paraId="07E22515" w14:textId="37120BDD" w:rsidR="003E3D16" w:rsidRPr="003E3D16" w:rsidRDefault="00D139A0">
      <w:pPr>
        <w:pStyle w:val="TOC3"/>
        <w:rPr>
          <w:rFonts w:asciiTheme="minorHAnsi" w:eastAsiaTheme="minorEastAsia" w:hAnsiTheme="minorHAnsi" w:cstheme="minorBidi"/>
          <w:sz w:val="22"/>
          <w:szCs w:val="22"/>
          <w:lang w:val="fr-LU" w:eastAsia="fr-LU"/>
        </w:rPr>
      </w:pPr>
      <w:hyperlink w:anchor="_Toc92978230" w:history="1">
        <w:r w:rsidR="003E3D16" w:rsidRPr="003E3D16">
          <w:rPr>
            <w:rStyle w:val="Hyperlink"/>
          </w:rPr>
          <w:t>Kwalifikujące się działania</w:t>
        </w:r>
        <w:r w:rsidR="003E3D16" w:rsidRPr="003E3D16">
          <w:rPr>
            <w:webHidden/>
          </w:rPr>
          <w:tab/>
        </w:r>
        <w:r w:rsidR="003E3D16" w:rsidRPr="003E3D16">
          <w:rPr>
            <w:webHidden/>
          </w:rPr>
          <w:fldChar w:fldCharType="begin"/>
        </w:r>
        <w:r w:rsidR="003E3D16" w:rsidRPr="003E3D16">
          <w:rPr>
            <w:webHidden/>
          </w:rPr>
          <w:instrText xml:space="preserve"> PAGEREF _Toc92978230 \h </w:instrText>
        </w:r>
        <w:r w:rsidR="003E3D16" w:rsidRPr="003E3D16">
          <w:rPr>
            <w:webHidden/>
          </w:rPr>
        </w:r>
        <w:r w:rsidR="003E3D16" w:rsidRPr="003E3D16">
          <w:rPr>
            <w:webHidden/>
          </w:rPr>
          <w:fldChar w:fldCharType="separate"/>
        </w:r>
        <w:r w:rsidR="000D4025">
          <w:rPr>
            <w:webHidden/>
          </w:rPr>
          <w:t>15</w:t>
        </w:r>
        <w:r w:rsidR="003E3D16" w:rsidRPr="003E3D16">
          <w:rPr>
            <w:webHidden/>
          </w:rPr>
          <w:fldChar w:fldCharType="end"/>
        </w:r>
      </w:hyperlink>
    </w:p>
    <w:p w14:paraId="09B53AAC" w14:textId="1DBBFD21" w:rsidR="003E3D16" w:rsidRPr="003E3D16" w:rsidRDefault="00D139A0">
      <w:pPr>
        <w:pStyle w:val="TOC3"/>
        <w:rPr>
          <w:rFonts w:asciiTheme="minorHAnsi" w:eastAsiaTheme="minorEastAsia" w:hAnsiTheme="minorHAnsi" w:cstheme="minorBidi"/>
          <w:sz w:val="22"/>
          <w:szCs w:val="22"/>
          <w:lang w:val="fr-LU" w:eastAsia="fr-LU"/>
        </w:rPr>
      </w:pPr>
      <w:hyperlink w:anchor="_Toc92978231" w:history="1">
        <w:r w:rsidR="003E3D16" w:rsidRPr="003E3D16">
          <w:rPr>
            <w:rStyle w:val="Hyperlink"/>
          </w:rPr>
          <w:t>Lokalizacja geograficzna (państwa docelowe)</w:t>
        </w:r>
        <w:r w:rsidR="003E3D16" w:rsidRPr="003E3D16">
          <w:rPr>
            <w:webHidden/>
          </w:rPr>
          <w:tab/>
        </w:r>
        <w:r w:rsidR="003E3D16" w:rsidRPr="003E3D16">
          <w:rPr>
            <w:webHidden/>
          </w:rPr>
          <w:fldChar w:fldCharType="begin"/>
        </w:r>
        <w:r w:rsidR="003E3D16" w:rsidRPr="003E3D16">
          <w:rPr>
            <w:webHidden/>
          </w:rPr>
          <w:instrText xml:space="preserve"> PAGEREF _Toc92978231 \h </w:instrText>
        </w:r>
        <w:r w:rsidR="003E3D16" w:rsidRPr="003E3D16">
          <w:rPr>
            <w:webHidden/>
          </w:rPr>
        </w:r>
        <w:r w:rsidR="003E3D16" w:rsidRPr="003E3D16">
          <w:rPr>
            <w:webHidden/>
          </w:rPr>
          <w:fldChar w:fldCharType="separate"/>
        </w:r>
        <w:r w:rsidR="000D4025">
          <w:rPr>
            <w:webHidden/>
          </w:rPr>
          <w:t>15</w:t>
        </w:r>
        <w:r w:rsidR="003E3D16" w:rsidRPr="003E3D16">
          <w:rPr>
            <w:webHidden/>
          </w:rPr>
          <w:fldChar w:fldCharType="end"/>
        </w:r>
      </w:hyperlink>
    </w:p>
    <w:p w14:paraId="08989A20" w14:textId="2C580EE5" w:rsidR="003E3D16" w:rsidRPr="003E3D16" w:rsidRDefault="00D139A0">
      <w:pPr>
        <w:pStyle w:val="TOC3"/>
        <w:rPr>
          <w:rFonts w:asciiTheme="minorHAnsi" w:eastAsiaTheme="minorEastAsia" w:hAnsiTheme="minorHAnsi" w:cstheme="minorBidi"/>
          <w:sz w:val="22"/>
          <w:szCs w:val="22"/>
          <w:lang w:val="fr-LU" w:eastAsia="fr-LU"/>
        </w:rPr>
      </w:pPr>
      <w:hyperlink w:anchor="_Toc92978232" w:history="1">
        <w:r w:rsidR="003E3D16" w:rsidRPr="003E3D16">
          <w:rPr>
            <w:rStyle w:val="Hyperlink"/>
          </w:rPr>
          <w:t>Okres realizacji</w:t>
        </w:r>
        <w:r w:rsidR="003E3D16" w:rsidRPr="003E3D16">
          <w:rPr>
            <w:webHidden/>
          </w:rPr>
          <w:tab/>
        </w:r>
        <w:r w:rsidR="003E3D16" w:rsidRPr="003E3D16">
          <w:rPr>
            <w:webHidden/>
          </w:rPr>
          <w:fldChar w:fldCharType="begin"/>
        </w:r>
        <w:r w:rsidR="003E3D16" w:rsidRPr="003E3D16">
          <w:rPr>
            <w:webHidden/>
          </w:rPr>
          <w:instrText xml:space="preserve"> PAGEREF _Toc92978232 \h </w:instrText>
        </w:r>
        <w:r w:rsidR="003E3D16" w:rsidRPr="003E3D16">
          <w:rPr>
            <w:webHidden/>
          </w:rPr>
        </w:r>
        <w:r w:rsidR="003E3D16" w:rsidRPr="003E3D16">
          <w:rPr>
            <w:webHidden/>
          </w:rPr>
          <w:fldChar w:fldCharType="separate"/>
        </w:r>
        <w:r w:rsidR="000D4025">
          <w:rPr>
            <w:webHidden/>
          </w:rPr>
          <w:t>15</w:t>
        </w:r>
        <w:r w:rsidR="003E3D16" w:rsidRPr="003E3D16">
          <w:rPr>
            <w:webHidden/>
          </w:rPr>
          <w:fldChar w:fldCharType="end"/>
        </w:r>
      </w:hyperlink>
    </w:p>
    <w:p w14:paraId="615D7598" w14:textId="7C73A4C5" w:rsidR="003E3D16" w:rsidRPr="003E3D16" w:rsidRDefault="00D139A0">
      <w:pPr>
        <w:pStyle w:val="TOC3"/>
        <w:rPr>
          <w:rFonts w:asciiTheme="minorHAnsi" w:eastAsiaTheme="minorEastAsia" w:hAnsiTheme="minorHAnsi" w:cstheme="minorBidi"/>
          <w:sz w:val="22"/>
          <w:szCs w:val="22"/>
          <w:lang w:val="fr-LU" w:eastAsia="fr-LU"/>
        </w:rPr>
      </w:pPr>
      <w:hyperlink w:anchor="_Toc92978233" w:history="1">
        <w:r w:rsidR="003E3D16" w:rsidRPr="003E3D16">
          <w:rPr>
            <w:rStyle w:val="Hyperlink"/>
          </w:rPr>
          <w:t>Etyka i wartości UE</w:t>
        </w:r>
        <w:r w:rsidR="003E3D16" w:rsidRPr="003E3D16">
          <w:rPr>
            <w:webHidden/>
          </w:rPr>
          <w:tab/>
        </w:r>
        <w:r w:rsidR="003E3D16" w:rsidRPr="003E3D16">
          <w:rPr>
            <w:webHidden/>
          </w:rPr>
          <w:fldChar w:fldCharType="begin"/>
        </w:r>
        <w:r w:rsidR="003E3D16" w:rsidRPr="003E3D16">
          <w:rPr>
            <w:webHidden/>
          </w:rPr>
          <w:instrText xml:space="preserve"> PAGEREF _Toc92978233 \h </w:instrText>
        </w:r>
        <w:r w:rsidR="003E3D16" w:rsidRPr="003E3D16">
          <w:rPr>
            <w:webHidden/>
          </w:rPr>
        </w:r>
        <w:r w:rsidR="003E3D16" w:rsidRPr="003E3D16">
          <w:rPr>
            <w:webHidden/>
          </w:rPr>
          <w:fldChar w:fldCharType="separate"/>
        </w:r>
        <w:r w:rsidR="000D4025">
          <w:rPr>
            <w:webHidden/>
          </w:rPr>
          <w:t>15</w:t>
        </w:r>
        <w:r w:rsidR="003E3D16" w:rsidRPr="003E3D16">
          <w:rPr>
            <w:webHidden/>
          </w:rPr>
          <w:fldChar w:fldCharType="end"/>
        </w:r>
      </w:hyperlink>
    </w:p>
    <w:p w14:paraId="59753C5B" w14:textId="1C524FB6" w:rsidR="003E3D16" w:rsidRPr="003E3D16" w:rsidRDefault="00D139A0">
      <w:pPr>
        <w:pStyle w:val="TOC1"/>
        <w:rPr>
          <w:rFonts w:asciiTheme="minorHAnsi" w:eastAsiaTheme="minorEastAsia" w:hAnsiTheme="minorHAnsi" w:cstheme="minorBidi"/>
          <w:noProof/>
          <w:sz w:val="22"/>
          <w:szCs w:val="22"/>
          <w:lang w:val="fr-LU" w:eastAsia="fr-LU"/>
        </w:rPr>
      </w:pPr>
      <w:hyperlink w:anchor="_Toc92978234" w:history="1">
        <w:r w:rsidR="003E3D16" w:rsidRPr="003E3D16">
          <w:rPr>
            <w:rStyle w:val="Hyperlink"/>
            <w:noProof/>
          </w:rPr>
          <w:t>7.</w:t>
        </w:r>
        <w:r w:rsidR="003E3D16" w:rsidRPr="003E3D16">
          <w:rPr>
            <w:rFonts w:asciiTheme="minorHAnsi" w:eastAsiaTheme="minorEastAsia" w:hAnsiTheme="minorHAnsi" w:cstheme="minorBidi"/>
            <w:noProof/>
            <w:sz w:val="22"/>
            <w:szCs w:val="22"/>
            <w:lang w:val="fr-LU" w:eastAsia="fr-LU"/>
          </w:rPr>
          <w:tab/>
        </w:r>
        <w:r w:rsidR="003E3D16" w:rsidRPr="003E3D16">
          <w:rPr>
            <w:rStyle w:val="Hyperlink"/>
            <w:noProof/>
          </w:rPr>
          <w:t>Zdolność finansowa i operacyjna oraz wykluczenie</w:t>
        </w:r>
        <w:r w:rsidR="003E3D16" w:rsidRPr="003E3D16">
          <w:rPr>
            <w:noProof/>
            <w:webHidden/>
          </w:rPr>
          <w:tab/>
        </w:r>
        <w:r w:rsidR="003E3D16" w:rsidRPr="003E3D16">
          <w:rPr>
            <w:noProof/>
            <w:webHidden/>
          </w:rPr>
          <w:fldChar w:fldCharType="begin"/>
        </w:r>
        <w:r w:rsidR="003E3D16" w:rsidRPr="003E3D16">
          <w:rPr>
            <w:noProof/>
            <w:webHidden/>
          </w:rPr>
          <w:instrText xml:space="preserve"> PAGEREF _Toc92978234 \h </w:instrText>
        </w:r>
        <w:r w:rsidR="003E3D16" w:rsidRPr="003E3D16">
          <w:rPr>
            <w:noProof/>
            <w:webHidden/>
          </w:rPr>
        </w:r>
        <w:r w:rsidR="003E3D16" w:rsidRPr="003E3D16">
          <w:rPr>
            <w:noProof/>
            <w:webHidden/>
          </w:rPr>
          <w:fldChar w:fldCharType="separate"/>
        </w:r>
        <w:r w:rsidR="000D4025">
          <w:rPr>
            <w:noProof/>
            <w:webHidden/>
          </w:rPr>
          <w:t>16</w:t>
        </w:r>
        <w:r w:rsidR="003E3D16" w:rsidRPr="003E3D16">
          <w:rPr>
            <w:noProof/>
            <w:webHidden/>
          </w:rPr>
          <w:fldChar w:fldCharType="end"/>
        </w:r>
      </w:hyperlink>
    </w:p>
    <w:p w14:paraId="01995DBB" w14:textId="563E4963" w:rsidR="003E3D16" w:rsidRPr="003E3D16" w:rsidRDefault="00D139A0">
      <w:pPr>
        <w:pStyle w:val="TOC3"/>
        <w:rPr>
          <w:rFonts w:asciiTheme="minorHAnsi" w:eastAsiaTheme="minorEastAsia" w:hAnsiTheme="minorHAnsi" w:cstheme="minorBidi"/>
          <w:sz w:val="22"/>
          <w:szCs w:val="22"/>
          <w:lang w:val="fr-LU" w:eastAsia="fr-LU"/>
        </w:rPr>
      </w:pPr>
      <w:hyperlink w:anchor="_Toc92978235" w:history="1">
        <w:r w:rsidR="003E3D16" w:rsidRPr="003E3D16">
          <w:rPr>
            <w:rStyle w:val="Hyperlink"/>
          </w:rPr>
          <w:t>Zdolność finansowa</w:t>
        </w:r>
        <w:r w:rsidR="003E3D16" w:rsidRPr="003E3D16">
          <w:rPr>
            <w:webHidden/>
          </w:rPr>
          <w:tab/>
        </w:r>
        <w:r w:rsidR="003E3D16" w:rsidRPr="003E3D16">
          <w:rPr>
            <w:webHidden/>
          </w:rPr>
          <w:fldChar w:fldCharType="begin"/>
        </w:r>
        <w:r w:rsidR="003E3D16" w:rsidRPr="003E3D16">
          <w:rPr>
            <w:webHidden/>
          </w:rPr>
          <w:instrText xml:space="preserve"> PAGEREF _Toc92978235 \h </w:instrText>
        </w:r>
        <w:r w:rsidR="003E3D16" w:rsidRPr="003E3D16">
          <w:rPr>
            <w:webHidden/>
          </w:rPr>
        </w:r>
        <w:r w:rsidR="003E3D16" w:rsidRPr="003E3D16">
          <w:rPr>
            <w:webHidden/>
          </w:rPr>
          <w:fldChar w:fldCharType="separate"/>
        </w:r>
        <w:r w:rsidR="000D4025">
          <w:rPr>
            <w:webHidden/>
          </w:rPr>
          <w:t>16</w:t>
        </w:r>
        <w:r w:rsidR="003E3D16" w:rsidRPr="003E3D16">
          <w:rPr>
            <w:webHidden/>
          </w:rPr>
          <w:fldChar w:fldCharType="end"/>
        </w:r>
      </w:hyperlink>
    </w:p>
    <w:p w14:paraId="73AD8D45" w14:textId="159DC971" w:rsidR="003E3D16" w:rsidRPr="003E3D16" w:rsidRDefault="00D139A0">
      <w:pPr>
        <w:pStyle w:val="TOC3"/>
        <w:rPr>
          <w:rFonts w:asciiTheme="minorHAnsi" w:eastAsiaTheme="minorEastAsia" w:hAnsiTheme="minorHAnsi" w:cstheme="minorBidi"/>
          <w:sz w:val="22"/>
          <w:szCs w:val="22"/>
          <w:lang w:val="fr-LU" w:eastAsia="fr-LU"/>
        </w:rPr>
      </w:pPr>
      <w:hyperlink w:anchor="_Toc92978236" w:history="1">
        <w:r w:rsidR="003E3D16" w:rsidRPr="003E3D16">
          <w:rPr>
            <w:rStyle w:val="Hyperlink"/>
          </w:rPr>
          <w:t>Zdolność operacyjna</w:t>
        </w:r>
        <w:r w:rsidR="003E3D16" w:rsidRPr="003E3D16">
          <w:rPr>
            <w:webHidden/>
          </w:rPr>
          <w:tab/>
        </w:r>
        <w:r w:rsidR="003E3D16" w:rsidRPr="003E3D16">
          <w:rPr>
            <w:webHidden/>
          </w:rPr>
          <w:fldChar w:fldCharType="begin"/>
        </w:r>
        <w:r w:rsidR="003E3D16" w:rsidRPr="003E3D16">
          <w:rPr>
            <w:webHidden/>
          </w:rPr>
          <w:instrText xml:space="preserve"> PAGEREF _Toc92978236 \h </w:instrText>
        </w:r>
        <w:r w:rsidR="003E3D16" w:rsidRPr="003E3D16">
          <w:rPr>
            <w:webHidden/>
          </w:rPr>
        </w:r>
        <w:r w:rsidR="003E3D16" w:rsidRPr="003E3D16">
          <w:rPr>
            <w:webHidden/>
          </w:rPr>
          <w:fldChar w:fldCharType="separate"/>
        </w:r>
        <w:r w:rsidR="000D4025">
          <w:rPr>
            <w:webHidden/>
          </w:rPr>
          <w:t>17</w:t>
        </w:r>
        <w:r w:rsidR="003E3D16" w:rsidRPr="003E3D16">
          <w:rPr>
            <w:webHidden/>
          </w:rPr>
          <w:fldChar w:fldCharType="end"/>
        </w:r>
      </w:hyperlink>
    </w:p>
    <w:p w14:paraId="64119510" w14:textId="003187E3" w:rsidR="003E3D16" w:rsidRPr="003E3D16" w:rsidRDefault="00D139A0">
      <w:pPr>
        <w:pStyle w:val="TOC3"/>
        <w:rPr>
          <w:rFonts w:asciiTheme="minorHAnsi" w:eastAsiaTheme="minorEastAsia" w:hAnsiTheme="minorHAnsi" w:cstheme="minorBidi"/>
          <w:sz w:val="22"/>
          <w:szCs w:val="22"/>
          <w:lang w:val="fr-LU" w:eastAsia="fr-LU"/>
        </w:rPr>
      </w:pPr>
      <w:hyperlink w:anchor="_Toc92978237" w:history="1">
        <w:r w:rsidR="003E3D16" w:rsidRPr="003E3D16">
          <w:rPr>
            <w:rStyle w:val="Hyperlink"/>
          </w:rPr>
          <w:t>Wykluczenie</w:t>
        </w:r>
        <w:r w:rsidR="003E3D16" w:rsidRPr="003E3D16">
          <w:rPr>
            <w:webHidden/>
          </w:rPr>
          <w:tab/>
        </w:r>
        <w:r w:rsidR="003E3D16" w:rsidRPr="003E3D16">
          <w:rPr>
            <w:webHidden/>
          </w:rPr>
          <w:fldChar w:fldCharType="begin"/>
        </w:r>
        <w:r w:rsidR="003E3D16" w:rsidRPr="003E3D16">
          <w:rPr>
            <w:webHidden/>
          </w:rPr>
          <w:instrText xml:space="preserve"> PAGEREF _Toc92978237 \h </w:instrText>
        </w:r>
        <w:r w:rsidR="003E3D16" w:rsidRPr="003E3D16">
          <w:rPr>
            <w:webHidden/>
          </w:rPr>
        </w:r>
        <w:r w:rsidR="003E3D16" w:rsidRPr="003E3D16">
          <w:rPr>
            <w:webHidden/>
          </w:rPr>
          <w:fldChar w:fldCharType="separate"/>
        </w:r>
        <w:r w:rsidR="000D4025">
          <w:rPr>
            <w:webHidden/>
          </w:rPr>
          <w:t>18</w:t>
        </w:r>
        <w:r w:rsidR="003E3D16" w:rsidRPr="003E3D16">
          <w:rPr>
            <w:webHidden/>
          </w:rPr>
          <w:fldChar w:fldCharType="end"/>
        </w:r>
      </w:hyperlink>
    </w:p>
    <w:p w14:paraId="11907C14" w14:textId="0F182580" w:rsidR="003E3D16" w:rsidRPr="003E3D16" w:rsidRDefault="00D139A0">
      <w:pPr>
        <w:pStyle w:val="TOC1"/>
        <w:rPr>
          <w:rFonts w:asciiTheme="minorHAnsi" w:eastAsiaTheme="minorEastAsia" w:hAnsiTheme="minorHAnsi" w:cstheme="minorBidi"/>
          <w:noProof/>
          <w:sz w:val="22"/>
          <w:szCs w:val="22"/>
          <w:lang w:val="fr-LU" w:eastAsia="fr-LU"/>
        </w:rPr>
      </w:pPr>
      <w:hyperlink w:anchor="_Toc92978238" w:history="1">
        <w:r w:rsidR="003E3D16" w:rsidRPr="003E3D16">
          <w:rPr>
            <w:rStyle w:val="Hyperlink"/>
            <w:noProof/>
          </w:rPr>
          <w:t>8.</w:t>
        </w:r>
        <w:r w:rsidR="003E3D16" w:rsidRPr="003E3D16">
          <w:rPr>
            <w:rFonts w:asciiTheme="minorHAnsi" w:eastAsiaTheme="minorEastAsia" w:hAnsiTheme="minorHAnsi" w:cstheme="minorBidi"/>
            <w:noProof/>
            <w:sz w:val="22"/>
            <w:szCs w:val="22"/>
            <w:lang w:val="fr-LU" w:eastAsia="fr-LU"/>
          </w:rPr>
          <w:tab/>
        </w:r>
        <w:r w:rsidR="003E3D16" w:rsidRPr="003E3D16">
          <w:rPr>
            <w:rStyle w:val="Hyperlink"/>
            <w:noProof/>
          </w:rPr>
          <w:t>Procedura oceny i wyboru wniosków</w:t>
        </w:r>
        <w:r w:rsidR="003E3D16" w:rsidRPr="003E3D16">
          <w:rPr>
            <w:noProof/>
            <w:webHidden/>
          </w:rPr>
          <w:tab/>
        </w:r>
        <w:r w:rsidR="003E3D16" w:rsidRPr="003E3D16">
          <w:rPr>
            <w:noProof/>
            <w:webHidden/>
          </w:rPr>
          <w:fldChar w:fldCharType="begin"/>
        </w:r>
        <w:r w:rsidR="003E3D16" w:rsidRPr="003E3D16">
          <w:rPr>
            <w:noProof/>
            <w:webHidden/>
          </w:rPr>
          <w:instrText xml:space="preserve"> PAGEREF _Toc92978238 \h </w:instrText>
        </w:r>
        <w:r w:rsidR="003E3D16" w:rsidRPr="003E3D16">
          <w:rPr>
            <w:noProof/>
            <w:webHidden/>
          </w:rPr>
        </w:r>
        <w:r w:rsidR="003E3D16" w:rsidRPr="003E3D16">
          <w:rPr>
            <w:noProof/>
            <w:webHidden/>
          </w:rPr>
          <w:fldChar w:fldCharType="separate"/>
        </w:r>
        <w:r w:rsidR="000D4025">
          <w:rPr>
            <w:noProof/>
            <w:webHidden/>
          </w:rPr>
          <w:t>19</w:t>
        </w:r>
        <w:r w:rsidR="003E3D16" w:rsidRPr="003E3D16">
          <w:rPr>
            <w:noProof/>
            <w:webHidden/>
          </w:rPr>
          <w:fldChar w:fldCharType="end"/>
        </w:r>
      </w:hyperlink>
    </w:p>
    <w:p w14:paraId="6EF4C901" w14:textId="236B6B95" w:rsidR="003E3D16" w:rsidRPr="003E3D16" w:rsidRDefault="00D139A0">
      <w:pPr>
        <w:pStyle w:val="TOC1"/>
        <w:rPr>
          <w:rFonts w:asciiTheme="minorHAnsi" w:eastAsiaTheme="minorEastAsia" w:hAnsiTheme="minorHAnsi" w:cstheme="minorBidi"/>
          <w:noProof/>
          <w:sz w:val="22"/>
          <w:szCs w:val="22"/>
          <w:lang w:val="fr-LU" w:eastAsia="fr-LU"/>
        </w:rPr>
      </w:pPr>
      <w:hyperlink w:anchor="_Toc92978239" w:history="1">
        <w:r w:rsidR="003E3D16" w:rsidRPr="003E3D16">
          <w:rPr>
            <w:rStyle w:val="Hyperlink"/>
            <w:noProof/>
          </w:rPr>
          <w:t>9.</w:t>
        </w:r>
        <w:r w:rsidR="003E3D16" w:rsidRPr="003E3D16">
          <w:rPr>
            <w:rFonts w:asciiTheme="minorHAnsi" w:eastAsiaTheme="minorEastAsia" w:hAnsiTheme="minorHAnsi" w:cstheme="minorBidi"/>
            <w:noProof/>
            <w:sz w:val="22"/>
            <w:szCs w:val="22"/>
            <w:lang w:val="fr-LU" w:eastAsia="fr-LU"/>
          </w:rPr>
          <w:tab/>
        </w:r>
        <w:r w:rsidR="003E3D16" w:rsidRPr="003E3D16">
          <w:rPr>
            <w:rStyle w:val="Hyperlink"/>
            <w:noProof/>
          </w:rPr>
          <w:t>Kryteria wyboru</w:t>
        </w:r>
        <w:r w:rsidR="003E3D16" w:rsidRPr="003E3D16">
          <w:rPr>
            <w:noProof/>
            <w:webHidden/>
          </w:rPr>
          <w:tab/>
        </w:r>
        <w:r w:rsidR="003E3D16" w:rsidRPr="003E3D16">
          <w:rPr>
            <w:noProof/>
            <w:webHidden/>
          </w:rPr>
          <w:fldChar w:fldCharType="begin"/>
        </w:r>
        <w:r w:rsidR="003E3D16" w:rsidRPr="003E3D16">
          <w:rPr>
            <w:noProof/>
            <w:webHidden/>
          </w:rPr>
          <w:instrText xml:space="preserve"> PAGEREF _Toc92978239 \h </w:instrText>
        </w:r>
        <w:r w:rsidR="003E3D16" w:rsidRPr="003E3D16">
          <w:rPr>
            <w:noProof/>
            <w:webHidden/>
          </w:rPr>
        </w:r>
        <w:r w:rsidR="003E3D16" w:rsidRPr="003E3D16">
          <w:rPr>
            <w:noProof/>
            <w:webHidden/>
          </w:rPr>
          <w:fldChar w:fldCharType="separate"/>
        </w:r>
        <w:r w:rsidR="000D4025">
          <w:rPr>
            <w:noProof/>
            <w:webHidden/>
          </w:rPr>
          <w:t>20</w:t>
        </w:r>
        <w:r w:rsidR="003E3D16" w:rsidRPr="003E3D16">
          <w:rPr>
            <w:noProof/>
            <w:webHidden/>
          </w:rPr>
          <w:fldChar w:fldCharType="end"/>
        </w:r>
      </w:hyperlink>
    </w:p>
    <w:p w14:paraId="3FD01EFA" w14:textId="7F693ECD" w:rsidR="003E3D16" w:rsidRPr="003E3D16" w:rsidRDefault="00D139A0">
      <w:pPr>
        <w:pStyle w:val="TOC1"/>
        <w:rPr>
          <w:rFonts w:asciiTheme="minorHAnsi" w:eastAsiaTheme="minorEastAsia" w:hAnsiTheme="minorHAnsi" w:cstheme="minorBidi"/>
          <w:noProof/>
          <w:sz w:val="22"/>
          <w:szCs w:val="22"/>
          <w:lang w:val="fr-LU" w:eastAsia="fr-LU"/>
        </w:rPr>
      </w:pPr>
      <w:hyperlink w:anchor="_Toc92978240" w:history="1">
        <w:r w:rsidR="003E3D16" w:rsidRPr="003E3D16">
          <w:rPr>
            <w:rStyle w:val="Hyperlink"/>
            <w:noProof/>
          </w:rPr>
          <w:t>10.</w:t>
        </w:r>
        <w:r w:rsidR="003E3D16" w:rsidRPr="003E3D16">
          <w:rPr>
            <w:rFonts w:asciiTheme="minorHAnsi" w:eastAsiaTheme="minorEastAsia" w:hAnsiTheme="minorHAnsi" w:cstheme="minorBidi"/>
            <w:noProof/>
            <w:sz w:val="22"/>
            <w:szCs w:val="22"/>
            <w:lang w:val="fr-LU" w:eastAsia="fr-LU"/>
          </w:rPr>
          <w:tab/>
        </w:r>
        <w:r w:rsidR="003E3D16" w:rsidRPr="003E3D16">
          <w:rPr>
            <w:rStyle w:val="Hyperlink"/>
            <w:noProof/>
          </w:rPr>
          <w:t>Prawne i finansowe ramy umowy o udzielenie dotacji</w:t>
        </w:r>
        <w:r w:rsidR="003E3D16" w:rsidRPr="003E3D16">
          <w:rPr>
            <w:noProof/>
            <w:webHidden/>
          </w:rPr>
          <w:tab/>
        </w:r>
        <w:r w:rsidR="003E3D16" w:rsidRPr="003E3D16">
          <w:rPr>
            <w:noProof/>
            <w:webHidden/>
          </w:rPr>
          <w:fldChar w:fldCharType="begin"/>
        </w:r>
        <w:r w:rsidR="003E3D16" w:rsidRPr="003E3D16">
          <w:rPr>
            <w:noProof/>
            <w:webHidden/>
          </w:rPr>
          <w:instrText xml:space="preserve"> PAGEREF _Toc92978240 \h </w:instrText>
        </w:r>
        <w:r w:rsidR="003E3D16" w:rsidRPr="003E3D16">
          <w:rPr>
            <w:noProof/>
            <w:webHidden/>
          </w:rPr>
        </w:r>
        <w:r w:rsidR="003E3D16" w:rsidRPr="003E3D16">
          <w:rPr>
            <w:noProof/>
            <w:webHidden/>
          </w:rPr>
          <w:fldChar w:fldCharType="separate"/>
        </w:r>
        <w:r w:rsidR="000D4025">
          <w:rPr>
            <w:noProof/>
            <w:webHidden/>
          </w:rPr>
          <w:t>20</w:t>
        </w:r>
        <w:r w:rsidR="003E3D16" w:rsidRPr="003E3D16">
          <w:rPr>
            <w:noProof/>
            <w:webHidden/>
          </w:rPr>
          <w:fldChar w:fldCharType="end"/>
        </w:r>
      </w:hyperlink>
    </w:p>
    <w:p w14:paraId="2E414127" w14:textId="781C255D" w:rsidR="003E3D16" w:rsidRPr="003E3D16" w:rsidRDefault="00D139A0">
      <w:pPr>
        <w:pStyle w:val="TOC3"/>
        <w:rPr>
          <w:rFonts w:asciiTheme="minorHAnsi" w:eastAsiaTheme="minorEastAsia" w:hAnsiTheme="minorHAnsi" w:cstheme="minorBidi"/>
          <w:sz w:val="22"/>
          <w:szCs w:val="22"/>
          <w:lang w:val="fr-LU" w:eastAsia="fr-LU"/>
        </w:rPr>
      </w:pPr>
      <w:hyperlink w:anchor="_Toc92978241" w:history="1">
        <w:r w:rsidR="003E3D16" w:rsidRPr="003E3D16">
          <w:rPr>
            <w:rStyle w:val="Hyperlink"/>
          </w:rPr>
          <w:t>Data rozpoczęcia i okres realizacji projektu</w:t>
        </w:r>
        <w:r w:rsidR="003E3D16" w:rsidRPr="003E3D16">
          <w:rPr>
            <w:webHidden/>
          </w:rPr>
          <w:tab/>
        </w:r>
        <w:r w:rsidR="003E3D16" w:rsidRPr="003E3D16">
          <w:rPr>
            <w:webHidden/>
          </w:rPr>
          <w:fldChar w:fldCharType="begin"/>
        </w:r>
        <w:r w:rsidR="003E3D16" w:rsidRPr="003E3D16">
          <w:rPr>
            <w:webHidden/>
          </w:rPr>
          <w:instrText xml:space="preserve"> PAGEREF _Toc92978241 \h </w:instrText>
        </w:r>
        <w:r w:rsidR="003E3D16" w:rsidRPr="003E3D16">
          <w:rPr>
            <w:webHidden/>
          </w:rPr>
        </w:r>
        <w:r w:rsidR="003E3D16" w:rsidRPr="003E3D16">
          <w:rPr>
            <w:webHidden/>
          </w:rPr>
          <w:fldChar w:fldCharType="separate"/>
        </w:r>
        <w:r w:rsidR="000D4025">
          <w:rPr>
            <w:webHidden/>
          </w:rPr>
          <w:t>21</w:t>
        </w:r>
        <w:r w:rsidR="003E3D16" w:rsidRPr="003E3D16">
          <w:rPr>
            <w:webHidden/>
          </w:rPr>
          <w:fldChar w:fldCharType="end"/>
        </w:r>
      </w:hyperlink>
    </w:p>
    <w:p w14:paraId="186D30F7" w14:textId="52F8ECD4" w:rsidR="003E3D16" w:rsidRPr="003E3D16" w:rsidRDefault="00D139A0">
      <w:pPr>
        <w:pStyle w:val="TOC3"/>
        <w:rPr>
          <w:rFonts w:asciiTheme="minorHAnsi" w:eastAsiaTheme="minorEastAsia" w:hAnsiTheme="minorHAnsi" w:cstheme="minorBidi"/>
          <w:sz w:val="22"/>
          <w:szCs w:val="22"/>
          <w:lang w:val="fr-LU" w:eastAsia="fr-LU"/>
        </w:rPr>
      </w:pPr>
      <w:hyperlink w:anchor="_Toc92978242" w:history="1">
        <w:r w:rsidR="003E3D16" w:rsidRPr="003E3D16">
          <w:rPr>
            <w:rStyle w:val="Hyperlink"/>
          </w:rPr>
          <w:t>Cele pośrednie i rezultaty</w:t>
        </w:r>
        <w:r w:rsidR="003E3D16" w:rsidRPr="003E3D16">
          <w:rPr>
            <w:webHidden/>
          </w:rPr>
          <w:tab/>
        </w:r>
        <w:r w:rsidR="003E3D16" w:rsidRPr="003E3D16">
          <w:rPr>
            <w:webHidden/>
          </w:rPr>
          <w:fldChar w:fldCharType="begin"/>
        </w:r>
        <w:r w:rsidR="003E3D16" w:rsidRPr="003E3D16">
          <w:rPr>
            <w:webHidden/>
          </w:rPr>
          <w:instrText xml:space="preserve"> PAGEREF _Toc92978242 \h </w:instrText>
        </w:r>
        <w:r w:rsidR="003E3D16" w:rsidRPr="003E3D16">
          <w:rPr>
            <w:webHidden/>
          </w:rPr>
        </w:r>
        <w:r w:rsidR="003E3D16" w:rsidRPr="003E3D16">
          <w:rPr>
            <w:webHidden/>
          </w:rPr>
          <w:fldChar w:fldCharType="separate"/>
        </w:r>
        <w:r w:rsidR="000D4025">
          <w:rPr>
            <w:webHidden/>
          </w:rPr>
          <w:t>21</w:t>
        </w:r>
        <w:r w:rsidR="003E3D16" w:rsidRPr="003E3D16">
          <w:rPr>
            <w:webHidden/>
          </w:rPr>
          <w:fldChar w:fldCharType="end"/>
        </w:r>
      </w:hyperlink>
    </w:p>
    <w:p w14:paraId="2FFC2542" w14:textId="3DFF567E" w:rsidR="003E3D16" w:rsidRPr="003E3D16" w:rsidRDefault="00D139A0">
      <w:pPr>
        <w:pStyle w:val="TOC3"/>
        <w:rPr>
          <w:rFonts w:asciiTheme="minorHAnsi" w:eastAsiaTheme="minorEastAsia" w:hAnsiTheme="minorHAnsi" w:cstheme="minorBidi"/>
          <w:sz w:val="22"/>
          <w:szCs w:val="22"/>
          <w:lang w:val="fr-LU" w:eastAsia="fr-LU"/>
        </w:rPr>
      </w:pPr>
      <w:hyperlink w:anchor="_Toc92978243" w:history="1">
        <w:r w:rsidR="003E3D16" w:rsidRPr="003E3D16">
          <w:rPr>
            <w:rStyle w:val="Hyperlink"/>
          </w:rPr>
          <w:t>Forma dotacji, stopa dofinansowania i maksymalna kwota dotacji</w:t>
        </w:r>
        <w:r w:rsidR="003E3D16" w:rsidRPr="003E3D16">
          <w:rPr>
            <w:webHidden/>
          </w:rPr>
          <w:tab/>
        </w:r>
        <w:r w:rsidR="003E3D16" w:rsidRPr="003E3D16">
          <w:rPr>
            <w:webHidden/>
          </w:rPr>
          <w:fldChar w:fldCharType="begin"/>
        </w:r>
        <w:r w:rsidR="003E3D16" w:rsidRPr="003E3D16">
          <w:rPr>
            <w:webHidden/>
          </w:rPr>
          <w:instrText xml:space="preserve"> PAGEREF _Toc92978243 \h </w:instrText>
        </w:r>
        <w:r w:rsidR="003E3D16" w:rsidRPr="003E3D16">
          <w:rPr>
            <w:webHidden/>
          </w:rPr>
        </w:r>
        <w:r w:rsidR="003E3D16" w:rsidRPr="003E3D16">
          <w:rPr>
            <w:webHidden/>
          </w:rPr>
          <w:fldChar w:fldCharType="separate"/>
        </w:r>
        <w:r w:rsidR="000D4025">
          <w:rPr>
            <w:webHidden/>
          </w:rPr>
          <w:t>21</w:t>
        </w:r>
        <w:r w:rsidR="003E3D16" w:rsidRPr="003E3D16">
          <w:rPr>
            <w:webHidden/>
          </w:rPr>
          <w:fldChar w:fldCharType="end"/>
        </w:r>
      </w:hyperlink>
    </w:p>
    <w:p w14:paraId="772E3149" w14:textId="13DEF476" w:rsidR="003E3D16" w:rsidRPr="003E3D16" w:rsidRDefault="00D139A0">
      <w:pPr>
        <w:pStyle w:val="TOC3"/>
        <w:rPr>
          <w:rFonts w:asciiTheme="minorHAnsi" w:eastAsiaTheme="minorEastAsia" w:hAnsiTheme="minorHAnsi" w:cstheme="minorBidi"/>
          <w:sz w:val="22"/>
          <w:szCs w:val="22"/>
          <w:lang w:val="fr-LU" w:eastAsia="fr-LU"/>
        </w:rPr>
      </w:pPr>
      <w:hyperlink w:anchor="_Toc92978244" w:history="1">
        <w:r w:rsidR="003E3D16" w:rsidRPr="003E3D16">
          <w:rPr>
            <w:rStyle w:val="Hyperlink"/>
          </w:rPr>
          <w:t>Kategorie budżetowe i zasady dotyczące kwalifikowalności kosztów</w:t>
        </w:r>
        <w:r w:rsidR="003E3D16" w:rsidRPr="003E3D16">
          <w:rPr>
            <w:webHidden/>
          </w:rPr>
          <w:tab/>
        </w:r>
        <w:r w:rsidR="003E3D16" w:rsidRPr="003E3D16">
          <w:rPr>
            <w:webHidden/>
          </w:rPr>
          <w:fldChar w:fldCharType="begin"/>
        </w:r>
        <w:r w:rsidR="003E3D16" w:rsidRPr="003E3D16">
          <w:rPr>
            <w:webHidden/>
          </w:rPr>
          <w:instrText xml:space="preserve"> PAGEREF _Toc92978244 \h </w:instrText>
        </w:r>
        <w:r w:rsidR="003E3D16" w:rsidRPr="003E3D16">
          <w:rPr>
            <w:webHidden/>
          </w:rPr>
        </w:r>
        <w:r w:rsidR="003E3D16" w:rsidRPr="003E3D16">
          <w:rPr>
            <w:webHidden/>
          </w:rPr>
          <w:fldChar w:fldCharType="separate"/>
        </w:r>
        <w:r w:rsidR="000D4025">
          <w:rPr>
            <w:webHidden/>
          </w:rPr>
          <w:t>21</w:t>
        </w:r>
        <w:r w:rsidR="003E3D16" w:rsidRPr="003E3D16">
          <w:rPr>
            <w:webHidden/>
          </w:rPr>
          <w:fldChar w:fldCharType="end"/>
        </w:r>
      </w:hyperlink>
    </w:p>
    <w:p w14:paraId="4225B554" w14:textId="0FCEEE91" w:rsidR="003E3D16" w:rsidRPr="003E3D16" w:rsidRDefault="00D139A0">
      <w:pPr>
        <w:pStyle w:val="TOC3"/>
        <w:rPr>
          <w:rFonts w:asciiTheme="minorHAnsi" w:eastAsiaTheme="minorEastAsia" w:hAnsiTheme="minorHAnsi" w:cstheme="minorBidi"/>
          <w:sz w:val="22"/>
          <w:szCs w:val="22"/>
          <w:lang w:val="fr-LU" w:eastAsia="fr-LU"/>
        </w:rPr>
      </w:pPr>
      <w:hyperlink w:anchor="_Toc92978245" w:history="1">
        <w:r w:rsidR="003E3D16" w:rsidRPr="003E3D16">
          <w:rPr>
            <w:rStyle w:val="Hyperlink"/>
          </w:rPr>
          <w:t>Ustalenia dotyczące sprawozdawczości i płatności</w:t>
        </w:r>
        <w:r w:rsidR="003E3D16" w:rsidRPr="003E3D16">
          <w:rPr>
            <w:webHidden/>
          </w:rPr>
          <w:tab/>
        </w:r>
        <w:r w:rsidR="003E3D16" w:rsidRPr="003E3D16">
          <w:rPr>
            <w:webHidden/>
          </w:rPr>
          <w:fldChar w:fldCharType="begin"/>
        </w:r>
        <w:r w:rsidR="003E3D16" w:rsidRPr="003E3D16">
          <w:rPr>
            <w:webHidden/>
          </w:rPr>
          <w:instrText xml:space="preserve"> PAGEREF _Toc92978245 \h </w:instrText>
        </w:r>
        <w:r w:rsidR="003E3D16" w:rsidRPr="003E3D16">
          <w:rPr>
            <w:webHidden/>
          </w:rPr>
        </w:r>
        <w:r w:rsidR="003E3D16" w:rsidRPr="003E3D16">
          <w:rPr>
            <w:webHidden/>
          </w:rPr>
          <w:fldChar w:fldCharType="separate"/>
        </w:r>
        <w:r w:rsidR="000D4025">
          <w:rPr>
            <w:webHidden/>
          </w:rPr>
          <w:t>22</w:t>
        </w:r>
        <w:r w:rsidR="003E3D16" w:rsidRPr="003E3D16">
          <w:rPr>
            <w:webHidden/>
          </w:rPr>
          <w:fldChar w:fldCharType="end"/>
        </w:r>
      </w:hyperlink>
    </w:p>
    <w:p w14:paraId="3BAA4270" w14:textId="08C935DB" w:rsidR="003E3D16" w:rsidRPr="003E3D16" w:rsidRDefault="00D139A0">
      <w:pPr>
        <w:pStyle w:val="TOC3"/>
        <w:rPr>
          <w:rFonts w:asciiTheme="minorHAnsi" w:eastAsiaTheme="minorEastAsia" w:hAnsiTheme="minorHAnsi" w:cstheme="minorBidi"/>
          <w:sz w:val="22"/>
          <w:szCs w:val="22"/>
          <w:lang w:val="fr-LU" w:eastAsia="fr-LU"/>
        </w:rPr>
      </w:pPr>
      <w:hyperlink w:anchor="_Toc92978246" w:history="1">
        <w:r w:rsidR="003E3D16" w:rsidRPr="003E3D16">
          <w:rPr>
            <w:rStyle w:val="Hyperlink"/>
          </w:rPr>
          <w:t>Zabezpieczenia płatności zaliczkowych</w:t>
        </w:r>
        <w:r w:rsidR="003E3D16" w:rsidRPr="003E3D16">
          <w:rPr>
            <w:webHidden/>
          </w:rPr>
          <w:tab/>
        </w:r>
        <w:r w:rsidR="003E3D16" w:rsidRPr="003E3D16">
          <w:rPr>
            <w:webHidden/>
          </w:rPr>
          <w:fldChar w:fldCharType="begin"/>
        </w:r>
        <w:r w:rsidR="003E3D16" w:rsidRPr="003E3D16">
          <w:rPr>
            <w:webHidden/>
          </w:rPr>
          <w:instrText xml:space="preserve"> PAGEREF _Toc92978246 \h </w:instrText>
        </w:r>
        <w:r w:rsidR="003E3D16" w:rsidRPr="003E3D16">
          <w:rPr>
            <w:webHidden/>
          </w:rPr>
        </w:r>
        <w:r w:rsidR="003E3D16" w:rsidRPr="003E3D16">
          <w:rPr>
            <w:webHidden/>
          </w:rPr>
          <w:fldChar w:fldCharType="separate"/>
        </w:r>
        <w:r w:rsidR="000D4025">
          <w:rPr>
            <w:webHidden/>
          </w:rPr>
          <w:t>23</w:t>
        </w:r>
        <w:r w:rsidR="003E3D16" w:rsidRPr="003E3D16">
          <w:rPr>
            <w:webHidden/>
          </w:rPr>
          <w:fldChar w:fldCharType="end"/>
        </w:r>
      </w:hyperlink>
    </w:p>
    <w:p w14:paraId="0DC3A43F" w14:textId="01A502B3" w:rsidR="003E3D16" w:rsidRPr="003E3D16" w:rsidRDefault="00D139A0">
      <w:pPr>
        <w:pStyle w:val="TOC3"/>
        <w:rPr>
          <w:rFonts w:asciiTheme="minorHAnsi" w:eastAsiaTheme="minorEastAsia" w:hAnsiTheme="minorHAnsi" w:cstheme="minorBidi"/>
          <w:sz w:val="22"/>
          <w:szCs w:val="22"/>
          <w:lang w:val="fr-LU" w:eastAsia="fr-LU"/>
        </w:rPr>
      </w:pPr>
      <w:hyperlink w:anchor="_Toc92978247" w:history="1">
        <w:r w:rsidR="003E3D16" w:rsidRPr="003E3D16">
          <w:rPr>
            <w:rStyle w:val="Hyperlink"/>
          </w:rPr>
          <w:t>Zaświadczenia</w:t>
        </w:r>
        <w:r w:rsidR="003E3D16" w:rsidRPr="003E3D16">
          <w:rPr>
            <w:webHidden/>
          </w:rPr>
          <w:tab/>
        </w:r>
        <w:r w:rsidR="003E3D16" w:rsidRPr="003E3D16">
          <w:rPr>
            <w:webHidden/>
          </w:rPr>
          <w:fldChar w:fldCharType="begin"/>
        </w:r>
        <w:r w:rsidR="003E3D16" w:rsidRPr="003E3D16">
          <w:rPr>
            <w:webHidden/>
          </w:rPr>
          <w:instrText xml:space="preserve"> PAGEREF _Toc92978247 \h </w:instrText>
        </w:r>
        <w:r w:rsidR="003E3D16" w:rsidRPr="003E3D16">
          <w:rPr>
            <w:webHidden/>
          </w:rPr>
        </w:r>
        <w:r w:rsidR="003E3D16" w:rsidRPr="003E3D16">
          <w:rPr>
            <w:webHidden/>
          </w:rPr>
          <w:fldChar w:fldCharType="separate"/>
        </w:r>
        <w:r w:rsidR="000D4025">
          <w:rPr>
            <w:webHidden/>
          </w:rPr>
          <w:t>23</w:t>
        </w:r>
        <w:r w:rsidR="003E3D16" w:rsidRPr="003E3D16">
          <w:rPr>
            <w:webHidden/>
          </w:rPr>
          <w:fldChar w:fldCharType="end"/>
        </w:r>
      </w:hyperlink>
    </w:p>
    <w:p w14:paraId="2580CB65" w14:textId="35C4385C" w:rsidR="003E3D16" w:rsidRPr="003E3D16" w:rsidRDefault="00D139A0">
      <w:pPr>
        <w:pStyle w:val="TOC3"/>
        <w:rPr>
          <w:rFonts w:asciiTheme="minorHAnsi" w:eastAsiaTheme="minorEastAsia" w:hAnsiTheme="minorHAnsi" w:cstheme="minorBidi"/>
          <w:sz w:val="22"/>
          <w:szCs w:val="22"/>
          <w:lang w:val="fr-LU" w:eastAsia="fr-LU"/>
        </w:rPr>
      </w:pPr>
      <w:hyperlink w:anchor="_Toc92978248" w:history="1">
        <w:r w:rsidR="003E3D16" w:rsidRPr="003E3D16">
          <w:rPr>
            <w:rStyle w:val="Hyperlink"/>
          </w:rPr>
          <w:t>Odpowiedzialność za zwroty</w:t>
        </w:r>
        <w:r w:rsidR="003E3D16" w:rsidRPr="003E3D16">
          <w:rPr>
            <w:webHidden/>
          </w:rPr>
          <w:tab/>
        </w:r>
        <w:r w:rsidR="003E3D16" w:rsidRPr="003E3D16">
          <w:rPr>
            <w:webHidden/>
          </w:rPr>
          <w:fldChar w:fldCharType="begin"/>
        </w:r>
        <w:r w:rsidR="003E3D16" w:rsidRPr="003E3D16">
          <w:rPr>
            <w:webHidden/>
          </w:rPr>
          <w:instrText xml:space="preserve"> PAGEREF _Toc92978248 \h </w:instrText>
        </w:r>
        <w:r w:rsidR="003E3D16" w:rsidRPr="003E3D16">
          <w:rPr>
            <w:webHidden/>
          </w:rPr>
        </w:r>
        <w:r w:rsidR="003E3D16" w:rsidRPr="003E3D16">
          <w:rPr>
            <w:webHidden/>
          </w:rPr>
          <w:fldChar w:fldCharType="separate"/>
        </w:r>
        <w:r w:rsidR="000D4025">
          <w:rPr>
            <w:webHidden/>
          </w:rPr>
          <w:t>23</w:t>
        </w:r>
        <w:r w:rsidR="003E3D16" w:rsidRPr="003E3D16">
          <w:rPr>
            <w:webHidden/>
          </w:rPr>
          <w:fldChar w:fldCharType="end"/>
        </w:r>
      </w:hyperlink>
    </w:p>
    <w:p w14:paraId="5907B89B" w14:textId="27CCBD83" w:rsidR="003E3D16" w:rsidRPr="003E3D16" w:rsidRDefault="00D139A0">
      <w:pPr>
        <w:pStyle w:val="TOC3"/>
        <w:rPr>
          <w:rFonts w:asciiTheme="minorHAnsi" w:eastAsiaTheme="minorEastAsia" w:hAnsiTheme="minorHAnsi" w:cstheme="minorBidi"/>
          <w:sz w:val="22"/>
          <w:szCs w:val="22"/>
          <w:lang w:val="fr-LU" w:eastAsia="fr-LU"/>
        </w:rPr>
      </w:pPr>
      <w:hyperlink w:anchor="_Toc92978249" w:history="1">
        <w:r w:rsidR="003E3D16" w:rsidRPr="003E3D16">
          <w:rPr>
            <w:rStyle w:val="Hyperlink"/>
          </w:rPr>
          <w:t>Postanowienia dotyczące realizacji projektu</w:t>
        </w:r>
        <w:r w:rsidR="003E3D16" w:rsidRPr="003E3D16">
          <w:rPr>
            <w:webHidden/>
          </w:rPr>
          <w:tab/>
        </w:r>
        <w:r w:rsidR="003E3D16" w:rsidRPr="003E3D16">
          <w:rPr>
            <w:webHidden/>
          </w:rPr>
          <w:fldChar w:fldCharType="begin"/>
        </w:r>
        <w:r w:rsidR="003E3D16" w:rsidRPr="003E3D16">
          <w:rPr>
            <w:webHidden/>
          </w:rPr>
          <w:instrText xml:space="preserve"> PAGEREF _Toc92978249 \h </w:instrText>
        </w:r>
        <w:r w:rsidR="003E3D16" w:rsidRPr="003E3D16">
          <w:rPr>
            <w:webHidden/>
          </w:rPr>
        </w:r>
        <w:r w:rsidR="003E3D16" w:rsidRPr="003E3D16">
          <w:rPr>
            <w:webHidden/>
          </w:rPr>
          <w:fldChar w:fldCharType="separate"/>
        </w:r>
        <w:r w:rsidR="000D4025">
          <w:rPr>
            <w:webHidden/>
          </w:rPr>
          <w:t>24</w:t>
        </w:r>
        <w:r w:rsidR="003E3D16" w:rsidRPr="003E3D16">
          <w:rPr>
            <w:webHidden/>
          </w:rPr>
          <w:fldChar w:fldCharType="end"/>
        </w:r>
      </w:hyperlink>
    </w:p>
    <w:p w14:paraId="18420720" w14:textId="5C4E7A6C" w:rsidR="003E3D16" w:rsidRPr="003E3D16" w:rsidRDefault="00D139A0">
      <w:pPr>
        <w:pStyle w:val="TOC3"/>
        <w:rPr>
          <w:rFonts w:asciiTheme="minorHAnsi" w:eastAsiaTheme="minorEastAsia" w:hAnsiTheme="minorHAnsi" w:cstheme="minorBidi"/>
          <w:sz w:val="22"/>
          <w:szCs w:val="22"/>
          <w:lang w:val="fr-LU" w:eastAsia="fr-LU"/>
        </w:rPr>
      </w:pPr>
      <w:hyperlink w:anchor="_Toc92978250" w:history="1">
        <w:r w:rsidR="003E3D16" w:rsidRPr="003E3D16">
          <w:rPr>
            <w:rStyle w:val="Hyperlink"/>
          </w:rPr>
          <w:t>Inne cechy szczególne</w:t>
        </w:r>
        <w:r w:rsidR="003E3D16" w:rsidRPr="003E3D16">
          <w:rPr>
            <w:webHidden/>
          </w:rPr>
          <w:tab/>
        </w:r>
        <w:r w:rsidR="003E3D16" w:rsidRPr="003E3D16">
          <w:rPr>
            <w:webHidden/>
          </w:rPr>
          <w:fldChar w:fldCharType="begin"/>
        </w:r>
        <w:r w:rsidR="003E3D16" w:rsidRPr="003E3D16">
          <w:rPr>
            <w:webHidden/>
          </w:rPr>
          <w:instrText xml:space="preserve"> PAGEREF _Toc92978250 \h </w:instrText>
        </w:r>
        <w:r w:rsidR="003E3D16" w:rsidRPr="003E3D16">
          <w:rPr>
            <w:webHidden/>
          </w:rPr>
        </w:r>
        <w:r w:rsidR="003E3D16" w:rsidRPr="003E3D16">
          <w:rPr>
            <w:webHidden/>
          </w:rPr>
          <w:fldChar w:fldCharType="separate"/>
        </w:r>
        <w:r w:rsidR="000D4025">
          <w:rPr>
            <w:webHidden/>
          </w:rPr>
          <w:t>24</w:t>
        </w:r>
        <w:r w:rsidR="003E3D16" w:rsidRPr="003E3D16">
          <w:rPr>
            <w:webHidden/>
          </w:rPr>
          <w:fldChar w:fldCharType="end"/>
        </w:r>
      </w:hyperlink>
    </w:p>
    <w:p w14:paraId="381810EC" w14:textId="36BACA20" w:rsidR="003E3D16" w:rsidRPr="003E3D16" w:rsidRDefault="00D139A0">
      <w:pPr>
        <w:pStyle w:val="TOC3"/>
        <w:rPr>
          <w:rFonts w:asciiTheme="minorHAnsi" w:eastAsiaTheme="minorEastAsia" w:hAnsiTheme="minorHAnsi" w:cstheme="minorBidi"/>
          <w:sz w:val="22"/>
          <w:szCs w:val="22"/>
          <w:lang w:val="fr-LU" w:eastAsia="fr-LU"/>
        </w:rPr>
      </w:pPr>
      <w:hyperlink w:anchor="_Toc92978251" w:history="1">
        <w:r w:rsidR="003E3D16" w:rsidRPr="003E3D16">
          <w:rPr>
            <w:rStyle w:val="Hyperlink"/>
          </w:rPr>
          <w:t>Niezgodność i naruszenie postanowień umowy</w:t>
        </w:r>
        <w:r w:rsidR="003E3D16" w:rsidRPr="003E3D16">
          <w:rPr>
            <w:webHidden/>
          </w:rPr>
          <w:tab/>
        </w:r>
        <w:r w:rsidR="003E3D16" w:rsidRPr="003E3D16">
          <w:rPr>
            <w:webHidden/>
          </w:rPr>
          <w:fldChar w:fldCharType="begin"/>
        </w:r>
        <w:r w:rsidR="003E3D16" w:rsidRPr="003E3D16">
          <w:rPr>
            <w:webHidden/>
          </w:rPr>
          <w:instrText xml:space="preserve"> PAGEREF _Toc92978251 \h </w:instrText>
        </w:r>
        <w:r w:rsidR="003E3D16" w:rsidRPr="003E3D16">
          <w:rPr>
            <w:webHidden/>
          </w:rPr>
        </w:r>
        <w:r w:rsidR="003E3D16" w:rsidRPr="003E3D16">
          <w:rPr>
            <w:webHidden/>
          </w:rPr>
          <w:fldChar w:fldCharType="separate"/>
        </w:r>
        <w:r w:rsidR="000D4025">
          <w:rPr>
            <w:webHidden/>
          </w:rPr>
          <w:t>24</w:t>
        </w:r>
        <w:r w:rsidR="003E3D16" w:rsidRPr="003E3D16">
          <w:rPr>
            <w:webHidden/>
          </w:rPr>
          <w:fldChar w:fldCharType="end"/>
        </w:r>
      </w:hyperlink>
    </w:p>
    <w:p w14:paraId="0E4DED5A" w14:textId="4A89E4E6" w:rsidR="003E3D16" w:rsidRPr="003E3D16" w:rsidRDefault="00D139A0">
      <w:pPr>
        <w:pStyle w:val="TOC1"/>
        <w:rPr>
          <w:rFonts w:asciiTheme="minorHAnsi" w:eastAsiaTheme="minorEastAsia" w:hAnsiTheme="minorHAnsi" w:cstheme="minorBidi"/>
          <w:noProof/>
          <w:sz w:val="22"/>
          <w:szCs w:val="22"/>
          <w:lang w:val="fr-LU" w:eastAsia="fr-LU"/>
        </w:rPr>
      </w:pPr>
      <w:hyperlink w:anchor="_Toc92978252" w:history="1">
        <w:r w:rsidR="003E3D16" w:rsidRPr="003E3D16">
          <w:rPr>
            <w:rStyle w:val="Hyperlink"/>
            <w:noProof/>
          </w:rPr>
          <w:t>11.</w:t>
        </w:r>
        <w:r w:rsidR="003E3D16" w:rsidRPr="003E3D16">
          <w:rPr>
            <w:rFonts w:asciiTheme="minorHAnsi" w:eastAsiaTheme="minorEastAsia" w:hAnsiTheme="minorHAnsi" w:cstheme="minorBidi"/>
            <w:noProof/>
            <w:sz w:val="22"/>
            <w:szCs w:val="22"/>
            <w:lang w:val="fr-LU" w:eastAsia="fr-LU"/>
          </w:rPr>
          <w:tab/>
        </w:r>
        <w:r w:rsidR="003E3D16" w:rsidRPr="003E3D16">
          <w:rPr>
            <w:rStyle w:val="Hyperlink"/>
            <w:noProof/>
          </w:rPr>
          <w:t>Jak złożyć wniosek</w:t>
        </w:r>
        <w:r w:rsidR="003E3D16" w:rsidRPr="003E3D16">
          <w:rPr>
            <w:noProof/>
            <w:webHidden/>
          </w:rPr>
          <w:tab/>
        </w:r>
        <w:r w:rsidR="003E3D16" w:rsidRPr="003E3D16">
          <w:rPr>
            <w:noProof/>
            <w:webHidden/>
          </w:rPr>
          <w:fldChar w:fldCharType="begin"/>
        </w:r>
        <w:r w:rsidR="003E3D16" w:rsidRPr="003E3D16">
          <w:rPr>
            <w:noProof/>
            <w:webHidden/>
          </w:rPr>
          <w:instrText xml:space="preserve"> PAGEREF _Toc92978252 \h </w:instrText>
        </w:r>
        <w:r w:rsidR="003E3D16" w:rsidRPr="003E3D16">
          <w:rPr>
            <w:noProof/>
            <w:webHidden/>
          </w:rPr>
        </w:r>
        <w:r w:rsidR="003E3D16" w:rsidRPr="003E3D16">
          <w:rPr>
            <w:noProof/>
            <w:webHidden/>
          </w:rPr>
          <w:fldChar w:fldCharType="separate"/>
        </w:r>
        <w:r w:rsidR="000D4025">
          <w:rPr>
            <w:noProof/>
            <w:webHidden/>
          </w:rPr>
          <w:t>24</w:t>
        </w:r>
        <w:r w:rsidR="003E3D16" w:rsidRPr="003E3D16">
          <w:rPr>
            <w:noProof/>
            <w:webHidden/>
          </w:rPr>
          <w:fldChar w:fldCharType="end"/>
        </w:r>
      </w:hyperlink>
    </w:p>
    <w:p w14:paraId="5E975156" w14:textId="3DAE481A" w:rsidR="003E3D16" w:rsidRPr="003E3D16" w:rsidRDefault="00D139A0">
      <w:pPr>
        <w:pStyle w:val="TOC1"/>
        <w:rPr>
          <w:rFonts w:asciiTheme="minorHAnsi" w:eastAsiaTheme="minorEastAsia" w:hAnsiTheme="minorHAnsi" w:cstheme="minorBidi"/>
          <w:noProof/>
          <w:sz w:val="22"/>
          <w:szCs w:val="22"/>
          <w:lang w:val="fr-LU" w:eastAsia="fr-LU"/>
        </w:rPr>
      </w:pPr>
      <w:hyperlink w:anchor="_Toc92978253" w:history="1">
        <w:r w:rsidR="003E3D16" w:rsidRPr="003E3D16">
          <w:rPr>
            <w:rStyle w:val="Hyperlink"/>
            <w:noProof/>
          </w:rPr>
          <w:t>12.</w:t>
        </w:r>
        <w:r w:rsidR="003E3D16" w:rsidRPr="003E3D16">
          <w:rPr>
            <w:rFonts w:asciiTheme="minorHAnsi" w:eastAsiaTheme="minorEastAsia" w:hAnsiTheme="minorHAnsi" w:cstheme="minorBidi"/>
            <w:noProof/>
            <w:sz w:val="22"/>
            <w:szCs w:val="22"/>
            <w:lang w:val="fr-LU" w:eastAsia="fr-LU"/>
          </w:rPr>
          <w:tab/>
        </w:r>
        <w:r w:rsidR="003E3D16" w:rsidRPr="003E3D16">
          <w:rPr>
            <w:rStyle w:val="Hyperlink"/>
            <w:noProof/>
          </w:rPr>
          <w:t>Pomoc</w:t>
        </w:r>
        <w:r w:rsidR="003E3D16" w:rsidRPr="003E3D16">
          <w:rPr>
            <w:noProof/>
            <w:webHidden/>
          </w:rPr>
          <w:tab/>
        </w:r>
        <w:r w:rsidR="003E3D16" w:rsidRPr="003E3D16">
          <w:rPr>
            <w:noProof/>
            <w:webHidden/>
          </w:rPr>
          <w:fldChar w:fldCharType="begin"/>
        </w:r>
        <w:r w:rsidR="003E3D16" w:rsidRPr="003E3D16">
          <w:rPr>
            <w:noProof/>
            <w:webHidden/>
          </w:rPr>
          <w:instrText xml:space="preserve"> PAGEREF _Toc92978253 \h </w:instrText>
        </w:r>
        <w:r w:rsidR="003E3D16" w:rsidRPr="003E3D16">
          <w:rPr>
            <w:noProof/>
            <w:webHidden/>
          </w:rPr>
        </w:r>
        <w:r w:rsidR="003E3D16" w:rsidRPr="003E3D16">
          <w:rPr>
            <w:noProof/>
            <w:webHidden/>
          </w:rPr>
          <w:fldChar w:fldCharType="separate"/>
        </w:r>
        <w:r w:rsidR="000D4025">
          <w:rPr>
            <w:noProof/>
            <w:webHidden/>
          </w:rPr>
          <w:t>25</w:t>
        </w:r>
        <w:r w:rsidR="003E3D16" w:rsidRPr="003E3D16">
          <w:rPr>
            <w:noProof/>
            <w:webHidden/>
          </w:rPr>
          <w:fldChar w:fldCharType="end"/>
        </w:r>
      </w:hyperlink>
    </w:p>
    <w:p w14:paraId="6E18408F" w14:textId="17062AC2" w:rsidR="003E3D16" w:rsidRPr="003E3D16" w:rsidRDefault="00D139A0">
      <w:pPr>
        <w:pStyle w:val="TOC1"/>
        <w:rPr>
          <w:rFonts w:asciiTheme="minorHAnsi" w:eastAsiaTheme="minorEastAsia" w:hAnsiTheme="minorHAnsi" w:cstheme="minorBidi"/>
          <w:noProof/>
          <w:sz w:val="22"/>
          <w:szCs w:val="22"/>
          <w:lang w:val="fr-LU" w:eastAsia="fr-LU"/>
        </w:rPr>
      </w:pPr>
      <w:hyperlink w:anchor="_Toc92978254" w:history="1">
        <w:r w:rsidR="003E3D16" w:rsidRPr="003E3D16">
          <w:rPr>
            <w:rStyle w:val="Hyperlink"/>
            <w:noProof/>
          </w:rPr>
          <w:t>13.</w:t>
        </w:r>
        <w:r w:rsidR="003E3D16" w:rsidRPr="003E3D16">
          <w:rPr>
            <w:rFonts w:asciiTheme="minorHAnsi" w:eastAsiaTheme="minorEastAsia" w:hAnsiTheme="minorHAnsi" w:cstheme="minorBidi"/>
            <w:noProof/>
            <w:sz w:val="22"/>
            <w:szCs w:val="22"/>
            <w:lang w:val="fr-LU" w:eastAsia="fr-LU"/>
          </w:rPr>
          <w:tab/>
        </w:r>
        <w:r w:rsidR="003E3D16" w:rsidRPr="003E3D16">
          <w:rPr>
            <w:rStyle w:val="Hyperlink"/>
            <w:noProof/>
          </w:rPr>
          <w:t>Ważne</w:t>
        </w:r>
        <w:r w:rsidR="003E3D16" w:rsidRPr="003E3D16">
          <w:rPr>
            <w:noProof/>
            <w:webHidden/>
          </w:rPr>
          <w:tab/>
        </w:r>
        <w:r w:rsidR="003E3D16" w:rsidRPr="003E3D16">
          <w:rPr>
            <w:noProof/>
            <w:webHidden/>
          </w:rPr>
          <w:fldChar w:fldCharType="begin"/>
        </w:r>
        <w:r w:rsidR="003E3D16" w:rsidRPr="003E3D16">
          <w:rPr>
            <w:noProof/>
            <w:webHidden/>
          </w:rPr>
          <w:instrText xml:space="preserve"> PAGEREF _Toc92978254 \h </w:instrText>
        </w:r>
        <w:r w:rsidR="003E3D16" w:rsidRPr="003E3D16">
          <w:rPr>
            <w:noProof/>
            <w:webHidden/>
          </w:rPr>
        </w:r>
        <w:r w:rsidR="003E3D16" w:rsidRPr="003E3D16">
          <w:rPr>
            <w:noProof/>
            <w:webHidden/>
          </w:rPr>
          <w:fldChar w:fldCharType="separate"/>
        </w:r>
        <w:r w:rsidR="000D4025">
          <w:rPr>
            <w:noProof/>
            <w:webHidden/>
          </w:rPr>
          <w:t>27</w:t>
        </w:r>
        <w:r w:rsidR="003E3D16" w:rsidRPr="003E3D16">
          <w:rPr>
            <w:noProof/>
            <w:webHidden/>
          </w:rPr>
          <w:fldChar w:fldCharType="end"/>
        </w:r>
      </w:hyperlink>
    </w:p>
    <w:p w14:paraId="4D152A2B" w14:textId="1C5EBC17" w:rsidR="0084666C" w:rsidRPr="003E3D16" w:rsidRDefault="00340A6F" w:rsidP="00B57534">
      <w:pPr>
        <w:widowControl w:val="0"/>
      </w:pPr>
      <w:r w:rsidRPr="003E3D16">
        <w:rPr>
          <w:sz w:val="16"/>
        </w:rPr>
        <w:fldChar w:fldCharType="end"/>
      </w:r>
    </w:p>
    <w:p w14:paraId="62C1CABA" w14:textId="6C15280B" w:rsidR="0062273B" w:rsidRPr="003E3D16" w:rsidRDefault="0062273B" w:rsidP="00623078">
      <w:pPr>
        <w:pStyle w:val="Heading1"/>
        <w:numPr>
          <w:ilvl w:val="0"/>
          <w:numId w:val="54"/>
        </w:numPr>
        <w:tabs>
          <w:tab w:val="left" w:pos="284"/>
        </w:tabs>
        <w:ind w:left="0" w:firstLine="0"/>
      </w:pPr>
      <w:r w:rsidRPr="003E3D16">
        <w:br w:type="page"/>
      </w:r>
      <w:bookmarkStart w:id="1" w:name="_Toc92978215"/>
      <w:r w:rsidRPr="003E3D16">
        <w:lastRenderedPageBreak/>
        <w:t>Wprowadzenie</w:t>
      </w:r>
      <w:bookmarkEnd w:id="1"/>
    </w:p>
    <w:p w14:paraId="1281A2B9" w14:textId="4F8BAA46" w:rsidR="00526CED" w:rsidRPr="003E3D16" w:rsidRDefault="00494E0C" w:rsidP="00AD584E">
      <w:pPr>
        <w:widowControl w:val="0"/>
      </w:pPr>
      <w:r w:rsidRPr="003E3D16">
        <w:t xml:space="preserve">Niniejszy dokument stanowi zaproszenie do składania wniosków o unijne </w:t>
      </w:r>
      <w:r w:rsidRPr="003E3D16">
        <w:rPr>
          <w:b/>
          <w:bCs/>
        </w:rPr>
        <w:t>dotacje na działania</w:t>
      </w:r>
      <w:r w:rsidRPr="003E3D16">
        <w:t xml:space="preserve"> w dziedzinie zaangażowania i udziału obywateli w ramach programu </w:t>
      </w:r>
      <w:r w:rsidRPr="003E3D16">
        <w:rPr>
          <w:b/>
          <w:bCs/>
        </w:rPr>
        <w:t>„Obywatele, równość, prawa i wartości” (CERV)</w:t>
      </w:r>
      <w:r w:rsidRPr="003E3D16">
        <w:t>. Ramy prawne tego unijnego programu finansowania określono w:</w:t>
      </w:r>
    </w:p>
    <w:p w14:paraId="124C55BF" w14:textId="663BC2CE" w:rsidR="00526CED" w:rsidRPr="003E3D16" w:rsidRDefault="00526CED" w:rsidP="00584316">
      <w:pPr>
        <w:numPr>
          <w:ilvl w:val="0"/>
          <w:numId w:val="32"/>
        </w:numPr>
        <w:spacing w:after="120"/>
        <w:ind w:left="568" w:hanging="284"/>
      </w:pPr>
      <w:r w:rsidRPr="003E3D16">
        <w:t>rozporządzeniu 2018/1046 (</w:t>
      </w:r>
      <w:hyperlink r:id="rId21" w:history="1">
        <w:r w:rsidRPr="003E3D16">
          <w:rPr>
            <w:rStyle w:val="Hyperlink"/>
          </w:rPr>
          <w:t>rozporządzenie finansowe UE</w:t>
        </w:r>
      </w:hyperlink>
      <w:r w:rsidRPr="003E3D16">
        <w:t>);</w:t>
      </w:r>
    </w:p>
    <w:p w14:paraId="15823F41" w14:textId="1DAD3AFF" w:rsidR="00526CED" w:rsidRPr="003E3D16" w:rsidRDefault="00526CED" w:rsidP="42BB08A3">
      <w:pPr>
        <w:numPr>
          <w:ilvl w:val="0"/>
          <w:numId w:val="32"/>
        </w:numPr>
        <w:ind w:left="568" w:hanging="284"/>
        <w:rPr>
          <w:u w:val="single"/>
        </w:rPr>
      </w:pPr>
      <w:r w:rsidRPr="003E3D16">
        <w:t xml:space="preserve">akcie podstawowym (rozporządzeniu </w:t>
      </w:r>
      <w:hyperlink r:id="rId22" w:history="1">
        <w:r w:rsidRPr="003E3D16">
          <w:rPr>
            <w:rStyle w:val="Hyperlink"/>
          </w:rPr>
          <w:t>2021/692</w:t>
        </w:r>
      </w:hyperlink>
      <w:r w:rsidR="000D6EA6" w:rsidRPr="003E3D16">
        <w:rPr>
          <w:rStyle w:val="FootnoteReference"/>
        </w:rPr>
        <w:footnoteReference w:id="2"/>
      </w:r>
      <w:r w:rsidRPr="003E3D16">
        <w:t xml:space="preserve"> ustanawiającym program CERV).</w:t>
      </w:r>
    </w:p>
    <w:p w14:paraId="12AD4BB0" w14:textId="464B2AA2" w:rsidR="0000139E" w:rsidRPr="003E3D16" w:rsidRDefault="00526CED" w:rsidP="0000139E">
      <w:pPr>
        <w:autoSpaceDE w:val="0"/>
        <w:autoSpaceDN w:val="0"/>
        <w:adjustRightInd w:val="0"/>
        <w:rPr>
          <w:bCs/>
          <w:color w:val="000000"/>
        </w:rPr>
      </w:pPr>
      <w:r w:rsidRPr="003E3D16">
        <w:t>Zaproszenie jest ogłaszane zgodnie z programem prac na lata 2021–2022</w:t>
      </w:r>
      <w:r w:rsidR="00494E0C" w:rsidRPr="003E3D16">
        <w:rPr>
          <w:vertAlign w:val="superscript"/>
        </w:rPr>
        <w:footnoteReference w:id="3"/>
      </w:r>
      <w:r w:rsidRPr="003E3D16">
        <w:t xml:space="preserve"> i będzie prowadzone przez </w:t>
      </w:r>
      <w:r w:rsidRPr="003E3D16">
        <w:rPr>
          <w:b/>
        </w:rPr>
        <w:t>Europejską Agencję Wykonawczą ds. Edukacji i Kultury (EACEA)</w:t>
      </w:r>
      <w:r w:rsidRPr="003E3D16">
        <w:t xml:space="preserve"> („Agencja”).</w:t>
      </w:r>
    </w:p>
    <w:p w14:paraId="03C747D1" w14:textId="54C3BAAB" w:rsidR="00494E0C" w:rsidRPr="003E3D16" w:rsidRDefault="00330493" w:rsidP="00CC2315">
      <w:pPr>
        <w:spacing w:after="120"/>
      </w:pPr>
      <w:r w:rsidRPr="003E3D16">
        <w:t xml:space="preserve">Zaproszenie obejmuje następujące </w:t>
      </w:r>
      <w:r w:rsidRPr="003E3D16">
        <w:rPr>
          <w:b/>
        </w:rPr>
        <w:t>tematy</w:t>
      </w:r>
      <w:r w:rsidRPr="003E3D16">
        <w:t>:</w:t>
      </w:r>
    </w:p>
    <w:p w14:paraId="0F1AE17D" w14:textId="55D45AD3" w:rsidR="00AD584E" w:rsidRPr="00FE0460" w:rsidRDefault="00AD584E" w:rsidP="42BB08A3">
      <w:pPr>
        <w:numPr>
          <w:ilvl w:val="0"/>
          <w:numId w:val="29"/>
        </w:numPr>
        <w:rPr>
          <w:b/>
          <w:bCs/>
          <w:lang w:val="en-US"/>
        </w:rPr>
      </w:pPr>
      <w:r w:rsidRPr="00FE0460">
        <w:rPr>
          <w:b/>
          <w:bCs/>
          <w:color w:val="A50021"/>
          <w:lang w:val="en-US"/>
        </w:rPr>
        <w:t>CERV-2022-CITIZENS-TOWN-TT (Temat 1)</w:t>
      </w:r>
      <w:r w:rsidRPr="00FE0460">
        <w:rPr>
          <w:b/>
          <w:bCs/>
          <w:lang w:val="en-US"/>
        </w:rPr>
        <w:t xml:space="preserve"> — Partnerstwo miast</w:t>
      </w:r>
    </w:p>
    <w:p w14:paraId="1549339B" w14:textId="4EAD4397" w:rsidR="00AD584E" w:rsidRPr="00FE0460" w:rsidRDefault="00AD584E" w:rsidP="42BB08A3">
      <w:pPr>
        <w:numPr>
          <w:ilvl w:val="0"/>
          <w:numId w:val="29"/>
        </w:numPr>
        <w:rPr>
          <w:lang w:val="en-US"/>
        </w:rPr>
      </w:pPr>
      <w:r w:rsidRPr="00FE0460">
        <w:rPr>
          <w:b/>
          <w:bCs/>
          <w:color w:val="A50021"/>
          <w:lang w:val="en-US"/>
        </w:rPr>
        <w:t>CERV-2022-CITIZENS-TOWN-NT (Temat 2)</w:t>
      </w:r>
      <w:r w:rsidRPr="00FE0460">
        <w:rPr>
          <w:b/>
          <w:bCs/>
          <w:lang w:val="en-US"/>
        </w:rPr>
        <w:t xml:space="preserve"> — Sieci miast</w:t>
      </w:r>
    </w:p>
    <w:p w14:paraId="52501F07" w14:textId="77777777" w:rsidR="00743E49" w:rsidRPr="003E3D16" w:rsidRDefault="00743E49" w:rsidP="00743E49">
      <w:pPr>
        <w:autoSpaceDE w:val="0"/>
        <w:autoSpaceDN w:val="0"/>
        <w:adjustRightInd w:val="0"/>
        <w:rPr>
          <w:rFonts w:cs="Verdana"/>
          <w:color w:val="000000"/>
        </w:rPr>
      </w:pPr>
      <w:r w:rsidRPr="003E3D16">
        <w:t>Każdy wniosek dotyczący projektu w ramach zaproszenia musi dotyczyć tylko jednego z tych tematów. Wnioskodawcy, którzy chcą złożyć wniosek dotyczący więcej niż jednego tematu, muszą złożyć osobny wniosek w ramach każdego tematu.</w:t>
      </w:r>
    </w:p>
    <w:p w14:paraId="043E9BF0" w14:textId="038DC5C9" w:rsidR="004D29DC" w:rsidRPr="003E3D16" w:rsidRDefault="004D29DC" w:rsidP="004D29DC">
      <w:pPr>
        <w:autoSpaceDE w:val="0"/>
        <w:autoSpaceDN w:val="0"/>
        <w:adjustRightInd w:val="0"/>
        <w:rPr>
          <w:rFonts w:cs="Verdana"/>
          <w:color w:val="000000"/>
        </w:rPr>
      </w:pPr>
      <w:r w:rsidRPr="003E3D16">
        <w:rPr>
          <w:color w:val="000000"/>
        </w:rPr>
        <w:t xml:space="preserve">Zachęcamy do dokładnego zapoznania się z dokumentacją dotyczącą zaproszenia, w szczególności z niniejszym ogłoszeniem o zaproszeniu do składania wniosków, wzorem umowy o udzielenie dotacji, </w:t>
      </w:r>
      <w:hyperlink r:id="rId23" w:history="1">
        <w:r w:rsidRPr="003E3D16">
          <w:rPr>
            <w:rStyle w:val="Hyperlink"/>
          </w:rPr>
          <w:t>instrukcją użytkownika portalu Funding and Tenders w wersji online</w:t>
        </w:r>
      </w:hyperlink>
      <w:r w:rsidRPr="003E3D16">
        <w:t xml:space="preserve"> </w:t>
      </w:r>
      <w:r w:rsidRPr="003E3D16">
        <w:rPr>
          <w:bCs/>
          <w:color w:val="000000"/>
        </w:rPr>
        <w:t>oraz</w:t>
      </w:r>
      <w:r w:rsidRPr="003E3D16">
        <w:t xml:space="preserve"> </w:t>
      </w:r>
      <w:hyperlink r:id="rId24" w:history="1">
        <w:r w:rsidRPr="003E3D16">
          <w:rPr>
            <w:rStyle w:val="Hyperlink"/>
          </w:rPr>
          <w:t>umową o udzielenie dotacji z objaśnieniami (AGA)</w:t>
        </w:r>
      </w:hyperlink>
      <w:r w:rsidRPr="003E3D16">
        <w:rPr>
          <w:color w:val="000000"/>
        </w:rPr>
        <w:t>.</w:t>
      </w:r>
    </w:p>
    <w:p w14:paraId="69E91152" w14:textId="77777777" w:rsidR="00494E0C" w:rsidRPr="003E3D16" w:rsidRDefault="00494E0C" w:rsidP="00494E0C">
      <w:pPr>
        <w:autoSpaceDE w:val="0"/>
        <w:autoSpaceDN w:val="0"/>
        <w:adjustRightInd w:val="0"/>
        <w:rPr>
          <w:rFonts w:cs="Verdana"/>
          <w:color w:val="000000"/>
        </w:rPr>
      </w:pPr>
      <w:r w:rsidRPr="003E3D16">
        <w:rPr>
          <w:color w:val="000000"/>
        </w:rPr>
        <w:t xml:space="preserve">Dokumenty te zawierają wyjaśnienia i odpowiedzi na pytania, które mogą zrodzić się w trakcie przygotowywania wniosku: </w:t>
      </w:r>
    </w:p>
    <w:p w14:paraId="2D4A671C" w14:textId="77777777" w:rsidR="00494E0C" w:rsidRPr="003E3D16" w:rsidRDefault="00E06F7E" w:rsidP="00584316">
      <w:pPr>
        <w:numPr>
          <w:ilvl w:val="0"/>
          <w:numId w:val="29"/>
        </w:numPr>
        <w:autoSpaceDE w:val="0"/>
        <w:autoSpaceDN w:val="0"/>
        <w:adjustRightInd w:val="0"/>
        <w:jc w:val="left"/>
        <w:rPr>
          <w:rFonts w:cs="Verdana"/>
          <w:color w:val="000000"/>
        </w:rPr>
      </w:pPr>
      <w:r w:rsidRPr="003E3D16">
        <w:rPr>
          <w:color w:val="000000"/>
          <w:u w:val="single"/>
        </w:rPr>
        <w:t>ogłoszenie o zaproszeniu</w:t>
      </w:r>
      <w:r w:rsidRPr="003E3D16">
        <w:rPr>
          <w:color w:val="000000"/>
        </w:rPr>
        <w:t xml:space="preserve"> zawiera informacje dotyczące: </w:t>
      </w:r>
    </w:p>
    <w:p w14:paraId="1A625B5D" w14:textId="77777777" w:rsidR="00E06F7E" w:rsidRPr="003E3D16" w:rsidRDefault="00E06F7E" w:rsidP="008B1F42">
      <w:pPr>
        <w:numPr>
          <w:ilvl w:val="1"/>
          <w:numId w:val="41"/>
        </w:numPr>
        <w:autoSpaceDE w:val="0"/>
        <w:autoSpaceDN w:val="0"/>
        <w:adjustRightInd w:val="0"/>
        <w:rPr>
          <w:rFonts w:cs="Verdana"/>
          <w:color w:val="000000"/>
        </w:rPr>
      </w:pPr>
      <w:r w:rsidRPr="003E3D16">
        <w:rPr>
          <w:color w:val="000000"/>
        </w:rPr>
        <w:t>kontekstu, celów, zakresu, działań, które mogą zostać dofinansowane, a także zakładanych rezultatów (punkty 1 i 2);</w:t>
      </w:r>
    </w:p>
    <w:p w14:paraId="4A57CF7C" w14:textId="77777777" w:rsidR="00E06F7E" w:rsidRPr="003E3D16" w:rsidRDefault="00E06F7E" w:rsidP="008B1F42">
      <w:pPr>
        <w:numPr>
          <w:ilvl w:val="1"/>
          <w:numId w:val="41"/>
        </w:numPr>
        <w:autoSpaceDE w:val="0"/>
        <w:autoSpaceDN w:val="0"/>
        <w:adjustRightInd w:val="0"/>
        <w:rPr>
          <w:rFonts w:cs="Verdana"/>
          <w:color w:val="000000"/>
        </w:rPr>
      </w:pPr>
      <w:r w:rsidRPr="003E3D16">
        <w:rPr>
          <w:color w:val="000000"/>
        </w:rPr>
        <w:t xml:space="preserve">harmonogramu i przeznaczonej alokacji budżetowej (punkty 3 i 4); </w:t>
      </w:r>
    </w:p>
    <w:p w14:paraId="789651DB" w14:textId="77777777" w:rsidR="00F114D2" w:rsidRPr="003E3D16" w:rsidRDefault="00F114D2" w:rsidP="008B1F42">
      <w:pPr>
        <w:numPr>
          <w:ilvl w:val="1"/>
          <w:numId w:val="41"/>
        </w:numPr>
        <w:autoSpaceDE w:val="0"/>
        <w:autoSpaceDN w:val="0"/>
        <w:adjustRightInd w:val="0"/>
        <w:rPr>
          <w:rFonts w:cs="Verdana"/>
          <w:color w:val="000000"/>
        </w:rPr>
      </w:pPr>
      <w:r w:rsidRPr="003E3D16">
        <w:rPr>
          <w:color w:val="000000"/>
        </w:rPr>
        <w:t>dopuszczalności i warunków kwalifikowalności (w tym obowiązkowe dokumenty; punkty 5 i 6);</w:t>
      </w:r>
    </w:p>
    <w:p w14:paraId="39CF2DC1" w14:textId="77777777" w:rsidR="00F114D2" w:rsidRPr="003E3D16" w:rsidRDefault="00F114D2" w:rsidP="008B1F42">
      <w:pPr>
        <w:numPr>
          <w:ilvl w:val="1"/>
          <w:numId w:val="41"/>
        </w:numPr>
        <w:autoSpaceDE w:val="0"/>
        <w:autoSpaceDN w:val="0"/>
        <w:adjustRightInd w:val="0"/>
        <w:rPr>
          <w:rFonts w:cs="Verdana"/>
          <w:color w:val="000000"/>
        </w:rPr>
      </w:pPr>
      <w:r w:rsidRPr="003E3D16">
        <w:rPr>
          <w:color w:val="000000"/>
        </w:rPr>
        <w:t>kryteriów zdolności finansowej i operacyjnej oraz wykluczeń (punkt 7);</w:t>
      </w:r>
    </w:p>
    <w:p w14:paraId="418D4BD7" w14:textId="77777777" w:rsidR="00E06F7E" w:rsidRPr="003E3D16" w:rsidRDefault="00E06F7E" w:rsidP="008B1F42">
      <w:pPr>
        <w:numPr>
          <w:ilvl w:val="1"/>
          <w:numId w:val="41"/>
        </w:numPr>
        <w:autoSpaceDE w:val="0"/>
        <w:autoSpaceDN w:val="0"/>
        <w:adjustRightInd w:val="0"/>
        <w:rPr>
          <w:rFonts w:cs="Verdana"/>
          <w:color w:val="000000"/>
        </w:rPr>
      </w:pPr>
      <w:r w:rsidRPr="003E3D16">
        <w:rPr>
          <w:color w:val="000000"/>
        </w:rPr>
        <w:t>procedury wyboru i udzielania dotacji (punkt 8);</w:t>
      </w:r>
    </w:p>
    <w:p w14:paraId="64A33DFC" w14:textId="77777777" w:rsidR="00510B7E" w:rsidRPr="003E3D16" w:rsidRDefault="00510B7E" w:rsidP="008B1F42">
      <w:pPr>
        <w:numPr>
          <w:ilvl w:val="1"/>
          <w:numId w:val="41"/>
        </w:numPr>
        <w:autoSpaceDE w:val="0"/>
        <w:autoSpaceDN w:val="0"/>
        <w:adjustRightInd w:val="0"/>
        <w:rPr>
          <w:rFonts w:cs="Verdana"/>
          <w:color w:val="000000"/>
        </w:rPr>
      </w:pPr>
      <w:r w:rsidRPr="003E3D16">
        <w:rPr>
          <w:color w:val="000000"/>
        </w:rPr>
        <w:t xml:space="preserve">kryteriów wyboru (punkt 9); </w:t>
      </w:r>
    </w:p>
    <w:p w14:paraId="658DE64E" w14:textId="77777777" w:rsidR="00736C6F" w:rsidRPr="003E3D16" w:rsidRDefault="00E06F7E" w:rsidP="008B1F42">
      <w:pPr>
        <w:numPr>
          <w:ilvl w:val="1"/>
          <w:numId w:val="41"/>
        </w:numPr>
        <w:autoSpaceDE w:val="0"/>
        <w:autoSpaceDN w:val="0"/>
        <w:adjustRightInd w:val="0"/>
        <w:rPr>
          <w:rFonts w:cs="Verdana"/>
          <w:color w:val="000000"/>
        </w:rPr>
      </w:pPr>
      <w:r w:rsidRPr="003E3D16">
        <w:rPr>
          <w:color w:val="000000"/>
        </w:rPr>
        <w:t>prawnych i finansowych ram umowy o udzielenie dotacji (punkt 10);</w:t>
      </w:r>
    </w:p>
    <w:p w14:paraId="0FC91E8C" w14:textId="77777777" w:rsidR="00604FA0" w:rsidRPr="003E3D16" w:rsidRDefault="00604FA0" w:rsidP="008B1F42">
      <w:pPr>
        <w:numPr>
          <w:ilvl w:val="1"/>
          <w:numId w:val="41"/>
        </w:numPr>
        <w:autoSpaceDE w:val="0"/>
        <w:autoSpaceDN w:val="0"/>
        <w:adjustRightInd w:val="0"/>
        <w:rPr>
          <w:rFonts w:cs="Verdana"/>
          <w:color w:val="000000"/>
        </w:rPr>
      </w:pPr>
      <w:r w:rsidRPr="003E3D16">
        <w:t>sposobu składania wniosku (punkt 11).</w:t>
      </w:r>
    </w:p>
    <w:p w14:paraId="31A59D07" w14:textId="77777777" w:rsidR="00494E0C" w:rsidRPr="003E3D16" w:rsidRDefault="00E06F7E" w:rsidP="00584316">
      <w:pPr>
        <w:numPr>
          <w:ilvl w:val="0"/>
          <w:numId w:val="29"/>
        </w:numPr>
        <w:autoSpaceDE w:val="0"/>
        <w:autoSpaceDN w:val="0"/>
        <w:adjustRightInd w:val="0"/>
        <w:jc w:val="left"/>
        <w:rPr>
          <w:rFonts w:cs="Verdana"/>
          <w:color w:val="000000"/>
        </w:rPr>
      </w:pPr>
      <w:r w:rsidRPr="003E3D16">
        <w:rPr>
          <w:color w:val="000000"/>
          <w:u w:val="single"/>
        </w:rPr>
        <w:t>Instrukcja użytkownika w wersji online</w:t>
      </w:r>
      <w:r w:rsidRPr="003E3D16">
        <w:rPr>
          <w:color w:val="000000"/>
        </w:rPr>
        <w:t xml:space="preserve"> zawiera informacje dotyczące: </w:t>
      </w:r>
    </w:p>
    <w:p w14:paraId="3985E9EA" w14:textId="77777777" w:rsidR="00494E0C" w:rsidRPr="003E3D16" w:rsidRDefault="00494E0C" w:rsidP="008B1F42">
      <w:pPr>
        <w:numPr>
          <w:ilvl w:val="1"/>
          <w:numId w:val="41"/>
        </w:numPr>
        <w:autoSpaceDE w:val="0"/>
        <w:autoSpaceDN w:val="0"/>
        <w:adjustRightInd w:val="0"/>
        <w:rPr>
          <w:rFonts w:cs="Verdana"/>
        </w:rPr>
      </w:pPr>
      <w:r w:rsidRPr="003E3D16">
        <w:lastRenderedPageBreak/>
        <w:t xml:space="preserve">sposobu rejestracji i składania wniosków online za pośrednictwem unijnego portalu Funding and Tenders (zwanego dalej „portalem”); </w:t>
      </w:r>
    </w:p>
    <w:p w14:paraId="616B7DB6" w14:textId="77777777" w:rsidR="00494E0C" w:rsidRPr="003E3D16" w:rsidRDefault="00494E0C" w:rsidP="008B1F42">
      <w:pPr>
        <w:numPr>
          <w:ilvl w:val="1"/>
          <w:numId w:val="41"/>
        </w:numPr>
        <w:autoSpaceDE w:val="0"/>
        <w:autoSpaceDN w:val="0"/>
        <w:adjustRightInd w:val="0"/>
        <w:rPr>
          <w:rFonts w:cs="Verdana"/>
          <w:color w:val="000000"/>
        </w:rPr>
      </w:pPr>
      <w:r w:rsidRPr="003E3D16">
        <w:rPr>
          <w:color w:val="000000"/>
        </w:rPr>
        <w:t>rekomendacje dotyczące przygotowania wniosku.</w:t>
      </w:r>
    </w:p>
    <w:p w14:paraId="73C2A8CC" w14:textId="79977971" w:rsidR="00494E0C" w:rsidRPr="003E3D16" w:rsidRDefault="00524F18" w:rsidP="00584316">
      <w:pPr>
        <w:numPr>
          <w:ilvl w:val="0"/>
          <w:numId w:val="29"/>
        </w:numPr>
        <w:autoSpaceDE w:val="0"/>
        <w:autoSpaceDN w:val="0"/>
        <w:adjustRightInd w:val="0"/>
        <w:jc w:val="left"/>
        <w:rPr>
          <w:rFonts w:cs="Verdana"/>
          <w:color w:val="000000"/>
        </w:rPr>
      </w:pPr>
      <w:r w:rsidRPr="003E3D16">
        <w:rPr>
          <w:color w:val="000000"/>
          <w:u w:val="single"/>
        </w:rPr>
        <w:t>AGA — umowa o udzielenie dotacji z objaśnieniami</w:t>
      </w:r>
      <w:r w:rsidRPr="003E3D16">
        <w:rPr>
          <w:color w:val="000000"/>
        </w:rPr>
        <w:t xml:space="preserve"> zawiera:</w:t>
      </w:r>
    </w:p>
    <w:p w14:paraId="0DD299B7" w14:textId="77777777" w:rsidR="00494E0C" w:rsidRPr="003E3D16" w:rsidRDefault="00736C6F" w:rsidP="008B1F42">
      <w:pPr>
        <w:numPr>
          <w:ilvl w:val="1"/>
          <w:numId w:val="41"/>
        </w:numPr>
        <w:autoSpaceDE w:val="0"/>
        <w:autoSpaceDN w:val="0"/>
        <w:adjustRightInd w:val="0"/>
        <w:rPr>
          <w:rFonts w:cs="Verdana"/>
          <w:color w:val="000000"/>
        </w:rPr>
      </w:pPr>
      <w:r w:rsidRPr="003E3D16">
        <w:rPr>
          <w:color w:val="000000"/>
        </w:rPr>
        <w:t xml:space="preserve">szczegółowe objaśnienia dotyczące wszystkich postanowień umowy o udzielenie dotacji, którą należy podpisać w celu uzyskania dotacji </w:t>
      </w:r>
      <w:r w:rsidRPr="003E3D16">
        <w:rPr>
          <w:i/>
          <w:color w:val="000000"/>
        </w:rPr>
        <w:t>(w szczególności dotyczących kwalifikowalności kosztów, harmonogramu płatności, dodatkowych zobowiązań itp.)</w:t>
      </w:r>
      <w:r w:rsidRPr="003E3D16">
        <w:rPr>
          <w:color w:val="000000"/>
        </w:rPr>
        <w:t xml:space="preserve">. </w:t>
      </w:r>
    </w:p>
    <w:p w14:paraId="635FC1D8" w14:textId="40F8A550" w:rsidR="00774448" w:rsidRPr="003E3D16" w:rsidRDefault="00526CED" w:rsidP="42BB08A3">
      <w:pPr>
        <w:autoSpaceDE w:val="0"/>
        <w:autoSpaceDN w:val="0"/>
        <w:adjustRightInd w:val="0"/>
        <w:rPr>
          <w:rFonts w:cs="Verdana"/>
          <w:color w:val="000000"/>
        </w:rPr>
      </w:pPr>
      <w:r w:rsidRPr="003E3D16">
        <w:rPr>
          <w:color w:val="000000"/>
        </w:rPr>
        <w:t xml:space="preserve">Można także zapoznać się z wykazem wcześniej finansowanych projektów na </w:t>
      </w:r>
      <w:hyperlink r:id="rId25" w:history="1">
        <w:r w:rsidRPr="003E3D16">
          <w:rPr>
            <w:rStyle w:val="Hyperlink"/>
          </w:rPr>
          <w:t>stronie z wynikami projektów w ramach programu Europa dla Obywateli</w:t>
        </w:r>
      </w:hyperlink>
      <w:r w:rsidRPr="003E3D16">
        <w:rPr>
          <w:color w:val="000000"/>
        </w:rPr>
        <w:t xml:space="preserve">, </w:t>
      </w:r>
      <w:hyperlink r:id="rId26" w:history="1">
        <w:r w:rsidRPr="003E3D16">
          <w:rPr>
            <w:rStyle w:val="Hyperlink"/>
          </w:rPr>
          <w:t>stronie z wynikami programu „Prawa, równość i obywatelstwo”</w:t>
        </w:r>
      </w:hyperlink>
      <w:r w:rsidRPr="003E3D16">
        <w:rPr>
          <w:color w:val="000000"/>
        </w:rPr>
        <w:t xml:space="preserve"> oraz </w:t>
      </w:r>
      <w:hyperlink r:id="rId27" w:history="1">
        <w:r w:rsidRPr="003E3D16">
          <w:rPr>
            <w:rStyle w:val="Hyperlink"/>
          </w:rPr>
          <w:t>stronie z zasobami i narzędziami programu Dafne</w:t>
        </w:r>
      </w:hyperlink>
      <w:r w:rsidRPr="003E3D16">
        <w:rPr>
          <w:color w:val="000000"/>
        </w:rPr>
        <w:t xml:space="preserve">. </w:t>
      </w:r>
    </w:p>
    <w:p w14:paraId="6B9C566E" w14:textId="6F44641E" w:rsidR="00B57534" w:rsidRPr="003E3D16" w:rsidRDefault="00B57534" w:rsidP="00623078">
      <w:pPr>
        <w:pStyle w:val="Heading1"/>
        <w:numPr>
          <w:ilvl w:val="0"/>
          <w:numId w:val="54"/>
        </w:numPr>
        <w:tabs>
          <w:tab w:val="left" w:pos="284"/>
        </w:tabs>
        <w:ind w:left="0" w:firstLine="0"/>
      </w:pPr>
      <w:bookmarkStart w:id="2" w:name="_Toc92978216"/>
      <w:r w:rsidRPr="003E3D16">
        <w:t>Informacje ogólne</w:t>
      </w:r>
      <w:bookmarkEnd w:id="2"/>
    </w:p>
    <w:p w14:paraId="369A6579" w14:textId="3C1F1087" w:rsidR="0062273B" w:rsidRPr="003E3D16" w:rsidRDefault="008B1F42" w:rsidP="00623078">
      <w:pPr>
        <w:pStyle w:val="paragraph"/>
        <w:spacing w:before="0" w:beforeAutospacing="0" w:after="200" w:afterAutospacing="0"/>
        <w:jc w:val="both"/>
        <w:textAlignment w:val="baseline"/>
        <w:rPr>
          <w:rStyle w:val="normaltextrun"/>
          <w:rFonts w:ascii="Verdana" w:hAnsi="Verdana"/>
          <w:sz w:val="20"/>
          <w:szCs w:val="20"/>
        </w:rPr>
      </w:pPr>
      <w:r w:rsidRPr="003E3D16">
        <w:rPr>
          <w:rFonts w:ascii="Verdana" w:hAnsi="Verdana"/>
          <w:sz w:val="20"/>
          <w:szCs w:val="20"/>
        </w:rPr>
        <w:t>Program „Obywatele, równość, prawa i wartości” zapewnia środki finansowe na rzecz zaangażowania obywateli, równości dla wszystkich oraz wdrażania praw i wartości UE. Program „Obywatele, równość, prawa i wartości” (zwany dalej „programem”) łączy dawny program „Prawa, równość i obywatelstwo”</w:t>
      </w:r>
      <w:r w:rsidRPr="003E3D16">
        <w:rPr>
          <w:rFonts w:ascii="Verdana" w:hAnsi="Verdana"/>
          <w:sz w:val="20"/>
          <w:szCs w:val="20"/>
          <w:lang w:val="en-GB"/>
        </w:rPr>
        <w:footnoteReference w:id="4"/>
      </w:r>
      <w:r w:rsidRPr="003E3D16">
        <w:rPr>
          <w:rFonts w:ascii="Verdana" w:hAnsi="Verdana"/>
          <w:sz w:val="20"/>
          <w:szCs w:val="20"/>
        </w:rPr>
        <w:t xml:space="preserve"> oraz dawny program „Europa dla Obywateli”</w:t>
      </w:r>
      <w:r w:rsidRPr="003E3D16">
        <w:rPr>
          <w:rStyle w:val="FootnoteReference"/>
          <w:rFonts w:ascii="Verdana" w:hAnsi="Verdana"/>
          <w:sz w:val="20"/>
          <w:szCs w:val="20"/>
          <w:lang w:val="en-GB"/>
        </w:rPr>
        <w:footnoteReference w:id="5"/>
      </w:r>
      <w:r w:rsidRPr="003E3D16">
        <w:rPr>
          <w:rFonts w:ascii="Verdana" w:hAnsi="Verdana"/>
          <w:sz w:val="20"/>
          <w:szCs w:val="20"/>
        </w:rPr>
        <w:t>.</w:t>
      </w:r>
    </w:p>
    <w:p w14:paraId="516FC889" w14:textId="77777777" w:rsidR="008B1F42" w:rsidRPr="003E3D16" w:rsidRDefault="008B1F42" w:rsidP="008B1F42">
      <w:pPr>
        <w:rPr>
          <w:rFonts w:eastAsia="Verdana" w:cs="Verdana"/>
        </w:rPr>
      </w:pPr>
      <w:r w:rsidRPr="003E3D16">
        <w:t>W ramach programu propaguje się wymianę między osobami z różnych krajów, wzmacnia się wzajemne zrozumienie i tolerancję oraz zapewnia tym osobom możliwość poszerzenia perspektywy i rozwijania poczucia przynależności i tożsamości europejskiej poprzez tworzenie partnerstw miast i sieci miast. Przy zachowaniu podejścia oddolnego program umożliwia również, w szczególności sieciom miast, skoncentrowanie się na priorytetach UE. Jego celem jest na przykład zwiększenie wiedzy obywateli na temat Karty praw podstawowych Unii Europejskiej, przyczynienie się do zwiększenia frekwencji i kandydowania w wyborach do Parlamentu Europejskiego oraz zwiększenie świadomości na temat dyskryminacji, rasizmu i ich konsekwencji.</w:t>
      </w:r>
    </w:p>
    <w:p w14:paraId="65A00F56" w14:textId="4DA47FF4" w:rsidR="009A57EA" w:rsidRPr="003E3D16" w:rsidRDefault="008B1F42" w:rsidP="0062273B">
      <w:pPr>
        <w:spacing w:after="0"/>
        <w:rPr>
          <w:rFonts w:eastAsia="Verdana" w:cs="Verdana"/>
        </w:rPr>
      </w:pPr>
      <w:r w:rsidRPr="003E3D16">
        <w:t>Niniejsze zaproszenie do składania wniosków ma na celu wspieranie następujących inicjatyw politycznych: europejski plan działania na rzecz demokracji</w:t>
      </w:r>
      <w:r w:rsidRPr="003E3D16">
        <w:rPr>
          <w:rStyle w:val="FootnoteReference"/>
          <w:rFonts w:eastAsia="Verdana" w:cs="Verdana"/>
        </w:rPr>
        <w:footnoteReference w:id="6"/>
      </w:r>
      <w:r w:rsidRPr="003E3D16">
        <w:t>, unijne ramy strategiczne na rzecz równouprawnienia, włączenia społecznego i udziału Romów</w:t>
      </w:r>
      <w:r w:rsidRPr="003E3D16">
        <w:rPr>
          <w:rStyle w:val="FootnoteReference"/>
          <w:rFonts w:eastAsia="Verdana" w:cs="Verdana"/>
        </w:rPr>
        <w:footnoteReference w:id="7"/>
      </w:r>
      <w:r w:rsidRPr="003E3D16">
        <w:t>, Strategia na rzecz wzmocnienia stosowania Karty praw podstawowych w UE</w:t>
      </w:r>
      <w:r w:rsidRPr="003E3D16">
        <w:rPr>
          <w:rStyle w:val="FootnoteReference"/>
          <w:rFonts w:eastAsia="Verdana" w:cs="Verdana"/>
        </w:rPr>
        <w:footnoteReference w:id="8"/>
      </w:r>
      <w:r w:rsidRPr="003E3D16">
        <w:t>, sprawozdanie na temat obywatelstwa UE za 2020 r.</w:t>
      </w:r>
      <w:r w:rsidRPr="003E3D16">
        <w:rPr>
          <w:rStyle w:val="FootnoteReference"/>
          <w:rFonts w:eastAsia="Verdana" w:cs="Verdana"/>
        </w:rPr>
        <w:footnoteReference w:id="9"/>
      </w:r>
      <w:r w:rsidRPr="003E3D16">
        <w:t xml:space="preserve"> </w:t>
      </w:r>
    </w:p>
    <w:p w14:paraId="3ACDA2AF" w14:textId="77777777" w:rsidR="0062273B" w:rsidRPr="003E3D16" w:rsidRDefault="0062273B" w:rsidP="0062273B">
      <w:pPr>
        <w:spacing w:after="0"/>
      </w:pPr>
    </w:p>
    <w:p w14:paraId="2B0ABE9D" w14:textId="5A8C4B79" w:rsidR="00CC2315" w:rsidRPr="003E3D16" w:rsidRDefault="00276AD7" w:rsidP="00623078">
      <w:pPr>
        <w:pStyle w:val="Heading1"/>
        <w:numPr>
          <w:ilvl w:val="0"/>
          <w:numId w:val="54"/>
        </w:numPr>
        <w:tabs>
          <w:tab w:val="left" w:pos="284"/>
        </w:tabs>
        <w:ind w:left="0" w:firstLine="0"/>
      </w:pPr>
      <w:bookmarkStart w:id="3" w:name="_Toc92978217"/>
      <w:r w:rsidRPr="003E3D16">
        <w:t>Cele — Tematy i priorytety — Działania, które mogą uzyskać dofinansowanie — Oczekiwane oddziaływanie</w:t>
      </w:r>
      <w:bookmarkEnd w:id="3"/>
    </w:p>
    <w:p w14:paraId="10C94222" w14:textId="3D5C2B6B" w:rsidR="008B1F42" w:rsidRPr="00FE0460" w:rsidRDefault="00BF7239" w:rsidP="003E3D16">
      <w:pPr>
        <w:keepNext/>
        <w:widowControl w:val="0"/>
        <w:outlineLvl w:val="1"/>
        <w:rPr>
          <w:b/>
          <w:bCs/>
          <w:color w:val="A50021"/>
          <w:u w:val="single"/>
          <w:lang w:val="en-US"/>
        </w:rPr>
      </w:pPr>
      <w:r w:rsidRPr="00FE0460">
        <w:rPr>
          <w:b/>
          <w:bCs/>
          <w:color w:val="A50021"/>
          <w:u w:val="single"/>
          <w:lang w:val="en-US"/>
        </w:rPr>
        <w:t>CERV-2022-CITIZENS-TOWN-TT – Partnerstwo miast</w:t>
      </w:r>
    </w:p>
    <w:p w14:paraId="13FAC18F" w14:textId="77777777" w:rsidR="008B1F42" w:rsidRPr="003E3D16" w:rsidRDefault="008B1F42" w:rsidP="008B1F42">
      <w:pPr>
        <w:pStyle w:val="Heading3"/>
      </w:pPr>
      <w:bookmarkStart w:id="4" w:name="_Toc92978218"/>
      <w:r w:rsidRPr="003E3D16">
        <w:t>Cele</w:t>
      </w:r>
      <w:bookmarkEnd w:id="4"/>
      <w:r w:rsidRPr="003E3D16">
        <w:t xml:space="preserve"> </w:t>
      </w:r>
    </w:p>
    <w:p w14:paraId="15E04F10" w14:textId="77777777" w:rsidR="008B1F42" w:rsidRPr="003E3D16" w:rsidRDefault="008B1F42" w:rsidP="008B1F42">
      <w:pPr>
        <w:pStyle w:val="ListParagraph"/>
        <w:numPr>
          <w:ilvl w:val="0"/>
          <w:numId w:val="47"/>
        </w:numPr>
        <w:snapToGrid w:val="0"/>
        <w:spacing w:after="200"/>
        <w:jc w:val="both"/>
        <w:rPr>
          <w:rFonts w:eastAsia="Verdana" w:cs="Verdana"/>
        </w:rPr>
      </w:pPr>
      <w:r w:rsidRPr="003E3D16">
        <w:rPr>
          <w:sz w:val="20"/>
          <w:szCs w:val="20"/>
        </w:rPr>
        <w:t>propagowanie wymian między obywatelami różnych krajów;</w:t>
      </w:r>
    </w:p>
    <w:p w14:paraId="5945D08F" w14:textId="77777777" w:rsidR="008B1F42" w:rsidRPr="003E3D16" w:rsidRDefault="008B1F42" w:rsidP="008B1F42">
      <w:pPr>
        <w:pStyle w:val="ListParagraph"/>
        <w:numPr>
          <w:ilvl w:val="0"/>
          <w:numId w:val="47"/>
        </w:numPr>
        <w:snapToGrid w:val="0"/>
        <w:spacing w:after="200"/>
        <w:jc w:val="both"/>
        <w:rPr>
          <w:rFonts w:eastAsia="Verdana" w:cs="Verdana"/>
        </w:rPr>
      </w:pPr>
      <w:r w:rsidRPr="003E3D16">
        <w:rPr>
          <w:sz w:val="20"/>
          <w:szCs w:val="20"/>
        </w:rPr>
        <w:lastRenderedPageBreak/>
        <w:t>umożliwienie obywatelom poznania różnorodności kulturowej Unii Europejskiej i uświadomienie im, że wartości europejskie i dziedzictwo kulturowe stanowią podstawę wspólnej przyszłości</w:t>
      </w:r>
      <w:r w:rsidRPr="003E3D16">
        <w:rPr>
          <w:iCs/>
          <w:sz w:val="20"/>
          <w:szCs w:val="20"/>
        </w:rPr>
        <w:t xml:space="preserve">; </w:t>
      </w:r>
    </w:p>
    <w:p w14:paraId="665EDD2E" w14:textId="77777777" w:rsidR="008B1F42" w:rsidRPr="003E3D16" w:rsidRDefault="008B1F42" w:rsidP="008B1F42">
      <w:pPr>
        <w:pStyle w:val="ListParagraph"/>
        <w:numPr>
          <w:ilvl w:val="0"/>
          <w:numId w:val="47"/>
        </w:numPr>
        <w:snapToGrid w:val="0"/>
        <w:spacing w:after="200"/>
        <w:jc w:val="both"/>
        <w:rPr>
          <w:rFonts w:eastAsia="Verdana" w:cs="Verdana"/>
        </w:rPr>
      </w:pPr>
      <w:r w:rsidRPr="003E3D16">
        <w:rPr>
          <w:sz w:val="20"/>
          <w:szCs w:val="20"/>
        </w:rPr>
        <w:t>zagwarantowanie pokojowych stosunków między Europejczykami i zapewnienie ich aktywnego udziału na szczeblu lokalnym;</w:t>
      </w:r>
    </w:p>
    <w:p w14:paraId="605828BE" w14:textId="77777777" w:rsidR="008B1F42" w:rsidRPr="003E3D16" w:rsidRDefault="008B1F42" w:rsidP="008B1F42">
      <w:pPr>
        <w:pStyle w:val="ListParagraph"/>
        <w:numPr>
          <w:ilvl w:val="0"/>
          <w:numId w:val="47"/>
        </w:numPr>
        <w:snapToGrid w:val="0"/>
        <w:spacing w:after="200"/>
        <w:jc w:val="both"/>
        <w:rPr>
          <w:rFonts w:eastAsia="Verdana" w:cs="Verdana"/>
        </w:rPr>
      </w:pPr>
      <w:r w:rsidRPr="003E3D16">
        <w:rPr>
          <w:sz w:val="20"/>
          <w:szCs w:val="20"/>
        </w:rPr>
        <w:t>wzmocnienie wzajemnego zrozumienia i przyjaźni między obywatelami Unii;</w:t>
      </w:r>
    </w:p>
    <w:p w14:paraId="311FE49B" w14:textId="77777777" w:rsidR="008B1F42" w:rsidRPr="003E3D16" w:rsidRDefault="008B1F42" w:rsidP="008B1F42">
      <w:pPr>
        <w:pStyle w:val="ListParagraph"/>
        <w:numPr>
          <w:ilvl w:val="0"/>
          <w:numId w:val="47"/>
        </w:numPr>
        <w:snapToGrid w:val="0"/>
        <w:spacing w:after="200"/>
        <w:jc w:val="both"/>
        <w:rPr>
          <w:rFonts w:eastAsia="Verdana" w:cs="Verdana"/>
          <w:sz w:val="20"/>
          <w:szCs w:val="20"/>
        </w:rPr>
      </w:pPr>
      <w:r w:rsidRPr="003E3D16">
        <w:rPr>
          <w:sz w:val="20"/>
          <w:szCs w:val="20"/>
        </w:rPr>
        <w:t>zachęcanie do współpracy między gminami i wymiany najlepszych praktyk;</w:t>
      </w:r>
    </w:p>
    <w:p w14:paraId="2F91D125" w14:textId="77777777" w:rsidR="008B1F42" w:rsidRPr="003E3D16" w:rsidRDefault="008B1F42" w:rsidP="008B1F42">
      <w:pPr>
        <w:pStyle w:val="ListParagraph"/>
        <w:numPr>
          <w:ilvl w:val="0"/>
          <w:numId w:val="47"/>
        </w:numPr>
        <w:snapToGrid w:val="0"/>
        <w:spacing w:after="200"/>
        <w:jc w:val="both"/>
        <w:rPr>
          <w:rFonts w:eastAsia="Verdana" w:cs="Verdana"/>
          <w:sz w:val="20"/>
          <w:szCs w:val="20"/>
        </w:rPr>
      </w:pPr>
      <w:r w:rsidRPr="003E3D16">
        <w:rPr>
          <w:sz w:val="20"/>
          <w:szCs w:val="20"/>
        </w:rPr>
        <w:t>wspieranie dobrych rządów na szczeblu lokalnym i wzmocnienie roli władz lokalnych i regionalnych w procesie integracji europejskiej.</w:t>
      </w:r>
    </w:p>
    <w:p w14:paraId="0811532F" w14:textId="77777777" w:rsidR="008B1F42" w:rsidRPr="003E3D16" w:rsidRDefault="008B1F42" w:rsidP="008B1F42">
      <w:pPr>
        <w:pStyle w:val="ListParagraph"/>
        <w:spacing w:after="200"/>
        <w:ind w:left="0"/>
        <w:jc w:val="both"/>
        <w:rPr>
          <w:rFonts w:eastAsia="Verdana" w:cs="Verdana"/>
          <w:sz w:val="20"/>
          <w:szCs w:val="20"/>
        </w:rPr>
      </w:pPr>
    </w:p>
    <w:p w14:paraId="18B8EBBE" w14:textId="2BAD98CB" w:rsidR="008B1F42" w:rsidRPr="003E3D16" w:rsidRDefault="008B1F42" w:rsidP="00CC2315">
      <w:pPr>
        <w:pStyle w:val="ListParagraph"/>
        <w:spacing w:after="200"/>
        <w:ind w:left="0"/>
        <w:jc w:val="both"/>
        <w:rPr>
          <w:rFonts w:eastAsia="Verdana" w:cs="Verdana"/>
          <w:sz w:val="20"/>
          <w:szCs w:val="20"/>
        </w:rPr>
      </w:pPr>
      <w:r w:rsidRPr="003E3D16">
        <w:rPr>
          <w:sz w:val="20"/>
          <w:szCs w:val="20"/>
        </w:rPr>
        <w:t>Oczekuje się, że projekty w dziedzinie partnerstwa miast będą odzwierciedlały nową narrację Europy, zorientowaną na obywateli, propagującą równość, wybiegającą w przyszłość i konstruktywną, która będzie bardziej interesująca zwłaszcza dla młodszych pokoleń. Projekty mogą opierać się na wynikach konsultacji z obywatelami i mogą prowadzić do debat na temat konkretnych sposobów tworzenia bardziej demokratycznej Unii, umożliwienia obywatelom ponownego zaangażowania się w sprawy UE i rozwinięcia silniejszego poczucia odpowiedzialności za projekt europejski.</w:t>
      </w:r>
    </w:p>
    <w:p w14:paraId="6C324617" w14:textId="7DEA1873" w:rsidR="008B1F42" w:rsidRPr="003E3D16" w:rsidRDefault="008B1F42" w:rsidP="008B1F42">
      <w:pPr>
        <w:pStyle w:val="Heading3"/>
      </w:pPr>
      <w:bookmarkStart w:id="5" w:name="_Toc92978219"/>
      <w:r w:rsidRPr="003E3D16">
        <w:t>Tematy i priorytety (zakres)</w:t>
      </w:r>
      <w:bookmarkEnd w:id="5"/>
    </w:p>
    <w:p w14:paraId="5FB7D970" w14:textId="77777777" w:rsidR="008B1F42" w:rsidRPr="003E3D16" w:rsidRDefault="008B1F42" w:rsidP="008B1F42">
      <w:pPr>
        <w:numPr>
          <w:ilvl w:val="0"/>
          <w:numId w:val="48"/>
        </w:numPr>
        <w:rPr>
          <w:rFonts w:eastAsia="Verdana" w:cs="Verdana"/>
        </w:rPr>
      </w:pPr>
      <w:r w:rsidRPr="003E3D16">
        <w:rPr>
          <w:b/>
          <w:bCs/>
        </w:rPr>
        <w:t>Podnoszenie świadomości na temat bogactwa środowiska kulturowego i językowego w Europie</w:t>
      </w:r>
    </w:p>
    <w:p w14:paraId="2B1D8BE9" w14:textId="77777777" w:rsidR="008B1F42" w:rsidRPr="003E3D16" w:rsidRDefault="008B1F42" w:rsidP="008B1F42">
      <w:pPr>
        <w:rPr>
          <w:rFonts w:eastAsia="Verdana" w:cs="Verdana"/>
        </w:rPr>
      </w:pPr>
      <w:r w:rsidRPr="003E3D16">
        <w:t xml:space="preserve">Program przyczynia się do promowania dialogu międzykulturowego, gdyż zbliża osoby o różnych narodowościach, posługujące się różnymi językami, oraz daje im możliwość uczestniczenia we wspólnych działaniach. W tym kontekście projekty w dziedzinie partnerstwa miast powinny zwiększać świadomość na temat bogactwa środowiska kulturowego i językowego w Europie oraz promować wzajemne zrozumienie i tolerancję, przyczyniając się tym samym do rozwoju opartej na szacunku, dynamicznej i wieloaspektowej tożsamości europejskiej oraz poszanowania wspólnych wartości, demokracji i praw podstawowych. </w:t>
      </w:r>
    </w:p>
    <w:p w14:paraId="278D248A" w14:textId="77777777" w:rsidR="008B1F42" w:rsidRPr="003E3D16" w:rsidRDefault="008B1F42" w:rsidP="008B1F42">
      <w:pPr>
        <w:numPr>
          <w:ilvl w:val="0"/>
          <w:numId w:val="48"/>
        </w:numPr>
        <w:rPr>
          <w:rFonts w:eastAsia="Verdana" w:cs="Verdana"/>
        </w:rPr>
      </w:pPr>
      <w:r w:rsidRPr="003E3D16">
        <w:rPr>
          <w:b/>
          <w:bCs/>
        </w:rPr>
        <w:t>Podnoszenie świadomości na temat znaczenia wzmocnienia procesu integracji europejskiej opartego na solidarności</w:t>
      </w:r>
    </w:p>
    <w:p w14:paraId="6CBF9321" w14:textId="77777777" w:rsidR="008B1F42" w:rsidRPr="003E3D16" w:rsidRDefault="008B1F42" w:rsidP="008B1F42">
      <w:pPr>
        <w:rPr>
          <w:rFonts w:eastAsia="Verdana" w:cs="Verdana"/>
        </w:rPr>
      </w:pPr>
      <w:r w:rsidRPr="003E3D16">
        <w:t>Unia Europejska opiera się na solidarności: solidarności między obywatelami, solidarności ponad granicami okazywanej sobie wzajemnie przez państwa członkowskie oraz solidarności poprzez wspieranie działań wewnątrz Unii i poza nią. Solidarność jest wspólną wartością, która buduje spójność i stanowi odpowiedź na wyzwania społeczne. Projekty w dziedzinie partnerstwa miast powinny przyczyniać się do pokonywania krajowych uprzedzeń poprzez wspieranie wzajemnego zrozumienia i tworzenie forów, na których w konstruktywny sposób można omawiać wspólne rozwiązania. Ich celem powinno być zwiększenie świadomości na temat znaczenia wzmocnienia procesu integracji europejskiej opartego na solidarności i wspólnych wartościach.</w:t>
      </w:r>
    </w:p>
    <w:p w14:paraId="0C7C4065" w14:textId="77777777" w:rsidR="008B1F42" w:rsidRPr="003E3D16" w:rsidRDefault="008B1F42" w:rsidP="008B1F42">
      <w:pPr>
        <w:numPr>
          <w:ilvl w:val="0"/>
          <w:numId w:val="48"/>
        </w:numPr>
        <w:rPr>
          <w:rFonts w:eastAsia="Verdana" w:cs="Verdana"/>
        </w:rPr>
      </w:pPr>
      <w:r w:rsidRPr="003E3D16">
        <w:rPr>
          <w:b/>
          <w:bCs/>
        </w:rPr>
        <w:t xml:space="preserve">Rozwijanie poczucia przynależności do Europy poprzez promowanie debaty na temat przyszłości Europy </w:t>
      </w:r>
    </w:p>
    <w:p w14:paraId="1B7C766D" w14:textId="77777777" w:rsidR="008B1F42" w:rsidRPr="003E3D16" w:rsidRDefault="008B1F42" w:rsidP="008B1F42">
      <w:pPr>
        <w:rPr>
          <w:rFonts w:eastAsia="Verdana" w:cs="Verdana"/>
        </w:rPr>
      </w:pPr>
      <w:r w:rsidRPr="003E3D16">
        <w:t xml:space="preserve">Projekty w dziedzinie partnerstwa miast powinny zapewnić obywatelom możliwość wyrażenia swojego zdania na temat tego, jakiego rodzaju Europy chcą. Debaty wspierane w ramach partnerstwa miast powinny opierać się na konkretnych osiągnięciach Unii Europejskiej oraz na wnioskach wyciągniętych z historii. Debaty takie powinny również uwzględniać obecne tendencje i umożliwić uczestnikom kwestionowanie eurosceptycyzmu poprzez zaproponowanie ewentualnych działań, które Unia Europejska mogłaby podjąć w celu rozwijania poczucia przynależności do Europy, zrozumienia korzyści płynących z Unii Europejskiej oraz wzmocnienia spójności społecznej i politycznej UE. Gminy partnerskie zachęca się do realizacji celów </w:t>
      </w:r>
      <w:r w:rsidRPr="003E3D16">
        <w:lastRenderedPageBreak/>
        <w:t>Konferencji w sprawie przyszłości Europy</w:t>
      </w:r>
      <w:r w:rsidRPr="003E3D16">
        <w:rPr>
          <w:rStyle w:val="FootnoteReference"/>
          <w:rFonts w:eastAsia="Verdana" w:cs="Verdana"/>
        </w:rPr>
        <w:footnoteReference w:id="10"/>
      </w:r>
      <w:r w:rsidRPr="003E3D16">
        <w:t>. Ponadto debaty powinny promować kulturę wymiany demokratycznej, w której poglądy wszystkich uczestników są jednakowo cenione niezależnie od ich płci, wieku czy pochodzenia etnicznego.</w:t>
      </w:r>
    </w:p>
    <w:p w14:paraId="10D7F696" w14:textId="77777777" w:rsidR="008B1F42" w:rsidRPr="003E3D16" w:rsidRDefault="008B1F42" w:rsidP="008B1F42">
      <w:pPr>
        <w:numPr>
          <w:ilvl w:val="0"/>
          <w:numId w:val="48"/>
        </w:numPr>
        <w:rPr>
          <w:rFonts w:eastAsia="Verdana" w:cs="Verdana"/>
          <w:b/>
          <w:bCs/>
        </w:rPr>
      </w:pPr>
      <w:r w:rsidRPr="003E3D16">
        <w:rPr>
          <w:b/>
          <w:bCs/>
        </w:rPr>
        <w:t>Rozważania na temat wpływu pandemii COVID-19 na społeczności lokalne</w:t>
      </w:r>
    </w:p>
    <w:p w14:paraId="481B9ACE" w14:textId="77777777" w:rsidR="008B1F42" w:rsidRPr="003E3D16" w:rsidRDefault="008B1F42" w:rsidP="008B1F42">
      <w:pPr>
        <w:rPr>
          <w:rFonts w:eastAsia="Verdana" w:cs="Verdana"/>
        </w:rPr>
      </w:pPr>
      <w:r w:rsidRPr="003E3D16">
        <w:t>Pandemia COVID-19 wpłynęła na sposób funkcjonowania naszych demokracji i aktywności obywatelskiej. Konieczność zapobieżenia rozprzestrzenianiu się choroby doprowadziła do nałożenia silnych ograniczeń na wolność jednostki i zbiorowości. Zachęca się, aby w projektach w dziedzinie partnerstwa miast zastanowiono się nad wpływem pandemii COVID-19 na życie społeczności lokalnych i ich funkcjonowanie, a także nad formami aktywności obywatelskiej w kontekście kryzysu związanego z COVID-19.</w:t>
      </w:r>
    </w:p>
    <w:p w14:paraId="36719A73" w14:textId="77777777" w:rsidR="008B1F42" w:rsidRPr="003E3D16" w:rsidRDefault="008B1F42" w:rsidP="008B1F42">
      <w:pPr>
        <w:widowControl w:val="0"/>
        <w:outlineLvl w:val="1"/>
        <w:rPr>
          <w:i/>
          <w:color w:val="A50021"/>
          <w:u w:val="single"/>
        </w:rPr>
      </w:pPr>
      <w:r w:rsidRPr="003E3D16">
        <w:rPr>
          <w:i/>
          <w:color w:val="A50021"/>
          <w:u w:val="single"/>
        </w:rPr>
        <w:t>Działania, które mogą uzyskać dofinansowanie (zakres)</w:t>
      </w:r>
    </w:p>
    <w:p w14:paraId="3F3EFBB4" w14:textId="77777777" w:rsidR="008B1F42" w:rsidRPr="003E3D16" w:rsidRDefault="008B1F42" w:rsidP="008B1F42">
      <w:pPr>
        <w:widowControl w:val="0"/>
        <w:outlineLvl w:val="1"/>
      </w:pPr>
      <w:r w:rsidRPr="003E3D16">
        <w:t>Działania mogą obejmować między innymi:</w:t>
      </w:r>
    </w:p>
    <w:p w14:paraId="6E4AFEA1" w14:textId="2D94E985" w:rsidR="008B1F42" w:rsidRPr="003E3D16" w:rsidRDefault="008B1F42" w:rsidP="008B1F42">
      <w:pPr>
        <w:pStyle w:val="Text3"/>
        <w:numPr>
          <w:ilvl w:val="0"/>
          <w:numId w:val="48"/>
        </w:numPr>
        <w:tabs>
          <w:tab w:val="left" w:pos="567"/>
        </w:tabs>
        <w:ind w:left="567" w:hanging="207"/>
      </w:pPr>
      <w:r w:rsidRPr="003E3D16">
        <w:t>warsztaty, seminaria, konferencje, działania szkoleniowe, spotkania ekspertów, seminaria internetowe, działania mające na celu podnoszenie świadomości, gromadzenie danych i konsultacje, opracowywanie, wymianę i rozpowszechnianie dobrych praktyk wśród organów publicznych i organizacji społeczeństwa obywatelskiego, opracowywanie narzędzi komunikacyjnych i wykorzystywanie mediów społecznościowych.</w:t>
      </w:r>
    </w:p>
    <w:p w14:paraId="44CF613E" w14:textId="055AEA4F" w:rsidR="00BF5947" w:rsidRPr="003E3D16" w:rsidRDefault="00BF5947" w:rsidP="00CC2315">
      <w:pPr>
        <w:widowControl w:val="0"/>
      </w:pPr>
      <w:r w:rsidRPr="003E3D16">
        <w:t xml:space="preserve">Przy opracowaniu formy działań należy uwzględnić perspektywę równouprawnienia płci, żeby zapewnić do nich równy dostęp dla kobiet i mężczyzn oraz żeby mogli w nich uczestniczyć zarówno kobiety, jak i mężczyźni. </w:t>
      </w:r>
    </w:p>
    <w:p w14:paraId="4E176950" w14:textId="5D4C67D2" w:rsidR="008B1F42" w:rsidRPr="003E3D16" w:rsidRDefault="008B1F42" w:rsidP="008B1F42">
      <w:pPr>
        <w:widowControl w:val="0"/>
        <w:outlineLvl w:val="1"/>
        <w:rPr>
          <w:i/>
          <w:color w:val="A50021"/>
          <w:u w:val="single"/>
        </w:rPr>
      </w:pPr>
      <w:r w:rsidRPr="003E3D16">
        <w:rPr>
          <w:i/>
          <w:color w:val="A50021"/>
          <w:u w:val="single"/>
        </w:rPr>
        <w:t>Oczekiwan</w:t>
      </w:r>
      <w:r w:rsidR="00426CDD">
        <w:rPr>
          <w:i/>
          <w:color w:val="A50021"/>
          <w:u w:val="single"/>
        </w:rPr>
        <w:t>y wpływ</w:t>
      </w:r>
    </w:p>
    <w:p w14:paraId="73300198" w14:textId="7369E399" w:rsidR="008B1F42" w:rsidRPr="003E3D16" w:rsidRDefault="008B1F42" w:rsidP="008B1F42">
      <w:pPr>
        <w:pStyle w:val="ListParagraph"/>
        <w:numPr>
          <w:ilvl w:val="0"/>
          <w:numId w:val="49"/>
        </w:numPr>
        <w:snapToGrid w:val="0"/>
        <w:rPr>
          <w:rFonts w:eastAsia="Verdana" w:cs="Verdana"/>
          <w:sz w:val="20"/>
          <w:szCs w:val="20"/>
        </w:rPr>
      </w:pPr>
      <w:r w:rsidRPr="003E3D16">
        <w:rPr>
          <w:sz w:val="20"/>
          <w:szCs w:val="20"/>
        </w:rPr>
        <w:t>zwiększanie wzajemnego zrozumienia i przyjaźni między różnymi grupami obywateli na szczeblu lokalnym oraz zachęcanie do ich wzajemnego zrozumienia i przyjaźni;</w:t>
      </w:r>
    </w:p>
    <w:p w14:paraId="13BA14C4" w14:textId="77777777" w:rsidR="008B1F42" w:rsidRPr="003E3D16" w:rsidRDefault="008B1F42" w:rsidP="008B1F42">
      <w:pPr>
        <w:pStyle w:val="ListParagraph"/>
        <w:numPr>
          <w:ilvl w:val="0"/>
          <w:numId w:val="49"/>
        </w:numPr>
        <w:snapToGrid w:val="0"/>
        <w:rPr>
          <w:rFonts w:eastAsia="Verdana" w:cs="Verdana"/>
          <w:sz w:val="20"/>
          <w:szCs w:val="20"/>
        </w:rPr>
      </w:pPr>
      <w:r w:rsidRPr="003E3D16">
        <w:rPr>
          <w:sz w:val="20"/>
          <w:szCs w:val="20"/>
        </w:rPr>
        <w:t>wykorzystanie doświadczeń różnych grup obywateli oraz uznanie wartości dodanej, jaką UE wnosi dzięki podejściu oddolnemu;</w:t>
      </w:r>
    </w:p>
    <w:p w14:paraId="64BB5015" w14:textId="77777777" w:rsidR="008B1F42" w:rsidRPr="003E3D16" w:rsidRDefault="008B1F42" w:rsidP="009C148E">
      <w:pPr>
        <w:pStyle w:val="ListParagraph"/>
        <w:numPr>
          <w:ilvl w:val="0"/>
          <w:numId w:val="49"/>
        </w:numPr>
        <w:snapToGrid w:val="0"/>
        <w:spacing w:after="200"/>
        <w:rPr>
          <w:rFonts w:eastAsia="Verdana" w:cs="Verdana"/>
          <w:sz w:val="20"/>
          <w:szCs w:val="20"/>
        </w:rPr>
      </w:pPr>
      <w:r w:rsidRPr="003E3D16">
        <w:rPr>
          <w:sz w:val="20"/>
          <w:szCs w:val="20"/>
        </w:rPr>
        <w:t>wspieranie większego poczucia przynależności do UE.</w:t>
      </w:r>
    </w:p>
    <w:p w14:paraId="3816CD76" w14:textId="7A8224D0" w:rsidR="008B1F42" w:rsidRPr="00FE0460" w:rsidRDefault="00BF7239" w:rsidP="008B1F42">
      <w:pPr>
        <w:widowControl w:val="0"/>
        <w:outlineLvl w:val="1"/>
        <w:rPr>
          <w:b/>
          <w:bCs/>
          <w:color w:val="A50021"/>
          <w:lang w:val="en-US"/>
        </w:rPr>
      </w:pPr>
      <w:r w:rsidRPr="00FE0460">
        <w:rPr>
          <w:b/>
          <w:bCs/>
          <w:color w:val="A50021"/>
          <w:u w:val="single"/>
          <w:lang w:val="en-US"/>
        </w:rPr>
        <w:t>CERV-2022-CITIZENS-TOWN-NT – Sieci miast</w:t>
      </w:r>
      <w:r w:rsidRPr="00FE0460">
        <w:rPr>
          <w:b/>
          <w:bCs/>
          <w:color w:val="A50021"/>
          <w:lang w:val="en-US"/>
        </w:rPr>
        <w:t xml:space="preserve"> </w:t>
      </w:r>
    </w:p>
    <w:p w14:paraId="5DD50407" w14:textId="77777777" w:rsidR="008B1F42" w:rsidRPr="003E3D16" w:rsidRDefault="008B1F42" w:rsidP="008B1F42">
      <w:pPr>
        <w:pStyle w:val="Heading3"/>
      </w:pPr>
      <w:bookmarkStart w:id="6" w:name="_Toc92978220"/>
      <w:r w:rsidRPr="003E3D16">
        <w:t>Cele</w:t>
      </w:r>
      <w:bookmarkEnd w:id="6"/>
      <w:r w:rsidRPr="003E3D16">
        <w:t xml:space="preserve"> </w:t>
      </w:r>
    </w:p>
    <w:p w14:paraId="50086A6A" w14:textId="77777777" w:rsidR="008B1F42" w:rsidRPr="003E3D16" w:rsidRDefault="008B1F42" w:rsidP="008B1F42">
      <w:pPr>
        <w:pStyle w:val="ListParagraph"/>
        <w:numPr>
          <w:ilvl w:val="0"/>
          <w:numId w:val="47"/>
        </w:numPr>
        <w:snapToGrid w:val="0"/>
        <w:spacing w:after="200"/>
        <w:jc w:val="both"/>
        <w:rPr>
          <w:rFonts w:eastAsia="Verdana" w:cs="Verdana"/>
          <w:sz w:val="20"/>
          <w:szCs w:val="20"/>
        </w:rPr>
      </w:pPr>
      <w:r w:rsidRPr="003E3D16">
        <w:rPr>
          <w:sz w:val="20"/>
          <w:szCs w:val="20"/>
        </w:rPr>
        <w:t>propagowanie wymian między obywatelami różnych krajów;</w:t>
      </w:r>
    </w:p>
    <w:p w14:paraId="4930950B" w14:textId="58DB2063" w:rsidR="008B1F42" w:rsidRPr="003E3D16" w:rsidRDefault="008B1F42" w:rsidP="008B1F42">
      <w:pPr>
        <w:pStyle w:val="ListParagraph"/>
        <w:numPr>
          <w:ilvl w:val="0"/>
          <w:numId w:val="47"/>
        </w:numPr>
        <w:snapToGrid w:val="0"/>
        <w:spacing w:after="200"/>
        <w:jc w:val="both"/>
        <w:rPr>
          <w:rFonts w:eastAsia="Verdana" w:cs="Verdana"/>
          <w:sz w:val="20"/>
          <w:szCs w:val="20"/>
        </w:rPr>
      </w:pPr>
      <w:r w:rsidRPr="003E3D16">
        <w:rPr>
          <w:sz w:val="20"/>
          <w:szCs w:val="20"/>
        </w:rPr>
        <w:t>umożliwienie obywatelom poznania różnorodności kulturowej Unii Europejskiej i uświadomienie im, że wartości europejskie i dziedzictwo kulturowe stanowią podstawę wspólnej przyszłości</w:t>
      </w:r>
      <w:r w:rsidRPr="003E3D16">
        <w:rPr>
          <w:iCs/>
          <w:sz w:val="20"/>
          <w:szCs w:val="20"/>
        </w:rPr>
        <w:t>;</w:t>
      </w:r>
    </w:p>
    <w:p w14:paraId="67D2B464" w14:textId="77777777" w:rsidR="008B1F42" w:rsidRPr="003E3D16" w:rsidRDefault="008B1F42" w:rsidP="008B1F42">
      <w:pPr>
        <w:pStyle w:val="ListParagraph"/>
        <w:numPr>
          <w:ilvl w:val="0"/>
          <w:numId w:val="47"/>
        </w:numPr>
        <w:snapToGrid w:val="0"/>
        <w:spacing w:after="200"/>
        <w:jc w:val="both"/>
        <w:rPr>
          <w:rFonts w:eastAsia="Verdana" w:cs="Verdana"/>
          <w:sz w:val="20"/>
          <w:szCs w:val="20"/>
        </w:rPr>
      </w:pPr>
      <w:r w:rsidRPr="003E3D16">
        <w:rPr>
          <w:sz w:val="20"/>
          <w:szCs w:val="20"/>
        </w:rPr>
        <w:t>zagwarantowanie pokojowych stosunków między Europejczykami i zapewnienie ich aktywnego udziału na szczeblu lokalnym;</w:t>
      </w:r>
    </w:p>
    <w:p w14:paraId="195F41AA" w14:textId="77777777" w:rsidR="008B1F42" w:rsidRPr="003E3D16" w:rsidRDefault="008B1F42" w:rsidP="008B1F42">
      <w:pPr>
        <w:pStyle w:val="ListParagraph"/>
        <w:numPr>
          <w:ilvl w:val="0"/>
          <w:numId w:val="47"/>
        </w:numPr>
        <w:snapToGrid w:val="0"/>
        <w:spacing w:after="200"/>
        <w:jc w:val="both"/>
        <w:rPr>
          <w:rFonts w:eastAsia="Verdana" w:cs="Verdana"/>
          <w:sz w:val="20"/>
          <w:szCs w:val="20"/>
        </w:rPr>
      </w:pPr>
      <w:r w:rsidRPr="003E3D16">
        <w:rPr>
          <w:sz w:val="20"/>
          <w:szCs w:val="20"/>
        </w:rPr>
        <w:t>wzmocnienie wzajemnego zrozumienia i przyjaźni między obywatelami Unii;</w:t>
      </w:r>
    </w:p>
    <w:p w14:paraId="7666C85B" w14:textId="77777777" w:rsidR="008B1F42" w:rsidRPr="003E3D16" w:rsidRDefault="008B1F42" w:rsidP="008B1F42">
      <w:pPr>
        <w:pStyle w:val="ListParagraph"/>
        <w:numPr>
          <w:ilvl w:val="0"/>
          <w:numId w:val="47"/>
        </w:numPr>
        <w:snapToGrid w:val="0"/>
        <w:spacing w:after="200"/>
        <w:jc w:val="both"/>
        <w:rPr>
          <w:rFonts w:eastAsia="Verdana" w:cs="Verdana"/>
          <w:sz w:val="20"/>
          <w:szCs w:val="20"/>
        </w:rPr>
      </w:pPr>
      <w:r w:rsidRPr="003E3D16">
        <w:rPr>
          <w:sz w:val="20"/>
          <w:szCs w:val="20"/>
        </w:rPr>
        <w:t>zachęcanie do współpracy między gminami i wymiany najlepszych praktyk;</w:t>
      </w:r>
    </w:p>
    <w:p w14:paraId="602154B3" w14:textId="77777777" w:rsidR="008B1F42" w:rsidRPr="003E3D16" w:rsidRDefault="008B1F42" w:rsidP="008B1F42">
      <w:pPr>
        <w:pStyle w:val="ListParagraph"/>
        <w:numPr>
          <w:ilvl w:val="0"/>
          <w:numId w:val="47"/>
        </w:numPr>
        <w:snapToGrid w:val="0"/>
        <w:spacing w:after="200"/>
        <w:jc w:val="both"/>
        <w:rPr>
          <w:rFonts w:eastAsia="Verdana" w:cs="Verdana"/>
          <w:sz w:val="20"/>
          <w:szCs w:val="20"/>
        </w:rPr>
      </w:pPr>
      <w:r w:rsidRPr="003E3D16">
        <w:rPr>
          <w:sz w:val="20"/>
          <w:szCs w:val="20"/>
        </w:rPr>
        <w:lastRenderedPageBreak/>
        <w:t>wspieranie dobrych rządów na szczeblu lokalnym i wzmocnienie roli władz lokalnych i regionalnych w procesie integracji europejskiej.</w:t>
      </w:r>
    </w:p>
    <w:p w14:paraId="79BB4ACA" w14:textId="77777777" w:rsidR="008B1F42" w:rsidRPr="003E3D16" w:rsidRDefault="008B1F42" w:rsidP="008B1F42">
      <w:pPr>
        <w:rPr>
          <w:rFonts w:eastAsia="Verdana" w:cs="Verdana"/>
        </w:rPr>
      </w:pPr>
      <w:r w:rsidRPr="003E3D16">
        <w:t>Oczekuje się, że projekty w dziedzinie sieci miast będą odzwierciedlały nową narrację Europy, zorientowaną na obywateli, promującą równość, wybiegającą w przyszłość i konstruktywną, która będzie bardziej interesująca zwłaszcza dla młodszych pokoleń. Projekty mogą opierać się na wynikach konsultacji z obywatelami i mogą prowadzić do debat na temat konkretnych sposobów tworzenia bardziej demokratycznej Unii, umożliwienia obywatelom ponownego zaangażowania się w sprawy UE i rozwinięcia silniejszego poczucia odpowiedzialności za projekt europejski.</w:t>
      </w:r>
    </w:p>
    <w:p w14:paraId="21311993" w14:textId="77777777" w:rsidR="008B1F42" w:rsidRPr="003E3D16" w:rsidRDefault="008B1F42" w:rsidP="008B1F42">
      <w:pPr>
        <w:rPr>
          <w:rFonts w:eastAsia="Verdana" w:cs="Verdana"/>
        </w:rPr>
      </w:pPr>
      <w:r w:rsidRPr="003E3D16">
        <w:t>Sieci miast powinny umożliwić miastom i gminom pogłębienie i zintensyfikowanie współpracy i debaty w perspektywie długoterminowej, rozwój trwałych sieci i przedstawienie ich długoterminowej wizji przyszłości integracji europejskiej.</w:t>
      </w:r>
    </w:p>
    <w:p w14:paraId="73AEEF58" w14:textId="77777777" w:rsidR="008B1F42" w:rsidRPr="003E3D16" w:rsidRDefault="008B1F42" w:rsidP="008B1F42">
      <w:pPr>
        <w:pStyle w:val="Heading3"/>
      </w:pPr>
      <w:bookmarkStart w:id="7" w:name="_Toc92978221"/>
      <w:r w:rsidRPr="003E3D16">
        <w:t>Tematy i priorytety (zakres)</w:t>
      </w:r>
      <w:bookmarkEnd w:id="7"/>
    </w:p>
    <w:p w14:paraId="19210619" w14:textId="5F6CD73A" w:rsidR="008B1F42" w:rsidRPr="003E3D16" w:rsidRDefault="008B1F42" w:rsidP="008B1F42">
      <w:pPr>
        <w:pStyle w:val="Text3"/>
        <w:ind w:left="0"/>
        <w:rPr>
          <w:rFonts w:eastAsia="Verdana" w:cs="Verdana"/>
        </w:rPr>
      </w:pPr>
      <w:r w:rsidRPr="003E3D16">
        <w:t>Zachowując podejście oddolne, szczególną uwagę należy zwrócić na:</w:t>
      </w:r>
    </w:p>
    <w:p w14:paraId="0114D3C8" w14:textId="77777777" w:rsidR="00DF1A7E" w:rsidRPr="003E3D16" w:rsidRDefault="00DF1A7E" w:rsidP="00DF1A7E">
      <w:pPr>
        <w:numPr>
          <w:ilvl w:val="0"/>
          <w:numId w:val="48"/>
        </w:numPr>
        <w:rPr>
          <w:rFonts w:eastAsia="Verdana" w:cs="Verdana"/>
        </w:rPr>
      </w:pPr>
      <w:r w:rsidRPr="003E3D16">
        <w:rPr>
          <w:b/>
        </w:rPr>
        <w:t>Wzmocnienie europejskiego i demokratycznego wymiaru unijnego procesu decyzyjnego</w:t>
      </w:r>
    </w:p>
    <w:p w14:paraId="170D5575" w14:textId="591CBCC7" w:rsidR="00DF1A7E" w:rsidRPr="003E3D16" w:rsidRDefault="00DF1A7E" w:rsidP="00DF1A7E">
      <w:r w:rsidRPr="003E3D16">
        <w:t>Zachęca się sieci miast do tworzenia projektów, które wzmacniają rządy demokratyczne przez wspieranie aktywnego udziału obywateli w życiu politycznym Europy oraz korzystanie przez nich ze swoich praw wyborczych. Projekty te powinny przeciwdziałać niskiej frekwencji wyborczej, populizmowi i dezinformacji oraz pomagać w radzeniu sobie z wyzwaniami stojącymi przed społeczeństwem obywatelskim.</w:t>
      </w:r>
    </w:p>
    <w:p w14:paraId="75942D03" w14:textId="57AAA631" w:rsidR="00DF1A7E" w:rsidRPr="003E3D16" w:rsidRDefault="00DF1A7E" w:rsidP="00DF1A7E">
      <w:pPr>
        <w:numPr>
          <w:ilvl w:val="0"/>
          <w:numId w:val="48"/>
        </w:numPr>
        <w:rPr>
          <w:rFonts w:eastAsia="Verdana" w:cs="Verdana"/>
          <w:b/>
        </w:rPr>
      </w:pPr>
      <w:r w:rsidRPr="003E3D16">
        <w:rPr>
          <w:b/>
        </w:rPr>
        <w:t>Wspieranie wolnych i uczciwych wyborów w Europie</w:t>
      </w:r>
    </w:p>
    <w:p w14:paraId="508FCAAE" w14:textId="13093283" w:rsidR="00DF1A7E" w:rsidRPr="003E3D16" w:rsidRDefault="00DF1A7E" w:rsidP="00DF1A7E">
      <w:pPr>
        <w:rPr>
          <w:rFonts w:eastAsia="Verdana" w:cs="Verdana"/>
        </w:rPr>
      </w:pPr>
      <w:r w:rsidRPr="003E3D16">
        <w:t>Mając na względzie wybory europejskie w 2024, zachęca się sieci miast do działania na rzecz ochrony unijnych instytucji demokratycznych oraz udziału w nich obywateli. Koordynacja w ramach sieci i między sieciami może prowadzić w szczególności do ustanowienia wspólnych metod pracy, budowania zdolności do wykrywania i łagodzenia zagrożeń związanych z wyborami oraz opracowania modeli dobrych praktyk i wytycznych.</w:t>
      </w:r>
    </w:p>
    <w:p w14:paraId="609BDE0C" w14:textId="77777777" w:rsidR="00DF1A7E" w:rsidRPr="003E3D16" w:rsidRDefault="00DF1A7E" w:rsidP="00DF1A7E">
      <w:pPr>
        <w:numPr>
          <w:ilvl w:val="0"/>
          <w:numId w:val="48"/>
        </w:numPr>
        <w:rPr>
          <w:rFonts w:eastAsia="Verdana" w:cs="Verdana"/>
        </w:rPr>
      </w:pPr>
      <w:r w:rsidRPr="003E3D16">
        <w:rPr>
          <w:b/>
          <w:bCs/>
        </w:rPr>
        <w:t xml:space="preserve">Rozwijanie poczucia przynależności do Europy poprzez promowanie debaty na temat przyszłości Europy </w:t>
      </w:r>
    </w:p>
    <w:p w14:paraId="56A249A6" w14:textId="404D5832" w:rsidR="00DF1A7E" w:rsidRPr="003E3D16" w:rsidRDefault="00DF1A7E" w:rsidP="00DF1A7E">
      <w:pPr>
        <w:rPr>
          <w:rFonts w:eastAsia="Verdana" w:cs="Verdana"/>
        </w:rPr>
      </w:pPr>
      <w:r w:rsidRPr="003E3D16">
        <w:t>Projekty w dziedzinie sieci miast mogą zapewnić obywatelom możliwość wyrażenia swojego zdania na temat tego, jakiego rodzaju Europy chcą. Debaty powinny opierać się na konkretnych osiągnięciach Unii Europejskiej oraz na wnioskach wyciągniętych z historii. Debaty takie mogą także wskazywać działania, które Unia Europejska mogłaby podjąć w celu rozwijania poczucia przynależności do Europy, zrozumienia korzyści płynących z Unii Europejskiej oraz wzmocnienia spójności społecznej i politycznej UE. Sieci miast zachęca się do realizacji celów Konferencji w sprawie przyszłości Europy.</w:t>
      </w:r>
    </w:p>
    <w:p w14:paraId="2AF05699" w14:textId="77777777" w:rsidR="00DF1A7E" w:rsidRPr="003E3D16" w:rsidRDefault="00DF1A7E" w:rsidP="003E3D16">
      <w:pPr>
        <w:keepNext/>
        <w:numPr>
          <w:ilvl w:val="0"/>
          <w:numId w:val="48"/>
        </w:numPr>
        <w:ind w:left="714" w:hanging="357"/>
        <w:rPr>
          <w:rFonts w:eastAsia="Verdana" w:cs="Verdana"/>
          <w:b/>
          <w:bCs/>
        </w:rPr>
      </w:pPr>
      <w:r w:rsidRPr="003E3D16">
        <w:rPr>
          <w:b/>
          <w:bCs/>
        </w:rPr>
        <w:t>Rozważania na temat wpływu pandemii COVID-19 na społeczności lokalne</w:t>
      </w:r>
    </w:p>
    <w:p w14:paraId="4F1B2504" w14:textId="23705276" w:rsidR="00DF1A7E" w:rsidRPr="003E3D16" w:rsidRDefault="00DF1A7E" w:rsidP="006F58BD">
      <w:pPr>
        <w:pStyle w:val="Text3"/>
        <w:ind w:left="0"/>
        <w:rPr>
          <w:rFonts w:eastAsia="Verdana" w:cs="Verdana"/>
        </w:rPr>
      </w:pPr>
      <w:r w:rsidRPr="003E3D16">
        <w:t>Pandemia COVID-19 wpłynęła na sposób funkcjonowania naszych demokracji i aktywności obywatelskiej. Konieczność zapobieżenia rozprzestrzenianiu się choroby doprowadziła do nałożenia silnych ograniczeń na wolność jednostki, jak i zbiorowości. Zachęca się, aby w projektach w dziedzinie sieci miast zastanowiono się nad wpływem pandemii COVID-19 na życie społeczności lokalnych i ich funkcjonowanie, a także nad formami aktywności obywatelskiej w kontekście kryzysu związanego z COVID-19.</w:t>
      </w:r>
    </w:p>
    <w:p w14:paraId="67B84D45" w14:textId="5CF8C7F0" w:rsidR="008B1F42" w:rsidRPr="003E3D16" w:rsidRDefault="008B1F42" w:rsidP="008B1F42">
      <w:pPr>
        <w:pStyle w:val="Heading3"/>
      </w:pPr>
      <w:bookmarkStart w:id="8" w:name="_Toc92978222"/>
      <w:r w:rsidRPr="003E3D16">
        <w:lastRenderedPageBreak/>
        <w:t>Działania, które mogą uzyskać dofinansowanie (zakres)</w:t>
      </w:r>
      <w:bookmarkEnd w:id="8"/>
    </w:p>
    <w:p w14:paraId="24792C88" w14:textId="77777777" w:rsidR="008B1F42" w:rsidRPr="003E3D16" w:rsidRDefault="008B1F42" w:rsidP="008B1F42">
      <w:pPr>
        <w:widowControl w:val="0"/>
        <w:outlineLvl w:val="1"/>
      </w:pPr>
      <w:r w:rsidRPr="003E3D16">
        <w:t>Działania mogą obejmować między innymi:</w:t>
      </w:r>
    </w:p>
    <w:p w14:paraId="31F23C7A" w14:textId="77777777" w:rsidR="008B1F42" w:rsidRPr="003E3D16" w:rsidRDefault="008B1F42" w:rsidP="008B1F42">
      <w:pPr>
        <w:pStyle w:val="Text3"/>
        <w:numPr>
          <w:ilvl w:val="0"/>
          <w:numId w:val="48"/>
        </w:numPr>
        <w:tabs>
          <w:tab w:val="left" w:pos="567"/>
        </w:tabs>
        <w:ind w:left="567" w:hanging="207"/>
      </w:pPr>
      <w:r w:rsidRPr="003E3D16">
        <w:t>warsztaty, seminaria, konferencje, działania szkoleniowe, spotkania ekspertów, seminaria internetowe, działania mające na celu podnoszenie świadomości, gromadzenie danych i konsultacje, opracowywanie, wymianę i rozpowszechnianie dobrych praktyk wśród organów publicznych i organizacji społeczeństwa obywatelskiego, opracowywanie narzędzi komunikacyjnych i wykorzystywanie mediów społecznościowych.</w:t>
      </w:r>
    </w:p>
    <w:p w14:paraId="4FBCD5D4" w14:textId="58457A61" w:rsidR="00E83685" w:rsidRPr="003E3D16" w:rsidRDefault="00E83685" w:rsidP="00E83685">
      <w:pPr>
        <w:widowControl w:val="0"/>
      </w:pPr>
      <w:r w:rsidRPr="003E3D16">
        <w:t xml:space="preserve">Przy opracowaniu formy działań należy uwzględnić perspektywę równouprawnienia płci, żeby zapewnić do nich równy dostęp dla kobiet i mężczyzn oraz żeby mogli w nich uczestniczyć zarówno kobiety, jak i mężczyźni. </w:t>
      </w:r>
    </w:p>
    <w:p w14:paraId="60B4B3FC" w14:textId="77777777" w:rsidR="00BF5947" w:rsidRPr="003E3D16" w:rsidRDefault="00BF5947" w:rsidP="00BF5947">
      <w:pPr>
        <w:widowControl w:val="0"/>
      </w:pPr>
      <w:r w:rsidRPr="003E3D16">
        <w:t>Oczekuje się, że plan i realizacja projektów będą sprzyjać równouprawnieniu płci i uwzględnianiu niedyskryminacji. Na przykład wnioskodawcy mogą przeprowadzać analizę dotyczącą płci i uwzględniać ją w swoich wnioskach; ta analiza może nakreślać potencjalne różne skutki danego projektu i przewidzianych w nim działań dla kobiet i mężczyzn, a także dla dziewcząt i chłopców w całej ich różnorodności. Dzięki temu można zapobiec niepożądanym negatywnym skutkom interwencji dla kobiet lub mężczyzn (zasada „nie szkodzić”)</w:t>
      </w:r>
      <w:r w:rsidRPr="003E3D16">
        <w:rPr>
          <w:rStyle w:val="FootnoteReference"/>
        </w:rPr>
        <w:footnoteReference w:id="11"/>
      </w:r>
      <w:r w:rsidRPr="003E3D16">
        <w:t>.</w:t>
      </w:r>
    </w:p>
    <w:p w14:paraId="363A4BA3" w14:textId="5737B961" w:rsidR="008B1F42" w:rsidRPr="003E3D16" w:rsidRDefault="008B1F42" w:rsidP="008B1F42">
      <w:pPr>
        <w:pStyle w:val="Heading3"/>
      </w:pPr>
      <w:bookmarkStart w:id="9" w:name="_Toc92978223"/>
      <w:r w:rsidRPr="003E3D16">
        <w:t>Oczekiwan</w:t>
      </w:r>
      <w:r w:rsidR="00426CDD">
        <w:t>y wpływ</w:t>
      </w:r>
      <w:bookmarkEnd w:id="9"/>
    </w:p>
    <w:p w14:paraId="757470EC" w14:textId="77777777" w:rsidR="008B1F42" w:rsidRPr="003E3D16" w:rsidRDefault="008B1F42" w:rsidP="008B1F42">
      <w:pPr>
        <w:pStyle w:val="ListParagraph"/>
        <w:numPr>
          <w:ilvl w:val="0"/>
          <w:numId w:val="50"/>
        </w:numPr>
        <w:snapToGrid w:val="0"/>
        <w:rPr>
          <w:rFonts w:eastAsia="Verdana" w:cs="Verdana"/>
          <w:sz w:val="20"/>
          <w:szCs w:val="20"/>
        </w:rPr>
      </w:pPr>
      <w:r w:rsidRPr="003E3D16">
        <w:rPr>
          <w:sz w:val="20"/>
          <w:szCs w:val="20"/>
        </w:rPr>
        <w:t xml:space="preserve">zaoferowanie miastom i gminom możliwości opracowania projektów na większą skalę w celu zwiększenia oddziaływania i trwałości ich projektów; </w:t>
      </w:r>
    </w:p>
    <w:p w14:paraId="0F1CFD3B" w14:textId="77777777" w:rsidR="008B1F42" w:rsidRPr="003E3D16" w:rsidRDefault="008B1F42" w:rsidP="008B1F42">
      <w:pPr>
        <w:pStyle w:val="ListParagraph"/>
        <w:numPr>
          <w:ilvl w:val="0"/>
          <w:numId w:val="50"/>
        </w:numPr>
        <w:snapToGrid w:val="0"/>
        <w:rPr>
          <w:rFonts w:eastAsia="Verdana" w:cs="Verdana"/>
          <w:sz w:val="20"/>
          <w:szCs w:val="20"/>
        </w:rPr>
      </w:pPr>
      <w:r w:rsidRPr="003E3D16">
        <w:rPr>
          <w:sz w:val="20"/>
          <w:szCs w:val="20"/>
        </w:rPr>
        <w:t xml:space="preserve">umożliwienie beneficjentom opracowania większej liczby projektów tematycznych i projektów związanych z polityką; </w:t>
      </w:r>
    </w:p>
    <w:p w14:paraId="662B7EB2" w14:textId="77777777" w:rsidR="008B1F42" w:rsidRPr="003E3D16" w:rsidRDefault="008B1F42" w:rsidP="008B1F42">
      <w:pPr>
        <w:pStyle w:val="ListParagraph"/>
        <w:numPr>
          <w:ilvl w:val="0"/>
          <w:numId w:val="50"/>
        </w:numPr>
        <w:snapToGrid w:val="0"/>
        <w:rPr>
          <w:rFonts w:eastAsia="Verdana" w:cs="Verdana"/>
          <w:sz w:val="20"/>
          <w:szCs w:val="20"/>
        </w:rPr>
      </w:pPr>
      <w:r w:rsidRPr="003E3D16">
        <w:rPr>
          <w:sz w:val="20"/>
          <w:szCs w:val="20"/>
        </w:rPr>
        <w:t xml:space="preserve">nawiązywanie trwałych relacji z organizacjami partnerskimi; </w:t>
      </w:r>
    </w:p>
    <w:p w14:paraId="2DA870B2" w14:textId="77777777" w:rsidR="008B1F42" w:rsidRPr="003E3D16" w:rsidRDefault="008B1F42" w:rsidP="008B1F42">
      <w:pPr>
        <w:pStyle w:val="ListParagraph"/>
        <w:numPr>
          <w:ilvl w:val="0"/>
          <w:numId w:val="50"/>
        </w:numPr>
        <w:snapToGrid w:val="0"/>
        <w:rPr>
          <w:rFonts w:eastAsia="Verdana" w:cs="Verdana"/>
          <w:sz w:val="20"/>
          <w:szCs w:val="20"/>
        </w:rPr>
      </w:pPr>
      <w:r w:rsidRPr="003E3D16">
        <w:rPr>
          <w:sz w:val="20"/>
          <w:szCs w:val="20"/>
        </w:rPr>
        <w:t xml:space="preserve">podnoszenie świadomości na temat korzyści płynących z różnorodności oraz zwalczanie dyskryminacji i rasizmu; </w:t>
      </w:r>
    </w:p>
    <w:p w14:paraId="31F82412" w14:textId="77777777" w:rsidR="008B1F42" w:rsidRPr="003E3D16" w:rsidRDefault="008B1F42" w:rsidP="008B1F42">
      <w:pPr>
        <w:pStyle w:val="ListParagraph"/>
        <w:numPr>
          <w:ilvl w:val="0"/>
          <w:numId w:val="50"/>
        </w:numPr>
        <w:snapToGrid w:val="0"/>
        <w:rPr>
          <w:rFonts w:eastAsia="Verdana" w:cs="Verdana"/>
          <w:sz w:val="20"/>
          <w:szCs w:val="20"/>
        </w:rPr>
      </w:pPr>
      <w:r w:rsidRPr="003E3D16">
        <w:rPr>
          <w:sz w:val="20"/>
          <w:szCs w:val="20"/>
        </w:rPr>
        <w:t xml:space="preserve">zwiększanie wzajemnego zrozumienia i akceptacji europejskich mniejszości, takich jak Romowie, oraz zachęcanie do ich wzajemnego zrozumienia; </w:t>
      </w:r>
    </w:p>
    <w:p w14:paraId="178CA45A" w14:textId="77777777" w:rsidR="008B1F42" w:rsidRPr="003E3D16" w:rsidRDefault="008B1F42" w:rsidP="008B1F42">
      <w:pPr>
        <w:pStyle w:val="ListParagraph"/>
        <w:numPr>
          <w:ilvl w:val="0"/>
          <w:numId w:val="50"/>
        </w:numPr>
        <w:snapToGrid w:val="0"/>
        <w:rPr>
          <w:rFonts w:eastAsia="Verdana" w:cs="Verdana"/>
          <w:sz w:val="20"/>
          <w:szCs w:val="20"/>
        </w:rPr>
      </w:pPr>
      <w:r w:rsidRPr="003E3D16">
        <w:rPr>
          <w:sz w:val="20"/>
          <w:szCs w:val="20"/>
        </w:rPr>
        <w:t xml:space="preserve">podnoszenie świadomości na temat Karty praw podstawowych Unii Europejskiej i jej stosowania oraz propagowanie kultury praw podstawowych; </w:t>
      </w:r>
    </w:p>
    <w:p w14:paraId="0989D40F" w14:textId="77777777" w:rsidR="008B1F42" w:rsidRPr="003E3D16" w:rsidRDefault="008B1F42" w:rsidP="008B1F42">
      <w:pPr>
        <w:pStyle w:val="ListParagraph"/>
        <w:numPr>
          <w:ilvl w:val="0"/>
          <w:numId w:val="50"/>
        </w:numPr>
        <w:snapToGrid w:val="0"/>
        <w:rPr>
          <w:rFonts w:eastAsia="Verdana" w:cs="Verdana"/>
          <w:sz w:val="20"/>
          <w:szCs w:val="20"/>
        </w:rPr>
      </w:pPr>
      <w:r w:rsidRPr="003E3D16">
        <w:rPr>
          <w:sz w:val="20"/>
          <w:szCs w:val="20"/>
        </w:rPr>
        <w:t>sprawniejsze informowanie na temat praw wynikających z obywatelstwa UE oraz ich skuteczniejsze wdrażanie w państwach członkowskich;</w:t>
      </w:r>
    </w:p>
    <w:p w14:paraId="0799023E" w14:textId="0EEC0001" w:rsidR="008B1F42" w:rsidRPr="003E3D16" w:rsidRDefault="008B1F42" w:rsidP="001E6C28">
      <w:pPr>
        <w:pStyle w:val="ListParagraph"/>
        <w:numPr>
          <w:ilvl w:val="0"/>
          <w:numId w:val="50"/>
        </w:numPr>
        <w:snapToGrid w:val="0"/>
        <w:rPr>
          <w:rFonts w:eastAsia="Verdana" w:cs="Verdana"/>
          <w:sz w:val="20"/>
          <w:szCs w:val="20"/>
        </w:rPr>
      </w:pPr>
      <w:r w:rsidRPr="003E3D16">
        <w:rPr>
          <w:sz w:val="20"/>
          <w:szCs w:val="20"/>
        </w:rPr>
        <w:t>podnoszenie świadomości i lepsze informowanie migrujących obywateli UE i członków ich rodzin o przysługujących im prawach wynikających z obywatelstwa UE.</w:t>
      </w:r>
    </w:p>
    <w:p w14:paraId="0EC8E6E1" w14:textId="77777777" w:rsidR="001E6C28" w:rsidRPr="00FE0460" w:rsidRDefault="001E6C28" w:rsidP="001E6C28">
      <w:pPr>
        <w:pStyle w:val="ListParagraph"/>
        <w:snapToGrid w:val="0"/>
        <w:rPr>
          <w:rFonts w:eastAsia="Verdana" w:cs="Verdana"/>
          <w:sz w:val="20"/>
          <w:szCs w:val="20"/>
        </w:rPr>
      </w:pPr>
    </w:p>
    <w:p w14:paraId="0B640087" w14:textId="37226C81" w:rsidR="007926FA" w:rsidRPr="003E3D16" w:rsidRDefault="007926FA" w:rsidP="00623078">
      <w:pPr>
        <w:pStyle w:val="Heading1"/>
        <w:numPr>
          <w:ilvl w:val="0"/>
          <w:numId w:val="54"/>
        </w:numPr>
        <w:tabs>
          <w:tab w:val="left" w:pos="284"/>
        </w:tabs>
        <w:ind w:left="0" w:firstLine="0"/>
      </w:pPr>
      <w:bookmarkStart w:id="10" w:name="_Toc92978224"/>
      <w:r w:rsidRPr="003E3D16">
        <w:t>Przeznaczona alokacja budżetowa</w:t>
      </w:r>
      <w:bookmarkEnd w:id="10"/>
    </w:p>
    <w:p w14:paraId="0930E03A" w14:textId="36C575EE" w:rsidR="003D5D72" w:rsidRPr="003E3D16" w:rsidRDefault="008246AA" w:rsidP="00F114D2">
      <w:r w:rsidRPr="003E3D16">
        <w:t xml:space="preserve">Alokacja budżetowa przeznaczona na niniejsze zaproszenie do składania wniosków wynosi </w:t>
      </w:r>
      <w:r w:rsidRPr="003E3D16">
        <w:rPr>
          <w:b/>
        </w:rPr>
        <w:t>11 000 000 EUR</w:t>
      </w:r>
      <w:r w:rsidRPr="003E3D16">
        <w:t>.</w:t>
      </w:r>
    </w:p>
    <w:p w14:paraId="0AD2884B" w14:textId="156487E9" w:rsidR="003D5D72" w:rsidRPr="003E3D16" w:rsidRDefault="003D5D72" w:rsidP="003D5D72">
      <w:pPr>
        <w:spacing w:after="240"/>
      </w:pPr>
      <w:r w:rsidRPr="003E3D16">
        <w:t>Szczegółowe informacje budżetowe w podziale na tematy znajdują się w tabeli poniżej.</w:t>
      </w:r>
    </w:p>
    <w:tbl>
      <w:tblPr>
        <w:tblW w:w="4032" w:type="dxa"/>
        <w:jc w:val="center"/>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2044"/>
        <w:gridCol w:w="1988"/>
      </w:tblGrid>
      <w:tr w:rsidR="00F96E2C" w:rsidRPr="003E3D16" w14:paraId="2BC8F981" w14:textId="77777777" w:rsidTr="0062273B">
        <w:trPr>
          <w:trHeight w:val="416"/>
          <w:jc w:val="center"/>
        </w:trPr>
        <w:tc>
          <w:tcPr>
            <w:tcW w:w="2044" w:type="dxa"/>
            <w:tcBorders>
              <w:top w:val="single" w:sz="12" w:space="0" w:color="BFBFBF"/>
              <w:left w:val="single" w:sz="12" w:space="0" w:color="BFBFBF"/>
              <w:bottom w:val="single" w:sz="12" w:space="0" w:color="BFBFBF"/>
              <w:right w:val="single" w:sz="12" w:space="0" w:color="BFBFBF"/>
            </w:tcBorders>
            <w:shd w:val="clear" w:color="auto" w:fill="F2F2F2"/>
            <w:hideMark/>
          </w:tcPr>
          <w:p w14:paraId="68ADA62B" w14:textId="77777777" w:rsidR="00F96E2C" w:rsidRPr="003E3D16" w:rsidRDefault="00F96E2C">
            <w:pPr>
              <w:spacing w:before="120" w:after="120"/>
              <w:jc w:val="left"/>
              <w:rPr>
                <w:rFonts w:cs="Arial"/>
                <w:b/>
                <w:color w:val="595959"/>
                <w:sz w:val="16"/>
                <w:szCs w:val="16"/>
                <w:highlight w:val="lightGray"/>
              </w:rPr>
            </w:pPr>
            <w:r w:rsidRPr="003E3D16">
              <w:rPr>
                <w:b/>
                <w:color w:val="595959"/>
                <w:sz w:val="16"/>
                <w:szCs w:val="16"/>
                <w:highlight w:val="lightGray"/>
              </w:rPr>
              <w:t>Temat</w:t>
            </w:r>
          </w:p>
        </w:tc>
        <w:tc>
          <w:tcPr>
            <w:tcW w:w="1988" w:type="dxa"/>
            <w:tcBorders>
              <w:top w:val="single" w:sz="12" w:space="0" w:color="BFBFBF"/>
              <w:left w:val="single" w:sz="12" w:space="0" w:color="BFBFBF"/>
              <w:bottom w:val="single" w:sz="12" w:space="0" w:color="BFBFBF"/>
              <w:right w:val="single" w:sz="12" w:space="0" w:color="BFBFBF"/>
            </w:tcBorders>
            <w:shd w:val="clear" w:color="auto" w:fill="F2F2F2"/>
            <w:hideMark/>
          </w:tcPr>
          <w:p w14:paraId="68CC9EDA" w14:textId="77777777" w:rsidR="00F96E2C" w:rsidRPr="003E3D16" w:rsidRDefault="00F96E2C">
            <w:pPr>
              <w:spacing w:before="120" w:after="120"/>
              <w:jc w:val="center"/>
              <w:rPr>
                <w:rFonts w:cs="Arial"/>
                <w:b/>
                <w:color w:val="595959"/>
                <w:sz w:val="16"/>
                <w:szCs w:val="16"/>
                <w:highlight w:val="lightGray"/>
              </w:rPr>
            </w:pPr>
            <w:r w:rsidRPr="003E3D16">
              <w:rPr>
                <w:b/>
                <w:color w:val="595959"/>
                <w:sz w:val="16"/>
                <w:szCs w:val="16"/>
                <w:highlight w:val="lightGray"/>
              </w:rPr>
              <w:t>Alokacja budżetowa dla tematu</w:t>
            </w:r>
          </w:p>
        </w:tc>
      </w:tr>
      <w:tr w:rsidR="00F96E2C" w:rsidRPr="003E3D16" w14:paraId="76597913" w14:textId="77777777" w:rsidTr="0062273B">
        <w:trPr>
          <w:trHeight w:val="677"/>
          <w:jc w:val="center"/>
        </w:trPr>
        <w:tc>
          <w:tcPr>
            <w:tcW w:w="2044" w:type="dxa"/>
            <w:tcBorders>
              <w:top w:val="single" w:sz="12" w:space="0" w:color="BFBFBF"/>
              <w:left w:val="single" w:sz="12" w:space="0" w:color="BFBFBF"/>
              <w:bottom w:val="single" w:sz="12" w:space="0" w:color="BFBFBF"/>
              <w:right w:val="single" w:sz="12" w:space="0" w:color="BFBFBF"/>
            </w:tcBorders>
            <w:hideMark/>
          </w:tcPr>
          <w:p w14:paraId="5818A49A" w14:textId="5F8ACD0B" w:rsidR="00F96E2C" w:rsidRPr="003E3D16" w:rsidRDefault="00732A4F" w:rsidP="00982C03">
            <w:pPr>
              <w:pStyle w:val="Default"/>
              <w:spacing w:before="120" w:after="120"/>
              <w:rPr>
                <w:rFonts w:ascii="Calibri" w:hAnsi="Calibri" w:cs="Calibri"/>
                <w:color w:val="595959"/>
                <w:sz w:val="18"/>
                <w:szCs w:val="18"/>
              </w:rPr>
            </w:pPr>
            <w:r w:rsidRPr="003E3D16">
              <w:rPr>
                <w:rFonts w:ascii="Calibri" w:hAnsi="Calibri"/>
                <w:color w:val="595959"/>
                <w:sz w:val="18"/>
                <w:szCs w:val="18"/>
              </w:rPr>
              <w:t>1 – Partnerstwo miast</w:t>
            </w:r>
          </w:p>
        </w:tc>
        <w:tc>
          <w:tcPr>
            <w:tcW w:w="1988" w:type="dxa"/>
            <w:tcBorders>
              <w:top w:val="single" w:sz="12" w:space="0" w:color="BFBFBF"/>
              <w:left w:val="single" w:sz="12" w:space="0" w:color="BFBFBF"/>
              <w:bottom w:val="single" w:sz="12" w:space="0" w:color="BFBFBF"/>
              <w:right w:val="single" w:sz="12" w:space="0" w:color="BFBFBF"/>
            </w:tcBorders>
            <w:hideMark/>
          </w:tcPr>
          <w:p w14:paraId="446F8083" w14:textId="7AA8B48E" w:rsidR="00F96E2C" w:rsidRPr="003E3D16" w:rsidRDefault="00F96E2C" w:rsidP="00BF7239">
            <w:pPr>
              <w:tabs>
                <w:tab w:val="left" w:pos="2160"/>
              </w:tabs>
              <w:spacing w:before="120" w:after="120"/>
              <w:jc w:val="center"/>
              <w:rPr>
                <w:b/>
                <w:color w:val="595959"/>
                <w:sz w:val="16"/>
              </w:rPr>
            </w:pPr>
            <w:r w:rsidRPr="003E3D16">
              <w:rPr>
                <w:b/>
                <w:color w:val="595959"/>
                <w:sz w:val="16"/>
              </w:rPr>
              <w:t xml:space="preserve">4 500 000 EUR </w:t>
            </w:r>
          </w:p>
        </w:tc>
      </w:tr>
      <w:tr w:rsidR="00F96E2C" w:rsidRPr="003E3D16" w14:paraId="6BFB59AD" w14:textId="77777777" w:rsidTr="0062273B">
        <w:trPr>
          <w:trHeight w:val="586"/>
          <w:jc w:val="center"/>
        </w:trPr>
        <w:tc>
          <w:tcPr>
            <w:tcW w:w="2044" w:type="dxa"/>
            <w:tcBorders>
              <w:top w:val="single" w:sz="12" w:space="0" w:color="BFBFBF"/>
              <w:left w:val="single" w:sz="12" w:space="0" w:color="BFBFBF"/>
              <w:bottom w:val="single" w:sz="12" w:space="0" w:color="BFBFBF"/>
              <w:right w:val="single" w:sz="12" w:space="0" w:color="BFBFBF"/>
            </w:tcBorders>
            <w:hideMark/>
          </w:tcPr>
          <w:p w14:paraId="6186D585" w14:textId="6DBBF70D" w:rsidR="00F96E2C" w:rsidRPr="003E3D16" w:rsidRDefault="00732A4F" w:rsidP="00F86AB3">
            <w:pPr>
              <w:pStyle w:val="Default"/>
              <w:spacing w:before="120" w:after="120"/>
              <w:rPr>
                <w:rFonts w:ascii="Calibri" w:hAnsi="Calibri" w:cs="Calibri"/>
              </w:rPr>
            </w:pPr>
            <w:r w:rsidRPr="003E3D16">
              <w:rPr>
                <w:rFonts w:ascii="Calibri" w:hAnsi="Calibri"/>
                <w:color w:val="595959"/>
                <w:sz w:val="18"/>
                <w:szCs w:val="18"/>
              </w:rPr>
              <w:lastRenderedPageBreak/>
              <w:t>2 – Sieci miast</w:t>
            </w:r>
          </w:p>
        </w:tc>
        <w:tc>
          <w:tcPr>
            <w:tcW w:w="1988" w:type="dxa"/>
            <w:tcBorders>
              <w:top w:val="single" w:sz="12" w:space="0" w:color="BFBFBF"/>
              <w:left w:val="single" w:sz="12" w:space="0" w:color="BFBFBF"/>
              <w:bottom w:val="single" w:sz="12" w:space="0" w:color="BFBFBF"/>
              <w:right w:val="single" w:sz="12" w:space="0" w:color="BFBFBF"/>
            </w:tcBorders>
            <w:hideMark/>
          </w:tcPr>
          <w:p w14:paraId="0CBA46D5" w14:textId="364B41A5" w:rsidR="00F96E2C" w:rsidRPr="003E3D16" w:rsidRDefault="00F96E2C" w:rsidP="00BF7239">
            <w:pPr>
              <w:tabs>
                <w:tab w:val="left" w:pos="2160"/>
              </w:tabs>
              <w:spacing w:before="120" w:after="120"/>
              <w:jc w:val="center"/>
              <w:rPr>
                <w:b/>
                <w:color w:val="595959"/>
                <w:sz w:val="16"/>
              </w:rPr>
            </w:pPr>
            <w:r w:rsidRPr="003E3D16">
              <w:rPr>
                <w:b/>
                <w:color w:val="595959"/>
                <w:sz w:val="16"/>
              </w:rPr>
              <w:t xml:space="preserve">6 500 000 EUR </w:t>
            </w:r>
          </w:p>
        </w:tc>
      </w:tr>
    </w:tbl>
    <w:p w14:paraId="24AC267A" w14:textId="77777777" w:rsidR="003D5D72" w:rsidRPr="003E3D16" w:rsidRDefault="003D5D72" w:rsidP="000579AF">
      <w:pPr>
        <w:spacing w:after="0"/>
      </w:pPr>
    </w:p>
    <w:p w14:paraId="5155AA30" w14:textId="193C0ACA" w:rsidR="008246AA" w:rsidRPr="003E3D16" w:rsidRDefault="005764E8" w:rsidP="000579AF">
      <w:pPr>
        <w:spacing w:after="0"/>
      </w:pPr>
      <w:r w:rsidRPr="003E3D16">
        <w:t xml:space="preserve">Zastrzegamy sobie prawo do nierozdysponowania pełnej dostępnej puli środków lub do rozdysponowania dostępnych środków pomiędzy tematami ujętymi w zaproszeniu w zależności od złożonych wniosków i wyników ich oceny. </w:t>
      </w:r>
    </w:p>
    <w:p w14:paraId="2F76B7EF" w14:textId="77777777" w:rsidR="00E17677" w:rsidRPr="00FE0460" w:rsidRDefault="00E17677" w:rsidP="00623078">
      <w:pPr>
        <w:pStyle w:val="ListParagraph"/>
        <w:snapToGrid w:val="0"/>
        <w:rPr>
          <w:rFonts w:eastAsia="Verdana" w:cs="Verdana"/>
          <w:sz w:val="20"/>
          <w:szCs w:val="20"/>
        </w:rPr>
      </w:pPr>
    </w:p>
    <w:p w14:paraId="443BB5FD" w14:textId="3369C3E2" w:rsidR="0081075D" w:rsidRPr="003E3D16" w:rsidRDefault="0081075D" w:rsidP="00623078">
      <w:pPr>
        <w:pStyle w:val="Heading1"/>
        <w:numPr>
          <w:ilvl w:val="0"/>
          <w:numId w:val="54"/>
        </w:numPr>
        <w:tabs>
          <w:tab w:val="left" w:pos="284"/>
        </w:tabs>
        <w:ind w:left="0" w:firstLine="0"/>
      </w:pPr>
      <w:bookmarkStart w:id="11" w:name="_Toc92978225"/>
      <w:r w:rsidRPr="003E3D16">
        <w:t>Harmonogram i terminy</w:t>
      </w:r>
      <w:bookmarkEnd w:id="11"/>
      <w:r w:rsidRPr="003E3D16">
        <w:t xml:space="preserve"> </w:t>
      </w:r>
    </w:p>
    <w:tbl>
      <w:tblPr>
        <w:tblW w:w="0" w:type="auto"/>
        <w:tblInd w:w="58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3631"/>
        <w:gridCol w:w="3402"/>
      </w:tblGrid>
      <w:tr w:rsidR="0081075D" w:rsidRPr="003E3D16" w14:paraId="2551C42E" w14:textId="77777777" w:rsidTr="0081075D">
        <w:tc>
          <w:tcPr>
            <w:tcW w:w="7033" w:type="dxa"/>
            <w:gridSpan w:val="2"/>
            <w:shd w:val="clear" w:color="auto" w:fill="F2F2F2"/>
          </w:tcPr>
          <w:p w14:paraId="35F223BC" w14:textId="77777777" w:rsidR="0081075D" w:rsidRPr="003E3D16" w:rsidRDefault="0081075D" w:rsidP="008138D1">
            <w:pPr>
              <w:spacing w:before="120" w:after="120"/>
              <w:jc w:val="left"/>
              <w:rPr>
                <w:rFonts w:cs="Arial"/>
                <w:b/>
                <w:color w:val="595959"/>
                <w:sz w:val="16"/>
                <w:szCs w:val="16"/>
              </w:rPr>
            </w:pPr>
            <w:r w:rsidRPr="003E3D16">
              <w:rPr>
                <w:b/>
                <w:color w:val="595959"/>
                <w:sz w:val="16"/>
                <w:szCs w:val="16"/>
              </w:rPr>
              <w:t>Harmonogram i terminy (orientacyjne)</w:t>
            </w:r>
          </w:p>
        </w:tc>
      </w:tr>
      <w:tr w:rsidR="00D51B6C" w:rsidRPr="003E3D16" w14:paraId="2A67B858" w14:textId="77777777" w:rsidTr="0081075D">
        <w:tc>
          <w:tcPr>
            <w:tcW w:w="3631" w:type="dxa"/>
            <w:shd w:val="clear" w:color="auto" w:fill="F2F2F2"/>
          </w:tcPr>
          <w:p w14:paraId="4CDFED3B" w14:textId="77777777" w:rsidR="00D51B6C" w:rsidRPr="003E3D16" w:rsidRDefault="00D51B6C" w:rsidP="00D51B6C">
            <w:pPr>
              <w:spacing w:before="120" w:after="120"/>
              <w:jc w:val="left"/>
              <w:rPr>
                <w:rFonts w:cs="Arial"/>
                <w:color w:val="595959"/>
                <w:sz w:val="16"/>
                <w:szCs w:val="16"/>
              </w:rPr>
            </w:pPr>
            <w:r w:rsidRPr="003E3D16">
              <w:rPr>
                <w:color w:val="595959"/>
                <w:sz w:val="16"/>
                <w:szCs w:val="16"/>
              </w:rPr>
              <w:t>Rozpoczęcie naboru wniosków:</w:t>
            </w:r>
          </w:p>
        </w:tc>
        <w:tc>
          <w:tcPr>
            <w:tcW w:w="3402" w:type="dxa"/>
            <w:shd w:val="clear" w:color="auto" w:fill="auto"/>
          </w:tcPr>
          <w:p w14:paraId="459CC614" w14:textId="1A965A82" w:rsidR="00D51B6C" w:rsidRPr="003E3D16" w:rsidRDefault="00FB7748" w:rsidP="00D51B6C">
            <w:pPr>
              <w:spacing w:before="120" w:after="120"/>
              <w:jc w:val="center"/>
              <w:rPr>
                <w:rFonts w:cs="Arial"/>
                <w:color w:val="595959"/>
                <w:sz w:val="16"/>
                <w:szCs w:val="16"/>
              </w:rPr>
            </w:pPr>
            <w:r w:rsidRPr="003E3D16">
              <w:rPr>
                <w:color w:val="595959"/>
                <w:sz w:val="16"/>
                <w:szCs w:val="16"/>
              </w:rPr>
              <w:t>16 listopada 2021 r.</w:t>
            </w:r>
          </w:p>
        </w:tc>
      </w:tr>
      <w:tr w:rsidR="00D51B6C" w:rsidRPr="003E3D16" w14:paraId="13487F30" w14:textId="77777777" w:rsidTr="0081075D">
        <w:tc>
          <w:tcPr>
            <w:tcW w:w="3631" w:type="dxa"/>
            <w:shd w:val="clear" w:color="auto" w:fill="F2F2F2"/>
          </w:tcPr>
          <w:p w14:paraId="6817E1F5" w14:textId="77777777" w:rsidR="00D51B6C" w:rsidRPr="003E3D16" w:rsidRDefault="00D51B6C" w:rsidP="00D51B6C">
            <w:pPr>
              <w:spacing w:before="120" w:after="120"/>
              <w:jc w:val="left"/>
              <w:rPr>
                <w:rFonts w:cs="Arial"/>
                <w:color w:val="595959"/>
                <w:sz w:val="16"/>
                <w:szCs w:val="16"/>
                <w:u w:val="single"/>
              </w:rPr>
            </w:pPr>
            <w:r w:rsidRPr="003E3D16">
              <w:rPr>
                <w:color w:val="595959"/>
                <w:sz w:val="16"/>
                <w:szCs w:val="16"/>
                <w:u w:val="single"/>
              </w:rPr>
              <w:t>Termin składania wniosków:</w:t>
            </w:r>
          </w:p>
        </w:tc>
        <w:tc>
          <w:tcPr>
            <w:tcW w:w="3402" w:type="dxa"/>
            <w:shd w:val="clear" w:color="auto" w:fill="auto"/>
          </w:tcPr>
          <w:p w14:paraId="7744539C" w14:textId="65D0B910" w:rsidR="00D51B6C" w:rsidRPr="003E3D16" w:rsidRDefault="00FB7748" w:rsidP="00D51B6C">
            <w:pPr>
              <w:spacing w:before="120" w:after="120"/>
              <w:jc w:val="center"/>
              <w:rPr>
                <w:rFonts w:cs="Arial"/>
                <w:color w:val="595959"/>
                <w:sz w:val="16"/>
                <w:szCs w:val="16"/>
                <w:u w:val="single"/>
              </w:rPr>
            </w:pPr>
            <w:r w:rsidRPr="003E3D16">
              <w:rPr>
                <w:color w:val="595959"/>
                <w:sz w:val="16"/>
                <w:szCs w:val="16"/>
                <w:u w:val="single"/>
              </w:rPr>
              <w:t>24 marca 2022 r. – godz. 17.00.00 CET (Bruksela)</w:t>
            </w:r>
          </w:p>
        </w:tc>
      </w:tr>
      <w:tr w:rsidR="00D51B6C" w:rsidRPr="003E3D16" w14:paraId="4E10F558" w14:textId="77777777" w:rsidTr="0081075D">
        <w:tc>
          <w:tcPr>
            <w:tcW w:w="3631" w:type="dxa"/>
            <w:shd w:val="clear" w:color="auto" w:fill="F2F2F2"/>
          </w:tcPr>
          <w:p w14:paraId="5F43FD1F" w14:textId="77777777" w:rsidR="00D51B6C" w:rsidRPr="003E3D16" w:rsidRDefault="00D51B6C" w:rsidP="00D51B6C">
            <w:pPr>
              <w:spacing w:before="120" w:after="120"/>
              <w:jc w:val="left"/>
              <w:rPr>
                <w:rFonts w:cs="Arial"/>
                <w:color w:val="595959"/>
                <w:sz w:val="16"/>
                <w:szCs w:val="16"/>
              </w:rPr>
            </w:pPr>
            <w:r w:rsidRPr="003E3D16">
              <w:rPr>
                <w:color w:val="595959"/>
                <w:sz w:val="16"/>
                <w:szCs w:val="16"/>
              </w:rPr>
              <w:t>Ocena:</w:t>
            </w:r>
          </w:p>
        </w:tc>
        <w:tc>
          <w:tcPr>
            <w:tcW w:w="3402" w:type="dxa"/>
            <w:shd w:val="clear" w:color="auto" w:fill="auto"/>
          </w:tcPr>
          <w:p w14:paraId="4E52804D" w14:textId="53BEE602" w:rsidR="00D51B6C" w:rsidRPr="003E3D16" w:rsidRDefault="006F58BD" w:rsidP="00D51B6C">
            <w:pPr>
              <w:spacing w:before="120" w:after="120"/>
              <w:jc w:val="center"/>
              <w:rPr>
                <w:rFonts w:cs="Arial"/>
                <w:color w:val="595959"/>
                <w:sz w:val="16"/>
                <w:szCs w:val="16"/>
              </w:rPr>
            </w:pPr>
            <w:r w:rsidRPr="003E3D16">
              <w:rPr>
                <w:color w:val="595959"/>
                <w:sz w:val="16"/>
                <w:szCs w:val="16"/>
              </w:rPr>
              <w:t>marzec–czerwiec 2022 r.</w:t>
            </w:r>
          </w:p>
        </w:tc>
      </w:tr>
      <w:tr w:rsidR="00D51B6C" w:rsidRPr="003E3D16" w14:paraId="16AD7E30" w14:textId="77777777" w:rsidTr="0081075D">
        <w:tc>
          <w:tcPr>
            <w:tcW w:w="3631" w:type="dxa"/>
            <w:shd w:val="clear" w:color="auto" w:fill="F2F2F2"/>
          </w:tcPr>
          <w:p w14:paraId="7BA115F8" w14:textId="77777777" w:rsidR="00D51B6C" w:rsidRPr="003E3D16" w:rsidRDefault="00D51B6C" w:rsidP="00D51B6C">
            <w:pPr>
              <w:spacing w:before="120" w:after="120"/>
              <w:jc w:val="left"/>
              <w:rPr>
                <w:rFonts w:cs="Arial"/>
                <w:color w:val="595959"/>
                <w:sz w:val="16"/>
                <w:szCs w:val="16"/>
              </w:rPr>
            </w:pPr>
            <w:r w:rsidRPr="003E3D16">
              <w:rPr>
                <w:color w:val="595959"/>
                <w:sz w:val="16"/>
                <w:szCs w:val="16"/>
              </w:rPr>
              <w:t>Informacja o wynikach oceny:</w:t>
            </w:r>
          </w:p>
        </w:tc>
        <w:tc>
          <w:tcPr>
            <w:tcW w:w="3402" w:type="dxa"/>
            <w:shd w:val="clear" w:color="auto" w:fill="auto"/>
          </w:tcPr>
          <w:p w14:paraId="6DD4C599" w14:textId="302F0E77" w:rsidR="00D51B6C" w:rsidRPr="003E3D16" w:rsidRDefault="00FB7748" w:rsidP="00D51B6C">
            <w:pPr>
              <w:spacing w:before="120" w:after="120"/>
              <w:jc w:val="center"/>
              <w:rPr>
                <w:rFonts w:cs="Arial"/>
                <w:color w:val="595959"/>
                <w:sz w:val="16"/>
                <w:szCs w:val="16"/>
              </w:rPr>
            </w:pPr>
            <w:r w:rsidRPr="003E3D16">
              <w:rPr>
                <w:color w:val="595959"/>
                <w:sz w:val="16"/>
                <w:szCs w:val="16"/>
              </w:rPr>
              <w:t>czerwiec–lipiec 2022 r.</w:t>
            </w:r>
          </w:p>
        </w:tc>
      </w:tr>
      <w:tr w:rsidR="00D51B6C" w:rsidRPr="003E3D16" w14:paraId="122CA5CC" w14:textId="77777777" w:rsidTr="0081075D">
        <w:tc>
          <w:tcPr>
            <w:tcW w:w="3631" w:type="dxa"/>
            <w:shd w:val="clear" w:color="auto" w:fill="F2F2F2"/>
          </w:tcPr>
          <w:p w14:paraId="18CEB7CE" w14:textId="77777777" w:rsidR="00D51B6C" w:rsidRPr="003E3D16" w:rsidRDefault="00D51B6C" w:rsidP="00D51B6C">
            <w:pPr>
              <w:spacing w:before="120" w:after="120"/>
              <w:jc w:val="left"/>
              <w:rPr>
                <w:rFonts w:cs="Arial"/>
                <w:color w:val="595959"/>
                <w:sz w:val="16"/>
                <w:szCs w:val="16"/>
              </w:rPr>
            </w:pPr>
            <w:r w:rsidRPr="003E3D16">
              <w:rPr>
                <w:color w:val="595959"/>
                <w:sz w:val="16"/>
                <w:szCs w:val="16"/>
              </w:rPr>
              <w:t>Podpisanie umowy o udzielenie dotacji:</w:t>
            </w:r>
          </w:p>
        </w:tc>
        <w:tc>
          <w:tcPr>
            <w:tcW w:w="3402" w:type="dxa"/>
            <w:shd w:val="clear" w:color="auto" w:fill="auto"/>
          </w:tcPr>
          <w:p w14:paraId="4D6E0E6F" w14:textId="06911F90" w:rsidR="00D51B6C" w:rsidRPr="003E3D16" w:rsidRDefault="0086598B" w:rsidP="00D51B6C">
            <w:pPr>
              <w:spacing w:before="120" w:after="120"/>
              <w:jc w:val="center"/>
              <w:rPr>
                <w:rFonts w:cs="Arial"/>
                <w:color w:val="595959"/>
                <w:sz w:val="16"/>
                <w:szCs w:val="16"/>
              </w:rPr>
            </w:pPr>
            <w:r w:rsidRPr="003E3D16">
              <w:rPr>
                <w:color w:val="595959"/>
                <w:sz w:val="16"/>
                <w:szCs w:val="16"/>
              </w:rPr>
              <w:t>sierpień–listopad 2022 r.</w:t>
            </w:r>
          </w:p>
        </w:tc>
      </w:tr>
    </w:tbl>
    <w:p w14:paraId="55E1450C" w14:textId="77777777" w:rsidR="00C50DC1" w:rsidRPr="003E3D16" w:rsidRDefault="00C50DC1" w:rsidP="00A2572D">
      <w:pPr>
        <w:widowControl w:val="0"/>
        <w:jc w:val="left"/>
        <w:rPr>
          <w:color w:val="595959"/>
          <w:highlight w:val="yellow"/>
        </w:rPr>
      </w:pPr>
    </w:p>
    <w:p w14:paraId="0915A488" w14:textId="055C12B6" w:rsidR="00B57534" w:rsidRPr="003E3D16" w:rsidRDefault="00276AD7" w:rsidP="000579AF">
      <w:pPr>
        <w:pStyle w:val="Heading1"/>
        <w:numPr>
          <w:ilvl w:val="0"/>
          <w:numId w:val="54"/>
        </w:numPr>
        <w:tabs>
          <w:tab w:val="left" w:pos="284"/>
        </w:tabs>
        <w:ind w:left="0" w:firstLine="0"/>
      </w:pPr>
      <w:bookmarkStart w:id="12" w:name="_Toc92978226"/>
      <w:r w:rsidRPr="003E3D16">
        <w:t>Dopuszczalność i dokumenty</w:t>
      </w:r>
      <w:bookmarkEnd w:id="12"/>
    </w:p>
    <w:p w14:paraId="1E55A5E3" w14:textId="4F37B5A9" w:rsidR="00C41E84" w:rsidRPr="003E3D16" w:rsidRDefault="000A7529" w:rsidP="00C41E84">
      <w:pPr>
        <w:pStyle w:val="Text1"/>
        <w:tabs>
          <w:tab w:val="clear" w:pos="2160"/>
        </w:tabs>
        <w:ind w:left="0"/>
        <w:rPr>
          <w:rFonts w:cs="Arial"/>
          <w:iCs/>
        </w:rPr>
      </w:pPr>
      <w:r w:rsidRPr="003E3D16">
        <w:t xml:space="preserve">Wnioski należy składać przed upływem </w:t>
      </w:r>
      <w:r w:rsidRPr="003E3D16">
        <w:rPr>
          <w:b/>
          <w:iCs/>
        </w:rPr>
        <w:t>terminu składania wniosków</w:t>
      </w:r>
      <w:r w:rsidRPr="003E3D16">
        <w:t xml:space="preserve"> </w:t>
      </w:r>
      <w:r w:rsidRPr="003E3D16">
        <w:rPr>
          <w:i/>
          <w:iCs/>
        </w:rPr>
        <w:t>(zob. harmonogram punkt 4)</w:t>
      </w:r>
      <w:r w:rsidRPr="003E3D16">
        <w:t>.</w:t>
      </w:r>
    </w:p>
    <w:p w14:paraId="56C9BCF2" w14:textId="1DEAB8D8" w:rsidR="00C41E84" w:rsidRPr="003E3D16" w:rsidRDefault="000A7529" w:rsidP="00C41E84">
      <w:pPr>
        <w:rPr>
          <w:rFonts w:cs="Arial"/>
        </w:rPr>
      </w:pPr>
      <w:r w:rsidRPr="003E3D16">
        <w:t xml:space="preserve">Wnioski należy składać </w:t>
      </w:r>
      <w:r w:rsidRPr="003E3D16">
        <w:rPr>
          <w:b/>
          <w:iCs/>
        </w:rPr>
        <w:t>w formie elektronicznej</w:t>
      </w:r>
      <w:r w:rsidRPr="003E3D16">
        <w:t xml:space="preserve"> za pośrednictwem elektronicznego systemu składania wniosków w portalu Funding and Tenders (dostępnym poprzez stronę tematu w sekcji </w:t>
      </w:r>
      <w:hyperlink r:id="rId28" w:history="1">
        <w:r w:rsidRPr="003E3D16">
          <w:rPr>
            <w:rStyle w:val="Hyperlink"/>
          </w:rPr>
          <w:t>Szukaj finansowania i przetargów</w:t>
        </w:r>
      </w:hyperlink>
      <w:r w:rsidRPr="003E3D16">
        <w:t>). Składanie wniosków w formie papierowej NIE jest możliwe.</w:t>
      </w:r>
    </w:p>
    <w:p w14:paraId="146274B2" w14:textId="31716E89" w:rsidR="004A47F3" w:rsidRPr="003E3D16" w:rsidRDefault="000A7529" w:rsidP="004A47F3">
      <w:pPr>
        <w:pStyle w:val="Text1"/>
        <w:tabs>
          <w:tab w:val="clear" w:pos="2160"/>
        </w:tabs>
        <w:ind w:left="0"/>
        <w:rPr>
          <w:rFonts w:cs="Arial"/>
          <w:iCs/>
        </w:rPr>
      </w:pPr>
      <w:r w:rsidRPr="003E3D16">
        <w:t xml:space="preserve">Wnioski (w tym załączniki i dokumenty uzupełniające) należy składać, korzystając z formularzy dostępnych </w:t>
      </w:r>
      <w:r w:rsidRPr="003E3D16">
        <w:rPr>
          <w:i/>
          <w:iCs/>
        </w:rPr>
        <w:t>w</w:t>
      </w:r>
      <w:r w:rsidRPr="003E3D16">
        <w:t xml:space="preserve"> systemie składania wniosków (</w:t>
      </w:r>
      <w:r w:rsidRPr="003E3D16">
        <w:rPr>
          <w:noProof/>
          <w:lang w:val="fr-BE" w:eastAsia="fr-BE"/>
        </w:rPr>
        <w:drawing>
          <wp:inline distT="0" distB="0" distL="0" distR="0" wp14:anchorId="53E97A52" wp14:editId="1DC5343B">
            <wp:extent cx="187960" cy="187960"/>
            <wp:effectExtent l="0" t="0" r="0" b="0"/>
            <wp:docPr id="4" name="Picture 1418683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868368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3E3D16">
        <w:t xml:space="preserve"> NIE dokumentów umieszczonych na stronie tematu — mają one wyłącznie charakter informacyjny).</w:t>
      </w:r>
    </w:p>
    <w:p w14:paraId="2EA1C106" w14:textId="77777777" w:rsidR="00615B82" w:rsidRPr="003E3D16" w:rsidRDefault="00615B82" w:rsidP="00615B82">
      <w:pPr>
        <w:pStyle w:val="Body"/>
      </w:pPr>
      <w:r w:rsidRPr="003E3D16">
        <w:t xml:space="preserve">Wnioski muszą być </w:t>
      </w:r>
      <w:r w:rsidRPr="003E3D16">
        <w:rPr>
          <w:b/>
        </w:rPr>
        <w:t>kompletne</w:t>
      </w:r>
      <w:r w:rsidRPr="003E3D16">
        <w:t xml:space="preserve"> i muszą zawierać wszystkie wymagane informacje oraz wszystkie wymagane załączniki i dokumenty uzupełniające: </w:t>
      </w:r>
    </w:p>
    <w:p w14:paraId="0E76C2A6" w14:textId="77777777" w:rsidR="00615B82" w:rsidRPr="003E3D16" w:rsidRDefault="00615B82" w:rsidP="008B1F42">
      <w:pPr>
        <w:pStyle w:val="ListParagraph"/>
        <w:numPr>
          <w:ilvl w:val="0"/>
          <w:numId w:val="42"/>
        </w:numPr>
        <w:autoSpaceDE w:val="0"/>
        <w:autoSpaceDN w:val="0"/>
        <w:adjustRightInd w:val="0"/>
        <w:spacing w:after="200"/>
        <w:contextualSpacing w:val="0"/>
        <w:jc w:val="both"/>
        <w:rPr>
          <w:rFonts w:eastAsia="SimSun"/>
          <w:sz w:val="20"/>
          <w:szCs w:val="20"/>
        </w:rPr>
      </w:pPr>
      <w:r w:rsidRPr="003E3D16">
        <w:rPr>
          <w:sz w:val="20"/>
          <w:szCs w:val="20"/>
        </w:rPr>
        <w:t xml:space="preserve">Formularz wniosku część A – zawiera informacje administracyjne dotyczące uczestników (przyszłego koordynatora, beneficjentów i podmiotów stowarzyszonych) oraz skróconego budżetu projektu </w:t>
      </w:r>
      <w:r w:rsidRPr="003E3D16">
        <w:rPr>
          <w:i/>
          <w:sz w:val="20"/>
          <w:szCs w:val="20"/>
        </w:rPr>
        <w:t>(formularz należy wypełnić bezpośrednio online)</w:t>
      </w:r>
    </w:p>
    <w:p w14:paraId="1DD9CE56" w14:textId="32209A5E" w:rsidR="00F255C8" w:rsidRPr="003E3D16" w:rsidRDefault="00F255C8" w:rsidP="008B1F42">
      <w:pPr>
        <w:pStyle w:val="ListParagraph"/>
        <w:numPr>
          <w:ilvl w:val="0"/>
          <w:numId w:val="42"/>
        </w:numPr>
        <w:autoSpaceDE w:val="0"/>
        <w:autoSpaceDN w:val="0"/>
        <w:adjustRightInd w:val="0"/>
        <w:spacing w:after="200"/>
        <w:contextualSpacing w:val="0"/>
        <w:jc w:val="both"/>
        <w:rPr>
          <w:rFonts w:eastAsia="SimSun"/>
          <w:sz w:val="20"/>
          <w:szCs w:val="20"/>
        </w:rPr>
      </w:pPr>
      <w:r w:rsidRPr="003E3D16">
        <w:rPr>
          <w:sz w:val="20"/>
          <w:szCs w:val="20"/>
        </w:rPr>
        <w:t xml:space="preserve">Formularz wniosku część B – zawiera opis techniczny projektu </w:t>
      </w:r>
      <w:r w:rsidRPr="003E3D16">
        <w:rPr>
          <w:i/>
          <w:sz w:val="20"/>
          <w:szCs w:val="20"/>
        </w:rPr>
        <w:t>(formularz należy pobrać z portalu składania wniosków, wypełnić, złożyć, a następnie ponownie załadować)</w:t>
      </w:r>
    </w:p>
    <w:p w14:paraId="513E2D49" w14:textId="29EB43E2" w:rsidR="00615B82" w:rsidRPr="003E3D16" w:rsidRDefault="00615B82" w:rsidP="008B1F42">
      <w:pPr>
        <w:pStyle w:val="ListParagraph"/>
        <w:numPr>
          <w:ilvl w:val="0"/>
          <w:numId w:val="42"/>
        </w:numPr>
        <w:autoSpaceDE w:val="0"/>
        <w:autoSpaceDN w:val="0"/>
        <w:adjustRightInd w:val="0"/>
        <w:snapToGrid w:val="0"/>
        <w:spacing w:after="200"/>
        <w:ind w:left="714" w:hanging="357"/>
        <w:contextualSpacing w:val="0"/>
        <w:jc w:val="both"/>
        <w:rPr>
          <w:rFonts w:eastAsia="SimSun"/>
          <w:sz w:val="20"/>
          <w:szCs w:val="20"/>
        </w:rPr>
      </w:pPr>
      <w:r w:rsidRPr="003E3D16">
        <w:rPr>
          <w:sz w:val="20"/>
          <w:szCs w:val="20"/>
        </w:rPr>
        <w:t>Część C (</w:t>
      </w:r>
      <w:r w:rsidRPr="003E3D16">
        <w:rPr>
          <w:i/>
          <w:iCs/>
          <w:sz w:val="20"/>
          <w:szCs w:val="20"/>
        </w:rPr>
        <w:t>należy wypełnić bezpośrednio online</w:t>
      </w:r>
      <w:r w:rsidRPr="003E3D16">
        <w:rPr>
          <w:sz w:val="20"/>
          <w:szCs w:val="20"/>
        </w:rPr>
        <w:t>) zawierająca dodatkowe dane dotyczące projektu, w tym obowiązkowe wskaźniki</w:t>
      </w:r>
    </w:p>
    <w:p w14:paraId="595C2D66" w14:textId="17D26FBA" w:rsidR="00615B82" w:rsidRPr="003E3D16" w:rsidRDefault="00615B82" w:rsidP="008B1F42">
      <w:pPr>
        <w:pStyle w:val="ListParagraph"/>
        <w:numPr>
          <w:ilvl w:val="0"/>
          <w:numId w:val="42"/>
        </w:numPr>
        <w:autoSpaceDE w:val="0"/>
        <w:autoSpaceDN w:val="0"/>
        <w:adjustRightInd w:val="0"/>
        <w:snapToGrid w:val="0"/>
        <w:spacing w:after="200"/>
        <w:contextualSpacing w:val="0"/>
        <w:jc w:val="both"/>
        <w:rPr>
          <w:sz w:val="20"/>
          <w:szCs w:val="20"/>
        </w:rPr>
      </w:pPr>
      <w:r w:rsidRPr="003E3D16">
        <w:rPr>
          <w:b/>
          <w:bCs/>
          <w:sz w:val="20"/>
          <w:szCs w:val="20"/>
        </w:rPr>
        <w:t>załączniki obowiązkowe i dokumenty uzupełniające</w:t>
      </w:r>
      <w:r w:rsidRPr="003E3D16">
        <w:rPr>
          <w:sz w:val="20"/>
          <w:szCs w:val="20"/>
        </w:rPr>
        <w:t xml:space="preserve"> (należy je załadować):</w:t>
      </w:r>
    </w:p>
    <w:p w14:paraId="6BC6A974" w14:textId="24D51A6E" w:rsidR="00615B82" w:rsidRPr="003E3D16" w:rsidRDefault="005E363C" w:rsidP="008B1F42">
      <w:pPr>
        <w:pStyle w:val="Default"/>
        <w:numPr>
          <w:ilvl w:val="1"/>
          <w:numId w:val="42"/>
        </w:numPr>
        <w:spacing w:after="120"/>
        <w:jc w:val="both"/>
        <w:rPr>
          <w:rFonts w:ascii="Verdana" w:hAnsi="Verdana" w:cs="Arial"/>
          <w:i/>
          <w:color w:val="auto"/>
          <w:sz w:val="20"/>
          <w:szCs w:val="20"/>
        </w:rPr>
      </w:pPr>
      <w:r w:rsidRPr="003E3D16">
        <w:rPr>
          <w:rFonts w:ascii="Verdana" w:hAnsi="Verdana"/>
          <w:sz w:val="20"/>
          <w:szCs w:val="20"/>
        </w:rPr>
        <w:t xml:space="preserve">szczegółowa tabela budżetowa: </w:t>
      </w:r>
      <w:r w:rsidRPr="003E3D16">
        <w:rPr>
          <w:rFonts w:ascii="Verdana" w:hAnsi="Verdana"/>
          <w:i/>
          <w:iCs/>
          <w:sz w:val="20"/>
          <w:szCs w:val="20"/>
        </w:rPr>
        <w:t>nie dotyczy</w:t>
      </w:r>
      <w:r w:rsidRPr="003E3D16">
        <w:rPr>
          <w:rFonts w:ascii="Verdana" w:hAnsi="Verdana"/>
          <w:sz w:val="20"/>
          <w:szCs w:val="20"/>
        </w:rPr>
        <w:t>;</w:t>
      </w:r>
    </w:p>
    <w:p w14:paraId="0BB50662" w14:textId="4785DDDB" w:rsidR="00615B82" w:rsidRPr="003E3D16" w:rsidRDefault="00615B82" w:rsidP="008B1F42">
      <w:pPr>
        <w:pStyle w:val="Default"/>
        <w:numPr>
          <w:ilvl w:val="1"/>
          <w:numId w:val="42"/>
        </w:numPr>
        <w:spacing w:after="120"/>
        <w:jc w:val="both"/>
        <w:rPr>
          <w:rFonts w:ascii="Verdana" w:hAnsi="Verdana" w:cs="Arial"/>
          <w:color w:val="auto"/>
          <w:sz w:val="20"/>
          <w:szCs w:val="20"/>
        </w:rPr>
      </w:pPr>
      <w:r w:rsidRPr="003E3D16">
        <w:rPr>
          <w:rFonts w:ascii="Verdana" w:hAnsi="Verdana"/>
          <w:color w:val="auto"/>
          <w:sz w:val="20"/>
          <w:szCs w:val="20"/>
        </w:rPr>
        <w:t xml:space="preserve">życiorysy głównego zespołu projektowego: </w:t>
      </w:r>
      <w:r w:rsidRPr="003E3D16">
        <w:rPr>
          <w:rFonts w:ascii="Verdana" w:hAnsi="Verdana"/>
          <w:i/>
          <w:iCs/>
          <w:color w:val="auto"/>
          <w:sz w:val="20"/>
          <w:szCs w:val="20"/>
        </w:rPr>
        <w:t>nie dotyczy</w:t>
      </w:r>
      <w:r w:rsidRPr="003E3D16">
        <w:rPr>
          <w:rFonts w:ascii="Verdana" w:hAnsi="Verdana"/>
          <w:color w:val="auto"/>
          <w:sz w:val="20"/>
          <w:szCs w:val="20"/>
        </w:rPr>
        <w:t>;</w:t>
      </w:r>
    </w:p>
    <w:p w14:paraId="0DB52E74" w14:textId="77777777" w:rsidR="0062273B" w:rsidRPr="003E3D16" w:rsidRDefault="009F0186" w:rsidP="000579AF">
      <w:pPr>
        <w:pStyle w:val="Default"/>
        <w:numPr>
          <w:ilvl w:val="1"/>
          <w:numId w:val="42"/>
        </w:numPr>
        <w:spacing w:after="120"/>
        <w:jc w:val="both"/>
        <w:rPr>
          <w:rFonts w:ascii="Verdana" w:hAnsi="Verdana" w:cs="Arial"/>
          <w:color w:val="auto"/>
          <w:sz w:val="20"/>
          <w:szCs w:val="20"/>
        </w:rPr>
      </w:pPr>
      <w:r w:rsidRPr="003E3D16">
        <w:rPr>
          <w:rFonts w:ascii="Verdana" w:hAnsi="Verdana"/>
          <w:color w:val="auto"/>
          <w:sz w:val="20"/>
          <w:szCs w:val="20"/>
        </w:rPr>
        <w:lastRenderedPageBreak/>
        <w:t xml:space="preserve">sprawozdanie z działalności za rok poprzedni: </w:t>
      </w:r>
      <w:r w:rsidRPr="003E3D16">
        <w:rPr>
          <w:rFonts w:ascii="Verdana" w:hAnsi="Verdana"/>
          <w:i/>
          <w:iCs/>
          <w:color w:val="auto"/>
          <w:sz w:val="20"/>
          <w:szCs w:val="20"/>
        </w:rPr>
        <w:t>nie dotyczy</w:t>
      </w:r>
      <w:r w:rsidRPr="003E3D16">
        <w:rPr>
          <w:rFonts w:ascii="Verdana" w:hAnsi="Verdana"/>
          <w:color w:val="auto"/>
          <w:sz w:val="20"/>
          <w:szCs w:val="20"/>
        </w:rPr>
        <w:t>;</w:t>
      </w:r>
    </w:p>
    <w:p w14:paraId="14276D93" w14:textId="5EFB3A3D" w:rsidR="0046713C" w:rsidRPr="003E3D16" w:rsidRDefault="0046713C" w:rsidP="000579AF">
      <w:pPr>
        <w:pStyle w:val="Default"/>
        <w:numPr>
          <w:ilvl w:val="1"/>
          <w:numId w:val="42"/>
        </w:numPr>
        <w:spacing w:after="120"/>
        <w:jc w:val="both"/>
        <w:rPr>
          <w:rFonts w:ascii="Verdana" w:hAnsi="Verdana" w:cs="Arial"/>
          <w:color w:val="auto"/>
          <w:sz w:val="20"/>
          <w:szCs w:val="20"/>
        </w:rPr>
      </w:pPr>
      <w:r w:rsidRPr="003E3D16">
        <w:rPr>
          <w:rFonts w:ascii="Verdana" w:hAnsi="Verdana"/>
          <w:color w:val="auto"/>
          <w:sz w:val="20"/>
          <w:szCs w:val="20"/>
        </w:rPr>
        <w:t>wykaz wcześniejszych projektów (kluczowe projekty z ostatnich czterech lat) (</w:t>
      </w:r>
      <w:r w:rsidRPr="003E3D16">
        <w:rPr>
          <w:rFonts w:ascii="Verdana" w:hAnsi="Verdana"/>
          <w:i/>
          <w:iCs/>
          <w:color w:val="auto"/>
          <w:sz w:val="20"/>
          <w:szCs w:val="20"/>
        </w:rPr>
        <w:t>szablon dostępny w części B</w:t>
      </w:r>
      <w:r w:rsidRPr="003E3D16">
        <w:rPr>
          <w:rFonts w:ascii="Verdana" w:hAnsi="Verdana"/>
          <w:color w:val="auto"/>
          <w:sz w:val="20"/>
          <w:szCs w:val="20"/>
        </w:rPr>
        <w:t>)</w:t>
      </w:r>
    </w:p>
    <w:p w14:paraId="38848BCB" w14:textId="50C1F495" w:rsidR="00BF64FB" w:rsidRPr="006E6A94" w:rsidRDefault="00BF64FB" w:rsidP="008B1F42">
      <w:pPr>
        <w:pStyle w:val="ListParagraph"/>
        <w:numPr>
          <w:ilvl w:val="1"/>
          <w:numId w:val="42"/>
        </w:numPr>
        <w:spacing w:after="200"/>
        <w:jc w:val="both"/>
        <w:rPr>
          <w:sz w:val="20"/>
          <w:szCs w:val="20"/>
        </w:rPr>
      </w:pPr>
      <w:r w:rsidRPr="006E6A94">
        <w:rPr>
          <w:sz w:val="20"/>
          <w:szCs w:val="20"/>
        </w:rPr>
        <w:t xml:space="preserve">w przypadku uczestników prowadzących zajęcia z udziałem dzieci: ich polityka ochrony dzieci obejmująca cztery obszary opisane w </w:t>
      </w:r>
      <w:hyperlink r:id="rId30" w:history="1">
        <w:r w:rsidRPr="006E6A94">
          <w:rPr>
            <w:rStyle w:val="Hyperlink"/>
            <w:sz w:val="20"/>
            <w:szCs w:val="20"/>
          </w:rPr>
          <w:t>normach dotyczących ochrony dzieci</w:t>
        </w:r>
      </w:hyperlink>
      <w:r w:rsidRPr="006E6A94">
        <w:rPr>
          <w:sz w:val="20"/>
          <w:szCs w:val="20"/>
        </w:rPr>
        <w:t>;</w:t>
      </w:r>
    </w:p>
    <w:p w14:paraId="296D7873" w14:textId="6CB2F708" w:rsidR="00C51A9B" w:rsidRPr="003E3D16" w:rsidRDefault="00C51A9B" w:rsidP="008B1F42">
      <w:pPr>
        <w:pStyle w:val="Default"/>
        <w:numPr>
          <w:ilvl w:val="1"/>
          <w:numId w:val="42"/>
        </w:numPr>
        <w:spacing w:after="200"/>
        <w:rPr>
          <w:rFonts w:ascii="Verdana" w:hAnsi="Verdana" w:cs="Arial"/>
          <w:color w:val="auto"/>
          <w:sz w:val="20"/>
          <w:szCs w:val="20"/>
        </w:rPr>
      </w:pPr>
      <w:r w:rsidRPr="003E3D16">
        <w:rPr>
          <w:rFonts w:ascii="Verdana" w:hAnsi="Verdana"/>
          <w:color w:val="auto"/>
          <w:sz w:val="20"/>
          <w:szCs w:val="20"/>
        </w:rPr>
        <w:t>kalkulator płatności ryczałtowej;</w:t>
      </w:r>
    </w:p>
    <w:p w14:paraId="45541BAB" w14:textId="711029D4" w:rsidR="00615B82" w:rsidRPr="003E3D16" w:rsidRDefault="00683BCF" w:rsidP="00683BCF">
      <w:pPr>
        <w:pStyle w:val="Default"/>
        <w:numPr>
          <w:ilvl w:val="1"/>
          <w:numId w:val="51"/>
        </w:numPr>
        <w:spacing w:after="200"/>
        <w:jc w:val="both"/>
        <w:rPr>
          <w:rFonts w:ascii="Verdana" w:eastAsia="Calibri" w:hAnsi="Verdana" w:cs="Calibri"/>
          <w:color w:val="auto"/>
          <w:sz w:val="20"/>
          <w:szCs w:val="20"/>
        </w:rPr>
      </w:pPr>
      <w:r w:rsidRPr="003E3D16">
        <w:rPr>
          <w:rFonts w:ascii="Verdana" w:hAnsi="Verdana"/>
          <w:color w:val="auto"/>
          <w:sz w:val="20"/>
          <w:szCs w:val="20"/>
        </w:rPr>
        <w:t>list poparcia podpisany przez gminę (ma zastosowanie do wnioskodawców i partnerów w kategorii „Organizacja nienastawiona na zysk reprezentująca władze lokalne”).</w:t>
      </w:r>
    </w:p>
    <w:p w14:paraId="2F01E376" w14:textId="2EF943E2" w:rsidR="00510B7E" w:rsidRPr="003E3D16" w:rsidRDefault="00510B7E" w:rsidP="00831954">
      <w:pPr>
        <w:spacing w:after="120"/>
        <w:rPr>
          <w:rFonts w:cs="Arial"/>
        </w:rPr>
      </w:pPr>
      <w:r w:rsidRPr="003E3D16">
        <w:t xml:space="preserve">Składając wniosek, należy potwierdzić </w:t>
      </w:r>
      <w:r w:rsidRPr="003E3D16">
        <w:rPr>
          <w:b/>
        </w:rPr>
        <w:t>umocowanie do działania</w:t>
      </w:r>
      <w:r w:rsidRPr="003E3D16">
        <w:t xml:space="preserve"> w imieniu wszystkich wnioskodawców. Dodatkowo należy również potwierdzić, że informacje zawarte we wniosku są poprawne i kompletne oraz, że uczestnicy akceptują warunki uzyskania dofinansowania UE (w szczególności dotyczące kwalifikowalności, zdolności finansowej i operacyjnej, wykluczenia, itd.). Przed podpisaniem umowy o udzielenie dotacji każdy z beneficjentów oraz podmiotów stowarzyszonych zostanie poproszony o ponowne złożenie takiego potwierdzenia poprzez podpisanie stosownego oświadczenia. Wnioski bez pełnego poparcia zostaną odrzucone.</w:t>
      </w:r>
    </w:p>
    <w:p w14:paraId="767FE960" w14:textId="3E689F5D" w:rsidR="00C41E84" w:rsidRPr="003E3D16" w:rsidRDefault="00D37706" w:rsidP="00C41E84">
      <w:pPr>
        <w:pStyle w:val="Text1"/>
        <w:tabs>
          <w:tab w:val="clear" w:pos="2160"/>
        </w:tabs>
        <w:ind w:left="0"/>
        <w:rPr>
          <w:rFonts w:cs="Arial"/>
          <w:iCs/>
        </w:rPr>
      </w:pPr>
      <w:r w:rsidRPr="003E3D16">
        <w:t xml:space="preserve">Wniosek powinien być czytelny, </w:t>
      </w:r>
      <w:r w:rsidRPr="003E3D16">
        <w:rPr>
          <w:b/>
          <w:iCs/>
        </w:rPr>
        <w:t>przystępny i możliwy do wydrukowania</w:t>
      </w:r>
      <w:r w:rsidRPr="003E3D16">
        <w:t>.</w:t>
      </w:r>
    </w:p>
    <w:p w14:paraId="7BB5113A" w14:textId="29ADC151" w:rsidR="00D37706" w:rsidRPr="003E3D16" w:rsidRDefault="00D37706" w:rsidP="42BB08A3">
      <w:pPr>
        <w:pStyle w:val="Text1"/>
        <w:tabs>
          <w:tab w:val="clear" w:pos="2160"/>
        </w:tabs>
        <w:ind w:left="0"/>
        <w:rPr>
          <w:rFonts w:cs="Arial"/>
        </w:rPr>
      </w:pPr>
      <w:r w:rsidRPr="003E3D16">
        <w:t xml:space="preserve">Wnioski są ograniczone do maksymalnie </w:t>
      </w:r>
      <w:r w:rsidRPr="003E3D16">
        <w:rPr>
          <w:b/>
          <w:bCs/>
        </w:rPr>
        <w:t>40 stron w przypadku tematu Partnerstwo miast</w:t>
      </w:r>
      <w:r w:rsidRPr="003E3D16">
        <w:t xml:space="preserve"> (część B) i </w:t>
      </w:r>
      <w:r w:rsidRPr="003E3D16">
        <w:rPr>
          <w:b/>
          <w:bCs/>
        </w:rPr>
        <w:t>70 stron w przypadku tematu Sieci miast</w:t>
      </w:r>
      <w:r w:rsidRPr="003E3D16">
        <w:t xml:space="preserve"> (część B). Strony przekraczające limit nie będą brane pod uwagę w procesie oceny wniosku.</w:t>
      </w:r>
    </w:p>
    <w:p w14:paraId="709B3081" w14:textId="77777777" w:rsidR="00510B7E" w:rsidRPr="003E3D16" w:rsidRDefault="00510B7E" w:rsidP="00510B7E">
      <w:r w:rsidRPr="003E3D16">
        <w:t xml:space="preserve">Na późniejszym etapie możesz zostać poproszony o dodatkowe dokumenty </w:t>
      </w:r>
      <w:r w:rsidRPr="003E3D16">
        <w:rPr>
          <w:i/>
        </w:rPr>
        <w:t>(konieczne do potwierdzenia osobowości prawnej, sprawdzenia zdolności finansowej, potwierdzenia konta bankowego itd.)</w:t>
      </w:r>
      <w:r w:rsidRPr="003E3D16">
        <w:t>.</w:t>
      </w:r>
    </w:p>
    <w:p w14:paraId="0CF762E6" w14:textId="3BD0E839" w:rsidR="00510B7E" w:rsidRPr="003E3D16" w:rsidRDefault="005A3754" w:rsidP="00510B7E">
      <w:pPr>
        <w:rPr>
          <w:szCs w:val="21"/>
        </w:rPr>
      </w:pPr>
      <w:r w:rsidRPr="003E3D16">
        <w:rPr>
          <w:noProof/>
          <w:lang w:val="fr-BE" w:eastAsia="fr-BE"/>
        </w:rPr>
        <w:drawing>
          <wp:inline distT="0" distB="0" distL="0" distR="0" wp14:anchorId="3F067661" wp14:editId="12A41E51">
            <wp:extent cx="187960" cy="187960"/>
            <wp:effectExtent l="0" t="0" r="0" b="0"/>
            <wp:docPr id="5" name="Picture 787288596"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7288596" name="Picture 787288596"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3E3D16">
        <w:t xml:space="preserve"> Więcej informacji na temat procedury składania wniosku (w tym aspektów informatycznych) znajduje się w </w:t>
      </w:r>
      <w:hyperlink r:id="rId32">
        <w:r w:rsidRPr="003E3D16">
          <w:rPr>
            <w:rStyle w:val="Hyperlink"/>
          </w:rPr>
          <w:t>instrukcji użytkownika w wersji online</w:t>
        </w:r>
      </w:hyperlink>
      <w:r w:rsidRPr="003E3D16">
        <w:rPr>
          <w:rStyle w:val="Hyperlink"/>
          <w:color w:val="auto"/>
          <w:u w:val="none"/>
        </w:rPr>
        <w:t>.</w:t>
      </w:r>
    </w:p>
    <w:p w14:paraId="0B8E5F40" w14:textId="0D29000C" w:rsidR="00B612F2" w:rsidRPr="003E3D16" w:rsidRDefault="00B612F2" w:rsidP="000579AF">
      <w:pPr>
        <w:pStyle w:val="Heading1"/>
        <w:numPr>
          <w:ilvl w:val="0"/>
          <w:numId w:val="54"/>
        </w:numPr>
        <w:tabs>
          <w:tab w:val="left" w:pos="284"/>
        </w:tabs>
        <w:ind w:left="0" w:firstLine="0"/>
      </w:pPr>
      <w:bookmarkStart w:id="13" w:name="_Toc92978227"/>
      <w:r w:rsidRPr="003E3D16">
        <w:t>Kwalifikowalność</w:t>
      </w:r>
      <w:bookmarkEnd w:id="13"/>
      <w:r w:rsidRPr="003E3D16">
        <w:t xml:space="preserve"> </w:t>
      </w:r>
    </w:p>
    <w:p w14:paraId="4EF2E3B8" w14:textId="77777777" w:rsidR="00B57534" w:rsidRPr="003E3D16" w:rsidRDefault="00736C6F" w:rsidP="00FC6FD4">
      <w:pPr>
        <w:pStyle w:val="Heading3"/>
      </w:pPr>
      <w:bookmarkStart w:id="14" w:name="_Toc92978228"/>
      <w:r w:rsidRPr="003E3D16">
        <w:t>Kwalifikujący się uczestnicy (kwalifikujące się kraje)</w:t>
      </w:r>
      <w:bookmarkEnd w:id="14"/>
    </w:p>
    <w:p w14:paraId="5716E987" w14:textId="39C30B39" w:rsidR="00D11251" w:rsidRPr="003E3D16" w:rsidRDefault="00D11251" w:rsidP="00D11251">
      <w:pPr>
        <w:pStyle w:val="Text1"/>
        <w:tabs>
          <w:tab w:val="clear" w:pos="2160"/>
        </w:tabs>
        <w:spacing w:after="120"/>
        <w:ind w:left="0"/>
        <w:rPr>
          <w:rFonts w:cs="Arial"/>
        </w:rPr>
      </w:pPr>
      <w:r w:rsidRPr="003E3D16">
        <w:t>Aby kwalifikować się, wnioskodawcy (beneficjenci i podmioty stowarzyszone) muszą:</w:t>
      </w:r>
    </w:p>
    <w:p w14:paraId="2509B829" w14:textId="78B5B051" w:rsidR="00D11251" w:rsidRPr="003E3D16" w:rsidRDefault="00D9492C" w:rsidP="008B1F42">
      <w:pPr>
        <w:widowControl w:val="0"/>
        <w:numPr>
          <w:ilvl w:val="0"/>
          <w:numId w:val="36"/>
        </w:numPr>
        <w:spacing w:after="120"/>
        <w:ind w:left="709"/>
        <w:rPr>
          <w:rFonts w:cs="Arial"/>
        </w:rPr>
      </w:pPr>
      <w:r w:rsidRPr="003E3D16">
        <w:t xml:space="preserve">mieć osobowość prawną (publiczne lub prywatne osoby prawne); </w:t>
      </w:r>
    </w:p>
    <w:p w14:paraId="49FDD5D5" w14:textId="77777777" w:rsidR="00D11251" w:rsidRPr="003E3D16" w:rsidRDefault="00D11251" w:rsidP="008B1F42">
      <w:pPr>
        <w:widowControl w:val="0"/>
        <w:numPr>
          <w:ilvl w:val="0"/>
          <w:numId w:val="36"/>
        </w:numPr>
        <w:spacing w:after="120"/>
        <w:ind w:left="709"/>
        <w:jc w:val="left"/>
        <w:rPr>
          <w:rFonts w:cs="Arial"/>
        </w:rPr>
      </w:pPr>
      <w:r w:rsidRPr="003E3D16">
        <w:t xml:space="preserve">mieć siedzibę w jednym z kwalifikujących się krajów, tj.: </w:t>
      </w:r>
    </w:p>
    <w:p w14:paraId="0BDBB030" w14:textId="1328DBCC" w:rsidR="00D11251" w:rsidRPr="003E3D16" w:rsidRDefault="00D11251" w:rsidP="008B1F42">
      <w:pPr>
        <w:widowControl w:val="0"/>
        <w:numPr>
          <w:ilvl w:val="0"/>
          <w:numId w:val="37"/>
        </w:numPr>
        <w:spacing w:after="120"/>
        <w:ind w:left="1276"/>
        <w:jc w:val="left"/>
        <w:rPr>
          <w:rFonts w:cs="Arial"/>
        </w:rPr>
      </w:pPr>
      <w:r w:rsidRPr="003E3D16">
        <w:t>w państwie członkowskim UE (w tym w krajach lub terytoriach zamorskich);</w:t>
      </w:r>
    </w:p>
    <w:p w14:paraId="346FD509" w14:textId="0BF8D141" w:rsidR="00D11251" w:rsidRPr="003E3D16" w:rsidRDefault="00D11251" w:rsidP="008B1F42">
      <w:pPr>
        <w:widowControl w:val="0"/>
        <w:numPr>
          <w:ilvl w:val="0"/>
          <w:numId w:val="37"/>
        </w:numPr>
        <w:spacing w:after="120"/>
        <w:ind w:left="1276"/>
        <w:jc w:val="left"/>
        <w:rPr>
          <w:rFonts w:cs="Arial"/>
        </w:rPr>
      </w:pPr>
      <w:r w:rsidRPr="003E3D16">
        <w:t>w państwie niebędącym członkiem UE:</w:t>
      </w:r>
    </w:p>
    <w:p w14:paraId="414C90BD" w14:textId="5869A25B" w:rsidR="004F0F5C" w:rsidRPr="003E3D16" w:rsidRDefault="004F0F5C" w:rsidP="008B1F42">
      <w:pPr>
        <w:pStyle w:val="Text1"/>
        <w:numPr>
          <w:ilvl w:val="0"/>
          <w:numId w:val="38"/>
        </w:numPr>
        <w:tabs>
          <w:tab w:val="clear" w:pos="2160"/>
        </w:tabs>
        <w:spacing w:after="120"/>
        <w:ind w:left="1701"/>
        <w:rPr>
          <w:rFonts w:cs="Arial"/>
        </w:rPr>
      </w:pPr>
      <w:r w:rsidRPr="003E3D16">
        <w:t>kraje stowarzyszone w ramach programu CERV lub kraje, które są w trakcie negocjacji dotyczących układu o stowarzyszeniu lub w przypadku których układ ten wchodzi w życie przed podpisaniem umowy o udzielenie dotacji (</w:t>
      </w:r>
      <w:hyperlink r:id="rId33" w:history="1">
        <w:r w:rsidRPr="003E3D16">
          <w:rPr>
            <w:rStyle w:val="Hyperlink"/>
          </w:rPr>
          <w:t>wykaz uczestniczących krajów</w:t>
        </w:r>
      </w:hyperlink>
      <w:r w:rsidRPr="003E3D16">
        <w:t>);</w:t>
      </w:r>
    </w:p>
    <w:p w14:paraId="511297B8" w14:textId="3133FE23" w:rsidR="006F58BD" w:rsidRPr="003E3D16" w:rsidRDefault="00D11251" w:rsidP="008B1F42">
      <w:pPr>
        <w:widowControl w:val="0"/>
        <w:numPr>
          <w:ilvl w:val="0"/>
          <w:numId w:val="36"/>
        </w:numPr>
        <w:spacing w:after="120"/>
        <w:ind w:left="709" w:right="227" w:hanging="357"/>
        <w:jc w:val="left"/>
        <w:rPr>
          <w:rFonts w:cs="Arial"/>
        </w:rPr>
      </w:pPr>
      <w:r w:rsidRPr="003E3D16">
        <w:t>inne warunki kwalifikowalności:</w:t>
      </w:r>
    </w:p>
    <w:p w14:paraId="3403588B" w14:textId="671BC073" w:rsidR="00E85E35" w:rsidRPr="00FE0460" w:rsidRDefault="00E85E35" w:rsidP="0062273B">
      <w:pPr>
        <w:widowControl w:val="0"/>
        <w:ind w:firstLine="720"/>
        <w:rPr>
          <w:b/>
          <w:bCs/>
          <w:lang w:val="en-US"/>
        </w:rPr>
      </w:pPr>
      <w:r w:rsidRPr="00FE0460">
        <w:rPr>
          <w:b/>
          <w:color w:val="A50021"/>
          <w:lang w:val="en-US"/>
        </w:rPr>
        <w:t>CERV-2022-CITIZENS-TOWN-TT – Partnerstwo miast:</w:t>
      </w:r>
      <w:r w:rsidRPr="00FE0460">
        <w:rPr>
          <w:b/>
          <w:bCs/>
          <w:lang w:val="en-US"/>
        </w:rPr>
        <w:t xml:space="preserve"> </w:t>
      </w:r>
    </w:p>
    <w:p w14:paraId="33CEAF57" w14:textId="6E0BD8D2" w:rsidR="007303E9" w:rsidRPr="003E3D16" w:rsidRDefault="000159B8" w:rsidP="00B41972">
      <w:pPr>
        <w:widowControl w:val="0"/>
        <w:numPr>
          <w:ilvl w:val="1"/>
          <w:numId w:val="36"/>
        </w:numPr>
        <w:spacing w:after="120"/>
        <w:ind w:left="1418" w:hanging="416"/>
        <w:jc w:val="left"/>
        <w:rPr>
          <w:rFonts w:cs="Arial"/>
        </w:rPr>
      </w:pPr>
      <w:r w:rsidRPr="003E3D16">
        <w:t xml:space="preserve">wnioskodawca musi być podmiotem publicznym lub organizacją </w:t>
      </w:r>
      <w:r w:rsidRPr="003E3D16">
        <w:lastRenderedPageBreak/>
        <w:t>nienastawioną na zysk: miasta/gminy lub inne jednostki władz lokalnych lub ich komitety ds. partnerstwa lub inne organizacje nienastawione na zysk reprezentujące władze lokalne;</w:t>
      </w:r>
    </w:p>
    <w:p w14:paraId="6386E76B" w14:textId="10829B1A" w:rsidR="000159B8" w:rsidRPr="003E3D16" w:rsidRDefault="000159B8" w:rsidP="00E85E35">
      <w:pPr>
        <w:widowControl w:val="0"/>
        <w:numPr>
          <w:ilvl w:val="1"/>
          <w:numId w:val="36"/>
        </w:numPr>
        <w:spacing w:after="120"/>
        <w:ind w:left="1418" w:hanging="416"/>
        <w:jc w:val="left"/>
        <w:rPr>
          <w:rFonts w:cs="Arial"/>
        </w:rPr>
      </w:pPr>
      <w:r w:rsidRPr="003E3D16">
        <w:t>projekt musi obejmować gminy z co najmniej dwóch kwalifikujących się krajów, z których co najmniej jeden jest państwem członkowskim UE;</w:t>
      </w:r>
    </w:p>
    <w:p w14:paraId="69F32FFD" w14:textId="5AE10145" w:rsidR="000159B8" w:rsidRPr="003E3D16" w:rsidRDefault="000159B8" w:rsidP="000159B8">
      <w:pPr>
        <w:widowControl w:val="0"/>
        <w:numPr>
          <w:ilvl w:val="1"/>
          <w:numId w:val="36"/>
        </w:numPr>
        <w:spacing w:after="120"/>
        <w:ind w:left="1418" w:hanging="416"/>
        <w:jc w:val="left"/>
        <w:rPr>
          <w:rFonts w:eastAsia="Verdana" w:cs="Verdana"/>
        </w:rPr>
      </w:pPr>
      <w:r w:rsidRPr="003E3D16">
        <w:t>działania muszą odbywać się w kwalifikującym się kraju uczestniczącym w projekcie;</w:t>
      </w:r>
    </w:p>
    <w:p w14:paraId="611776F1" w14:textId="5F534056" w:rsidR="00942BB9" w:rsidRPr="003E3D16" w:rsidRDefault="00942BB9" w:rsidP="000159B8">
      <w:pPr>
        <w:widowControl w:val="0"/>
        <w:numPr>
          <w:ilvl w:val="1"/>
          <w:numId w:val="36"/>
        </w:numPr>
        <w:spacing w:after="120"/>
        <w:ind w:left="1418" w:hanging="416"/>
        <w:jc w:val="left"/>
        <w:rPr>
          <w:rFonts w:eastAsia="Verdana" w:cs="Verdana"/>
        </w:rPr>
      </w:pPr>
      <w:r w:rsidRPr="003E3D16">
        <w:t>w wydarzeniach musi uczestniczyć co najmniej 50 uczestników bezpośrednich, w tym co najmniej 25 uczestników to „uczestnicy zaproszeni”</w:t>
      </w:r>
      <w:r w:rsidR="00CC2315" w:rsidRPr="003E3D16">
        <w:rPr>
          <w:rStyle w:val="FootnoteReference"/>
          <w:rFonts w:eastAsia="Verdana" w:cs="Verdana"/>
        </w:rPr>
        <w:footnoteReference w:id="12"/>
      </w:r>
      <w:r w:rsidRPr="003E3D16">
        <w:t xml:space="preserve">. </w:t>
      </w:r>
    </w:p>
    <w:p w14:paraId="7A8FF669" w14:textId="6A62825D" w:rsidR="00E85E35" w:rsidRPr="00FE0460" w:rsidRDefault="00E85E35" w:rsidP="0062273B">
      <w:pPr>
        <w:widowControl w:val="0"/>
        <w:ind w:firstLine="720"/>
        <w:rPr>
          <w:b/>
          <w:color w:val="A50021"/>
          <w:lang w:val="en-US"/>
        </w:rPr>
      </w:pPr>
      <w:r w:rsidRPr="00FE0460">
        <w:rPr>
          <w:b/>
          <w:color w:val="A50021"/>
          <w:lang w:val="en-US"/>
        </w:rPr>
        <w:t>CERV-2022-CITIZENS-TOWN-NT – Sieci miast</w:t>
      </w:r>
    </w:p>
    <w:p w14:paraId="7034CCF5" w14:textId="383FF38D" w:rsidR="000159B8" w:rsidRPr="003E3D16" w:rsidRDefault="000159B8" w:rsidP="000159B8">
      <w:pPr>
        <w:widowControl w:val="0"/>
        <w:numPr>
          <w:ilvl w:val="1"/>
          <w:numId w:val="36"/>
        </w:numPr>
        <w:spacing w:after="120"/>
        <w:ind w:left="1418" w:hanging="416"/>
        <w:jc w:val="left"/>
        <w:rPr>
          <w:rFonts w:cs="Arial"/>
        </w:rPr>
      </w:pPr>
      <w:r w:rsidRPr="003E3D16">
        <w:t>wnioskodawca</w:t>
      </w:r>
      <w:r w:rsidRPr="003E3D16">
        <w:rPr>
          <w:rStyle w:val="FootnoteReference"/>
          <w:rFonts w:cs="Arial"/>
        </w:rPr>
        <w:footnoteReference w:id="13"/>
      </w:r>
      <w:r w:rsidRPr="003E3D16">
        <w:t xml:space="preserve"> i partnerzy muszą być podmiotami publicznymi lub organizacjami nienastawionymi na zysk: miasta/gminy lub inne jednostki władz lokalnych lub ich komitety ds. partnerstwa lub inne organizacje nienastawione na zysk reprezentujące władze lokalne;</w:t>
      </w:r>
    </w:p>
    <w:p w14:paraId="07E9E7B6" w14:textId="4658A64A" w:rsidR="000159B8" w:rsidRPr="003E3D16" w:rsidRDefault="000159B8" w:rsidP="000159B8">
      <w:pPr>
        <w:widowControl w:val="0"/>
        <w:numPr>
          <w:ilvl w:val="1"/>
          <w:numId w:val="36"/>
        </w:numPr>
        <w:spacing w:after="120"/>
        <w:ind w:left="1418" w:right="227" w:hanging="142"/>
        <w:jc w:val="left"/>
        <w:rPr>
          <w:rFonts w:cs="Arial"/>
        </w:rPr>
      </w:pPr>
      <w:r w:rsidRPr="003E3D16">
        <w:t>projekt musi obejmować gminy z co najmniej pięciu kwalifikujących się krajów, z których co najmniej trzy są państwami członkowskimi UE;</w:t>
      </w:r>
    </w:p>
    <w:p w14:paraId="7F71F908" w14:textId="79ED681A" w:rsidR="000159B8" w:rsidRPr="003E3D16" w:rsidRDefault="000159B8" w:rsidP="000159B8">
      <w:pPr>
        <w:widowControl w:val="0"/>
        <w:numPr>
          <w:ilvl w:val="1"/>
          <w:numId w:val="36"/>
        </w:numPr>
        <w:spacing w:after="120"/>
        <w:ind w:left="1418" w:right="227" w:hanging="142"/>
        <w:jc w:val="left"/>
      </w:pPr>
      <w:r w:rsidRPr="003E3D16">
        <w:t>działania muszą odbywać się w co najmniej dwóch różnych kwalifikujących się krajach objętych programem.</w:t>
      </w:r>
    </w:p>
    <w:p w14:paraId="690454F4" w14:textId="67865A1E" w:rsidR="00D11251" w:rsidRPr="003E3D16" w:rsidRDefault="00EF14AD" w:rsidP="00D11251">
      <w:pPr>
        <w:rPr>
          <w:rFonts w:cs="Arial"/>
        </w:rPr>
      </w:pPr>
      <w:r w:rsidRPr="003E3D16">
        <w:t xml:space="preserve">Beneficjenci muszą zarejestrować się w </w:t>
      </w:r>
      <w:hyperlink r:id="rId34" w:history="1">
        <w:r w:rsidRPr="003E3D16">
          <w:rPr>
            <w:rStyle w:val="Hyperlink"/>
          </w:rPr>
          <w:t>rejestrze uczestników</w:t>
        </w:r>
      </w:hyperlink>
      <w:r w:rsidRPr="003E3D16">
        <w:t xml:space="preserve"> – przed złożeniem wniosku – i przejść weryfikację prowadzoną przez Centralną Służbę Weryfikacyjną (weryfikacja REA). Dla celów weryfikacji beneficjenci zostaną poproszeni o przesłanie dokumentów potwierdzających ich status prawny i pochodzenie.</w:t>
      </w:r>
    </w:p>
    <w:p w14:paraId="663BF90B" w14:textId="77777777" w:rsidR="00D11251" w:rsidRPr="003E3D16" w:rsidRDefault="00D11251" w:rsidP="00D11251">
      <w:pPr>
        <w:rPr>
          <w:iCs/>
        </w:rPr>
      </w:pPr>
      <w:r w:rsidRPr="003E3D16">
        <w:t>Inne podmioty mogą brać udział w projekcie, pełniąc inne role w ramach konsorcjum, np. jako partnerzy stowarzyszeni, podwykonawcy, osoby trzecie wnoszące wkład rzeczowy itd. (</w:t>
      </w:r>
      <w:r w:rsidRPr="003E3D16">
        <w:rPr>
          <w:i/>
          <w:iCs/>
        </w:rPr>
        <w:t>zob. punkt 13</w:t>
      </w:r>
      <w:r w:rsidRPr="003E3D16">
        <w:t>).</w:t>
      </w:r>
    </w:p>
    <w:p w14:paraId="4C122898" w14:textId="77777777" w:rsidR="00D11251" w:rsidRPr="003E3D16" w:rsidRDefault="00D11251" w:rsidP="00D11251">
      <w:pPr>
        <w:rPr>
          <w:i/>
          <w:color w:val="A50021"/>
          <w:highlight w:val="yellow"/>
        </w:rPr>
      </w:pPr>
      <w:r w:rsidRPr="003E3D16">
        <w:rPr>
          <w:i/>
          <w:color w:val="A50021"/>
        </w:rPr>
        <w:t>Przypadki szczególne</w:t>
      </w:r>
      <w:r w:rsidRPr="003E3D16">
        <w:rPr>
          <w:i/>
          <w:color w:val="A50021"/>
          <w:highlight w:val="yellow"/>
        </w:rPr>
        <w:t xml:space="preserve"> </w:t>
      </w:r>
    </w:p>
    <w:p w14:paraId="7C0C81EC" w14:textId="3519175F" w:rsidR="00D11251" w:rsidRPr="003E3D16" w:rsidRDefault="00D11251" w:rsidP="00D11251">
      <w:pPr>
        <w:rPr>
          <w:rFonts w:cs="Arial"/>
        </w:rPr>
      </w:pPr>
      <w:r w:rsidRPr="003E3D16">
        <w:t>Osoby fizyczne – osoby fizyczne NIE kwalifikują się (z wyjątkiem osób prowadzących działalność na własny rachunek, tj. osób prowadzących jednoosobową działalność gospodarczą, w przypadku których przedsiębiorstwo nie posiada osobowości prawnej odrębnej od osobowości prawnej osoby fizycznej).</w:t>
      </w:r>
    </w:p>
    <w:p w14:paraId="06E140DC" w14:textId="5B93CEEF" w:rsidR="00D11251" w:rsidRPr="003E3D16" w:rsidRDefault="00D51B6C" w:rsidP="00D11251">
      <w:pPr>
        <w:rPr>
          <w:rFonts w:cs="Arial"/>
        </w:rPr>
      </w:pPr>
      <w:r w:rsidRPr="003E3D16">
        <w:t>Organizacje międzynarodowe – organizacje międzynarodowe kwalifikują się. Przepisy dotyczące kwalifikujących się krajów nie mają do nich zastosowania.</w:t>
      </w:r>
    </w:p>
    <w:p w14:paraId="45271331" w14:textId="77777777" w:rsidR="00D11251" w:rsidRPr="003E3D16" w:rsidRDefault="00D11251" w:rsidP="00D11251">
      <w:pPr>
        <w:rPr>
          <w:rFonts w:cs="Arial"/>
          <w:iCs/>
        </w:rPr>
      </w:pPr>
      <w:r w:rsidRPr="003E3D16">
        <w:t>Podmioty nieposiadające osobowości prawnej — podmioty nieposiadające osobowości prawnej na podstawie prawa krajowego mogą uczestniczyć, pod warunkiem że ich przedstawiciele są uprawnieni do zaciągania w imieniu danego podmiotu zobowiązań prawnych oraz pod warunkiem że dane podmioty dają gwarancje ochrony interesów finansowych Unii równorzędne z gwarancjami, jakie dają osoby prawne</w:t>
      </w:r>
      <w:r w:rsidRPr="003E3D16">
        <w:rPr>
          <w:rStyle w:val="FootnoteReference"/>
          <w:rFonts w:cs="Arial"/>
          <w:iCs/>
        </w:rPr>
        <w:footnoteReference w:id="14"/>
      </w:r>
      <w:r w:rsidRPr="003E3D16">
        <w:t>.</w:t>
      </w:r>
    </w:p>
    <w:p w14:paraId="42989BB3" w14:textId="77777777" w:rsidR="00D11251" w:rsidRPr="003E3D16" w:rsidRDefault="00D11251" w:rsidP="00D11251">
      <w:pPr>
        <w:rPr>
          <w:rFonts w:eastAsia="Verdana" w:cs="Verdana"/>
        </w:rPr>
      </w:pPr>
      <w:r w:rsidRPr="003E3D16">
        <w:t>Organy UE – organy UE (z wyjątkiem Wspólnego Centrum Badawczego Komisji Europejskiej) NIE mogą wchodzić w skład konsorcjum.</w:t>
      </w:r>
    </w:p>
    <w:p w14:paraId="73A5993C" w14:textId="5CAF4A75" w:rsidR="005056C4" w:rsidRPr="003E3D16" w:rsidRDefault="6C7DCFD5" w:rsidP="42BB08A3">
      <w:pPr>
        <w:rPr>
          <w:rFonts w:cs="Arial"/>
        </w:rPr>
      </w:pPr>
      <w:r w:rsidRPr="003E3D16">
        <w:lastRenderedPageBreak/>
        <w:t>Stowarzyszenia i grupy interesu — podmioty złożone z członków mogą uczestniczyć jako „pojedynczy beneficjenci” lub jako „beneficjenci nieposiadający osobowości prawnej”</w:t>
      </w:r>
      <w:r w:rsidR="00D11251" w:rsidRPr="003E3D16">
        <w:rPr>
          <w:rStyle w:val="FootnoteReference"/>
        </w:rPr>
        <w:footnoteReference w:id="15"/>
      </w:r>
      <w:r w:rsidRPr="003E3D16">
        <w:t xml:space="preserve">. </w:t>
      </w:r>
      <w:r w:rsidRPr="003E3D16">
        <w:rPr>
          <w:noProof/>
          <w:color w:val="7F7F7F"/>
          <w:sz w:val="18"/>
          <w:szCs w:val="21"/>
          <w:lang w:val="fr-BE" w:eastAsia="fr-BE"/>
        </w:rPr>
        <w:drawing>
          <wp:inline distT="0" distB="0" distL="0" distR="0" wp14:anchorId="75F831DD" wp14:editId="5DD55874">
            <wp:extent cx="187960" cy="187960"/>
            <wp:effectExtent l="0" t="0" r="0" b="0"/>
            <wp:docPr id="6" name="Picture 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3E3D16">
        <w:rPr>
          <w:color w:val="7F7F7F"/>
          <w:sz w:val="18"/>
          <w:szCs w:val="18"/>
        </w:rPr>
        <w:t xml:space="preserve"> </w:t>
      </w:r>
      <w:r w:rsidRPr="003E3D16">
        <w:t xml:space="preserve">Należy mieć na uwadze, że w przypadku gdy działanie ma być wdrażane przez członków, powinni oni być uczestnikami projektu (albo jako beneficjenci lub podmioty stowarzyszone; w przeciwnym razie ponoszone przez nich koszty NIE będą kwalifikowalne). </w:t>
      </w:r>
    </w:p>
    <w:p w14:paraId="367E29D4" w14:textId="50768096" w:rsidR="00DC3A61" w:rsidRPr="003E3D16" w:rsidRDefault="00DC3A61" w:rsidP="00202AF1">
      <w:pPr>
        <w:pStyle w:val="NormalWeb"/>
        <w:spacing w:before="0" w:beforeAutospacing="0" w:after="200" w:afterAutospacing="0"/>
        <w:jc w:val="both"/>
        <w:rPr>
          <w:rFonts w:ascii="Verdana" w:hAnsi="Verdana"/>
          <w:color w:val="000000"/>
          <w:sz w:val="20"/>
          <w:szCs w:val="20"/>
        </w:rPr>
      </w:pPr>
      <w:r w:rsidRPr="003E3D16">
        <w:rPr>
          <w:rFonts w:ascii="Verdana" w:hAnsi="Verdana"/>
          <w:color w:val="000000"/>
          <w:sz w:val="20"/>
          <w:szCs w:val="20"/>
        </w:rPr>
        <w:t xml:space="preserve">Punkty kontaktowe programu – kwalifikują się jako koordynator lub beneficjent w otwartych zaproszeniach, jeżeli posiadają procedury umożliwiające oddzielenie funkcji zarządzania projektem od funkcji dostarczania informacji oraz jeżeli są w stanie wykazać rozdzielenie kosztów (tj. że ich dotacje na projekty nie pokrywają żadnych kosztów, które są pokrywane z ich innej dotacji). Wymaga to: </w:t>
      </w:r>
    </w:p>
    <w:p w14:paraId="21178116" w14:textId="4EF7788A" w:rsidR="00DC3A61" w:rsidRPr="003E3D16" w:rsidRDefault="00DC3A61" w:rsidP="008B1F42">
      <w:pPr>
        <w:numPr>
          <w:ilvl w:val="0"/>
          <w:numId w:val="45"/>
        </w:numPr>
        <w:rPr>
          <w:color w:val="000000"/>
        </w:rPr>
      </w:pPr>
      <w:r w:rsidRPr="003E3D16">
        <w:rPr>
          <w:color w:val="000000"/>
        </w:rPr>
        <w:t xml:space="preserve">zastosowania rachunkowości analitycznej, która pozwala na zarządzanie księgowością kosztów z kluczami podziału kosztów i kodami księgowania kosztów ORAZ zastosowania tych kluczy i kodów w celu identyfikacji i oddzielenia kosztów (tj. przypisania ich do jednej z dwóch dotacji); </w:t>
      </w:r>
    </w:p>
    <w:p w14:paraId="1DBFDF05" w14:textId="5BA07C46" w:rsidR="00DC3A61" w:rsidRPr="003E3D16" w:rsidRDefault="00DC3A61" w:rsidP="008B1F42">
      <w:pPr>
        <w:numPr>
          <w:ilvl w:val="0"/>
          <w:numId w:val="45"/>
        </w:numPr>
        <w:rPr>
          <w:color w:val="000000"/>
        </w:rPr>
      </w:pPr>
      <w:r w:rsidRPr="003E3D16">
        <w:rPr>
          <w:color w:val="000000"/>
        </w:rPr>
        <w:t xml:space="preserve">udokumentowania wszystkich kosztów rzeczywistych poniesionych w związku z działaniami objętymi tymi dwoma dotacjami (w tym kosztów pośrednich); </w:t>
      </w:r>
    </w:p>
    <w:p w14:paraId="08082F37" w14:textId="6D2FEB8E" w:rsidR="00832213" w:rsidRPr="003E3D16" w:rsidRDefault="00DC3A61" w:rsidP="008B1F42">
      <w:pPr>
        <w:numPr>
          <w:ilvl w:val="0"/>
          <w:numId w:val="45"/>
        </w:numPr>
        <w:rPr>
          <w:rFonts w:cs="Arial"/>
        </w:rPr>
      </w:pPr>
      <w:r w:rsidRPr="003E3D16">
        <w:rPr>
          <w:color w:val="000000"/>
        </w:rPr>
        <w:t>podziału kosztów w sposób prowadzący do sprawiedliwego, obiektywnego i realistycznego wyniku.</w:t>
      </w:r>
    </w:p>
    <w:p w14:paraId="63646EA9" w14:textId="75D8A1BB" w:rsidR="00F556B0" w:rsidRPr="003E3D16" w:rsidRDefault="00F556B0" w:rsidP="00202AF1">
      <w:pPr>
        <w:rPr>
          <w:iCs/>
        </w:rPr>
      </w:pPr>
      <w:r w:rsidRPr="003E3D16">
        <w:t>Kraje negocjujące obecnie układy o stowarzyszeniu – beneficjenci z krajów, w których trwają negocjacje (</w:t>
      </w:r>
      <w:r w:rsidRPr="003E3D16">
        <w:rPr>
          <w:i/>
          <w:iCs/>
        </w:rPr>
        <w:t>zob. powyżej</w:t>
      </w:r>
      <w:r w:rsidRPr="003E3D16">
        <w:t>), mogą uczestniczyć w zaproszeniu do składania wniosków i podpisywać umowę o udzielenie dotacji, jeżeli negocjacje zostaną zakończone przed podpisaniem umowy (z mocą wsteczną, jeżeli przewidziano to w umowie).</w:t>
      </w:r>
    </w:p>
    <w:p w14:paraId="6FC8312B" w14:textId="25E45EC3" w:rsidR="000F4465" w:rsidRPr="003E3D16" w:rsidRDefault="00FE2BCA" w:rsidP="00D11251">
      <w:pPr>
        <w:pStyle w:val="Text1"/>
        <w:tabs>
          <w:tab w:val="clear" w:pos="2160"/>
        </w:tabs>
        <w:spacing w:after="120"/>
        <w:ind w:left="0"/>
      </w:pPr>
      <w:r w:rsidRPr="003E3D16">
        <w:t xml:space="preserve">Sankcje UE — specjalne zasady mają zastosowanie w stosunku do określonych podmiotów </w:t>
      </w:r>
      <w:r w:rsidRPr="003E3D16">
        <w:rPr>
          <w:i/>
        </w:rPr>
        <w:t xml:space="preserve">(np. podmiotów objętych </w:t>
      </w:r>
      <w:hyperlink r:id="rId36" w:history="1">
        <w:r w:rsidRPr="003E3D16">
          <w:rPr>
            <w:rStyle w:val="Hyperlink"/>
            <w:i/>
          </w:rPr>
          <w:t>sankcjami UE</w:t>
        </w:r>
      </w:hyperlink>
      <w:r w:rsidRPr="003E3D16">
        <w:rPr>
          <w:i/>
        </w:rPr>
        <w:t xml:space="preserve"> na podstawie art. 29 Traktatu o Unii Europejskiej (TUE) i art. 215 Traktatu o funkcjonowaniu Unii Europejskiej (TFUE)</w:t>
      </w:r>
      <w:r w:rsidRPr="003E3D16">
        <w:rPr>
          <w:rFonts w:eastAsia="Arial Unicode MS" w:cs="Arial"/>
          <w:i/>
          <w:vertAlign w:val="superscript"/>
          <w:lang w:eastAsia="en-GB"/>
        </w:rPr>
        <w:footnoteReference w:id="16"/>
      </w:r>
      <w:r w:rsidRPr="003E3D16">
        <w:rPr>
          <w:i/>
        </w:rPr>
        <w:t xml:space="preserve"> i podmiotów objętych wytycznymi Komisji nr </w:t>
      </w:r>
      <w:hyperlink r:id="rId37" w:history="1">
        <w:r w:rsidRPr="003E3D16">
          <w:rPr>
            <w:rStyle w:val="Hyperlink"/>
            <w:i/>
          </w:rPr>
          <w:t>2013/C 205/05</w:t>
        </w:r>
      </w:hyperlink>
      <w:r w:rsidRPr="003E3D16">
        <w:rPr>
          <w:rStyle w:val="FootnoteReference"/>
          <w:rFonts w:cs="Arial"/>
          <w:i/>
        </w:rPr>
        <w:footnoteReference w:id="17"/>
      </w:r>
      <w:r w:rsidRPr="003E3D16">
        <w:rPr>
          <w:i/>
        </w:rPr>
        <w:t>)</w:t>
      </w:r>
      <w:r w:rsidRPr="003E3D16">
        <w:t>. Takie podmioty nie kwalifikują się do uczestnictwa w żadnej formie, w tym jako beneficjenci, podmioty stowarzyszone, osoby trzecie wnoszące wkład rzeczowy, podwykonawcy lub odbiorcy wsparcia finansowego na rzecz osób trzecich (jeżeli występuje).</w:t>
      </w:r>
    </w:p>
    <w:p w14:paraId="718A4FB8" w14:textId="451416D0" w:rsidR="00736C6F" w:rsidRPr="003E3D16" w:rsidRDefault="005A3754" w:rsidP="00736C6F">
      <w:pPr>
        <w:autoSpaceDE w:val="0"/>
        <w:autoSpaceDN w:val="0"/>
        <w:adjustRightInd w:val="0"/>
        <w:rPr>
          <w:rFonts w:cs="Verdana"/>
        </w:rPr>
      </w:pPr>
      <w:r w:rsidRPr="003E3D16">
        <w:rPr>
          <w:noProof/>
          <w:lang w:val="fr-BE" w:eastAsia="fr-BE"/>
        </w:rPr>
        <w:drawing>
          <wp:inline distT="0" distB="0" distL="0" distR="0" wp14:anchorId="4D9DE831" wp14:editId="2CF3293B">
            <wp:extent cx="187960" cy="187960"/>
            <wp:effectExtent l="0" t="0" r="0" b="0"/>
            <wp:docPr id="7" name="Picture 217534909"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534909" name="Picture 217534909"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3E3D16">
        <w:t xml:space="preserve"> Więcej informacji </w:t>
      </w:r>
      <w:r w:rsidRPr="003E3D16">
        <w:rPr>
          <w:i/>
          <w:iCs/>
        </w:rPr>
        <w:t>znaleźć można w </w:t>
      </w:r>
      <w:hyperlink r:id="rId38">
        <w:r w:rsidRPr="003E3D16">
          <w:rPr>
            <w:rStyle w:val="Hyperlink"/>
            <w:i/>
            <w:iCs/>
          </w:rPr>
          <w:t>Zasadach zatwierdzania podmiotu prawnego, wyznaczania przedstawiciela uprawnionego do reprezentowania podmiotu prawnego (LEAR) i oceny zdolności finansowej</w:t>
        </w:r>
      </w:hyperlink>
      <w:r w:rsidRPr="003E3D16">
        <w:t xml:space="preserve">. </w:t>
      </w:r>
    </w:p>
    <w:p w14:paraId="1DD70A2C" w14:textId="78969716" w:rsidR="00027143" w:rsidRPr="00FE0460" w:rsidRDefault="00736C6F" w:rsidP="00CC2315">
      <w:pPr>
        <w:pStyle w:val="Heading3"/>
        <w:rPr>
          <w:lang w:val="en-US"/>
        </w:rPr>
      </w:pPr>
      <w:bookmarkStart w:id="15" w:name="_Toc92978229"/>
      <w:r w:rsidRPr="00FE0460">
        <w:rPr>
          <w:lang w:val="en-US"/>
        </w:rPr>
        <w:t>Skład konsorcjum</w:t>
      </w:r>
      <w:bookmarkEnd w:id="15"/>
    </w:p>
    <w:p w14:paraId="667D29A2" w14:textId="1ADD61B2" w:rsidR="007903BC" w:rsidRPr="00FE0460" w:rsidRDefault="007903BC" w:rsidP="007903BC">
      <w:pPr>
        <w:widowControl w:val="0"/>
        <w:rPr>
          <w:b/>
          <w:bCs/>
          <w:lang w:val="en-US"/>
        </w:rPr>
      </w:pPr>
      <w:r w:rsidRPr="00FE0460">
        <w:rPr>
          <w:b/>
          <w:color w:val="A50021"/>
          <w:lang w:val="en-US"/>
        </w:rPr>
        <w:t>CERV-2022-CITIZENS-TOWN-TT – Partnerstwo miast:</w:t>
      </w:r>
      <w:r w:rsidRPr="00FE0460">
        <w:rPr>
          <w:b/>
          <w:bCs/>
          <w:lang w:val="en-US"/>
        </w:rPr>
        <w:t xml:space="preserve"> </w:t>
      </w:r>
    </w:p>
    <w:p w14:paraId="1CC7CA67" w14:textId="27B50492" w:rsidR="007903BC" w:rsidRPr="003E3D16" w:rsidRDefault="007903BC" w:rsidP="007903BC">
      <w:pPr>
        <w:widowControl w:val="0"/>
        <w:rPr>
          <w:i/>
          <w:iCs/>
        </w:rPr>
      </w:pPr>
      <w:r w:rsidRPr="003E3D16">
        <w:t>Dopuszcza się składanie wniosków tylko przez pojedynczych wnioskodawców.</w:t>
      </w:r>
    </w:p>
    <w:p w14:paraId="37AC9AD9" w14:textId="64A403D2" w:rsidR="007903BC" w:rsidRPr="003E3D16" w:rsidRDefault="007903BC" w:rsidP="007903BC">
      <w:pPr>
        <w:pStyle w:val="Text3"/>
        <w:tabs>
          <w:tab w:val="left" w:pos="567"/>
        </w:tabs>
        <w:ind w:left="0"/>
        <w:rPr>
          <w:rFonts w:eastAsia="Verdana" w:cs="Verdana"/>
        </w:rPr>
      </w:pPr>
      <w:r w:rsidRPr="003E3D16">
        <w:lastRenderedPageBreak/>
        <w:t>Wnioski w dziedzinie partnerstwa miast muszą obejmować gminy z co najmniej dwóch kwalifikujących się krajów, z których co najmniej jeden jest państwem członkowskim UE.</w:t>
      </w:r>
    </w:p>
    <w:p w14:paraId="5B216039" w14:textId="203107A8" w:rsidR="007903BC" w:rsidRPr="00FE0460" w:rsidRDefault="007903BC" w:rsidP="007903BC">
      <w:pPr>
        <w:widowControl w:val="0"/>
        <w:rPr>
          <w:b/>
          <w:color w:val="A50021"/>
          <w:lang w:val="en-US"/>
        </w:rPr>
      </w:pPr>
      <w:r w:rsidRPr="00FE0460">
        <w:rPr>
          <w:b/>
          <w:color w:val="A50021"/>
          <w:lang w:val="en-US"/>
        </w:rPr>
        <w:t>CERV-2022-CITIZENS-TOWN-NT – Sieci miast</w:t>
      </w:r>
    </w:p>
    <w:p w14:paraId="2A754E5D" w14:textId="17B8FF9F" w:rsidR="007903BC" w:rsidRPr="003E3D16" w:rsidRDefault="007903BC" w:rsidP="007903BC">
      <w:pPr>
        <w:widowControl w:val="0"/>
      </w:pPr>
      <w:r w:rsidRPr="003E3D16">
        <w:t xml:space="preserve">Wnioski muszą być złożone przez konsorcjum składające się z co najmniej pięciu wnioskodawców (beneficjentów; podmiotów niestowarzyszonych), które spełniają następujące warunki: </w:t>
      </w:r>
    </w:p>
    <w:p w14:paraId="683D723D" w14:textId="1473FE2C" w:rsidR="007903BC" w:rsidRPr="003E3D16" w:rsidRDefault="007903BC" w:rsidP="007903BC">
      <w:pPr>
        <w:numPr>
          <w:ilvl w:val="0"/>
          <w:numId w:val="53"/>
        </w:numPr>
        <w:ind w:left="360"/>
      </w:pPr>
      <w:r w:rsidRPr="003E3D16">
        <w:t>podmiotami są gminy z co najmniej pięciu kwalifikujących się krajów, z których co najmniej trzy są państwami członkowskimi UE.</w:t>
      </w:r>
    </w:p>
    <w:p w14:paraId="4E8B42AB" w14:textId="77777777" w:rsidR="00656CD7" w:rsidRPr="003E3D16" w:rsidRDefault="00736C6F" w:rsidP="00510B7E">
      <w:pPr>
        <w:pStyle w:val="Heading3"/>
      </w:pPr>
      <w:bookmarkStart w:id="16" w:name="_Toc92978230"/>
      <w:r w:rsidRPr="003E3D16">
        <w:t>Kwalifikujące się działania</w:t>
      </w:r>
      <w:bookmarkEnd w:id="16"/>
    </w:p>
    <w:p w14:paraId="5C9A0D56" w14:textId="6D5E2AD2" w:rsidR="000159B8" w:rsidRPr="003E3D16" w:rsidRDefault="00656CD7" w:rsidP="00656CD7">
      <w:r w:rsidRPr="003E3D16">
        <w:t>Kwalifikujące się działania wymieniono w punkcie 2 powyżej.</w:t>
      </w:r>
    </w:p>
    <w:p w14:paraId="4DCC9648" w14:textId="77777777" w:rsidR="00656CD7" w:rsidRPr="003E3D16" w:rsidRDefault="00267836" w:rsidP="00656CD7">
      <w:r w:rsidRPr="003E3D16">
        <w:t>Projekty powinny uwzględniać wyniki projektów wspieranych w ramach innych unijnych programów finansowania. Komplementarność należy opisać we wniosku (w części B formularza wniosku).</w:t>
      </w:r>
    </w:p>
    <w:p w14:paraId="3CAE18EE" w14:textId="77777777" w:rsidR="00C96229" w:rsidRPr="003E3D16" w:rsidRDefault="00C96229" w:rsidP="00656CD7">
      <w:r w:rsidRPr="003E3D16">
        <w:t>Projekty muszą być zgodne z interesami i priorytetami polityki UE (</w:t>
      </w:r>
      <w:r w:rsidRPr="003E3D16">
        <w:rPr>
          <w:i/>
          <w:iCs/>
        </w:rPr>
        <w:t>takim jak ochrona środowiska, polityka społeczna, bezpieczeństwo, polityka przemysłowa i handlowa itp.</w:t>
      </w:r>
      <w:r w:rsidRPr="003E3D16">
        <w:t>).</w:t>
      </w:r>
    </w:p>
    <w:p w14:paraId="23359E9F" w14:textId="69E0A675" w:rsidR="00557219" w:rsidRPr="003E3D16" w:rsidRDefault="004A47F3" w:rsidP="0075170E">
      <w:pPr>
        <w:rPr>
          <w:highlight w:val="yellow"/>
        </w:rPr>
      </w:pPr>
      <w:r w:rsidRPr="003E3D16">
        <w:t>Wsparcie finansowe na rzecz osób trzecich nie jest dozwolone.</w:t>
      </w:r>
    </w:p>
    <w:p w14:paraId="4ED03ED8" w14:textId="7C17FD62" w:rsidR="00942BB9" w:rsidRPr="00FE0460" w:rsidRDefault="00E81CEB" w:rsidP="00942BB9">
      <w:pPr>
        <w:pStyle w:val="Text3"/>
        <w:tabs>
          <w:tab w:val="clear" w:pos="2160"/>
          <w:tab w:val="left" w:pos="567"/>
        </w:tabs>
        <w:ind w:left="0"/>
        <w:rPr>
          <w:b/>
          <w:color w:val="A50021"/>
          <w:lang w:val="en-US"/>
        </w:rPr>
      </w:pPr>
      <w:r w:rsidRPr="00FE0460">
        <w:rPr>
          <w:b/>
          <w:color w:val="A50021"/>
          <w:lang w:val="en-US"/>
        </w:rPr>
        <w:t>CERV-2022-CITIZENS-TOWN-TT – Partnerstwo miast:</w:t>
      </w:r>
    </w:p>
    <w:p w14:paraId="2607B279" w14:textId="77777777" w:rsidR="00942BB9" w:rsidRPr="003E3D16" w:rsidRDefault="00942BB9" w:rsidP="00942BB9">
      <w:pPr>
        <w:pStyle w:val="Text3"/>
        <w:tabs>
          <w:tab w:val="clear" w:pos="2160"/>
          <w:tab w:val="left" w:pos="567"/>
        </w:tabs>
        <w:ind w:left="0"/>
        <w:rPr>
          <w:rFonts w:eastAsia="Verdana" w:cs="Verdana"/>
        </w:rPr>
      </w:pPr>
      <w:r w:rsidRPr="003E3D16">
        <w:t>W wydarzeniach organizowanych w ramach partnerstwa miast musi uczestniczyć co najmniej 50 uczestników bezpośrednich, w tym co najmniej 25 uczestników to „uczestnicy zaproszeni”. „Uczestnicy zaproszeni” to podróżujące delegacje z kwalifikujących się krajów partnerskich projektu, innych niż państwo organizujące wydarzenie w ramach partnerstwa miast.</w:t>
      </w:r>
    </w:p>
    <w:p w14:paraId="09E75F68" w14:textId="77777777" w:rsidR="00500DB3" w:rsidRPr="003E3D16" w:rsidRDefault="00330493" w:rsidP="00510B7E">
      <w:pPr>
        <w:pStyle w:val="Heading3"/>
      </w:pPr>
      <w:bookmarkStart w:id="17" w:name="_Toc92978231"/>
      <w:r w:rsidRPr="003E3D16">
        <w:t>Lokalizacja geograficzna (państwa docelowe)</w:t>
      </w:r>
      <w:bookmarkEnd w:id="17"/>
    </w:p>
    <w:p w14:paraId="0C43BD80" w14:textId="6FE81E62" w:rsidR="00C76084" w:rsidRPr="003E3D16" w:rsidRDefault="00C76084" w:rsidP="00C76084">
      <w:r w:rsidRPr="003E3D16">
        <w:t xml:space="preserve">Wnioski muszą odnosić się do działań prowadzonych w kwalifikujących się krajach </w:t>
      </w:r>
      <w:r w:rsidRPr="003E3D16">
        <w:rPr>
          <w:i/>
        </w:rPr>
        <w:t>(zob. powyżej)</w:t>
      </w:r>
      <w:r w:rsidRPr="003E3D16">
        <w:t>.</w:t>
      </w:r>
    </w:p>
    <w:p w14:paraId="2B7201A8" w14:textId="071CD026" w:rsidR="0075170E" w:rsidRPr="00FE0460" w:rsidRDefault="0075170E" w:rsidP="0075170E">
      <w:pPr>
        <w:pStyle w:val="Text3"/>
        <w:tabs>
          <w:tab w:val="left" w:pos="567"/>
        </w:tabs>
        <w:ind w:left="0"/>
        <w:rPr>
          <w:b/>
          <w:color w:val="A50021"/>
          <w:lang w:val="en-US"/>
        </w:rPr>
      </w:pPr>
      <w:r w:rsidRPr="00FE0460">
        <w:rPr>
          <w:b/>
          <w:color w:val="A50021"/>
          <w:lang w:val="en-US"/>
        </w:rPr>
        <w:t>CERV-2022-CITIZENS-TOWN-TT – Partnerstwo miast</w:t>
      </w:r>
    </w:p>
    <w:p w14:paraId="4FB65ED9" w14:textId="729AC7F7" w:rsidR="0075170E" w:rsidRPr="003E3D16" w:rsidRDefault="0075170E" w:rsidP="0075170E">
      <w:pPr>
        <w:pStyle w:val="Text3"/>
        <w:tabs>
          <w:tab w:val="left" w:pos="567"/>
        </w:tabs>
        <w:ind w:left="0"/>
        <w:rPr>
          <w:rFonts w:eastAsia="Verdana" w:cs="Verdana"/>
        </w:rPr>
      </w:pPr>
      <w:r w:rsidRPr="003E3D16">
        <w:t>Działania muszą odbywać się w kwalifikującym się kraju uczestniczącym w projekcie.</w:t>
      </w:r>
    </w:p>
    <w:p w14:paraId="22619C5A" w14:textId="1782A5E2" w:rsidR="0075170E" w:rsidRPr="00FE0460" w:rsidRDefault="0075170E" w:rsidP="0075170E">
      <w:pPr>
        <w:pStyle w:val="Text3"/>
        <w:tabs>
          <w:tab w:val="left" w:pos="567"/>
        </w:tabs>
        <w:ind w:left="0"/>
        <w:rPr>
          <w:b/>
          <w:color w:val="A50021"/>
          <w:lang w:val="en-US"/>
        </w:rPr>
      </w:pPr>
      <w:r w:rsidRPr="00FE0460">
        <w:rPr>
          <w:b/>
          <w:color w:val="A50021"/>
          <w:lang w:val="en-US"/>
        </w:rPr>
        <w:t>CERV-2022-CITIZENS-TOWN-NT – Sieci miast</w:t>
      </w:r>
    </w:p>
    <w:p w14:paraId="15B7E34B" w14:textId="77777777" w:rsidR="0075170E" w:rsidRPr="003E3D16" w:rsidRDefault="0075170E" w:rsidP="0075170E">
      <w:r w:rsidRPr="003E3D16">
        <w:t>Działania muszą odbywać się w co najmniej dwóch różnych kwalifikujących się krajach objętych programem.</w:t>
      </w:r>
    </w:p>
    <w:p w14:paraId="5ED1FBB4" w14:textId="5B3FEB91" w:rsidR="0075170E" w:rsidRPr="003E3D16" w:rsidRDefault="00312A94" w:rsidP="00CC2315">
      <w:pPr>
        <w:pStyle w:val="Heading3"/>
      </w:pPr>
      <w:bookmarkStart w:id="18" w:name="_Toc92978232"/>
      <w:r w:rsidRPr="003E3D16">
        <w:t>Okres realizacji</w:t>
      </w:r>
      <w:bookmarkEnd w:id="18"/>
    </w:p>
    <w:p w14:paraId="2932A4E8" w14:textId="57A7E390" w:rsidR="0075170E" w:rsidRPr="003E3D16" w:rsidRDefault="0075170E" w:rsidP="0075170E">
      <w:pPr>
        <w:pStyle w:val="Text3"/>
        <w:tabs>
          <w:tab w:val="left" w:pos="567"/>
        </w:tabs>
        <w:ind w:left="0"/>
        <w:rPr>
          <w:b/>
          <w:color w:val="A50021"/>
        </w:rPr>
      </w:pPr>
      <w:r w:rsidRPr="003E3D16">
        <w:rPr>
          <w:b/>
          <w:color w:val="A50021"/>
        </w:rPr>
        <w:t>CERV-2022-CITIZENS-TOWN-TT – Partnerstwo miast</w:t>
      </w:r>
    </w:p>
    <w:p w14:paraId="16ED1FD7" w14:textId="77777777" w:rsidR="0075170E" w:rsidRPr="003E3D16" w:rsidRDefault="0075170E" w:rsidP="0075170E">
      <w:r w:rsidRPr="003E3D16">
        <w:t>Projekty powinny zwykle trwać do 12 miesięcy (możliwe jest wydłużenie czasu trwania, jeżeli jest to należycie uzasadnione i w drodze zmiany).</w:t>
      </w:r>
    </w:p>
    <w:p w14:paraId="21EB407E" w14:textId="02DDA381" w:rsidR="0075170E" w:rsidRPr="00FE0460" w:rsidRDefault="0075170E" w:rsidP="0075170E">
      <w:pPr>
        <w:pStyle w:val="Text3"/>
        <w:tabs>
          <w:tab w:val="left" w:pos="567"/>
        </w:tabs>
        <w:ind w:left="0"/>
        <w:rPr>
          <w:b/>
          <w:color w:val="A50021"/>
          <w:lang w:val="en-US"/>
        </w:rPr>
      </w:pPr>
      <w:r w:rsidRPr="00FE0460">
        <w:rPr>
          <w:b/>
          <w:color w:val="A50021"/>
          <w:lang w:val="en-US"/>
        </w:rPr>
        <w:t xml:space="preserve">CERV-2022-CITIZENS-TOWN-NT – Sieci miast </w:t>
      </w:r>
    </w:p>
    <w:p w14:paraId="5915DCE4" w14:textId="705101FA" w:rsidR="0075170E" w:rsidRPr="003E3D16" w:rsidRDefault="00D37706" w:rsidP="0075170E">
      <w:r w:rsidRPr="003E3D16">
        <w:t>Projekty powinny zwykle mieścić się w przedziale od 12 do 24 miesięcy (możliwe jest wydłużenie czasu trwania, jeżeli jest to należycie uzasadnione i w drodze zmiany).</w:t>
      </w:r>
    </w:p>
    <w:p w14:paraId="6E47F135" w14:textId="56E7A647" w:rsidR="007926FA" w:rsidRPr="003E3D16" w:rsidRDefault="007926FA" w:rsidP="00510B7E">
      <w:pPr>
        <w:pStyle w:val="Heading3"/>
      </w:pPr>
      <w:bookmarkStart w:id="19" w:name="_Toc92978233"/>
      <w:r w:rsidRPr="003E3D16">
        <w:t>Etyka i wartości UE</w:t>
      </w:r>
      <w:bookmarkEnd w:id="19"/>
    </w:p>
    <w:p w14:paraId="58FD832D" w14:textId="77777777" w:rsidR="007926FA" w:rsidRPr="003E3D16" w:rsidRDefault="007926FA" w:rsidP="007926FA">
      <w:pPr>
        <w:pStyle w:val="Text3"/>
        <w:ind w:left="0"/>
        <w:rPr>
          <w:rFonts w:eastAsia="Calibri"/>
          <w:color w:val="000000"/>
        </w:rPr>
      </w:pPr>
      <w:r w:rsidRPr="003E3D16">
        <w:lastRenderedPageBreak/>
        <w:t>Projekty muszą być zgodne z:</w:t>
      </w:r>
    </w:p>
    <w:p w14:paraId="109E382E" w14:textId="1126BB4E" w:rsidR="00B703B7" w:rsidRPr="003E3D16" w:rsidRDefault="009E08C3" w:rsidP="008B1F42">
      <w:pPr>
        <w:numPr>
          <w:ilvl w:val="0"/>
          <w:numId w:val="33"/>
        </w:numPr>
        <w:spacing w:after="120"/>
        <w:ind w:left="709"/>
        <w:jc w:val="left"/>
      </w:pPr>
      <w:r w:rsidRPr="003E3D16">
        <w:t xml:space="preserve">najwyższymi standardami etycznymi; </w:t>
      </w:r>
    </w:p>
    <w:p w14:paraId="20DE0698" w14:textId="52F85922" w:rsidR="00B703B7" w:rsidRPr="003E3D16" w:rsidRDefault="00B703B7" w:rsidP="008B1F42">
      <w:pPr>
        <w:numPr>
          <w:ilvl w:val="0"/>
          <w:numId w:val="33"/>
        </w:numPr>
        <w:spacing w:after="120"/>
        <w:ind w:left="709"/>
        <w:jc w:val="left"/>
        <w:rPr>
          <w:sz w:val="24"/>
          <w:szCs w:val="24"/>
        </w:rPr>
      </w:pPr>
      <w:r w:rsidRPr="003E3D16">
        <w:tab/>
        <w:t xml:space="preserve">wartościami UE opartymi na art. 2 Traktatu o Unii Europejskiej i art. 21 Karty praw podstawowych Unii Europejskiej; </w:t>
      </w:r>
    </w:p>
    <w:p w14:paraId="00AFAC72" w14:textId="2EBBF757" w:rsidR="00B703B7" w:rsidRPr="003E3D16" w:rsidRDefault="00B703B7" w:rsidP="008B1F42">
      <w:pPr>
        <w:numPr>
          <w:ilvl w:val="0"/>
          <w:numId w:val="33"/>
        </w:numPr>
        <w:ind w:left="709" w:hanging="357"/>
        <w:jc w:val="left"/>
        <w:rPr>
          <w:rFonts w:ascii="Calibri" w:eastAsia="Calibri" w:hAnsi="Calibri" w:cs="Calibri"/>
        </w:rPr>
      </w:pPr>
      <w:r w:rsidRPr="003E3D16">
        <w:t xml:space="preserve">innymi obowiązującymi przepisami prawa Unii, prawa międzynarodowego i krajowego (w tym z ogólnym rozporządzeniem o ochronie danych </w:t>
      </w:r>
      <w:hyperlink r:id="rId39" w:history="1">
        <w:r w:rsidRPr="003E3D16">
          <w:rPr>
            <w:rStyle w:val="Hyperlink"/>
          </w:rPr>
          <w:t>2016/679</w:t>
        </w:r>
      </w:hyperlink>
      <w:r w:rsidRPr="003E3D16">
        <w:t>).</w:t>
      </w:r>
    </w:p>
    <w:p w14:paraId="4377E80A" w14:textId="316853F8" w:rsidR="00E95AAC" w:rsidRPr="003E3D16" w:rsidRDefault="00E95AAC" w:rsidP="42BB08A3">
      <w:pPr>
        <w:widowControl w:val="0"/>
        <w:rPr>
          <w:rFonts w:eastAsia="Calibri"/>
          <w:color w:val="000000"/>
        </w:rPr>
      </w:pPr>
      <w:r w:rsidRPr="003E3D16">
        <w:rPr>
          <w:color w:val="000000"/>
        </w:rPr>
        <w:t>Projekty muszą dążyć do promowania równości płci i niedyskryminacji zgodnie z</w:t>
      </w:r>
      <w:r w:rsidRPr="003E3D16">
        <w:t xml:space="preserve"> </w:t>
      </w:r>
      <w:hyperlink r:id="rId40" w:history="1">
        <w:r w:rsidRPr="003E3D16">
          <w:rPr>
            <w:rStyle w:val="Hyperlink"/>
          </w:rPr>
          <w:t>zestawem narzędzi do włączania kwestii płci do głównego nurtu polityki</w:t>
        </w:r>
      </w:hyperlink>
      <w:r w:rsidRPr="003E3D16">
        <w:rPr>
          <w:color w:val="000000"/>
        </w:rPr>
        <w:t xml:space="preserve">. Działania projektowe powinny przyczyniać się do równego wzmocnienia pozycji kobiet i mężczyzn w całej ich różnorodności, zapewniając im pełne wykorzystanie ich potencjału i korzystanie z tych samych praw </w:t>
      </w:r>
      <w:r w:rsidRPr="003E3D16">
        <w:rPr>
          <w:i/>
          <w:iCs/>
          <w:color w:val="000000"/>
        </w:rPr>
        <w:t>(zob.</w:t>
      </w:r>
      <w:r w:rsidRPr="003E3D16">
        <w:rPr>
          <w:color w:val="000000"/>
        </w:rPr>
        <w:t xml:space="preserve"> </w:t>
      </w:r>
      <w:hyperlink r:id="rId41" w:anchor=":~:text=Non-discrimination%20mainstreaming%20is%20about%20%E2%80%98placing%20equality%20considerations%20at,the%20EU-%20wide%20network%20of%20specialised%20equality%20bodies%29." w:history="1">
        <w:r w:rsidRPr="003E3D16">
          <w:rPr>
            <w:rStyle w:val="Hyperlink"/>
            <w:i/>
            <w:iCs/>
          </w:rPr>
          <w:t>Instrumenty włączania niedyskryminacji do głównego nurtu polityki, studia przypadków i sposoby postępowania</w:t>
        </w:r>
      </w:hyperlink>
      <w:r w:rsidRPr="003E3D16">
        <w:rPr>
          <w:i/>
          <w:iCs/>
          <w:color w:val="000000"/>
        </w:rPr>
        <w:t>)</w:t>
      </w:r>
      <w:r w:rsidRPr="003E3D16">
        <w:rPr>
          <w:color w:val="000000"/>
        </w:rPr>
        <w:t>. Powinny one również dążyć do zmniejszenia poziomu dyskryminacji, jakiej doświadczają poszczególne grupy (a także osoby zagrożone dyskryminacją z wielu przyczyn jednocześnie), oraz do poprawy wyników w zakresie równości osób</w:t>
      </w:r>
      <w:r w:rsidRPr="003E3D16">
        <w:rPr>
          <w:rStyle w:val="FootnoteReference"/>
          <w:rFonts w:eastAsia="Calibri"/>
          <w:color w:val="000000"/>
          <w:lang w:val="en-IE" w:eastAsia="en-GB"/>
        </w:rPr>
        <w:footnoteReference w:id="18"/>
      </w:r>
      <w:r w:rsidRPr="003E3D16">
        <w:rPr>
          <w:color w:val="000000"/>
        </w:rPr>
        <w:t xml:space="preserve">. We wnioskach należy uwzględnić kwestie związane z płcią i niedyskryminacją oraz dążyć do zrównoważonej pod względem płci reprezentacji w zespołach projektowych i działaniach. Ważne jest również, aby dane indywidualne gromadzone przez beneficjentów były w miarę możliwości przedstawiane w podziale na płeć </w:t>
      </w:r>
      <w:r w:rsidRPr="003E3D16">
        <w:rPr>
          <w:i/>
          <w:iCs/>
          <w:color w:val="000000"/>
        </w:rPr>
        <w:t>(</w:t>
      </w:r>
      <w:hyperlink r:id="rId42" w:history="1">
        <w:r w:rsidRPr="003E3D16">
          <w:rPr>
            <w:rStyle w:val="Hyperlink"/>
            <w:i/>
            <w:iCs/>
          </w:rPr>
          <w:t>dane segregowane ze względu na płeć</w:t>
        </w:r>
      </w:hyperlink>
      <w:r w:rsidRPr="003E3D16">
        <w:rPr>
          <w:i/>
          <w:iCs/>
          <w:color w:val="000000"/>
        </w:rPr>
        <w:t>)</w:t>
      </w:r>
      <w:r w:rsidRPr="003E3D16">
        <w:rPr>
          <w:color w:val="000000"/>
        </w:rPr>
        <w:t xml:space="preserve">, niepełnosprawność lub wiek. </w:t>
      </w:r>
    </w:p>
    <w:p w14:paraId="28266E90" w14:textId="10C9CFF0" w:rsidR="00E95AAC" w:rsidRPr="003E3D16" w:rsidRDefault="00E95AAC" w:rsidP="42BB08A3">
      <w:pPr>
        <w:widowControl w:val="0"/>
        <w:rPr>
          <w:rFonts w:eastAsia="Calibri"/>
          <w:color w:val="000000"/>
        </w:rPr>
      </w:pPr>
      <w:r w:rsidRPr="003E3D16">
        <w:t>Wnioskodawcy muszą wykazać w swoim wniosku, że przestrzegają zasad etycznych i wartości UE wynikających z art. 2 Traktatu o Unii Europejskiej i art. 21 Karty praw podstawowych Unii Europejskiej.</w:t>
      </w:r>
      <w:r w:rsidRPr="003E3D16">
        <w:rPr>
          <w:color w:val="000000"/>
        </w:rPr>
        <w:t xml:space="preserve"> </w:t>
      </w:r>
    </w:p>
    <w:p w14:paraId="293AE190" w14:textId="0A6A1462" w:rsidR="008C58B6" w:rsidRPr="003E3D16" w:rsidRDefault="008C58B6" w:rsidP="42BB08A3">
      <w:pPr>
        <w:widowControl w:val="0"/>
        <w:rPr>
          <w:rFonts w:eastAsia="Calibri"/>
          <w:color w:val="000000"/>
        </w:rPr>
      </w:pPr>
      <w:r w:rsidRPr="003E3D16">
        <w:t>Uczestnicy prowadzący zajęcia z udziałem dzieci muszą ponadto wprowadzić politykę ochrony dzieci obejmującą cztery obszary opisane w </w:t>
      </w:r>
      <w:hyperlink r:id="rId43" w:history="1">
        <w:r w:rsidRPr="003E3D16">
          <w:rPr>
            <w:rStyle w:val="Hyperlink"/>
          </w:rPr>
          <w:t>normach dotyczących ochrony dzieci</w:t>
        </w:r>
      </w:hyperlink>
      <w:r w:rsidRPr="003E3D16">
        <w:rPr>
          <w:rStyle w:val="Hyperlink"/>
          <w:color w:val="auto"/>
          <w:u w:val="none"/>
        </w:rPr>
        <w:t>.</w:t>
      </w:r>
      <w:r w:rsidRPr="003E3D16">
        <w:t xml:space="preserve"> Polityka ta musi być dostępna online i przejrzysta dla wszystkich osób mających kontakt z organizacją. Musi ona zawierać jasne informacje na temat rekrutacji pracowników (w tym stażystów i wolontariuszy) oraz obejmować sprawdzenie przeszłości (weryfikację). Musi ona również uwzględniać jasne procedury i zasady obowiązujące pracowników, w tym zasady sprawozdawczości, oraz dalsze kształcenie.</w:t>
      </w:r>
    </w:p>
    <w:p w14:paraId="53A471EE" w14:textId="683081E0" w:rsidR="00656CD7" w:rsidRPr="003E3D16" w:rsidRDefault="007926FA" w:rsidP="000579AF">
      <w:pPr>
        <w:pStyle w:val="Heading1"/>
        <w:numPr>
          <w:ilvl w:val="0"/>
          <w:numId w:val="54"/>
        </w:numPr>
        <w:tabs>
          <w:tab w:val="left" w:pos="284"/>
        </w:tabs>
        <w:ind w:left="0" w:firstLine="0"/>
      </w:pPr>
      <w:bookmarkStart w:id="20" w:name="_Toc92978234"/>
      <w:r w:rsidRPr="003E3D16">
        <w:t>Zdolność finansowa i operacyjna oraz wykluczenie</w:t>
      </w:r>
      <w:bookmarkEnd w:id="20"/>
    </w:p>
    <w:p w14:paraId="66B3A3A8" w14:textId="77777777" w:rsidR="006E2A2A" w:rsidRPr="003E3D16" w:rsidRDefault="006E2A2A" w:rsidP="00510B7E">
      <w:pPr>
        <w:pStyle w:val="Heading3"/>
      </w:pPr>
      <w:bookmarkStart w:id="21" w:name="_Toc92978235"/>
      <w:r w:rsidRPr="003E3D16">
        <w:t>Zdolność finansowa</w:t>
      </w:r>
      <w:bookmarkEnd w:id="21"/>
    </w:p>
    <w:p w14:paraId="149A48F6" w14:textId="77777777" w:rsidR="006E2A2A" w:rsidRPr="003E3D16" w:rsidRDefault="00C3565C" w:rsidP="006E2A2A">
      <w:pPr>
        <w:autoSpaceDE w:val="0"/>
        <w:autoSpaceDN w:val="0"/>
        <w:adjustRightInd w:val="0"/>
        <w:rPr>
          <w:rFonts w:cs="Verdana"/>
        </w:rPr>
      </w:pPr>
      <w:r w:rsidRPr="003E3D16">
        <w:t xml:space="preserve">Wnioskodawcy muszą mieć </w:t>
      </w:r>
      <w:r w:rsidRPr="003E3D16">
        <w:rPr>
          <w:b/>
        </w:rPr>
        <w:t>stabilne i wystarczające zasoby</w:t>
      </w:r>
      <w:r w:rsidRPr="003E3D16">
        <w:t xml:space="preserve"> pozwalające na pomyślne wdrożenie projektów i wniesienie ich wkładu. Organizacje uczestniczące w kilku projektach muszą mieć wystarczającą zdolność do wdrożenia wszystkich tych projektów.</w:t>
      </w:r>
    </w:p>
    <w:p w14:paraId="7DEDD28A" w14:textId="229CAB6D" w:rsidR="006E2A2A" w:rsidRPr="003E3D16" w:rsidRDefault="006E2A2A" w:rsidP="006E2A2A">
      <w:pPr>
        <w:autoSpaceDE w:val="0"/>
        <w:autoSpaceDN w:val="0"/>
        <w:adjustRightInd w:val="0"/>
        <w:rPr>
          <w:rFonts w:cs="Verdana"/>
        </w:rPr>
      </w:pPr>
      <w:r w:rsidRPr="003E3D16">
        <w:rPr>
          <w:color w:val="000000"/>
        </w:rPr>
        <w:t xml:space="preserve">Kontrola zdolności finansowej zostanie przeprowadzona na podstawie dokumentów, które należy przesłać do </w:t>
      </w:r>
      <w:hyperlink r:id="rId44" w:history="1">
        <w:r w:rsidRPr="003E3D16">
          <w:rPr>
            <w:rStyle w:val="Hyperlink"/>
          </w:rPr>
          <w:t>rejestru uczestników</w:t>
        </w:r>
      </w:hyperlink>
      <w:r w:rsidRPr="003E3D16">
        <w:t xml:space="preserve"> </w:t>
      </w:r>
      <w:r w:rsidRPr="003E3D16">
        <w:rPr>
          <w:color w:val="000000"/>
        </w:rPr>
        <w:t xml:space="preserve">w trakcie przygotowania dotacji </w:t>
      </w:r>
      <w:r w:rsidRPr="003E3D16">
        <w:rPr>
          <w:i/>
          <w:color w:val="000000"/>
        </w:rPr>
        <w:t xml:space="preserve">(np. </w:t>
      </w:r>
      <w:r w:rsidRPr="003E3D16">
        <w:rPr>
          <w:i/>
        </w:rPr>
        <w:t>rachunek zysków i strat oraz bilans, biznesplan, sprawozdanie z audytu przeprowadzonego przez zatwierdzonego zewnętrznego biegłego rewidenta za ostatni zamknięty rok obrachunkowy itp.)</w:t>
      </w:r>
      <w:r w:rsidRPr="003E3D16">
        <w:t>. Analiza zostanie przeprowadzona w oparciu o neutralne wskaźniki finansowe, ale pod uwagę brane będą też inne aspekty, takie jak uzależnienie od finansowania UE oraz wysokość straty i dochodu w poprzednich latach.</w:t>
      </w:r>
    </w:p>
    <w:p w14:paraId="27B2FBC9" w14:textId="77777777" w:rsidR="006E2A2A" w:rsidRPr="003E3D16" w:rsidRDefault="00736C6F" w:rsidP="006E2A2A">
      <w:pPr>
        <w:autoSpaceDE w:val="0"/>
        <w:autoSpaceDN w:val="0"/>
        <w:adjustRightInd w:val="0"/>
        <w:spacing w:after="120"/>
        <w:rPr>
          <w:rFonts w:cs="Verdana"/>
        </w:rPr>
      </w:pPr>
      <w:r w:rsidRPr="003E3D16">
        <w:t xml:space="preserve">Kontroli podlegają wszyscy beneficjenci, z wyjątkiem: </w:t>
      </w:r>
    </w:p>
    <w:p w14:paraId="1872070B" w14:textId="6F724904" w:rsidR="006E2A2A" w:rsidRPr="003E3D16" w:rsidRDefault="006E2A2A" w:rsidP="008B1F42">
      <w:pPr>
        <w:widowControl w:val="0"/>
        <w:numPr>
          <w:ilvl w:val="0"/>
          <w:numId w:val="34"/>
        </w:numPr>
        <w:spacing w:after="120"/>
        <w:ind w:left="709"/>
        <w:jc w:val="left"/>
        <w:rPr>
          <w:rFonts w:cs="Verdana"/>
        </w:rPr>
      </w:pPr>
      <w:r w:rsidRPr="003E3D16">
        <w:t xml:space="preserve">organów publicznych (podmiotów ustanowionych jako organy publiczne na </w:t>
      </w:r>
      <w:r w:rsidRPr="003E3D16">
        <w:lastRenderedPageBreak/>
        <w:t>podstawie prawa krajowego, w tym organy administracji lokalnej, regionalnej i państwowej) lub organizacji międzynarodowych;</w:t>
      </w:r>
    </w:p>
    <w:p w14:paraId="6984ED3C" w14:textId="77777777" w:rsidR="006E2A2A" w:rsidRPr="003E3D16" w:rsidRDefault="006E2A2A" w:rsidP="008B1F42">
      <w:pPr>
        <w:widowControl w:val="0"/>
        <w:numPr>
          <w:ilvl w:val="0"/>
          <w:numId w:val="34"/>
        </w:numPr>
        <w:ind w:left="709" w:hanging="357"/>
        <w:rPr>
          <w:rFonts w:cs="Verdana"/>
        </w:rPr>
      </w:pPr>
      <w:r w:rsidRPr="003E3D16">
        <w:t>przypadku gdy jednostkowa wnioskowana kwota dotacji nie przekracza 60 000 EUR.</w:t>
      </w:r>
    </w:p>
    <w:p w14:paraId="2B8E1880" w14:textId="77777777" w:rsidR="008D31F6" w:rsidRPr="003E3D16" w:rsidRDefault="008D31F6" w:rsidP="008D31F6">
      <w:pPr>
        <w:autoSpaceDE w:val="0"/>
        <w:autoSpaceDN w:val="0"/>
        <w:adjustRightInd w:val="0"/>
        <w:rPr>
          <w:rFonts w:cs="Verdana"/>
        </w:rPr>
      </w:pPr>
      <w:r w:rsidRPr="003E3D16">
        <w:t>W razie potrzeby można to zrobić również w odniesieniu do podmiotów stowarzyszonych.</w:t>
      </w:r>
    </w:p>
    <w:p w14:paraId="054EAA17" w14:textId="77777777" w:rsidR="006E2A2A" w:rsidRPr="003E3D16" w:rsidRDefault="006E2A2A" w:rsidP="006E2A2A">
      <w:pPr>
        <w:autoSpaceDE w:val="0"/>
        <w:autoSpaceDN w:val="0"/>
        <w:adjustRightInd w:val="0"/>
        <w:spacing w:after="120"/>
        <w:rPr>
          <w:rFonts w:cs="Verdana"/>
        </w:rPr>
      </w:pPr>
      <w:r w:rsidRPr="003E3D16">
        <w:t>W przypadku gdy uznamy, że twoja zdolność finansowa nie jest wystarczająca, możemy zażądać:</w:t>
      </w:r>
    </w:p>
    <w:p w14:paraId="35DFE1B0" w14:textId="77777777" w:rsidR="006E2A2A" w:rsidRPr="003E3D16" w:rsidRDefault="006E2A2A" w:rsidP="008B1F42">
      <w:pPr>
        <w:widowControl w:val="0"/>
        <w:numPr>
          <w:ilvl w:val="0"/>
          <w:numId w:val="35"/>
        </w:numPr>
        <w:spacing w:after="120"/>
        <w:jc w:val="left"/>
        <w:rPr>
          <w:rFonts w:cs="Verdana"/>
        </w:rPr>
      </w:pPr>
      <w:r w:rsidRPr="003E3D16">
        <w:t>dodatkowych informacji;</w:t>
      </w:r>
    </w:p>
    <w:p w14:paraId="68E1F2A7" w14:textId="77777777" w:rsidR="006E2A2A" w:rsidRPr="003E3D16" w:rsidRDefault="006E2A2A" w:rsidP="008B1F42">
      <w:pPr>
        <w:widowControl w:val="0"/>
        <w:numPr>
          <w:ilvl w:val="0"/>
          <w:numId w:val="35"/>
        </w:numPr>
        <w:spacing w:after="120"/>
        <w:jc w:val="left"/>
        <w:rPr>
          <w:rFonts w:cs="Verdana"/>
        </w:rPr>
      </w:pPr>
      <w:r w:rsidRPr="003E3D16">
        <w:t xml:space="preserve">wprowadzenia odpowiedzialności w rozszerzonej formule, tj. odpowiedzialności solidarnej wszystkich beneficjentów lub odpowiedzialności solidarnej wszystkich podmiotów stowarzyszonych </w:t>
      </w:r>
      <w:r w:rsidRPr="003E3D16">
        <w:rPr>
          <w:i/>
        </w:rPr>
        <w:t>(zob. punkt 10 poniżej);</w:t>
      </w:r>
    </w:p>
    <w:p w14:paraId="3F26E914" w14:textId="77777777" w:rsidR="006E2A2A" w:rsidRPr="003E3D16" w:rsidRDefault="006E2A2A" w:rsidP="008B1F42">
      <w:pPr>
        <w:widowControl w:val="0"/>
        <w:numPr>
          <w:ilvl w:val="0"/>
          <w:numId w:val="35"/>
        </w:numPr>
        <w:spacing w:after="120"/>
        <w:jc w:val="left"/>
        <w:rPr>
          <w:rFonts w:cs="Verdana"/>
        </w:rPr>
      </w:pPr>
      <w:r w:rsidRPr="003E3D16">
        <w:t xml:space="preserve">płatności zaliczkowych wypłacanych w ratach; </w:t>
      </w:r>
    </w:p>
    <w:p w14:paraId="52C87A22" w14:textId="77777777" w:rsidR="006E2A2A" w:rsidRPr="003E3D16" w:rsidRDefault="006E2A2A" w:rsidP="008B1F42">
      <w:pPr>
        <w:widowControl w:val="0"/>
        <w:numPr>
          <w:ilvl w:val="0"/>
          <w:numId w:val="35"/>
        </w:numPr>
        <w:spacing w:after="120"/>
        <w:jc w:val="left"/>
        <w:rPr>
          <w:rFonts w:cs="Verdana"/>
        </w:rPr>
      </w:pPr>
      <w:r w:rsidRPr="003E3D16">
        <w:t xml:space="preserve">(jednego lub więcej) zabezpieczenia płatności zaliczkowych </w:t>
      </w:r>
      <w:r w:rsidRPr="003E3D16">
        <w:rPr>
          <w:i/>
        </w:rPr>
        <w:t>(zob. punkt 10 poniżej);</w:t>
      </w:r>
    </w:p>
    <w:p w14:paraId="70024A55" w14:textId="77777777" w:rsidR="006E2A2A" w:rsidRPr="003E3D16" w:rsidRDefault="006E2A2A" w:rsidP="006526A5">
      <w:pPr>
        <w:autoSpaceDE w:val="0"/>
        <w:autoSpaceDN w:val="0"/>
        <w:adjustRightInd w:val="0"/>
        <w:spacing w:after="120"/>
        <w:ind w:left="360"/>
        <w:rPr>
          <w:rFonts w:cs="Verdana"/>
        </w:rPr>
      </w:pPr>
      <w:r w:rsidRPr="003E3D16">
        <w:t>lub</w:t>
      </w:r>
    </w:p>
    <w:p w14:paraId="22EA92DF" w14:textId="77777777" w:rsidR="006E2A2A" w:rsidRPr="003E3D16" w:rsidRDefault="00F82473" w:rsidP="008B1F42">
      <w:pPr>
        <w:widowControl w:val="0"/>
        <w:numPr>
          <w:ilvl w:val="0"/>
          <w:numId w:val="35"/>
        </w:numPr>
        <w:spacing w:after="120"/>
        <w:jc w:val="left"/>
        <w:rPr>
          <w:rFonts w:cs="Verdana"/>
        </w:rPr>
      </w:pPr>
      <w:r w:rsidRPr="003E3D16">
        <w:t>nie proponować płatności zaliczkowych;</w:t>
      </w:r>
    </w:p>
    <w:p w14:paraId="1C112F62" w14:textId="77777777" w:rsidR="004872A5" w:rsidRPr="003E3D16" w:rsidRDefault="00F82473" w:rsidP="008B1F42">
      <w:pPr>
        <w:widowControl w:val="0"/>
        <w:numPr>
          <w:ilvl w:val="0"/>
          <w:numId w:val="35"/>
        </w:numPr>
        <w:ind w:left="714" w:hanging="357"/>
        <w:jc w:val="left"/>
        <w:rPr>
          <w:rFonts w:cs="Verdana"/>
        </w:rPr>
      </w:pPr>
      <w:r w:rsidRPr="003E3D16">
        <w:t>zażądać, aby twoja organizacja została zastąpiona przez inną lub, w razie konieczności, odrzucić cały wniosek.</w:t>
      </w:r>
    </w:p>
    <w:p w14:paraId="51C2ADF5" w14:textId="6F69346F" w:rsidR="004872A5" w:rsidRPr="003E3D16" w:rsidRDefault="005A3754" w:rsidP="004872A5">
      <w:pPr>
        <w:autoSpaceDE w:val="0"/>
        <w:autoSpaceDN w:val="0"/>
        <w:adjustRightInd w:val="0"/>
        <w:rPr>
          <w:rFonts w:cs="Verdana"/>
        </w:rPr>
      </w:pPr>
      <w:r w:rsidRPr="003E3D16">
        <w:rPr>
          <w:noProof/>
          <w:lang w:val="fr-BE" w:eastAsia="fr-BE"/>
        </w:rPr>
        <w:drawing>
          <wp:inline distT="0" distB="0" distL="0" distR="0" wp14:anchorId="3DE171D9" wp14:editId="51BBA326">
            <wp:extent cx="187960" cy="187960"/>
            <wp:effectExtent l="0" t="0" r="0" b="0"/>
            <wp:docPr id="8" name="Picture 670183101"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0183101" name="Picture 670183101"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3E3D16">
        <w:t xml:space="preserve"> Więcej informacji </w:t>
      </w:r>
      <w:r w:rsidRPr="003E3D16">
        <w:rPr>
          <w:i/>
          <w:iCs/>
        </w:rPr>
        <w:t xml:space="preserve">znaleźć można w </w:t>
      </w:r>
      <w:hyperlink r:id="rId45">
        <w:r w:rsidRPr="003E3D16">
          <w:rPr>
            <w:rStyle w:val="Hyperlink"/>
            <w:i/>
            <w:iCs/>
          </w:rPr>
          <w:t>Zasadach zatwierdzania podmiotu prawnego, wyznaczania przedstawiciela uprawnionego do reprezentowania podmiotu prawnego (LEAR) i oceny zdolności finansowej</w:t>
        </w:r>
      </w:hyperlink>
      <w:r w:rsidRPr="003E3D16">
        <w:t xml:space="preserve">. </w:t>
      </w:r>
    </w:p>
    <w:p w14:paraId="3ACB9AAA" w14:textId="77777777" w:rsidR="006E2A2A" w:rsidRPr="003E3D16" w:rsidRDefault="006E2A2A" w:rsidP="00510B7E">
      <w:pPr>
        <w:pStyle w:val="Heading3"/>
      </w:pPr>
      <w:bookmarkStart w:id="22" w:name="_Toc92978236"/>
      <w:r w:rsidRPr="003E3D16">
        <w:t>Zdolność operacyjna</w:t>
      </w:r>
      <w:bookmarkEnd w:id="22"/>
    </w:p>
    <w:p w14:paraId="2FF93796" w14:textId="77777777" w:rsidR="006E2A2A" w:rsidRPr="003E3D16" w:rsidRDefault="00C3565C" w:rsidP="006E2A2A">
      <w:pPr>
        <w:pStyle w:val="Text3"/>
        <w:ind w:left="0"/>
      </w:pPr>
      <w:r w:rsidRPr="003E3D16">
        <w:t xml:space="preserve">Wnioskodawcy muszą mieć </w:t>
      </w:r>
      <w:r w:rsidRPr="003E3D16">
        <w:rPr>
          <w:b/>
          <w:bCs/>
        </w:rPr>
        <w:t xml:space="preserve">wiedzę, kwalifikacje </w:t>
      </w:r>
      <w:r w:rsidRPr="003E3D16">
        <w:t>i</w:t>
      </w:r>
      <w:r w:rsidRPr="003E3D16">
        <w:rPr>
          <w:b/>
          <w:bCs/>
        </w:rPr>
        <w:t xml:space="preserve"> zasoby</w:t>
      </w:r>
      <w:r w:rsidRPr="003E3D16">
        <w:t xml:space="preserve"> pozwalające na pomyślne wdrożenie projektów i wniesienie swojego wkładu (w tym odpowiednie doświadczenie w realizacji projektów o porównywalnej skali i charakterze). </w:t>
      </w:r>
    </w:p>
    <w:p w14:paraId="2201BC88" w14:textId="782EDE19" w:rsidR="00ED6A73" w:rsidRPr="003E3D16" w:rsidRDefault="00B63826" w:rsidP="00B63826">
      <w:pPr>
        <w:pStyle w:val="Text3"/>
        <w:ind w:left="0"/>
      </w:pPr>
      <w:r w:rsidRPr="003E3D16">
        <w:t xml:space="preserve">Zdolność ta zostanie oceniona razem z kryterium przyznania finansowania „Jakość” na podstawie kompetencji i doświadczenia wnioskodawców i ich zespołów projektowych, w tym zasobów operacyjnych (ludzkich, technicznych i innych) lub, w wyjątkowych przypadkach, zaproponowanego sposobu ich pozyskania przed rozpoczęciem realizacji zadań. </w:t>
      </w:r>
    </w:p>
    <w:p w14:paraId="4FA70017" w14:textId="4406A1FB" w:rsidR="00B63826" w:rsidRPr="003E3D16" w:rsidRDefault="00B63826" w:rsidP="00B63826">
      <w:pPr>
        <w:pStyle w:val="Text3"/>
        <w:ind w:left="0"/>
        <w:rPr>
          <w:iCs/>
        </w:rPr>
      </w:pPr>
      <w:r w:rsidRPr="003E3D16">
        <w:t xml:space="preserve">W przypadku pozytywnej oceny tego kryterium wyboru uznaje się, że wnioskodawcy mają wystarczającą zdolność operacyjną. </w:t>
      </w:r>
    </w:p>
    <w:p w14:paraId="100BC74F" w14:textId="210545B4" w:rsidR="006E2A2A" w:rsidRPr="003E3D16" w:rsidRDefault="006E2A2A" w:rsidP="006E2A2A">
      <w:pPr>
        <w:pStyle w:val="Text3"/>
        <w:spacing w:after="120"/>
        <w:ind w:left="0"/>
        <w:rPr>
          <w:iCs/>
        </w:rPr>
      </w:pPr>
      <w:r w:rsidRPr="003E3D16">
        <w:t>Wnioskodawcy będą musieli wykazać swoją zdolność za pomocą następujących informacji:</w:t>
      </w:r>
    </w:p>
    <w:p w14:paraId="2EE9C956" w14:textId="77777777" w:rsidR="006E2A2A" w:rsidRPr="003E3D16" w:rsidRDefault="006E2A2A" w:rsidP="008B1F42">
      <w:pPr>
        <w:widowControl w:val="0"/>
        <w:numPr>
          <w:ilvl w:val="0"/>
          <w:numId w:val="39"/>
        </w:numPr>
        <w:spacing w:after="120"/>
        <w:ind w:left="709"/>
        <w:rPr>
          <w:iCs/>
        </w:rPr>
      </w:pPr>
      <w:r w:rsidRPr="003E3D16">
        <w:t>ogólne profile (kwalifikacje i doświadczenia) personelu odpowiedzialnego za zarządzanie projektem i jego realizację;</w:t>
      </w:r>
    </w:p>
    <w:p w14:paraId="59DDC574" w14:textId="11BA162A" w:rsidR="006E2A2A" w:rsidRPr="003E3D16" w:rsidRDefault="003D41B5" w:rsidP="008B1F42">
      <w:pPr>
        <w:widowControl w:val="0"/>
        <w:numPr>
          <w:ilvl w:val="0"/>
          <w:numId w:val="39"/>
        </w:numPr>
        <w:spacing w:after="120"/>
        <w:ind w:left="709"/>
        <w:jc w:val="left"/>
        <w:rPr>
          <w:iCs/>
        </w:rPr>
      </w:pPr>
      <w:r w:rsidRPr="003E3D16">
        <w:t>opis uczestników konsorcjum (w stosownych przypadkach);</w:t>
      </w:r>
    </w:p>
    <w:p w14:paraId="636FD13C" w14:textId="34E49CF9" w:rsidR="0091480A" w:rsidRPr="003E3D16" w:rsidRDefault="009F0186" w:rsidP="008B1F42">
      <w:pPr>
        <w:widowControl w:val="0"/>
        <w:numPr>
          <w:ilvl w:val="0"/>
          <w:numId w:val="39"/>
        </w:numPr>
        <w:spacing w:after="120"/>
        <w:ind w:left="709"/>
        <w:jc w:val="left"/>
        <w:rPr>
          <w:iCs/>
        </w:rPr>
      </w:pPr>
      <w:r w:rsidRPr="003E3D16">
        <w:t>wykaz wcześniejszych projektów (kluczowe projekty z ostatnich czterech lat).</w:t>
      </w:r>
    </w:p>
    <w:p w14:paraId="4146F9AB" w14:textId="77777777" w:rsidR="00500DB3" w:rsidRPr="003E3D16" w:rsidRDefault="00FD4F03" w:rsidP="006E2A2A">
      <w:pPr>
        <w:pStyle w:val="Text3"/>
        <w:ind w:left="0"/>
        <w:rPr>
          <w:iCs/>
        </w:rPr>
      </w:pPr>
      <w:r w:rsidRPr="003E3D16">
        <w:t>W razie konieczności potwierdzenia zdolności operacyjnej wnioskodawcy wymagane mogą być również dodatkowe dokumenty uzupełniające.</w:t>
      </w:r>
    </w:p>
    <w:p w14:paraId="5AE4F088" w14:textId="4829F045" w:rsidR="006E2A2A" w:rsidRPr="003E3D16" w:rsidRDefault="006E2A2A" w:rsidP="006E2A2A">
      <w:pPr>
        <w:pStyle w:val="Text3"/>
        <w:ind w:left="0"/>
        <w:rPr>
          <w:iCs/>
        </w:rPr>
      </w:pPr>
      <w:r w:rsidRPr="003E3D16">
        <w:lastRenderedPageBreak/>
        <w:t xml:space="preserve">Podmioty publiczne, organizacje państw członkowskich i organizacje międzynarodowe są zwolnione z kontroli zdolności operacyjnej. </w:t>
      </w:r>
    </w:p>
    <w:p w14:paraId="66520A48" w14:textId="77777777" w:rsidR="00276AD7" w:rsidRPr="003E3D16" w:rsidRDefault="00267836" w:rsidP="00510B7E">
      <w:pPr>
        <w:pStyle w:val="Heading3"/>
      </w:pPr>
      <w:bookmarkStart w:id="23" w:name="_Toc92978237"/>
      <w:r w:rsidRPr="003E3D16">
        <w:t>Wykluczenie</w:t>
      </w:r>
      <w:bookmarkEnd w:id="23"/>
    </w:p>
    <w:p w14:paraId="746153C7" w14:textId="77777777" w:rsidR="00267836" w:rsidRPr="003E3D16" w:rsidRDefault="0030065F" w:rsidP="002B5DFF">
      <w:pPr>
        <w:pStyle w:val="Text1"/>
        <w:spacing w:after="120"/>
        <w:ind w:left="0"/>
        <w:rPr>
          <w:rFonts w:eastAsia="Calibri"/>
        </w:rPr>
      </w:pPr>
      <w:r w:rsidRPr="003E3D16">
        <w:t xml:space="preserve">W projektach NIE mogą uczestniczyć wnioskodawcy podlegający </w:t>
      </w:r>
      <w:r w:rsidRPr="003E3D16">
        <w:rPr>
          <w:b/>
          <w:bCs/>
        </w:rPr>
        <w:t>decyzji o wykluczeniu</w:t>
      </w:r>
      <w:r w:rsidRPr="003E3D16">
        <w:t xml:space="preserve"> lub znajdujący się w jednej z poniższych </w:t>
      </w:r>
      <w:r w:rsidRPr="003E3D16">
        <w:rPr>
          <w:b/>
          <w:bCs/>
        </w:rPr>
        <w:t>sytuacji wykluczenia</w:t>
      </w:r>
      <w:r w:rsidRPr="003E3D16">
        <w:t>, które uniemożliwiają im otrzymanie dofinansowania UE</w:t>
      </w:r>
      <w:r w:rsidR="005124D8" w:rsidRPr="003E3D16">
        <w:rPr>
          <w:rFonts w:eastAsia="SimSun"/>
          <w:vertAlign w:val="superscript"/>
        </w:rPr>
        <w:footnoteReference w:id="19"/>
      </w:r>
      <w:r w:rsidRPr="003E3D16">
        <w:t>:</w:t>
      </w:r>
    </w:p>
    <w:p w14:paraId="7DBEE11E" w14:textId="77777777" w:rsidR="00267836" w:rsidRPr="003E3D16" w:rsidRDefault="00267836" w:rsidP="00584316">
      <w:pPr>
        <w:numPr>
          <w:ilvl w:val="3"/>
          <w:numId w:val="19"/>
        </w:numPr>
        <w:snapToGrid w:val="0"/>
        <w:spacing w:after="120"/>
        <w:ind w:left="709"/>
        <w:rPr>
          <w:rFonts w:eastAsia="Calibri"/>
        </w:rPr>
      </w:pPr>
      <w:r w:rsidRPr="003E3D16">
        <w:t>znajdują się w stanie upadłości, prowadzone jest wobec nich postępowanie likwidacyjne, ich aktywami zarządza sąd, zawarli układ z wierzycielami, ich działalność gospodarcza jest zawieszona lub znajdują się oni w jakiejkolwiek analogicznej sytuacji wynikającej z podobnej procedury (w tym procedur wobec osób ponoszących nieograniczoną odpowiedzialność za długi wnioskodawcy);</w:t>
      </w:r>
    </w:p>
    <w:p w14:paraId="1ECF36A2" w14:textId="77777777" w:rsidR="00267836" w:rsidRPr="003E3D16" w:rsidRDefault="00267836" w:rsidP="00584316">
      <w:pPr>
        <w:numPr>
          <w:ilvl w:val="2"/>
          <w:numId w:val="20"/>
        </w:numPr>
        <w:snapToGrid w:val="0"/>
        <w:spacing w:after="120"/>
        <w:ind w:left="709"/>
        <w:rPr>
          <w:rFonts w:eastAsia="Calibri"/>
        </w:rPr>
      </w:pPr>
      <w:r w:rsidRPr="003E3D16">
        <w:t>naruszyli obowiązki dotyczące uiszczania podatków lub składek na ubezpieczenie społeczne (w tym jeżeli naruszeń dopuściły się osoby ponoszące nieograniczoną odpowiedzialność za długi wnioskodawcy);</w:t>
      </w:r>
    </w:p>
    <w:p w14:paraId="0E6FACB6" w14:textId="32F9B49C" w:rsidR="00267836" w:rsidRPr="003E3D16" w:rsidRDefault="00267836" w:rsidP="00584316">
      <w:pPr>
        <w:numPr>
          <w:ilvl w:val="2"/>
          <w:numId w:val="20"/>
        </w:numPr>
        <w:snapToGrid w:val="0"/>
        <w:spacing w:after="120"/>
        <w:ind w:left="709"/>
        <w:rPr>
          <w:rFonts w:eastAsia="Calibri"/>
        </w:rPr>
      </w:pPr>
      <w:r w:rsidRPr="003E3D16">
        <w:t>dopuścili się poważnego wykroczenia zawodowego</w:t>
      </w:r>
      <w:r w:rsidRPr="003E3D16">
        <w:rPr>
          <w:rFonts w:eastAsia="Calibri"/>
          <w:vertAlign w:val="superscript"/>
          <w:lang w:eastAsia="zh-CN"/>
        </w:rPr>
        <w:footnoteReference w:id="20"/>
      </w:r>
      <w:r w:rsidRPr="003E3D16">
        <w:t xml:space="preserve"> (w tym jeżeli dotyczy to osób uprawionych do reprezentowania, podejmowania decyzji lub kontroli, beneficjentów rzeczywistych lub osób o kluczowym znaczeniu dla wyboru lub realizacji projektu); </w:t>
      </w:r>
    </w:p>
    <w:p w14:paraId="0465AD17" w14:textId="74F042D4" w:rsidR="00267836" w:rsidRPr="003E3D16" w:rsidRDefault="00FE58D1" w:rsidP="00584316">
      <w:pPr>
        <w:numPr>
          <w:ilvl w:val="2"/>
          <w:numId w:val="20"/>
        </w:numPr>
        <w:snapToGrid w:val="0"/>
        <w:spacing w:after="120"/>
        <w:ind w:left="709"/>
        <w:rPr>
          <w:rFonts w:eastAsia="Calibri"/>
        </w:rPr>
      </w:pPr>
      <w:r w:rsidRPr="003E3D16">
        <w:t>dopuścili się nadużycia finansowego, korupcji, zachowań związanych z organizacją przestępczą, prania pieniędzy, przestępstw związanych z terroryzmem (w tym finansowania terroryzmu), pracy dzieci lub innych przestępstw związanych z handlem ludźmi (w tym jeżeli dotyczy to osób uprawionych do reprezentowania, podejmowania decyzji lub kontroli, beneficjentów rzeczywistych lub osób o kluczowym znaczeniu dla wyboru lub realizacji projektu);</w:t>
      </w:r>
    </w:p>
    <w:p w14:paraId="4BAE0C78" w14:textId="1064C024" w:rsidR="00267836" w:rsidRPr="003E3D16" w:rsidRDefault="00267836" w:rsidP="00584316">
      <w:pPr>
        <w:numPr>
          <w:ilvl w:val="1"/>
          <w:numId w:val="19"/>
        </w:numPr>
        <w:snapToGrid w:val="0"/>
        <w:spacing w:after="120"/>
        <w:ind w:left="709" w:hanging="357"/>
        <w:rPr>
          <w:rFonts w:eastAsia="Calibri"/>
        </w:rPr>
      </w:pPr>
      <w:r w:rsidRPr="003E3D16">
        <w:t xml:space="preserve">dopuścili się znaczących uchybień, jeżeli chodzi o przestrzeganie podstawowych obowiązków związanych z wykonaniem unijnego zamówienia publicznego, umowy o udzielenie dotacji, umowy o świadczenie usług doradczych, a także z przyznaniem nagrody, itp. (w tym jeżeli dotyczy to osób uprawionych do reprezentowania, podejmowania </w:t>
      </w:r>
      <w:r w:rsidRPr="003E3D16">
        <w:noBreakHyphen/>
        <w:t>decyzji lub kontroli, beneficjentów rzeczywistych lub osób o kluczowym znaczeniu dla wyboru lub realizacji projektu);</w:t>
      </w:r>
    </w:p>
    <w:p w14:paraId="6F212B83" w14:textId="320D7D3D" w:rsidR="00E94DFF" w:rsidRPr="003E3D16" w:rsidRDefault="00267836" w:rsidP="00584316">
      <w:pPr>
        <w:numPr>
          <w:ilvl w:val="1"/>
          <w:numId w:val="19"/>
        </w:numPr>
        <w:snapToGrid w:val="0"/>
        <w:ind w:left="709" w:hanging="357"/>
        <w:rPr>
          <w:rFonts w:eastAsia="Calibri"/>
        </w:rPr>
      </w:pPr>
      <w:r w:rsidRPr="003E3D16">
        <w:t xml:space="preserve">dopuścili się nieprawidłowości w rozumieniu art. 1 ust. 2 rozporządzenia Rady </w:t>
      </w:r>
      <w:hyperlink r:id="rId46" w:history="1">
        <w:r w:rsidRPr="003E3D16">
          <w:rPr>
            <w:rStyle w:val="Hyperlink"/>
          </w:rPr>
          <w:t>nr 2988/95</w:t>
        </w:r>
      </w:hyperlink>
      <w:r w:rsidRPr="003E3D16">
        <w:t xml:space="preserve"> (w tym jeżeli dotyczy to osób uprawionych do reprezentowania, podejmowania </w:t>
      </w:r>
      <w:r w:rsidRPr="003E3D16">
        <w:noBreakHyphen/>
        <w:t>decyzji lub kontroli, beneficjentów rzeczywistych lub osób o kluczowym znaczeniu dla wyboru lub realizacji projektu);</w:t>
      </w:r>
    </w:p>
    <w:p w14:paraId="668F2B36" w14:textId="65F190E1" w:rsidR="00276AD7" w:rsidRPr="003E3D16" w:rsidRDefault="00E94DFF" w:rsidP="00584316">
      <w:pPr>
        <w:numPr>
          <w:ilvl w:val="1"/>
          <w:numId w:val="19"/>
        </w:numPr>
        <w:snapToGrid w:val="0"/>
        <w:ind w:left="709" w:hanging="357"/>
        <w:rPr>
          <w:rFonts w:eastAsia="Calibri"/>
        </w:rPr>
      </w:pPr>
      <w:r w:rsidRPr="003E3D16">
        <w:t xml:space="preserve">dopuścili się utworzenia podmiotu w innej jurysdykcji z zamiarem obejścia obowiązków podatkowych, socjalnych lub jakichkolwiek innych obowiązków prawnych w kraju pochodzenia lub w tym celu dopuścili się utworzenia innego podmiotu (w tym jeżeli dotyczy to osób uprawionych do reprezentowania, podejmowania </w:t>
      </w:r>
      <w:r w:rsidRPr="003E3D16">
        <w:noBreakHyphen/>
        <w:t>decyzji lub kontroli, beneficjentów rzeczywistych lub osób o kluczowym znaczeniu dla wyboru lub realizacji projektu).</w:t>
      </w:r>
    </w:p>
    <w:p w14:paraId="1D79A2BE" w14:textId="77777777" w:rsidR="000844D0" w:rsidRPr="003E3D16" w:rsidRDefault="000844D0" w:rsidP="00F81E91">
      <w:pPr>
        <w:snapToGrid w:val="0"/>
      </w:pPr>
      <w:r w:rsidRPr="003E3D16">
        <w:t>Wnioskodawcy podlegać będą odrzuceniu również w przypadku, gdy okaże się, że</w:t>
      </w:r>
      <w:r w:rsidR="00C9027A" w:rsidRPr="003E3D16">
        <w:rPr>
          <w:rStyle w:val="FootnoteReference"/>
          <w:rFonts w:eastAsia="Calibri"/>
          <w:lang w:eastAsia="zh-CN"/>
        </w:rPr>
        <w:footnoteReference w:id="21"/>
      </w:r>
      <w:r w:rsidRPr="003E3D16">
        <w:t xml:space="preserve">: </w:t>
      </w:r>
    </w:p>
    <w:p w14:paraId="6555470F" w14:textId="77777777" w:rsidR="000844D0" w:rsidRPr="003E3D16" w:rsidRDefault="00B7081A" w:rsidP="00584316">
      <w:pPr>
        <w:pStyle w:val="Default"/>
        <w:numPr>
          <w:ilvl w:val="0"/>
          <w:numId w:val="21"/>
        </w:numPr>
        <w:spacing w:after="200"/>
        <w:jc w:val="both"/>
        <w:rPr>
          <w:rFonts w:ascii="Verdana" w:hAnsi="Verdana"/>
          <w:sz w:val="20"/>
          <w:szCs w:val="20"/>
        </w:rPr>
      </w:pPr>
      <w:r w:rsidRPr="003E3D16">
        <w:rPr>
          <w:rFonts w:ascii="Verdana" w:hAnsi="Verdana"/>
          <w:sz w:val="20"/>
          <w:szCs w:val="20"/>
        </w:rPr>
        <w:lastRenderedPageBreak/>
        <w:t xml:space="preserve">w trakcie procedury wyboru nie przedstawili informacji wymaganych jako warunek udziału w postępowaniu lub przedstawili informacje wprowadzające w błąd; </w:t>
      </w:r>
    </w:p>
    <w:p w14:paraId="1393E75D" w14:textId="77777777" w:rsidR="00C93C87" w:rsidRPr="003E3D16" w:rsidRDefault="00B7081A" w:rsidP="00584316">
      <w:pPr>
        <w:pStyle w:val="Default"/>
        <w:numPr>
          <w:ilvl w:val="0"/>
          <w:numId w:val="21"/>
        </w:numPr>
        <w:spacing w:after="200"/>
        <w:jc w:val="both"/>
        <w:rPr>
          <w:rFonts w:ascii="Verdana" w:hAnsi="Verdana"/>
          <w:sz w:val="20"/>
          <w:szCs w:val="20"/>
        </w:rPr>
      </w:pPr>
      <w:r w:rsidRPr="003E3D16">
        <w:rPr>
          <w:rFonts w:ascii="Verdana" w:hAnsi="Verdana"/>
          <w:sz w:val="20"/>
          <w:szCs w:val="20"/>
        </w:rPr>
        <w:t>byli wcześniej zaangażowani w przygotowanie dokumentów wykorzystywanych w procedurze wyboru, w przypadku gdy pociąga to za sobą zakłócenie konkurencji, któremu nie można zaradzić w inny sposób (konflikt interesów).</w:t>
      </w:r>
    </w:p>
    <w:p w14:paraId="52FA627E" w14:textId="6564E345" w:rsidR="0076737E" w:rsidRPr="003E3D16" w:rsidRDefault="00510B7E" w:rsidP="000579AF">
      <w:pPr>
        <w:pStyle w:val="Heading1"/>
        <w:numPr>
          <w:ilvl w:val="0"/>
          <w:numId w:val="54"/>
        </w:numPr>
        <w:tabs>
          <w:tab w:val="left" w:pos="284"/>
        </w:tabs>
        <w:ind w:left="0" w:firstLine="0"/>
      </w:pPr>
      <w:bookmarkStart w:id="24" w:name="_Toc92978238"/>
      <w:r w:rsidRPr="003E3D16">
        <w:t>Procedura oceny i wyboru wniosków</w:t>
      </w:r>
      <w:bookmarkEnd w:id="24"/>
    </w:p>
    <w:p w14:paraId="4AEDF33E" w14:textId="2A21C125" w:rsidR="001A2CE3" w:rsidRPr="003E3D16" w:rsidRDefault="001E6C28" w:rsidP="001A2CE3">
      <w:r w:rsidRPr="003E3D16">
        <w:t xml:space="preserve">Wnioski podlegają </w:t>
      </w:r>
      <w:r w:rsidRPr="003E3D16">
        <w:rPr>
          <w:b/>
        </w:rPr>
        <w:t>standardowej procedurze składania i oceny wniosków</w:t>
      </w:r>
      <w:r w:rsidRPr="003E3D16">
        <w:t xml:space="preserve"> (jednoetapowa procedura składania + jednoetapowa procedura oceny). </w:t>
      </w:r>
    </w:p>
    <w:p w14:paraId="1D076F53" w14:textId="1FE6714E" w:rsidR="00BD67F7" w:rsidRPr="003E3D16" w:rsidRDefault="00593F0C" w:rsidP="0015357F">
      <w:r w:rsidRPr="003E3D16">
        <w:t xml:space="preserve">Wszystkie wnioski będą oceniane przez </w:t>
      </w:r>
      <w:r w:rsidRPr="003E3D16">
        <w:rPr>
          <w:b/>
        </w:rPr>
        <w:t>komisję oceniającą</w:t>
      </w:r>
      <w:r w:rsidRPr="003E3D16">
        <w:t xml:space="preserve"> (z pomocą niezależnych ekspertów zewnętrznych). Wnioski będą najpierw sprawdzane pod kątem spełnienia wymogów formalnych (dopuszczalność i kwalifikowalność, zob. </w:t>
      </w:r>
      <w:r w:rsidRPr="003E3D16">
        <w:rPr>
          <w:i/>
        </w:rPr>
        <w:t>punkty 5 i 6</w:t>
      </w:r>
      <w:r w:rsidRPr="003E3D16">
        <w:t xml:space="preserve">). Wnioski uznane za dopuszczalne i kwalifikowalne zostaną ocenione (w odniesieniu do każdego tematu) pod kątem zdolności operacyjnej i kryteriów wyboru </w:t>
      </w:r>
      <w:r w:rsidRPr="003E3D16">
        <w:rPr>
          <w:i/>
        </w:rPr>
        <w:t>(zob. punkty 7 i 9)</w:t>
      </w:r>
      <w:r w:rsidRPr="003E3D16">
        <w:t>, a następnie uszeregowane według uzyskanych punktów.</w:t>
      </w:r>
    </w:p>
    <w:p w14:paraId="4BC27C4D" w14:textId="77777777" w:rsidR="00BE09D3" w:rsidRPr="003E3D16" w:rsidRDefault="00500DB3" w:rsidP="00211623">
      <w:pPr>
        <w:autoSpaceDE w:val="0"/>
        <w:autoSpaceDN w:val="0"/>
        <w:adjustRightInd w:val="0"/>
        <w:rPr>
          <w:rFonts w:cs="Arial"/>
        </w:rPr>
      </w:pPr>
      <w:r w:rsidRPr="003E3D16">
        <w:t xml:space="preserve">Dla wniosków, które uzyskały taki sam wynik (w ramach tego samego tematu lub puli środków budżetowych), ustalony zostanie </w:t>
      </w:r>
      <w:r w:rsidRPr="003E3D16">
        <w:rPr>
          <w:b/>
          <w:bCs/>
        </w:rPr>
        <w:t>porządek pierwszeństwa</w:t>
      </w:r>
      <w:r w:rsidRPr="003E3D16">
        <w:t xml:space="preserve"> według następujących zasad: </w:t>
      </w:r>
    </w:p>
    <w:p w14:paraId="7F276C70" w14:textId="4CF76B9F" w:rsidR="00500DB3" w:rsidRPr="003E3D16" w:rsidRDefault="00BE09D3" w:rsidP="00BD5FB0">
      <w:pPr>
        <w:autoSpaceDE w:val="0"/>
        <w:autoSpaceDN w:val="0"/>
        <w:adjustRightInd w:val="0"/>
        <w:ind w:left="284"/>
        <w:rPr>
          <w:rFonts w:cs="Arial"/>
        </w:rPr>
      </w:pPr>
      <w:r w:rsidRPr="003E3D16">
        <w:t xml:space="preserve">Kolejno dla każdej grupy wniosków </w:t>
      </w:r>
      <w:r w:rsidRPr="003E3D16">
        <w:rPr>
          <w:i/>
          <w:iCs/>
        </w:rPr>
        <w:t>ex aequo</w:t>
      </w:r>
      <w:r w:rsidRPr="003E3D16">
        <w:t xml:space="preserve">, począwszy od grupy, która uzyskała najwyższą liczbę punktów, a następnie w porządku malejącym: </w:t>
      </w:r>
    </w:p>
    <w:p w14:paraId="63274A2E" w14:textId="3280FD8A" w:rsidR="00500DB3" w:rsidRPr="003E3D16" w:rsidRDefault="00500DB3" w:rsidP="00584316">
      <w:pPr>
        <w:numPr>
          <w:ilvl w:val="0"/>
          <w:numId w:val="30"/>
        </w:numPr>
        <w:autoSpaceDE w:val="0"/>
        <w:autoSpaceDN w:val="0"/>
        <w:adjustRightInd w:val="0"/>
        <w:ind w:left="714" w:hanging="357"/>
        <w:rPr>
          <w:rFonts w:cs="Arial"/>
        </w:rPr>
      </w:pPr>
      <w:r w:rsidRPr="003E3D16">
        <w:t xml:space="preserve">Wnioski ex aequo w ramach tego samego tematu będą traktowane priorytetowo w zależności od punktów, które zostały im przyznane za kryterium przyznania finansowania „Istotność”. W przypadku takiego samego wyniku w ramach tego kryterium pierwszeństwo ustalone zostanie na podstawie wyników osiągniętych w kryterium „Jakość”. W przypadku takiego samego wyniku w ramach tego kryterium pierwszeństwo ustalone zostanie na podstawie wyników osiągniętych w kryterium „Oddziaływanie”. </w:t>
      </w:r>
    </w:p>
    <w:p w14:paraId="309BB099" w14:textId="0A549492" w:rsidR="00A53E20" w:rsidRPr="003E3D16" w:rsidRDefault="00510B7E" w:rsidP="00A32077">
      <w:pPr>
        <w:shd w:val="clear" w:color="auto" w:fill="FFFFFF"/>
      </w:pPr>
      <w:r w:rsidRPr="003E3D16">
        <w:t>Wszyscy wnioskodawcy zostaną poinformowani o wyniku oceny wniosku (</w:t>
      </w:r>
      <w:r w:rsidRPr="003E3D16">
        <w:rPr>
          <w:b/>
          <w:bCs/>
        </w:rPr>
        <w:t>pismo dotyczące wyniku oceny</w:t>
      </w:r>
      <w:r w:rsidRPr="003E3D16">
        <w:t xml:space="preserve">). Wybrane wnioski przejdą do etapu przygotowania dotacji. Pozostałe trafią na listę rezerwową lub zostaną odrzucone. </w:t>
      </w:r>
    </w:p>
    <w:p w14:paraId="300D5057" w14:textId="45043F45" w:rsidR="006004D2" w:rsidRPr="003E3D16" w:rsidRDefault="005A3754" w:rsidP="006004D2">
      <w:pPr>
        <w:ind w:right="-31"/>
      </w:pPr>
      <w:r w:rsidRPr="003E3D16">
        <w:rPr>
          <w:noProof/>
          <w:lang w:val="fr-BE" w:eastAsia="fr-BE"/>
        </w:rPr>
        <w:drawing>
          <wp:inline distT="0" distB="0" distL="0" distR="0" wp14:anchorId="0CD967B4" wp14:editId="6D17CC44">
            <wp:extent cx="187960" cy="187960"/>
            <wp:effectExtent l="0" t="0" r="0" b="0"/>
            <wp:docPr id="9" name="Picture 5487983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879837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3E3D16">
        <w:t xml:space="preserve"> Brak zobowiązania do udzielenia dofinansowania – zaproszenie do etapu przygotowania dotacji NIE stanowi formalnego zobowiązania do udzielenia dofinansowania. Przed udzieleniem dotacji będziemy musieli przeprowadzić szereg różnych kontroli pod względem prawnym: </w:t>
      </w:r>
      <w:r w:rsidRPr="003E3D16">
        <w:rPr>
          <w:i/>
          <w:iCs/>
        </w:rPr>
        <w:t>potwierdzenie osobowości prawnej, sprawdzenie zdolności finansowej, sprawdzenie pod kątem istnienia podstaw do wykluczenia itp</w:t>
      </w:r>
      <w:r w:rsidRPr="003E3D16">
        <w:t>.</w:t>
      </w:r>
    </w:p>
    <w:p w14:paraId="3A6DC8C6" w14:textId="25AE1349" w:rsidR="002B5DFF" w:rsidRPr="003E3D16" w:rsidRDefault="002B5DFF" w:rsidP="002B5DFF">
      <w:pPr>
        <w:ind w:right="-31"/>
      </w:pPr>
      <w:r w:rsidRPr="003E3D16">
        <w:rPr>
          <w:b/>
        </w:rPr>
        <w:t>Przygotowanie dotacji</w:t>
      </w:r>
      <w:r w:rsidRPr="003E3D16">
        <w:t xml:space="preserve"> obejmuje rozmowy mające na celu doprecyzowanie technicznych i finansowych aspektów projektu i może wymagać dodatkowych informacji z twojej strony. Na tym etapie może również zajść konieczność wprowadzenia zmian w projekcie w celu dostosowania go do rekomendacji komisji oceniającej lub wyjaśnienia innych wątpliwości. Podpisanie umowy o udzielenie dotacji uzależnione jest od wyrażenia zgody na te zmiany.</w:t>
      </w:r>
    </w:p>
    <w:p w14:paraId="20BC1964" w14:textId="4A8A4AD3" w:rsidR="006004D2" w:rsidRPr="003E3D16" w:rsidRDefault="006004D2" w:rsidP="002B5DFF">
      <w:pPr>
        <w:ind w:right="-31"/>
      </w:pPr>
      <w:r w:rsidRPr="003E3D16">
        <w:t xml:space="preserve">Jeżeli uznasz, że procedura oceny była wadliwa, możesz złożyć </w:t>
      </w:r>
      <w:r w:rsidRPr="003E3D16">
        <w:rPr>
          <w:b/>
        </w:rPr>
        <w:t>skargę</w:t>
      </w:r>
      <w:r w:rsidRPr="003E3D16">
        <w:t xml:space="preserve"> (zgodnie z procedurami i w terminie określonym w piśmie dotyczącym wyniku oceny). Należy pamiętać, że zawiadomienia, które nie zostaną otwarte w terminie 10 dni od dnia ich przesłania, uznaje się za odczytane, a terminy biegną od momentu ich otwarcia lub odczytania </w:t>
      </w:r>
      <w:r w:rsidRPr="003E3D16">
        <w:rPr>
          <w:i/>
        </w:rPr>
        <w:t xml:space="preserve">(zob. również </w:t>
      </w:r>
      <w:hyperlink r:id="rId47" w:history="1">
        <w:r w:rsidRPr="003E3D16">
          <w:rPr>
            <w:rStyle w:val="Hyperlink"/>
            <w:i/>
          </w:rPr>
          <w:t>Regulamin portalu Funding and Tenders</w:t>
        </w:r>
      </w:hyperlink>
      <w:r w:rsidRPr="003E3D16">
        <w:rPr>
          <w:i/>
        </w:rPr>
        <w:t>)</w:t>
      </w:r>
      <w:r w:rsidRPr="003E3D16">
        <w:t xml:space="preserve">. Proszę również </w:t>
      </w:r>
      <w:r w:rsidRPr="003E3D16">
        <w:lastRenderedPageBreak/>
        <w:t>pamiętać, że w przypadku skarg złożonych drogą elektroniczną mogą istnieć ograniczenia liczby znaków.</w:t>
      </w:r>
    </w:p>
    <w:p w14:paraId="6B26D36A" w14:textId="263DE822" w:rsidR="00417F25" w:rsidRPr="003E3D16" w:rsidRDefault="00417F25" w:rsidP="000579AF">
      <w:pPr>
        <w:pStyle w:val="Heading1"/>
        <w:numPr>
          <w:ilvl w:val="0"/>
          <w:numId w:val="54"/>
        </w:numPr>
        <w:tabs>
          <w:tab w:val="left" w:pos="284"/>
        </w:tabs>
        <w:ind w:left="0" w:firstLine="0"/>
      </w:pPr>
      <w:bookmarkStart w:id="25" w:name="_Toc92978239"/>
      <w:r w:rsidRPr="003E3D16">
        <w:t>Kryteria wyboru</w:t>
      </w:r>
      <w:bookmarkEnd w:id="25"/>
    </w:p>
    <w:p w14:paraId="71E5D15E" w14:textId="6A12DD70" w:rsidR="00417F25" w:rsidRPr="003E3D16" w:rsidRDefault="00510B7E" w:rsidP="00417F25">
      <w:pPr>
        <w:pStyle w:val="Text1"/>
        <w:ind w:left="0"/>
        <w:rPr>
          <w:rFonts w:cs="Arial"/>
        </w:rPr>
      </w:pPr>
      <w:r w:rsidRPr="003E3D16">
        <w:rPr>
          <w:b/>
        </w:rPr>
        <w:t xml:space="preserve">Kryteria wyboru </w:t>
      </w:r>
      <w:r w:rsidRPr="003E3D16">
        <w:t>w ramach niniejszego zaproszenia do składania wniosków są następujące:</w:t>
      </w:r>
    </w:p>
    <w:p w14:paraId="75369EF4" w14:textId="1A7F2DAF" w:rsidR="00C3341E" w:rsidRPr="003E3D16" w:rsidRDefault="00C3341E" w:rsidP="42BB08A3">
      <w:pPr>
        <w:numPr>
          <w:ilvl w:val="0"/>
          <w:numId w:val="22"/>
        </w:numPr>
        <w:spacing w:line="259" w:lineRule="auto"/>
        <w:ind w:left="720"/>
        <w:rPr>
          <w:rFonts w:cs="Arial"/>
        </w:rPr>
      </w:pPr>
      <w:r w:rsidRPr="003E3D16">
        <w:rPr>
          <w:b/>
          <w:bCs/>
          <w:color w:val="A50021"/>
        </w:rPr>
        <w:t>Istotność:</w:t>
      </w:r>
      <w:r w:rsidRPr="003E3D16">
        <w:t xml:space="preserve"> stopień, w jakim wniosek odpowiada priorytetom i celom zaproszenia; jasno określone potrzeby i rzetelna ocena potrzeb; jasno określona grupa docelowa, z odpowiednio uwzględnioną perspektywą płci; wkład w kontekst strategiczny i legislacyjny UE; wymiar europejski/ponadnarodowy; skutki/interes dla szeregu krajów (UE lub kwalifikujących się krajów spoza UE); możliwość wykorzystania wyników w innych krajach (potencjał transferu dobrych praktyk); potencjał rozwoju wzajemnego zaufania/współpracy transgranicznej. </w:t>
      </w:r>
      <w:r w:rsidRPr="003E3D16">
        <w:rPr>
          <w:color w:val="4AA55B"/>
          <w:sz w:val="19"/>
          <w:szCs w:val="19"/>
        </w:rPr>
        <w:t>(40 punktów)</w:t>
      </w:r>
    </w:p>
    <w:p w14:paraId="0B54B54E" w14:textId="5C3C8A79" w:rsidR="0036370D" w:rsidRPr="003E3D16" w:rsidRDefault="00C3341E" w:rsidP="42BB08A3">
      <w:pPr>
        <w:numPr>
          <w:ilvl w:val="0"/>
          <w:numId w:val="22"/>
        </w:numPr>
        <w:ind w:left="720"/>
        <w:rPr>
          <w:rFonts w:cs="Arial"/>
        </w:rPr>
      </w:pPr>
      <w:r w:rsidRPr="003E3D16">
        <w:rPr>
          <w:b/>
          <w:bCs/>
          <w:color w:val="A50021"/>
        </w:rPr>
        <w:t>Jakość:</w:t>
      </w:r>
      <w:r w:rsidRPr="003E3D16">
        <w:t xml:space="preserve"> jasność i spójność projektu; logiczne powiązania pomiędzy zidentyfikowanymi problemami, potrzebami i proponowanymi rozwiązaniami (koncepcja ramy logicznej); metodologia realizacji projektu z odpowiednim uwzględnieniem perspektywy płci (organizacja pracy, harmonogram, przydział zasobów i podział zadań pomiędzy partnerami, ryzyko i zarządzanie ryzykiem, monitoring i ocena); uwzględnienie kwestii etycznych; wykonalność projektu w proponowanych ramach czasowych. </w:t>
      </w:r>
      <w:r w:rsidRPr="003E3D16">
        <w:rPr>
          <w:color w:val="4AA55B"/>
          <w:sz w:val="19"/>
          <w:szCs w:val="19"/>
        </w:rPr>
        <w:t>(40 punktów)</w:t>
      </w:r>
    </w:p>
    <w:p w14:paraId="245A3914" w14:textId="174240EB" w:rsidR="00417F25" w:rsidRPr="003E3D16" w:rsidRDefault="00C3341E" w:rsidP="42BB08A3">
      <w:pPr>
        <w:numPr>
          <w:ilvl w:val="0"/>
          <w:numId w:val="22"/>
        </w:numPr>
        <w:ind w:left="720"/>
        <w:rPr>
          <w:rFonts w:cs="Arial"/>
        </w:rPr>
      </w:pPr>
      <w:r w:rsidRPr="003E3D16">
        <w:rPr>
          <w:b/>
          <w:bCs/>
          <w:color w:val="A50021"/>
        </w:rPr>
        <w:t>Oddziaływanie:</w:t>
      </w:r>
      <w:r w:rsidRPr="003E3D16">
        <w:rPr>
          <w:color w:val="A50021"/>
        </w:rPr>
        <w:t xml:space="preserve"> </w:t>
      </w:r>
      <w:r w:rsidRPr="003E3D16">
        <w:t xml:space="preserve">ambitne i oczekiwane długoterminowe oddziaływanie wyników na grupy docelowe/ogólną opinię publiczną; odpowiednia strategia rozpowszechniania w celu zapewnienia trwałości i długoterminowego oddziaływania; potencjał pozytywnego efektu mnożnikowego; trwałość wyników po zakończeniu finansowania przez UE. </w:t>
      </w:r>
      <w:r w:rsidRPr="003E3D16">
        <w:rPr>
          <w:color w:val="4AA55B"/>
          <w:sz w:val="19"/>
          <w:szCs w:val="19"/>
        </w:rPr>
        <w:t>(20 punktów)</w:t>
      </w:r>
    </w:p>
    <w:tbl>
      <w:tblPr>
        <w:tblpPr w:leftFromText="180" w:rightFromText="180" w:vertAnchor="text" w:tblpX="358"/>
        <w:tblW w:w="8539"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left w:w="0" w:type="dxa"/>
          <w:right w:w="0" w:type="dxa"/>
        </w:tblCellMar>
        <w:tblLook w:val="04A0" w:firstRow="1" w:lastRow="0" w:firstColumn="1" w:lastColumn="0" w:noHBand="0" w:noVBand="1"/>
      </w:tblPr>
      <w:tblGrid>
        <w:gridCol w:w="5688"/>
        <w:gridCol w:w="1521"/>
        <w:gridCol w:w="1330"/>
      </w:tblGrid>
      <w:tr w:rsidR="00417F25" w:rsidRPr="003E3D16" w14:paraId="40C13E7F"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44C7228" w14:textId="77777777" w:rsidR="00417F25" w:rsidRPr="003E3D16" w:rsidRDefault="00417F25" w:rsidP="00417F25">
            <w:pPr>
              <w:spacing w:before="120" w:after="120"/>
              <w:rPr>
                <w:rFonts w:cs="Arial"/>
                <w:color w:val="595959"/>
                <w:sz w:val="16"/>
                <w:szCs w:val="16"/>
              </w:rPr>
            </w:pPr>
            <w:r w:rsidRPr="003E3D16">
              <w:rPr>
                <w:b/>
                <w:bCs/>
                <w:color w:val="000000"/>
                <w:sz w:val="16"/>
                <w:szCs w:val="16"/>
              </w:rPr>
              <w:t>Kryteria wyboru</w:t>
            </w:r>
          </w:p>
        </w:tc>
        <w:tc>
          <w:tcPr>
            <w:tcW w:w="125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73C443B7" w14:textId="77777777" w:rsidR="00417F25" w:rsidRPr="003E3D16" w:rsidRDefault="00417F25" w:rsidP="7EABDF9A">
            <w:pPr>
              <w:spacing w:before="120" w:after="120"/>
              <w:jc w:val="center"/>
              <w:rPr>
                <w:rFonts w:cs="Arial"/>
                <w:b/>
                <w:bCs/>
                <w:color w:val="595959"/>
                <w:sz w:val="16"/>
                <w:szCs w:val="16"/>
              </w:rPr>
            </w:pPr>
            <w:r w:rsidRPr="003E3D16">
              <w:rPr>
                <w:b/>
                <w:bCs/>
                <w:color w:val="000000"/>
                <w:sz w:val="16"/>
                <w:szCs w:val="16"/>
              </w:rPr>
              <w:t>Minimalny wynik dopuszczający</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B66C5DB" w14:textId="77777777" w:rsidR="00417F25" w:rsidRPr="003E3D16" w:rsidRDefault="00417F25" w:rsidP="00417F25">
            <w:pPr>
              <w:spacing w:before="120" w:after="120"/>
              <w:jc w:val="center"/>
              <w:rPr>
                <w:rFonts w:cs="Arial"/>
                <w:b/>
                <w:bCs/>
                <w:color w:val="595959"/>
                <w:sz w:val="16"/>
              </w:rPr>
            </w:pPr>
            <w:r w:rsidRPr="003E3D16">
              <w:rPr>
                <w:b/>
                <w:bCs/>
                <w:color w:val="595959"/>
                <w:sz w:val="16"/>
              </w:rPr>
              <w:t>Maksymalny wynik</w:t>
            </w:r>
          </w:p>
        </w:tc>
      </w:tr>
      <w:tr w:rsidR="00417F25" w:rsidRPr="003E3D16" w14:paraId="46BB364E"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5087631B" w14:textId="77777777" w:rsidR="00417F25" w:rsidRPr="003E3D16" w:rsidRDefault="00417F25" w:rsidP="00417F25">
            <w:pPr>
              <w:spacing w:before="120" w:after="120"/>
              <w:rPr>
                <w:rFonts w:cs="Arial"/>
                <w:color w:val="595959"/>
                <w:sz w:val="16"/>
              </w:rPr>
            </w:pPr>
            <w:r w:rsidRPr="003E3D16">
              <w:rPr>
                <w:color w:val="595959"/>
                <w:sz w:val="16"/>
              </w:rPr>
              <w:t xml:space="preserve">Istotność </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4F1DBE5" w14:textId="2917FB44" w:rsidR="00417F25" w:rsidRPr="003E3D16" w:rsidRDefault="77501A39" w:rsidP="006F137B">
            <w:pPr>
              <w:spacing w:before="120" w:after="120"/>
              <w:jc w:val="center"/>
              <w:rPr>
                <w:rFonts w:cs="Arial"/>
                <w:color w:val="595959"/>
                <w:sz w:val="16"/>
                <w:szCs w:val="16"/>
              </w:rPr>
            </w:pPr>
            <w:r w:rsidRPr="003E3D16">
              <w:rPr>
                <w:color w:val="595959"/>
                <w:sz w:val="16"/>
                <w:szCs w:val="16"/>
              </w:rPr>
              <w:t>25</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D8DDF44" w14:textId="10FBECA7" w:rsidR="00417F25" w:rsidRPr="003E3D16" w:rsidRDefault="7A1506A9" w:rsidP="006F137B">
            <w:pPr>
              <w:spacing w:before="120" w:after="120" w:line="259" w:lineRule="auto"/>
              <w:jc w:val="center"/>
              <w:rPr>
                <w:sz w:val="16"/>
                <w:szCs w:val="16"/>
              </w:rPr>
            </w:pPr>
            <w:r w:rsidRPr="003E3D16">
              <w:rPr>
                <w:color w:val="000000"/>
                <w:sz w:val="16"/>
                <w:szCs w:val="16"/>
              </w:rPr>
              <w:t>40</w:t>
            </w:r>
          </w:p>
        </w:tc>
      </w:tr>
      <w:tr w:rsidR="00417F25" w:rsidRPr="003E3D16" w14:paraId="3973431E"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71F18E4" w14:textId="77777777" w:rsidR="00417F25" w:rsidRPr="003E3D16" w:rsidRDefault="00417F25" w:rsidP="00417F25">
            <w:pPr>
              <w:spacing w:before="120" w:after="120"/>
              <w:rPr>
                <w:rFonts w:cs="Arial"/>
                <w:color w:val="595959"/>
                <w:sz w:val="16"/>
                <w:vertAlign w:val="superscript"/>
              </w:rPr>
            </w:pPr>
            <w:r w:rsidRPr="003E3D16">
              <w:rPr>
                <w:color w:val="595959"/>
                <w:sz w:val="16"/>
              </w:rPr>
              <w:t>Jakość – Plan i realizacja projektu</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F0AB268" w14:textId="46CF4D50" w:rsidR="00417F25" w:rsidRPr="003E3D16" w:rsidRDefault="001411B2" w:rsidP="42BB08A3">
            <w:pPr>
              <w:spacing w:before="120" w:after="120"/>
              <w:jc w:val="center"/>
              <w:rPr>
                <w:rFonts w:cs="Arial"/>
                <w:color w:val="595959"/>
                <w:sz w:val="16"/>
                <w:szCs w:val="16"/>
              </w:rPr>
            </w:pPr>
            <w:r w:rsidRPr="003E3D16">
              <w:rPr>
                <w:color w:val="000000"/>
                <w:sz w:val="16"/>
                <w:szCs w:val="16"/>
              </w:rPr>
              <w:t>nie dotyczy</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86AEF82" w14:textId="36F0E958" w:rsidR="00417F25" w:rsidRPr="003E3D16" w:rsidRDefault="5A0A8866" w:rsidP="00142C5E">
            <w:pPr>
              <w:spacing w:before="120" w:after="120" w:line="259" w:lineRule="auto"/>
              <w:jc w:val="center"/>
              <w:rPr>
                <w:sz w:val="16"/>
                <w:szCs w:val="16"/>
              </w:rPr>
            </w:pPr>
            <w:r w:rsidRPr="003E3D16">
              <w:rPr>
                <w:color w:val="595959"/>
                <w:sz w:val="16"/>
                <w:szCs w:val="16"/>
              </w:rPr>
              <w:t>40</w:t>
            </w:r>
          </w:p>
        </w:tc>
      </w:tr>
      <w:tr w:rsidR="00417F25" w:rsidRPr="003E3D16" w14:paraId="57E68FC8"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15E2972A" w14:textId="77777777" w:rsidR="00417F25" w:rsidRPr="003E3D16" w:rsidRDefault="00417F25" w:rsidP="00417F25">
            <w:pPr>
              <w:spacing w:before="120" w:after="120"/>
              <w:rPr>
                <w:rFonts w:cs="Arial"/>
                <w:color w:val="595959"/>
                <w:sz w:val="16"/>
              </w:rPr>
            </w:pPr>
            <w:r w:rsidRPr="003E3D16">
              <w:rPr>
                <w:color w:val="595959"/>
                <w:sz w:val="16"/>
              </w:rPr>
              <w:t>Oddziaływanie</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30CDE1C1" w14:textId="639251E3" w:rsidR="00417F25" w:rsidRPr="003E3D16" w:rsidRDefault="001411B2" w:rsidP="42BB08A3">
            <w:pPr>
              <w:spacing w:before="120" w:after="120"/>
              <w:jc w:val="center"/>
              <w:rPr>
                <w:rFonts w:cs="Arial"/>
                <w:color w:val="595959"/>
                <w:sz w:val="16"/>
                <w:szCs w:val="16"/>
              </w:rPr>
            </w:pPr>
            <w:r w:rsidRPr="003E3D16">
              <w:rPr>
                <w:color w:val="000000"/>
                <w:sz w:val="16"/>
                <w:szCs w:val="16"/>
              </w:rPr>
              <w:t>nie dotyczy</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655A6521" w14:textId="70DB36AF" w:rsidR="00417F25" w:rsidRPr="003E3D16" w:rsidRDefault="1689B5CD" w:rsidP="00142C5E">
            <w:pPr>
              <w:spacing w:before="120" w:after="120" w:line="259" w:lineRule="auto"/>
              <w:jc w:val="center"/>
              <w:rPr>
                <w:sz w:val="16"/>
                <w:szCs w:val="16"/>
              </w:rPr>
            </w:pPr>
            <w:r w:rsidRPr="003E3D16">
              <w:rPr>
                <w:color w:val="595959"/>
                <w:sz w:val="16"/>
                <w:szCs w:val="16"/>
              </w:rPr>
              <w:t>20</w:t>
            </w:r>
          </w:p>
        </w:tc>
      </w:tr>
      <w:tr w:rsidR="00417F25" w:rsidRPr="003E3D16" w14:paraId="112E5C23"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326E1F8" w14:textId="77777777" w:rsidR="00417F25" w:rsidRPr="003E3D16" w:rsidRDefault="00417F25" w:rsidP="00417F25">
            <w:pPr>
              <w:spacing w:before="120" w:after="120"/>
              <w:rPr>
                <w:rFonts w:cs="Arial"/>
                <w:color w:val="595959"/>
                <w:sz w:val="16"/>
              </w:rPr>
            </w:pPr>
            <w:r w:rsidRPr="003E3D16">
              <w:rPr>
                <w:b/>
                <w:bCs/>
                <w:color w:val="595959"/>
                <w:sz w:val="16"/>
              </w:rPr>
              <w:t>Wynik (dopuszczający) ogółem</w:t>
            </w:r>
          </w:p>
        </w:tc>
        <w:tc>
          <w:tcPr>
            <w:tcW w:w="125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5B7B9AA" w14:textId="77777777" w:rsidR="00417F25" w:rsidRPr="003E3D16" w:rsidRDefault="00417F25" w:rsidP="00417F25">
            <w:pPr>
              <w:spacing w:before="120" w:after="120"/>
              <w:jc w:val="center"/>
              <w:rPr>
                <w:rFonts w:cs="Arial"/>
                <w:color w:val="595959"/>
                <w:sz w:val="16"/>
                <w:szCs w:val="16"/>
              </w:rPr>
            </w:pPr>
            <w:r w:rsidRPr="003E3D16">
              <w:rPr>
                <w:b/>
                <w:bCs/>
                <w:color w:val="000000"/>
                <w:sz w:val="16"/>
                <w:szCs w:val="16"/>
                <w:lang w:eastAsia="en-GB"/>
              </w:rPr>
              <w:t>70</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45A8F0B" w14:textId="77777777" w:rsidR="00417F25" w:rsidRPr="003E3D16" w:rsidRDefault="00417F25" w:rsidP="00417F25">
            <w:pPr>
              <w:spacing w:before="120" w:after="120"/>
              <w:jc w:val="center"/>
              <w:rPr>
                <w:rFonts w:cs="Arial"/>
                <w:b/>
                <w:bCs/>
                <w:color w:val="595959"/>
                <w:sz w:val="16"/>
              </w:rPr>
            </w:pPr>
            <w:r w:rsidRPr="003E3D16">
              <w:rPr>
                <w:b/>
                <w:bCs/>
                <w:color w:val="595959"/>
                <w:sz w:val="16"/>
              </w:rPr>
              <w:t>100</w:t>
            </w:r>
          </w:p>
        </w:tc>
      </w:tr>
    </w:tbl>
    <w:p w14:paraId="3A91549A" w14:textId="77777777" w:rsidR="00417F25" w:rsidRPr="003E3D16" w:rsidRDefault="00417F25" w:rsidP="00417F25">
      <w:pPr>
        <w:pStyle w:val="Text1"/>
        <w:ind w:left="0"/>
        <w:rPr>
          <w:rFonts w:cs="Arial"/>
          <w:lang w:eastAsia="en-GB"/>
        </w:rPr>
      </w:pPr>
    </w:p>
    <w:p w14:paraId="74676006" w14:textId="77777777" w:rsidR="00417F25" w:rsidRPr="003E3D16" w:rsidRDefault="00417F25" w:rsidP="00417F25">
      <w:pPr>
        <w:pStyle w:val="Text1"/>
        <w:ind w:left="0"/>
        <w:rPr>
          <w:rFonts w:cs="Arial"/>
        </w:rPr>
      </w:pPr>
      <w:r w:rsidRPr="003E3D16">
        <w:t>Maksymalna liczba punktów: 100 punktów.</w:t>
      </w:r>
    </w:p>
    <w:p w14:paraId="54D540AD" w14:textId="25B25F2B" w:rsidR="00417F25" w:rsidRPr="003E3D16" w:rsidRDefault="00417F25" w:rsidP="42BB08A3">
      <w:pPr>
        <w:pStyle w:val="Text1"/>
        <w:ind w:left="0"/>
        <w:rPr>
          <w:rFonts w:cs="Arial"/>
        </w:rPr>
      </w:pPr>
      <w:r w:rsidRPr="003E3D16">
        <w:t>Indywidualny próg dla kryterium „Istotność”: 25/40 punktów.</w:t>
      </w:r>
    </w:p>
    <w:p w14:paraId="088F1A3D" w14:textId="77777777" w:rsidR="00417F25" w:rsidRPr="003E3D16" w:rsidRDefault="00417F25" w:rsidP="00417F25">
      <w:pPr>
        <w:pStyle w:val="Text1"/>
        <w:ind w:left="0"/>
        <w:rPr>
          <w:rFonts w:cs="Arial"/>
        </w:rPr>
      </w:pPr>
      <w:r w:rsidRPr="003E3D16">
        <w:t xml:space="preserve">Próg ogólny: 70 punktów. </w:t>
      </w:r>
    </w:p>
    <w:p w14:paraId="743867A2" w14:textId="5FB32EC7" w:rsidR="00417F25" w:rsidRPr="003E3D16" w:rsidRDefault="000A7529" w:rsidP="42BB08A3">
      <w:pPr>
        <w:pStyle w:val="Text1"/>
        <w:ind w:left="0"/>
        <w:rPr>
          <w:rFonts w:cs="Arial"/>
        </w:rPr>
      </w:pPr>
      <w:r w:rsidRPr="003E3D16">
        <w:t xml:space="preserve">Wnioski, które przekroczą progi dla kryterium „Istotność” ORAZ próg ogólny, zostaną uwzględnione przy przyznawaniu finansowania – w granicach dostępnego budżetu zaproszenia. Pozostałe wnioski zostaną odrzucone. </w:t>
      </w:r>
    </w:p>
    <w:p w14:paraId="32ECB61A" w14:textId="407D4955" w:rsidR="00276AD7" w:rsidRPr="003E3D16" w:rsidRDefault="00276AD7" w:rsidP="000579AF">
      <w:pPr>
        <w:pStyle w:val="Heading1"/>
        <w:numPr>
          <w:ilvl w:val="0"/>
          <w:numId w:val="54"/>
        </w:numPr>
        <w:tabs>
          <w:tab w:val="left" w:pos="426"/>
        </w:tabs>
        <w:ind w:left="0" w:firstLine="0"/>
      </w:pPr>
      <w:bookmarkStart w:id="26" w:name="_Toc92978240"/>
      <w:r w:rsidRPr="003E3D16">
        <w:t>Prawne i finansowe ramy umowy o udzielenie dotacji</w:t>
      </w:r>
      <w:bookmarkEnd w:id="26"/>
    </w:p>
    <w:p w14:paraId="3E12CDD9" w14:textId="77777777" w:rsidR="00F468B9" w:rsidRPr="003E3D16" w:rsidRDefault="00510B7E" w:rsidP="00F468B9">
      <w:r w:rsidRPr="003E3D16">
        <w:lastRenderedPageBreak/>
        <w:t xml:space="preserve">Jeżeli twój wniosek pomyślnie przejdzie ocenę, zostaniesz zaproszony do etapu przygotowania dotacji, w którym wraz z unijnym urzędnikiem ds. projektu będziesz przygotowywać umowę o udzielenie dotacji. </w:t>
      </w:r>
    </w:p>
    <w:p w14:paraId="726FE5D4" w14:textId="77777777" w:rsidR="00A55E10" w:rsidRPr="003E3D16" w:rsidRDefault="009A4762" w:rsidP="00F468B9">
      <w:r w:rsidRPr="003E3D16">
        <w:t xml:space="preserve">Umowa o udzielenie dotacji wyznacza ramy dla twojej dotacji i określa jej warunki, w szczególności dotyczące rezultatów, sprawozdawczości oraz płatności. </w:t>
      </w:r>
    </w:p>
    <w:p w14:paraId="49D0FAB7" w14:textId="36656D4D" w:rsidR="00F468B9" w:rsidRPr="003E3D16" w:rsidRDefault="004E3F9E" w:rsidP="00F468B9">
      <w:r w:rsidRPr="003E3D16">
        <w:t xml:space="preserve">Wzór umowy o udzielenie dotacji, który zostanie wykorzystany (oraz inne stosowne szablony i dokumenty zawierające wytyczne) można znaleźć w </w:t>
      </w:r>
      <w:hyperlink r:id="rId48" w:history="1">
        <w:r w:rsidRPr="003E3D16">
          <w:rPr>
            <w:rStyle w:val="Hyperlink"/>
          </w:rPr>
          <w:t>portalu dokumentów referencyjnych</w:t>
        </w:r>
      </w:hyperlink>
      <w:r w:rsidRPr="003E3D16">
        <w:t>.</w:t>
      </w:r>
    </w:p>
    <w:p w14:paraId="712F0C54" w14:textId="77777777" w:rsidR="00F468B9" w:rsidRPr="003E3D16" w:rsidRDefault="00EF5018" w:rsidP="00510B7E">
      <w:pPr>
        <w:pStyle w:val="Heading3"/>
      </w:pPr>
      <w:bookmarkStart w:id="27" w:name="_Toc92978241"/>
      <w:r w:rsidRPr="003E3D16">
        <w:t>Data rozpoczęcia i okres realizacji projektu</w:t>
      </w:r>
      <w:bookmarkEnd w:id="27"/>
      <w:r w:rsidRPr="003E3D16">
        <w:t xml:space="preserve"> </w:t>
      </w:r>
    </w:p>
    <w:p w14:paraId="34F8E827" w14:textId="193AA9A8" w:rsidR="00EF5018" w:rsidRPr="003E3D16" w:rsidRDefault="00EF5018" w:rsidP="00EF5018">
      <w:r w:rsidRPr="003E3D16">
        <w:t xml:space="preserve">Data rozpoczęcia i okres realizacji projektu zostaną ustalone w umowie o udzielenie dotacji </w:t>
      </w:r>
      <w:r w:rsidRPr="003E3D16">
        <w:rPr>
          <w:i/>
          <w:iCs/>
        </w:rPr>
        <w:t>(arkusz danych, punkt 1)</w:t>
      </w:r>
      <w:r w:rsidRPr="003E3D16">
        <w:t>. Zazwyczaj data rozpoczęcia następuje po podpisaniu umowy o udzielenie dotacji. Rozpoczęcie realizacji projektu z dniem wcześniejszym możliwe jest w wyjątkowo uzasadnionych przypadkach – nie może to być jednak dzień poprzedzający złożenie wniosku.</w:t>
      </w:r>
    </w:p>
    <w:p w14:paraId="15D66063" w14:textId="51D1D632" w:rsidR="00CB07A3" w:rsidRPr="003E3D16" w:rsidRDefault="00CB07A3" w:rsidP="00EF5018">
      <w:pPr>
        <w:rPr>
          <w:rFonts w:cs="Arial"/>
        </w:rPr>
      </w:pPr>
      <w:r w:rsidRPr="003E3D16">
        <w:t xml:space="preserve">Okres realizacji projektu: </w:t>
      </w:r>
    </w:p>
    <w:p w14:paraId="2429D9A2" w14:textId="7FD8DB37" w:rsidR="00273AA8" w:rsidRPr="003E3D16" w:rsidRDefault="00273AA8" w:rsidP="00273AA8">
      <w:pPr>
        <w:rPr>
          <w:rFonts w:cs="Arial"/>
        </w:rPr>
      </w:pPr>
      <w:r w:rsidRPr="003E3D16">
        <w:rPr>
          <w:color w:val="A50021"/>
        </w:rPr>
        <w:t>CERV-2022-CITIZENS-TOWN-TT – Partnerstwo miast:</w:t>
      </w:r>
      <w:r w:rsidRPr="003E3D16">
        <w:t xml:space="preserve"> do 12 miesięcy;</w:t>
      </w:r>
    </w:p>
    <w:p w14:paraId="748ED34C" w14:textId="21136B02" w:rsidR="00273AA8" w:rsidRPr="003E3D16" w:rsidRDefault="00273AA8" w:rsidP="00273AA8">
      <w:pPr>
        <w:rPr>
          <w:rFonts w:cs="Arial"/>
        </w:rPr>
      </w:pPr>
      <w:r w:rsidRPr="003E3D16">
        <w:rPr>
          <w:color w:val="A50021"/>
        </w:rPr>
        <w:t>CERV-2022-CITIZENS-TOWN-NT – Sieci miast:</w:t>
      </w:r>
      <w:r w:rsidRPr="003E3D16">
        <w:t xml:space="preserve"> od 12 do 24 miesięcy. </w:t>
      </w:r>
    </w:p>
    <w:p w14:paraId="264CF456" w14:textId="485BF2F1" w:rsidR="00273AA8" w:rsidRPr="003E3D16" w:rsidRDefault="00273AA8" w:rsidP="00273AA8">
      <w:pPr>
        <w:rPr>
          <w:rFonts w:cs="Arial"/>
        </w:rPr>
      </w:pPr>
      <w:r w:rsidRPr="003E3D16">
        <w:t>(Możliwe jest wydłużenie czasu trwania,</w:t>
      </w:r>
      <w:r w:rsidR="00426CDD">
        <w:t xml:space="preserve"> na podstawie wniosku o zmianę,</w:t>
      </w:r>
      <w:r w:rsidRPr="003E3D16">
        <w:t xml:space="preserve"> jeżeli jest to należycie uzasadnione).</w:t>
      </w:r>
    </w:p>
    <w:p w14:paraId="77CA20A6" w14:textId="77777777" w:rsidR="002D1390" w:rsidRPr="003E3D16" w:rsidRDefault="002D1390" w:rsidP="00510B7E">
      <w:pPr>
        <w:pStyle w:val="Heading3"/>
      </w:pPr>
      <w:bookmarkStart w:id="28" w:name="_Toc92978242"/>
      <w:r w:rsidRPr="003E3D16">
        <w:t>Cele pośrednie i rezultaty</w:t>
      </w:r>
      <w:bookmarkEnd w:id="28"/>
    </w:p>
    <w:p w14:paraId="2053727F" w14:textId="77777777" w:rsidR="002D1390" w:rsidRPr="003E3D16" w:rsidRDefault="002D1390" w:rsidP="002D1390">
      <w:pPr>
        <w:rPr>
          <w:rFonts w:cs="Arial"/>
        </w:rPr>
      </w:pPr>
      <w:r w:rsidRPr="003E3D16">
        <w:t>Zarządzenie celami pośrednimi i rezultatami projektów odbywa się za pośrednictwem portalu systemu zarządzania dotacjami. Rezultaty określone będą w załączniku nr 1 do umowy o udzielenie dotacji.</w:t>
      </w:r>
    </w:p>
    <w:p w14:paraId="14B285DB" w14:textId="77777777" w:rsidR="00F468B9" w:rsidRPr="003E3D16" w:rsidRDefault="00D20E76" w:rsidP="00510B7E">
      <w:pPr>
        <w:pStyle w:val="Heading3"/>
      </w:pPr>
      <w:bookmarkStart w:id="29" w:name="_Toc92978243"/>
      <w:r w:rsidRPr="003E3D16">
        <w:t>Forma dotacji, stopa dofinansowania i maksymalna kwota dotacji</w:t>
      </w:r>
      <w:bookmarkEnd w:id="29"/>
    </w:p>
    <w:p w14:paraId="1FC5D80F" w14:textId="77777777" w:rsidR="00F243C2" w:rsidRPr="003E3D16" w:rsidRDefault="002D1390" w:rsidP="009C7F6F">
      <w:r w:rsidRPr="003E3D16">
        <w:t xml:space="preserve">Parametry dotacji </w:t>
      </w:r>
      <w:r w:rsidRPr="003E3D16">
        <w:rPr>
          <w:i/>
        </w:rPr>
        <w:t>(maksymalna kwota dotacji, stopa dofinansowania, koszty kwalifikowalne ogółem itp.)</w:t>
      </w:r>
      <w:r w:rsidRPr="003E3D16">
        <w:t xml:space="preserve"> zostaną określone w umowie o udzielenie dotacji </w:t>
      </w:r>
      <w:r w:rsidRPr="003E3D16">
        <w:rPr>
          <w:i/>
        </w:rPr>
        <w:t>(arkusz danych, punkt 3 i art. 5)</w:t>
      </w:r>
      <w:r w:rsidRPr="003E3D16">
        <w:t>.</w:t>
      </w:r>
    </w:p>
    <w:p w14:paraId="6D2C45B2" w14:textId="73D0FA7A" w:rsidR="00273AA8" w:rsidRPr="003E3D16" w:rsidRDefault="00CB07A3" w:rsidP="009C7F6F">
      <w:r w:rsidRPr="003E3D16">
        <w:t xml:space="preserve">Budżet przeznaczony na realizację projektu (maksymalna kwota dotacji): </w:t>
      </w:r>
    </w:p>
    <w:p w14:paraId="7C5032A3" w14:textId="32B40F6F" w:rsidR="00273AA8" w:rsidRPr="00FE0460" w:rsidRDefault="00273AA8" w:rsidP="00273AA8">
      <w:pPr>
        <w:rPr>
          <w:lang w:val="en-US"/>
        </w:rPr>
      </w:pPr>
      <w:r w:rsidRPr="00FE0460">
        <w:rPr>
          <w:b/>
          <w:bCs/>
          <w:color w:val="A50021"/>
          <w:lang w:val="en-US"/>
        </w:rPr>
        <w:t>CERV-2022-CITIZENS-TOWN-TT – Partnerstwo miast</w:t>
      </w:r>
      <w:r w:rsidRPr="00FE0460">
        <w:rPr>
          <w:lang w:val="en-US"/>
        </w:rPr>
        <w:t>: 30 000 EUR na projekt.</w:t>
      </w:r>
    </w:p>
    <w:p w14:paraId="2BB38450" w14:textId="044F40F5" w:rsidR="00273AA8" w:rsidRPr="003E3D16" w:rsidRDefault="00E81CEB" w:rsidP="00273AA8">
      <w:pPr>
        <w:rPr>
          <w:b/>
          <w:color w:val="A50021"/>
        </w:rPr>
      </w:pPr>
      <w:r w:rsidRPr="003E3D16">
        <w:rPr>
          <w:b/>
          <w:bCs/>
          <w:color w:val="A50021"/>
        </w:rPr>
        <w:t>CERV-2022-CITIZENS-TOWN-NT – Sieci miast</w:t>
      </w:r>
      <w:r w:rsidRPr="003E3D16">
        <w:t xml:space="preserve">: Brak ograniczeń. </w:t>
      </w:r>
    </w:p>
    <w:p w14:paraId="03FE8574" w14:textId="5AC33A9A" w:rsidR="009C7F6F" w:rsidRPr="003E3D16" w:rsidRDefault="009C7F6F" w:rsidP="009C7F6F">
      <w:r w:rsidRPr="003E3D16">
        <w:t>Przyznana dotacja może być niższa niż kwota wnioskowana.</w:t>
      </w:r>
      <w:r w:rsidRPr="003E3D16">
        <w:rPr>
          <w:highlight w:val="yellow"/>
        </w:rPr>
        <w:t xml:space="preserve"> </w:t>
      </w:r>
    </w:p>
    <w:p w14:paraId="032903FC" w14:textId="762E8A78" w:rsidR="009C7F6F" w:rsidRPr="003E3D16" w:rsidRDefault="002D1390" w:rsidP="00EF5018">
      <w:r w:rsidRPr="003E3D16">
        <w:t>Dotacja będzie stanowić dotację w formie płatności ryczałtowej. Oznacza to, że refundacja będzie dotyczyła stałej kwoty, opartej na ryczałcie lub finansowaniu niepowiązanym z kosztami. Kwota zostanie ustalona przez organ przyznający dotację na podstawie wstępnie ustalonych przez niego kwot zmiennych oraz szacunków wskazanych przez beneficjentów w budżecie projektu.</w:t>
      </w:r>
    </w:p>
    <w:p w14:paraId="23ACF302" w14:textId="77777777" w:rsidR="00C35FDF" w:rsidRPr="003E3D16" w:rsidRDefault="002D1390" w:rsidP="00510B7E">
      <w:pPr>
        <w:pStyle w:val="Heading3"/>
      </w:pPr>
      <w:bookmarkStart w:id="30" w:name="_Toc92978244"/>
      <w:r w:rsidRPr="003E3D16">
        <w:t>Kategorie budżetowe i zasady dotyczące kwalifikowalności kosztów</w:t>
      </w:r>
      <w:bookmarkEnd w:id="30"/>
    </w:p>
    <w:p w14:paraId="0D9CC84A" w14:textId="222E6896" w:rsidR="00965369" w:rsidRPr="003E3D16" w:rsidRDefault="00965369" w:rsidP="00C35FDF">
      <w:pPr>
        <w:rPr>
          <w:szCs w:val="21"/>
        </w:rPr>
      </w:pPr>
      <w:r w:rsidRPr="003E3D16">
        <w:t>Kategorie budżetowe i zasady dotyczące kwalifikowalności kosztów zostaną określone w umowie o udzielenie dotacji (</w:t>
      </w:r>
      <w:r w:rsidRPr="003E3D16">
        <w:rPr>
          <w:i/>
          <w:iCs/>
        </w:rPr>
        <w:t>arkusz danych, pkt 3, art. 6 i załącznik nr 2</w:t>
      </w:r>
      <w:r w:rsidRPr="003E3D16">
        <w:t>).</w:t>
      </w:r>
    </w:p>
    <w:p w14:paraId="09C2A6BD" w14:textId="77777777" w:rsidR="00E85C9D" w:rsidRPr="003E3D16" w:rsidRDefault="00E85C9D" w:rsidP="00E85C9D">
      <w:pPr>
        <w:spacing w:after="120"/>
        <w:rPr>
          <w:i/>
        </w:rPr>
      </w:pPr>
      <w:r w:rsidRPr="003E3D16">
        <w:rPr>
          <w:i/>
        </w:rPr>
        <w:t>Kategorie budżetowe w ramach niniejszego zaproszenia:</w:t>
      </w:r>
    </w:p>
    <w:p w14:paraId="5AA85092" w14:textId="5699AD8F" w:rsidR="00273AA8" w:rsidRPr="003E3D16" w:rsidRDefault="00E85C9D" w:rsidP="00273AA8">
      <w:pPr>
        <w:widowControl w:val="0"/>
        <w:numPr>
          <w:ilvl w:val="0"/>
          <w:numId w:val="31"/>
        </w:numPr>
        <w:ind w:left="709" w:hanging="357"/>
        <w:jc w:val="left"/>
        <w:rPr>
          <w:b/>
        </w:rPr>
      </w:pPr>
      <w:r w:rsidRPr="003E3D16">
        <w:rPr>
          <w:b/>
        </w:rPr>
        <w:lastRenderedPageBreak/>
        <w:t>Wkłady ryczałtowe</w:t>
      </w:r>
      <w:r w:rsidR="00D77F61" w:rsidRPr="003E3D16">
        <w:rPr>
          <w:rStyle w:val="FootnoteReference"/>
          <w:b/>
        </w:rPr>
        <w:footnoteReference w:id="22"/>
      </w:r>
    </w:p>
    <w:p w14:paraId="1DFE5A16" w14:textId="4F08AA43" w:rsidR="00273AA8" w:rsidRPr="00FE0460" w:rsidRDefault="00273AA8" w:rsidP="00273AA8">
      <w:pPr>
        <w:spacing w:after="120"/>
        <w:rPr>
          <w:b/>
          <w:bCs/>
          <w:color w:val="A50021"/>
          <w:lang w:val="en-US"/>
        </w:rPr>
      </w:pPr>
      <w:r w:rsidRPr="00FE0460">
        <w:rPr>
          <w:b/>
          <w:bCs/>
          <w:color w:val="A50021"/>
          <w:lang w:val="en-US"/>
        </w:rPr>
        <w:t>CERV-2022-CITIZENS-TOWN-TT – Partnerstwo miast</w:t>
      </w:r>
    </w:p>
    <w:p w14:paraId="41D2CC4B" w14:textId="306D1EAA" w:rsidR="00273AA8" w:rsidRPr="003E3D16" w:rsidRDefault="00273AA8" w:rsidP="00273AA8">
      <w:pPr>
        <w:spacing w:after="120"/>
        <w:rPr>
          <w:rFonts w:eastAsia="Verdana" w:cs="Verdana"/>
          <w:iCs/>
        </w:rPr>
      </w:pPr>
      <w:r w:rsidRPr="003E3D16">
        <w:t>Obliczenie kwoty ryczałtowej opiera się na jednym parametrze: liczba uczestników międzynarodowych (lub zaproszonych) (liczba uczestników podróżujących z kwalifikujących się krajów projektu innych niż kraj, w którym odbywa się wydarzenie w ramach tworzenia partnerstw miast).</w:t>
      </w:r>
    </w:p>
    <w:p w14:paraId="0241D98C" w14:textId="1FFDF277" w:rsidR="00273AA8" w:rsidRPr="003E3D16" w:rsidRDefault="00273AA8" w:rsidP="00273AA8">
      <w:pPr>
        <w:spacing w:after="120"/>
      </w:pPr>
      <w:r w:rsidRPr="003E3D16">
        <w:t>Jedno wydarzenie odpowiada jednemu pakietowi roboczemu w formularzu wniosku.</w:t>
      </w:r>
      <w:r w:rsidR="00874E82">
        <w:t xml:space="preserve"> </w:t>
      </w:r>
    </w:p>
    <w:p w14:paraId="653E3972" w14:textId="25E99683" w:rsidR="00273AA8" w:rsidRPr="003E3D16" w:rsidRDefault="00273AA8" w:rsidP="00273AA8">
      <w:pPr>
        <w:widowControl w:val="0"/>
        <w:jc w:val="left"/>
      </w:pPr>
      <w:r w:rsidRPr="003E3D16">
        <w:t>1 pakiet roboczy = 1 wydarzenie = jedno działanie lub kilka działań</w:t>
      </w:r>
      <w:r w:rsidR="00874E82">
        <w:t xml:space="preserve"> </w:t>
      </w:r>
    </w:p>
    <w:p w14:paraId="4EF42BF7" w14:textId="56AB1036" w:rsidR="00273AA8" w:rsidRPr="00FE0460" w:rsidRDefault="00273AA8" w:rsidP="00273AA8">
      <w:pPr>
        <w:spacing w:after="120"/>
        <w:rPr>
          <w:rFonts w:eastAsia="Verdana" w:cs="Verdana"/>
          <w:iCs/>
          <w:lang w:val="en-US"/>
        </w:rPr>
      </w:pPr>
      <w:r w:rsidRPr="00FE0460">
        <w:rPr>
          <w:b/>
          <w:bCs/>
          <w:color w:val="A50021"/>
          <w:lang w:val="en-US"/>
        </w:rPr>
        <w:t>CERV-2022-CITIZENS-TOWN-NT – Sieci miast</w:t>
      </w:r>
    </w:p>
    <w:p w14:paraId="084790F4" w14:textId="77777777" w:rsidR="00273AA8" w:rsidRPr="003E3D16" w:rsidRDefault="00273AA8" w:rsidP="00273AA8">
      <w:pPr>
        <w:spacing w:after="120"/>
      </w:pPr>
      <w:r w:rsidRPr="003E3D16">
        <w:t>Obliczenie kwoty ryczałtowej opiera się na dwóch parametrach: liczba uczestników bezpośrednich i liczba kwalifikujących się krajów na jedno wydarzenie (na miejscu lub online).</w:t>
      </w:r>
    </w:p>
    <w:p w14:paraId="3C909B89" w14:textId="77777777" w:rsidR="00273AA8" w:rsidRPr="003E3D16" w:rsidRDefault="00273AA8" w:rsidP="00273AA8">
      <w:pPr>
        <w:spacing w:after="120"/>
      </w:pPr>
      <w:r w:rsidRPr="003E3D16">
        <w:t xml:space="preserve">Wydarzenie odbywa się w określonym terminie i może obejmować różne rodzaje działań (konferencje, warsztaty, szkolenia, seminaria, debaty, seminaria internetowe, wystawy, pokazy/realizacje filmów, kampanie, publikacje, ankiety, badania, flashmoby itp.). </w:t>
      </w:r>
    </w:p>
    <w:p w14:paraId="12ABA7C5" w14:textId="69C6C8D7" w:rsidR="00273AA8" w:rsidRPr="003E3D16" w:rsidRDefault="00273AA8" w:rsidP="00273AA8">
      <w:pPr>
        <w:spacing w:after="120"/>
      </w:pPr>
      <w:r w:rsidRPr="003E3D16">
        <w:t>Jedno wydarzenie odpowiada jednemu pakietowi roboczemu w formularzu wniosku.</w:t>
      </w:r>
      <w:r w:rsidR="00874E82">
        <w:t xml:space="preserve"> </w:t>
      </w:r>
    </w:p>
    <w:p w14:paraId="757C1A00" w14:textId="32A60104" w:rsidR="00273AA8" w:rsidRPr="003E3D16" w:rsidRDefault="00273AA8" w:rsidP="00273AA8">
      <w:pPr>
        <w:widowControl w:val="0"/>
        <w:jc w:val="left"/>
      </w:pPr>
      <w:r w:rsidRPr="003E3D16">
        <w:t>1 pakiet roboczy = 1 wydarzenie = jedno działanie lub kilka działań</w:t>
      </w:r>
      <w:r w:rsidR="00874E82">
        <w:t xml:space="preserve"> </w:t>
      </w:r>
    </w:p>
    <w:p w14:paraId="14EC2EA5" w14:textId="14E12378" w:rsidR="00741682" w:rsidRPr="003E3D16" w:rsidRDefault="00F243C2" w:rsidP="00510B7E">
      <w:pPr>
        <w:pStyle w:val="Heading3"/>
      </w:pPr>
      <w:bookmarkStart w:id="31" w:name="_Toc92978245"/>
      <w:r w:rsidRPr="003E3D16">
        <w:t>Ustalenia dotyczące sprawozdawczości i płatności</w:t>
      </w:r>
      <w:bookmarkEnd w:id="31"/>
      <w:r w:rsidRPr="003E3D16">
        <w:t xml:space="preserve"> </w:t>
      </w:r>
    </w:p>
    <w:p w14:paraId="43C62C09" w14:textId="0BF1CA1B" w:rsidR="00F243C2" w:rsidRPr="003E3D16" w:rsidRDefault="00F243C2" w:rsidP="00741682">
      <w:pPr>
        <w:pStyle w:val="Text2"/>
        <w:ind w:left="0"/>
        <w:rPr>
          <w:rFonts w:cs="Arial"/>
        </w:rPr>
      </w:pPr>
      <w:r w:rsidRPr="003E3D16">
        <w:t xml:space="preserve">Ustalenia dotyczące sprawozdawczości i płatności zostaną określone w umowie o udzielenie dotacji </w:t>
      </w:r>
      <w:r w:rsidRPr="003E3D16">
        <w:rPr>
          <w:i/>
        </w:rPr>
        <w:t>(arkusz danych, punkt 4 oraz art. 21 i art. 22)</w:t>
      </w:r>
      <w:r w:rsidRPr="003E3D16">
        <w:t>.</w:t>
      </w:r>
    </w:p>
    <w:p w14:paraId="03D37E60" w14:textId="6DF5E4B5" w:rsidR="00273AA8" w:rsidRPr="00FE0460" w:rsidRDefault="00273AA8" w:rsidP="00273AA8">
      <w:pPr>
        <w:spacing w:after="120"/>
        <w:rPr>
          <w:b/>
          <w:bCs/>
          <w:color w:val="A50021"/>
          <w:lang w:val="en-US"/>
        </w:rPr>
      </w:pPr>
      <w:r w:rsidRPr="00FE0460">
        <w:rPr>
          <w:b/>
          <w:bCs/>
          <w:color w:val="A50021"/>
          <w:lang w:val="en-US"/>
        </w:rPr>
        <w:t>CERV-2022-CITIZENS-TOWN-TT – Partnerstwo miast</w:t>
      </w:r>
    </w:p>
    <w:p w14:paraId="63A3CB57" w14:textId="77777777" w:rsidR="00273AA8" w:rsidRPr="003E3D16" w:rsidRDefault="00273AA8" w:rsidP="00273AA8">
      <w:pPr>
        <w:pStyle w:val="Text2"/>
        <w:ind w:left="0"/>
      </w:pPr>
      <w:r w:rsidRPr="003E3D16">
        <w:t>Po podpisaniu umowy o udzielenie dotacji wnioskodawca nie otrzyma płatności zaliczkowych.</w:t>
      </w:r>
    </w:p>
    <w:p w14:paraId="1DBCB7BA" w14:textId="77777777" w:rsidR="00273AA8" w:rsidRPr="003E3D16" w:rsidRDefault="00273AA8" w:rsidP="00273AA8">
      <w:r w:rsidRPr="003E3D16">
        <w:t>Płatność salda: Na koniec realizacji projektu obliczymy końcową kwotę dotacji. W przypadku gdy suma dotychczasowych płatności będzie wyższa od końcowej kwoty dotacji, poprosimy wnioskodawcę (koordynatora wnioskodawcy) o zwrot różnicy (zwrot).</w:t>
      </w:r>
    </w:p>
    <w:p w14:paraId="6BE11C5B" w14:textId="5E8F163B" w:rsidR="00273AA8" w:rsidRPr="00FE0460" w:rsidRDefault="00273AA8" w:rsidP="00273AA8">
      <w:pPr>
        <w:spacing w:after="120"/>
        <w:rPr>
          <w:b/>
          <w:bCs/>
          <w:color w:val="A50021"/>
          <w:lang w:val="en-US"/>
        </w:rPr>
      </w:pPr>
      <w:r w:rsidRPr="00FE0460">
        <w:rPr>
          <w:b/>
          <w:bCs/>
          <w:color w:val="A50021"/>
          <w:lang w:val="en-US"/>
        </w:rPr>
        <w:t xml:space="preserve">CERV-2022-CITIZENS-TOWN-NT – Sieci miast </w:t>
      </w:r>
    </w:p>
    <w:p w14:paraId="55E312F9" w14:textId="696F180F" w:rsidR="00273AA8" w:rsidRPr="003E3D16" w:rsidRDefault="00273AA8" w:rsidP="00273AA8">
      <w:pPr>
        <w:widowControl w:val="0"/>
        <w:rPr>
          <w:rFonts w:cs="Arial"/>
        </w:rPr>
      </w:pPr>
      <w:r w:rsidRPr="003E3D16">
        <w:t xml:space="preserve">Standardowo po podpisaniu umowy o udzielenie dotacji wnioskodawca otrzyma </w:t>
      </w:r>
      <w:r w:rsidRPr="003E3D16">
        <w:rPr>
          <w:b/>
          <w:bCs/>
        </w:rPr>
        <w:t>płatności zaliczkowe</w:t>
      </w:r>
      <w:r w:rsidRPr="003E3D16">
        <w:t xml:space="preserve"> na rozpoczęcie realizacji projektu (pokrycie standardowo </w:t>
      </w:r>
      <w:r w:rsidRPr="003E3D16">
        <w:rPr>
          <w:b/>
          <w:bCs/>
        </w:rPr>
        <w:t>60%</w:t>
      </w:r>
      <w:r w:rsidRPr="003E3D16">
        <w:t xml:space="preserve"> maksymalnej kwoty dotacji; w wyjątkowych przypadkach mniej lub brak płatności zaliczkowych). Płatności zaliczkowe zostaną wypłacone w terminie 30 dni od wejścia w życie/zabezpieczenia finansowego (jeżeli jest wymagane) – w zależności od tego, która z tych dat jest późniejsza.</w:t>
      </w:r>
    </w:p>
    <w:p w14:paraId="6177614D" w14:textId="40FBA4EA" w:rsidR="00741682" w:rsidRPr="003E3D16" w:rsidRDefault="00AE5C30" w:rsidP="00741682">
      <w:pPr>
        <w:pStyle w:val="Text2"/>
        <w:ind w:left="0"/>
        <w:rPr>
          <w:rFonts w:cs="Arial"/>
        </w:rPr>
      </w:pPr>
      <w:r w:rsidRPr="003E3D16">
        <w:rPr>
          <w:b/>
        </w:rPr>
        <w:t>Płatność salda</w:t>
      </w:r>
      <w:r w:rsidRPr="003E3D16">
        <w:t>: Na koniec realizacji projektu obliczymy końcową kwotę dotacji. W przypadku gdy suma dotychczasowych płatności będzie wyższa od końcowej kwoty dotacji, poprosimy wnioskodawcę (koordynatora wnioskodawcy) o zwrot różnicy (zwrot).</w:t>
      </w:r>
    </w:p>
    <w:p w14:paraId="3BDCBF75" w14:textId="77777777" w:rsidR="00B21F85" w:rsidRPr="003E3D16" w:rsidRDefault="00B21F85" w:rsidP="00741682">
      <w:pPr>
        <w:pStyle w:val="Text2"/>
        <w:ind w:left="0"/>
      </w:pPr>
      <w:r w:rsidRPr="003E3D16">
        <w:t>Wszelkie płatności realizowane będą na rzecz koordynatora.</w:t>
      </w:r>
    </w:p>
    <w:p w14:paraId="7FE7E033" w14:textId="5C5DBFEB" w:rsidR="00A82A58" w:rsidRPr="003E3D16" w:rsidRDefault="005A3754" w:rsidP="00A82A58">
      <w:pPr>
        <w:pStyle w:val="Text2"/>
        <w:ind w:left="0"/>
      </w:pPr>
      <w:r w:rsidRPr="003E3D16">
        <w:rPr>
          <w:noProof/>
          <w:lang w:val="fr-BE" w:eastAsia="fr-BE"/>
        </w:rPr>
        <w:lastRenderedPageBreak/>
        <w:drawing>
          <wp:inline distT="0" distB="0" distL="0" distR="0" wp14:anchorId="4AE7EFB5" wp14:editId="6394BE84">
            <wp:extent cx="187960" cy="18796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3E3D16">
        <w:t xml:space="preserve"> Uwaga: płatności będą automatycznie pomniejszone, jeśli jeden z członków konsorcjum ma niespłacone zadłużenie wobec UE (organu przyznającego dotację lub innych organów UE). Takie zadłużenie zostanie przez nas potrącone – zgodnie z warunkami określonymi w umowie o udzielenie dotacji (</w:t>
      </w:r>
      <w:r w:rsidRPr="003E3D16">
        <w:rPr>
          <w:i/>
          <w:iCs/>
        </w:rPr>
        <w:t>zob. art. 22</w:t>
      </w:r>
      <w:r w:rsidRPr="003E3D16">
        <w:t>).</w:t>
      </w:r>
    </w:p>
    <w:p w14:paraId="1EA9C858" w14:textId="1424599E" w:rsidR="000C6DE8" w:rsidRPr="003E3D16" w:rsidRDefault="000C6DE8" w:rsidP="00A82A58">
      <w:pPr>
        <w:pStyle w:val="Text2"/>
        <w:ind w:left="0"/>
        <w:rPr>
          <w:rFonts w:cs="Arial"/>
        </w:rPr>
      </w:pPr>
      <w:r w:rsidRPr="003E3D16">
        <w:t xml:space="preserve">Należy także pamiętać, że wnioskodawca jest odpowiedzialny za prowadzenie dokumentacji dotyczącej wszystkich wykonanych prac. </w:t>
      </w:r>
    </w:p>
    <w:p w14:paraId="6F7B0297" w14:textId="77777777" w:rsidR="00C038C5" w:rsidRPr="003E3D16" w:rsidRDefault="00C038C5" w:rsidP="00C038C5">
      <w:pPr>
        <w:pStyle w:val="Heading3"/>
      </w:pPr>
      <w:bookmarkStart w:id="32" w:name="_Toc92978246"/>
      <w:r w:rsidRPr="003E3D16">
        <w:t>Zabezpieczenia płatności zaliczkowych</w:t>
      </w:r>
      <w:bookmarkEnd w:id="32"/>
      <w:r w:rsidRPr="003E3D16">
        <w:t xml:space="preserve"> </w:t>
      </w:r>
    </w:p>
    <w:p w14:paraId="5D1F5E81" w14:textId="77777777" w:rsidR="00C038C5" w:rsidRPr="003E3D16" w:rsidRDefault="00C038C5" w:rsidP="00C038C5">
      <w:pPr>
        <w:pStyle w:val="Text2"/>
        <w:ind w:left="0"/>
      </w:pPr>
      <w:r w:rsidRPr="003E3D16">
        <w:t xml:space="preserve">W przypadku gdy wymagane będzie zabezpieczenie płatności zaliczkowych, kwestia ta zostanie ustalona w umowie o udzielenie dotacji </w:t>
      </w:r>
      <w:r w:rsidRPr="003E3D16">
        <w:rPr>
          <w:i/>
        </w:rPr>
        <w:t>(arkusz danych, punkt 4)</w:t>
      </w:r>
      <w:r w:rsidRPr="003E3D16">
        <w:t>. Kwota zabezpieczenia zostanie ustalona w trakcie przygotowywania dotacji. Standardowo jego wysokość jest równa lub niższa niż kwota zaliczki.</w:t>
      </w:r>
    </w:p>
    <w:p w14:paraId="17795A40" w14:textId="77777777" w:rsidR="00C038C5" w:rsidRPr="003E3D16" w:rsidRDefault="00C038C5" w:rsidP="00C038C5">
      <w:pPr>
        <w:pStyle w:val="Text2"/>
        <w:ind w:left="0"/>
      </w:pPr>
      <w:r w:rsidRPr="003E3D16">
        <w:t>Zabezpieczenie powinno być wyrażone w EUR i wydane przez zatwierdzony bank lub instytucję finansową z siedzibą w państwie członkowskim UE. Jeśli wnioskodawca ma siedzibę w państwie niebędącym członkiem UE i chciałby dostarczyć zabezpieczenie z banku/instytucji finansowej w swoim kraju, wówczas powinien się z nami skontaktować (może to być wyjątkowo zaakceptowane, jeśli oferuje równoważne zabezpieczenie).</w:t>
      </w:r>
    </w:p>
    <w:p w14:paraId="2588057F" w14:textId="77777777" w:rsidR="00C038C5" w:rsidRPr="003E3D16" w:rsidRDefault="00C038C5" w:rsidP="00C038C5">
      <w:pPr>
        <w:pStyle w:val="Text2"/>
        <w:ind w:left="0"/>
      </w:pPr>
      <w:r w:rsidRPr="003E3D16">
        <w:t>Kwot zablokowanych na rachunkach bankowych NIE przyjmuje się jako zabezpieczeń finansowych.</w:t>
      </w:r>
    </w:p>
    <w:p w14:paraId="6E478E1C" w14:textId="77777777" w:rsidR="00C038C5" w:rsidRPr="003E3D16" w:rsidRDefault="00C038C5" w:rsidP="00C038C5">
      <w:pPr>
        <w:pStyle w:val="Text2"/>
        <w:ind w:left="0"/>
      </w:pPr>
      <w:r w:rsidRPr="003E3D16">
        <w:t xml:space="preserve">Zabezpieczenia płatności zaliczkowych formalnie NIE są powiązane z poszczególnymi członkami konsorcjum, co oznacza, że możesz dowolnie wybrać, w jaki sposób pokryta zostanie kwota zabezpieczenia </w:t>
      </w:r>
      <w:r w:rsidRPr="003E3D16">
        <w:rPr>
          <w:i/>
        </w:rPr>
        <w:t>(przez jednego lub kilku beneficjentów, jedno zabezpieczenie na całą kwotę lub kilka zabezpieczeń na kwoty częściowe, przez zainteresowanego beneficjenta lub przez innego beneficjenta itp.)</w:t>
      </w:r>
      <w:r w:rsidRPr="003E3D16">
        <w:t>. Ważne jest jednak, żeby pokryta została cała żądana kwota, a także żeby zabezpieczenie(-a) zostało(-y) przesłane do nas w odpowiednim terminie do przekazania zaliczki (skan za pośrednictwem portalu ORAZ oryginał pocztą).</w:t>
      </w:r>
    </w:p>
    <w:p w14:paraId="5675231B" w14:textId="77777777" w:rsidR="00C038C5" w:rsidRPr="003E3D16" w:rsidRDefault="00C038C5" w:rsidP="00C038C5">
      <w:pPr>
        <w:pStyle w:val="Text2"/>
        <w:ind w:left="0"/>
      </w:pPr>
      <w:r w:rsidRPr="003E3D16">
        <w:t>Po uprzednim uzgodnieniu z nami zabezpieczenie bankowe może zostać zastąpione zabezpieczeniem wydanym przez osobę trzecią.</w:t>
      </w:r>
    </w:p>
    <w:p w14:paraId="66D0A676" w14:textId="77777777" w:rsidR="00C038C5" w:rsidRPr="003E3D16" w:rsidRDefault="00C038C5" w:rsidP="00C038C5">
      <w:pPr>
        <w:pStyle w:val="Text2"/>
        <w:ind w:left="0"/>
      </w:pPr>
      <w:r w:rsidRPr="003E3D16">
        <w:t>Zabezpieczenie zostanie zwrócone po zakończeniu dotacji zgodnie z postanowieniami umowy o udzielenie dotacji.</w:t>
      </w:r>
    </w:p>
    <w:p w14:paraId="6D8EED08" w14:textId="77777777" w:rsidR="00EE2BCF" w:rsidRPr="003E3D16" w:rsidRDefault="00EE2BCF" w:rsidP="00510B7E">
      <w:pPr>
        <w:pStyle w:val="Heading3"/>
      </w:pPr>
      <w:bookmarkStart w:id="33" w:name="_Toc92978247"/>
      <w:r w:rsidRPr="003E3D16">
        <w:t>Zaświadczenia</w:t>
      </w:r>
      <w:bookmarkEnd w:id="33"/>
    </w:p>
    <w:p w14:paraId="1F2848E4" w14:textId="48031B10" w:rsidR="005224A7" w:rsidRPr="003E3D16" w:rsidRDefault="005224A7" w:rsidP="00D16BC1">
      <w:pPr>
        <w:spacing w:after="120"/>
        <w:rPr>
          <w:highlight w:val="yellow"/>
        </w:rPr>
      </w:pPr>
      <w:r w:rsidRPr="003E3D16">
        <w:t xml:space="preserve">W zależności od rodzaju działania, wysokości kwoty dotacji i rodzajów beneficjentów możesz zostać poproszony o przedstawienie różnego rodzaju zaświadczeń. Rodzaje, harmonogramy i progi dla każdego z zaświadczeń zostaną określone w umowie o udzielenie dotacji </w:t>
      </w:r>
      <w:r w:rsidRPr="003E3D16">
        <w:rPr>
          <w:i/>
        </w:rPr>
        <w:t>(arkusz danych, punkt 4 oraz art. 24)</w:t>
      </w:r>
      <w:r w:rsidRPr="003E3D16">
        <w:t>.</w:t>
      </w:r>
    </w:p>
    <w:p w14:paraId="67810567" w14:textId="77777777" w:rsidR="007C1E0D" w:rsidRPr="003E3D16" w:rsidRDefault="007C1E0D" w:rsidP="00510B7E">
      <w:pPr>
        <w:pStyle w:val="Heading3"/>
      </w:pPr>
      <w:bookmarkStart w:id="34" w:name="_Toc92978248"/>
      <w:r w:rsidRPr="003E3D16">
        <w:t>Odpowiedzialność za zwroty</w:t>
      </w:r>
      <w:bookmarkEnd w:id="34"/>
    </w:p>
    <w:p w14:paraId="5BB9318F" w14:textId="77777777" w:rsidR="002D1390" w:rsidRPr="003E3D16" w:rsidRDefault="007C1E0D" w:rsidP="0015357F">
      <w:pPr>
        <w:widowControl w:val="0"/>
        <w:spacing w:after="120"/>
        <w:rPr>
          <w:i/>
        </w:rPr>
      </w:pPr>
      <w:r w:rsidRPr="003E3D16">
        <w:t xml:space="preserve">Odpowiedzialność za zwroty zostanie ustalona w umowie o udzielenie dotacji </w:t>
      </w:r>
      <w:r w:rsidRPr="003E3D16">
        <w:rPr>
          <w:i/>
        </w:rPr>
        <w:t>(arkusz danych, punkt 4.4 i art. 22).</w:t>
      </w:r>
    </w:p>
    <w:p w14:paraId="6AAF1F6D" w14:textId="78BE0A71" w:rsidR="007C1E0D" w:rsidRPr="003E3D16" w:rsidRDefault="00196064" w:rsidP="0015357F">
      <w:pPr>
        <w:widowControl w:val="0"/>
        <w:spacing w:after="120"/>
      </w:pPr>
      <w:r w:rsidRPr="003E3D16">
        <w:t>W przypadku beneficjentów może to być:</w:t>
      </w:r>
    </w:p>
    <w:p w14:paraId="4A08B607" w14:textId="5ACE3AC3" w:rsidR="00965369" w:rsidRPr="003E3D16" w:rsidRDefault="00965369" w:rsidP="00584316">
      <w:pPr>
        <w:widowControl w:val="0"/>
        <w:numPr>
          <w:ilvl w:val="0"/>
          <w:numId w:val="31"/>
        </w:numPr>
        <w:spacing w:after="120"/>
        <w:ind w:left="709"/>
        <w:jc w:val="left"/>
        <w:rPr>
          <w:rFonts w:eastAsia="Calibri" w:cs="Arial"/>
        </w:rPr>
      </w:pPr>
      <w:r w:rsidRPr="003E3D16">
        <w:t xml:space="preserve">odpowiedzialność solidarna ograniczona do indywidualnie określonej wysokości — </w:t>
      </w:r>
      <w:r w:rsidRPr="003E3D16">
        <w:rPr>
          <w:i/>
        </w:rPr>
        <w:t>każdy beneficjent</w:t>
      </w:r>
      <w:r w:rsidRPr="003E3D16">
        <w:t xml:space="preserve"> odpowiada do wysokości maksymalnej kwoty udzielonej mu dotacji</w:t>
      </w:r>
    </w:p>
    <w:p w14:paraId="22A8F057" w14:textId="77777777" w:rsidR="007C1E0D" w:rsidRPr="003E3D16" w:rsidRDefault="007C1E0D" w:rsidP="00584316">
      <w:pPr>
        <w:widowControl w:val="0"/>
        <w:numPr>
          <w:ilvl w:val="0"/>
          <w:numId w:val="31"/>
        </w:numPr>
        <w:spacing w:after="120"/>
        <w:ind w:left="709"/>
        <w:jc w:val="left"/>
        <w:rPr>
          <w:bCs/>
        </w:rPr>
      </w:pPr>
      <w:r w:rsidRPr="003E3D16">
        <w:t xml:space="preserve">nieograniczona odpowiedzialność solidarna — </w:t>
      </w:r>
      <w:r w:rsidRPr="003E3D16">
        <w:rPr>
          <w:i/>
          <w:szCs w:val="18"/>
        </w:rPr>
        <w:t>każdy beneficjent odpowiada do wysokości maksymalnej kwoty dotacji udzielonej na działanie</w:t>
      </w:r>
      <w:r w:rsidRPr="003E3D16">
        <w:t xml:space="preserve"> </w:t>
      </w:r>
    </w:p>
    <w:p w14:paraId="46190429" w14:textId="77777777" w:rsidR="00E85905" w:rsidRPr="003E3D16" w:rsidRDefault="00E85905" w:rsidP="00E85905">
      <w:pPr>
        <w:widowControl w:val="0"/>
        <w:spacing w:after="120"/>
        <w:ind w:left="435"/>
        <w:rPr>
          <w:bCs/>
        </w:rPr>
      </w:pPr>
      <w:r w:rsidRPr="003E3D16">
        <w:t>lub</w:t>
      </w:r>
    </w:p>
    <w:p w14:paraId="48C16878" w14:textId="2DA3851E" w:rsidR="007C1E0D" w:rsidRPr="003E3D16" w:rsidRDefault="007C1E0D" w:rsidP="00584316">
      <w:pPr>
        <w:widowControl w:val="0"/>
        <w:numPr>
          <w:ilvl w:val="0"/>
          <w:numId w:val="31"/>
        </w:numPr>
        <w:spacing w:after="120"/>
        <w:ind w:left="709"/>
        <w:jc w:val="left"/>
        <w:rPr>
          <w:bCs/>
        </w:rPr>
      </w:pPr>
      <w:r w:rsidRPr="003E3D16">
        <w:lastRenderedPageBreak/>
        <w:t xml:space="preserve">indywidualna odpowiedzialność finansowa – </w:t>
      </w:r>
      <w:r w:rsidRPr="003E3D16">
        <w:rPr>
          <w:i/>
          <w:szCs w:val="18"/>
        </w:rPr>
        <w:t>każdy beneficjent odpowiada do wysokości swoich długów</w:t>
      </w:r>
      <w:r w:rsidRPr="003E3D16">
        <w:t xml:space="preserve">. </w:t>
      </w:r>
    </w:p>
    <w:p w14:paraId="3ED199B0" w14:textId="77777777" w:rsidR="00196064" w:rsidRPr="003E3D16" w:rsidRDefault="00196064" w:rsidP="00196064">
      <w:pPr>
        <w:widowControl w:val="0"/>
        <w:rPr>
          <w:bCs/>
        </w:rPr>
      </w:pPr>
      <w:r w:rsidRPr="003E3D16">
        <w:t>Ponadto organ przyznający dotację może wymagać solidarnej odpowiedzialności podmiotów stowarzyszonych (wraz z ich beneficjentem).</w:t>
      </w:r>
    </w:p>
    <w:p w14:paraId="0A01C377" w14:textId="77777777" w:rsidR="002D1390" w:rsidRPr="003E3D16" w:rsidRDefault="002D1390" w:rsidP="00510B7E">
      <w:pPr>
        <w:pStyle w:val="Heading3"/>
      </w:pPr>
      <w:bookmarkStart w:id="35" w:name="_Toc92978249"/>
      <w:r w:rsidRPr="003E3D16">
        <w:t>Postanowienia dotyczące realizacji projektu</w:t>
      </w:r>
      <w:bookmarkEnd w:id="35"/>
    </w:p>
    <w:p w14:paraId="41C36EDF" w14:textId="77777777" w:rsidR="00C36932" w:rsidRPr="003E3D16" w:rsidRDefault="00C36932" w:rsidP="00C36932">
      <w:pPr>
        <w:widowControl w:val="0"/>
        <w:rPr>
          <w:bCs/>
          <w:i/>
        </w:rPr>
      </w:pPr>
      <w:r w:rsidRPr="003E3D16">
        <w:t xml:space="preserve">Zasady dotyczące praw własności intelektualnej: </w:t>
      </w:r>
      <w:r w:rsidRPr="003E3D16">
        <w:rPr>
          <w:bCs/>
          <w:i/>
        </w:rPr>
        <w:t>zob. wzór umowy o udzielenie dotacji (art. 16 i załącznik nr 5)</w:t>
      </w:r>
    </w:p>
    <w:p w14:paraId="255EA0A4" w14:textId="769E98BA" w:rsidR="00C36932" w:rsidRPr="003E3D16" w:rsidRDefault="00C36932" w:rsidP="008C3D9D">
      <w:pPr>
        <w:widowControl w:val="0"/>
        <w:numPr>
          <w:ilvl w:val="0"/>
          <w:numId w:val="31"/>
        </w:numPr>
        <w:ind w:left="709"/>
        <w:jc w:val="left"/>
        <w:rPr>
          <w:bCs/>
        </w:rPr>
      </w:pPr>
      <w:r w:rsidRPr="003E3D16">
        <w:t>prawo do korzystania z wynikowej własności intelektualnej: Tak</w:t>
      </w:r>
    </w:p>
    <w:p w14:paraId="1203D3C9" w14:textId="77777777" w:rsidR="00C36932" w:rsidRPr="003E3D16" w:rsidRDefault="00C36932" w:rsidP="008C3D9D">
      <w:pPr>
        <w:widowControl w:val="0"/>
        <w:rPr>
          <w:bCs/>
          <w:i/>
        </w:rPr>
      </w:pPr>
      <w:r w:rsidRPr="003E3D16">
        <w:t xml:space="preserve">Zasady dotyczące komunikacji, rozpowszechniania informacji i widoczności finansowania: </w:t>
      </w:r>
      <w:r w:rsidRPr="003E3D16">
        <w:rPr>
          <w:bCs/>
          <w:i/>
        </w:rPr>
        <w:t>zob. wzór umowy o udzielenie dotacji (art. 17 i załącznik nr 5)</w:t>
      </w:r>
    </w:p>
    <w:p w14:paraId="3B53DB48" w14:textId="3BE8BC8F" w:rsidR="006C2D98" w:rsidRPr="003E3D16" w:rsidRDefault="006C2D98" w:rsidP="008C3D9D">
      <w:pPr>
        <w:widowControl w:val="0"/>
        <w:numPr>
          <w:ilvl w:val="0"/>
          <w:numId w:val="31"/>
        </w:numPr>
        <w:ind w:left="709" w:hanging="357"/>
        <w:jc w:val="left"/>
        <w:rPr>
          <w:bCs/>
          <w:i/>
        </w:rPr>
      </w:pPr>
      <w:r w:rsidRPr="003E3D16">
        <w:t>dodatkowe działania w zakresie komunikacji i rozpowszechniania informacji: Tak</w:t>
      </w:r>
    </w:p>
    <w:p w14:paraId="79092A73" w14:textId="77777777" w:rsidR="00E752E3" w:rsidRPr="003E3D16" w:rsidRDefault="00E752E3" w:rsidP="00510B7E">
      <w:pPr>
        <w:pStyle w:val="Heading3"/>
      </w:pPr>
      <w:bookmarkStart w:id="36" w:name="_Toc92978250"/>
      <w:r w:rsidRPr="003E3D16">
        <w:t>Inne cechy szczególne</w:t>
      </w:r>
      <w:bookmarkEnd w:id="36"/>
      <w:r w:rsidRPr="003E3D16">
        <w:t xml:space="preserve"> </w:t>
      </w:r>
    </w:p>
    <w:p w14:paraId="6FAE6CF8" w14:textId="3320AC1C" w:rsidR="006C2D98" w:rsidRPr="003E3D16" w:rsidRDefault="006C2D98" w:rsidP="006C2D98">
      <w:pPr>
        <w:widowControl w:val="0"/>
        <w:rPr>
          <w:bCs/>
        </w:rPr>
      </w:pPr>
      <w:r w:rsidRPr="003E3D16">
        <w:t>nie dotyczy</w:t>
      </w:r>
    </w:p>
    <w:p w14:paraId="550096E5" w14:textId="77777777" w:rsidR="00E752E3" w:rsidRPr="003E3D16" w:rsidRDefault="00E752E3" w:rsidP="00510B7E">
      <w:pPr>
        <w:pStyle w:val="Heading3"/>
      </w:pPr>
      <w:bookmarkStart w:id="37" w:name="_Toc92978251"/>
      <w:r w:rsidRPr="003E3D16">
        <w:t>Niezgodność i naruszenie postanowień umowy</w:t>
      </w:r>
      <w:bookmarkEnd w:id="37"/>
    </w:p>
    <w:p w14:paraId="12A9A690" w14:textId="77777777" w:rsidR="00E85C9D" w:rsidRPr="003E3D16" w:rsidRDefault="00E752E3" w:rsidP="00E85C9D">
      <w:pPr>
        <w:widowControl w:val="0"/>
        <w:rPr>
          <w:bCs/>
        </w:rPr>
      </w:pPr>
      <w:r w:rsidRPr="003E3D16">
        <w:t>W umowie o udzielenie dotacji (w rozdziale 5) określone są środki, jakie możemy przedsięwziąć w razie naruszenia postanowień umowy (i w innych przypadkach niezgodności).</w:t>
      </w:r>
    </w:p>
    <w:p w14:paraId="11678DD9" w14:textId="6C1EE4FB" w:rsidR="00E752E3" w:rsidRPr="003E3D16" w:rsidRDefault="005A3754" w:rsidP="00E752E3">
      <w:pPr>
        <w:autoSpaceDE w:val="0"/>
        <w:autoSpaceDN w:val="0"/>
        <w:adjustRightInd w:val="0"/>
        <w:rPr>
          <w:rFonts w:cs="Verdana"/>
        </w:rPr>
      </w:pPr>
      <w:r w:rsidRPr="003E3D16">
        <w:rPr>
          <w:noProof/>
          <w:lang w:val="fr-BE" w:eastAsia="fr-BE"/>
        </w:rPr>
        <w:drawing>
          <wp:inline distT="0" distB="0" distL="0" distR="0" wp14:anchorId="4DC826B7" wp14:editId="67CF715E">
            <wp:extent cx="187960" cy="187960"/>
            <wp:effectExtent l="0" t="0" r="0" b="0"/>
            <wp:docPr id="11" name="Picture 926709888"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6709888" name="Picture 926709888"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3E3D16">
        <w:t xml:space="preserve"> Szczegółowe informacje znajdują się w </w:t>
      </w:r>
      <w:hyperlink r:id="rId49">
        <w:r w:rsidRPr="003E3D16">
          <w:rPr>
            <w:rStyle w:val="Hyperlink"/>
            <w:i/>
            <w:iCs/>
          </w:rPr>
          <w:t>AGA — umowie o udzielenie dotacji z objaśnieniami</w:t>
        </w:r>
      </w:hyperlink>
      <w:r w:rsidRPr="003E3D16">
        <w:t xml:space="preserve">. </w:t>
      </w:r>
    </w:p>
    <w:p w14:paraId="52D0B17F" w14:textId="3C52329B" w:rsidR="00774448" w:rsidRPr="003E3D16" w:rsidRDefault="00774448" w:rsidP="000579AF">
      <w:pPr>
        <w:pStyle w:val="Heading1"/>
        <w:numPr>
          <w:ilvl w:val="0"/>
          <w:numId w:val="54"/>
        </w:numPr>
        <w:tabs>
          <w:tab w:val="left" w:pos="426"/>
        </w:tabs>
        <w:ind w:left="0" w:firstLine="0"/>
      </w:pPr>
      <w:bookmarkStart w:id="38" w:name="_Toc92978252"/>
      <w:r w:rsidRPr="003E3D16">
        <w:t>Jak złożyć wniosek</w:t>
      </w:r>
      <w:bookmarkEnd w:id="38"/>
    </w:p>
    <w:p w14:paraId="761BA98F" w14:textId="77777777" w:rsidR="00A82A58" w:rsidRPr="003E3D16" w:rsidRDefault="00A82A58" w:rsidP="00A82A58">
      <w:pPr>
        <w:widowControl w:val="0"/>
      </w:pPr>
      <w:r w:rsidRPr="003E3D16">
        <w:t xml:space="preserve">Wszystkie wnioski należy złożyć bezpośrednio za pośrednictwem elektronicznego systemu składania wniosków w portalu Funding and Tenders. Wnioski w formie papierowej NIE są przyjmowane. </w:t>
      </w:r>
    </w:p>
    <w:p w14:paraId="1E44B7CE" w14:textId="77777777" w:rsidR="00A82A58" w:rsidRPr="003E3D16" w:rsidRDefault="00A82A58" w:rsidP="00A82A58">
      <w:r w:rsidRPr="003E3D16">
        <w:t xml:space="preserve">Złożenie wniosku jest </w:t>
      </w:r>
      <w:r w:rsidRPr="003E3D16">
        <w:rPr>
          <w:b/>
          <w:bCs/>
        </w:rPr>
        <w:t>procesem 2-etapowym</w:t>
      </w:r>
      <w:r w:rsidRPr="003E3D16">
        <w:t xml:space="preserve">: </w:t>
      </w:r>
    </w:p>
    <w:p w14:paraId="4D4C2031" w14:textId="4DCA710F" w:rsidR="00A82A58" w:rsidRPr="003E3D16" w:rsidRDefault="00A82A58" w:rsidP="00965369">
      <w:pPr>
        <w:pStyle w:val="ListParagraph"/>
        <w:numPr>
          <w:ilvl w:val="1"/>
          <w:numId w:val="56"/>
        </w:numPr>
        <w:tabs>
          <w:tab w:val="left" w:pos="284"/>
        </w:tabs>
        <w:spacing w:after="200"/>
        <w:ind w:left="0" w:firstLine="0"/>
        <w:contextualSpacing w:val="0"/>
        <w:rPr>
          <w:sz w:val="20"/>
          <w:szCs w:val="20"/>
        </w:rPr>
      </w:pPr>
      <w:r w:rsidRPr="003E3D16">
        <w:rPr>
          <w:b/>
          <w:sz w:val="20"/>
          <w:szCs w:val="20"/>
        </w:rPr>
        <w:t>utwórz konto użytkownika i zarejestruj swoją organizację</w:t>
      </w:r>
      <w:r w:rsidRPr="003E3D16">
        <w:rPr>
          <w:sz w:val="20"/>
          <w:szCs w:val="20"/>
        </w:rPr>
        <w:t xml:space="preserve"> </w:t>
      </w:r>
    </w:p>
    <w:p w14:paraId="7C7BE724" w14:textId="7843725B" w:rsidR="00A82A58" w:rsidRPr="003E3D16" w:rsidRDefault="00A82A58" w:rsidP="00965369">
      <w:r w:rsidRPr="003E3D16">
        <w:t xml:space="preserve">Aby korzystać z systemu składania wniosków (jedyny sposób zgłoszenia), wszyscy uczestnicy muszą utworzyć </w:t>
      </w:r>
      <w:hyperlink r:id="rId50" w:history="1">
        <w:r w:rsidRPr="003E3D16">
          <w:rPr>
            <w:color w:val="0088CC"/>
            <w:u w:val="single"/>
          </w:rPr>
          <w:t>konto użytkownika EU Login</w:t>
        </w:r>
      </w:hyperlink>
      <w:r w:rsidRPr="003E3D16">
        <w:t>.</w:t>
      </w:r>
    </w:p>
    <w:p w14:paraId="385F4D22" w14:textId="4E8712F4" w:rsidR="00A82A58" w:rsidRPr="003E3D16" w:rsidRDefault="00A82A58" w:rsidP="00A82A58">
      <w:r w:rsidRPr="003E3D16">
        <w:t xml:space="preserve">Po założeniu konta EU Login, możesz </w:t>
      </w:r>
      <w:hyperlink r:id="rId51" w:history="1">
        <w:r w:rsidRPr="003E3D16">
          <w:rPr>
            <w:color w:val="0088CC"/>
            <w:u w:val="single"/>
          </w:rPr>
          <w:t>zarejestrować swoją organizację</w:t>
        </w:r>
      </w:hyperlink>
      <w:r w:rsidRPr="003E3D16">
        <w:t xml:space="preserve"> w rejestrze uczestników. Po zakończeniu rejestracji otrzymuje się 9-cyfrowy kod identyfikacyjny uczestnika (numer PIC).</w:t>
      </w:r>
    </w:p>
    <w:p w14:paraId="3B1EF156" w14:textId="467F6BCD" w:rsidR="00A82A58" w:rsidRPr="003E3D16" w:rsidRDefault="00A82A58" w:rsidP="00965369">
      <w:pPr>
        <w:pStyle w:val="ListParagraph"/>
        <w:numPr>
          <w:ilvl w:val="1"/>
          <w:numId w:val="56"/>
        </w:numPr>
        <w:tabs>
          <w:tab w:val="left" w:pos="284"/>
        </w:tabs>
        <w:spacing w:after="200"/>
        <w:ind w:left="0" w:firstLine="0"/>
        <w:contextualSpacing w:val="0"/>
        <w:rPr>
          <w:sz w:val="20"/>
          <w:szCs w:val="20"/>
        </w:rPr>
      </w:pPr>
      <w:r w:rsidRPr="003E3D16">
        <w:rPr>
          <w:b/>
          <w:sz w:val="20"/>
          <w:szCs w:val="20"/>
        </w:rPr>
        <w:t>złóż wniosek</w:t>
      </w:r>
    </w:p>
    <w:p w14:paraId="2D1D3DDF" w14:textId="2EEF0B42" w:rsidR="00A82A58" w:rsidRPr="003E3D16" w:rsidRDefault="00A82A58" w:rsidP="00A82A58">
      <w:pPr>
        <w:tabs>
          <w:tab w:val="left" w:pos="142"/>
        </w:tabs>
      </w:pPr>
      <w:r w:rsidRPr="003E3D16">
        <w:t>Wejdź do elektronicznego systemu składania wniosków przez stronę tematu w dziale „</w:t>
      </w:r>
      <w:hyperlink r:id="rId52" w:history="1">
        <w:r w:rsidRPr="003E3D16">
          <w:rPr>
            <w:rStyle w:val="Hyperlink"/>
          </w:rPr>
          <w:t>Search Funding &amp; Tenders</w:t>
        </w:r>
      </w:hyperlink>
      <w:r w:rsidRPr="003E3D16">
        <w:t>” (lub, w przypadku zaproszeń do składania wniosków wysłanych w formie zaproszenia, przez link podany w zaproszeniu).</w:t>
      </w:r>
    </w:p>
    <w:p w14:paraId="55DB4E61" w14:textId="04712426" w:rsidR="00A82A58" w:rsidRPr="003E3D16" w:rsidRDefault="00A82A58" w:rsidP="00A82A58">
      <w:r w:rsidRPr="003E3D16">
        <w:t xml:space="preserve">Złóż wniosek w czterech częściach, w następujący sposób: </w:t>
      </w:r>
    </w:p>
    <w:p w14:paraId="595ACC2F" w14:textId="77777777" w:rsidR="00A82A58" w:rsidRPr="003E3D16" w:rsidRDefault="00A82A58" w:rsidP="00A82A58">
      <w:pPr>
        <w:numPr>
          <w:ilvl w:val="0"/>
          <w:numId w:val="20"/>
        </w:numPr>
        <w:tabs>
          <w:tab w:val="num" w:pos="765"/>
        </w:tabs>
        <w:ind w:left="765"/>
      </w:pPr>
      <w:r w:rsidRPr="003E3D16">
        <w:t xml:space="preserve">Część A zawiera informacje administracyjne na temat organizacji składających wniosek (przyszły koordynator, beneficjenci, podmioty stowarzyszone </w:t>
      </w:r>
      <w:r w:rsidRPr="003E3D16">
        <w:lastRenderedPageBreak/>
        <w:t>i partnerzy stowarzyszeni) oraz skrócony budżet wniosku. Wypełnij ją bezpośrednio online.</w:t>
      </w:r>
    </w:p>
    <w:p w14:paraId="0B5804F7" w14:textId="77777777" w:rsidR="00A82A58" w:rsidRPr="003E3D16" w:rsidRDefault="00A82A58" w:rsidP="00A82A58">
      <w:pPr>
        <w:numPr>
          <w:ilvl w:val="0"/>
          <w:numId w:val="20"/>
        </w:numPr>
        <w:tabs>
          <w:tab w:val="num" w:pos="765"/>
        </w:tabs>
        <w:ind w:left="765"/>
      </w:pPr>
      <w:r w:rsidRPr="003E3D16">
        <w:t>Część B (opis działania) obejmuje techniczną treść wniosku. Pobierz obowiązkowy szablon w formacie Word z systemu zgłoszeń, wypełnij go i prześlij jako plik PDF.</w:t>
      </w:r>
    </w:p>
    <w:p w14:paraId="4AC31BB2" w14:textId="303BF488" w:rsidR="00A82A58" w:rsidRPr="003E3D16" w:rsidRDefault="00A82A58" w:rsidP="00A82A58">
      <w:pPr>
        <w:numPr>
          <w:ilvl w:val="0"/>
          <w:numId w:val="20"/>
        </w:numPr>
        <w:tabs>
          <w:tab w:val="num" w:pos="765"/>
        </w:tabs>
        <w:ind w:left="765"/>
      </w:pPr>
      <w:r w:rsidRPr="003E3D16">
        <w:t>Część C zawiera dodatkowe dane dotyczące projektu. Należy ją wypełnić bezpośrednio online.</w:t>
      </w:r>
    </w:p>
    <w:p w14:paraId="3A0A5CB2" w14:textId="77777777" w:rsidR="00A82A58" w:rsidRPr="003E3D16" w:rsidRDefault="00A82A58" w:rsidP="00A82A58">
      <w:pPr>
        <w:numPr>
          <w:ilvl w:val="0"/>
          <w:numId w:val="20"/>
        </w:numPr>
        <w:tabs>
          <w:tab w:val="num" w:pos="765"/>
        </w:tabs>
        <w:ind w:left="765"/>
      </w:pPr>
      <w:r w:rsidRPr="003E3D16">
        <w:t>Załączniki (</w:t>
      </w:r>
      <w:r w:rsidRPr="003E3D16">
        <w:rPr>
          <w:i/>
          <w:iCs/>
        </w:rPr>
        <w:t>zob. punkt 5</w:t>
      </w:r>
      <w:r w:rsidRPr="003E3D16">
        <w:t xml:space="preserve">). Prześlij je w formacie PDF (w jednym lub kilku plikach w zależności od dostępnych pozycji). W niektórych przypadkach – w zależności od typu pliku – można przesłać załącznik w formacie Excel. </w:t>
      </w:r>
    </w:p>
    <w:p w14:paraId="3A92FB1F" w14:textId="77777777" w:rsidR="00A82A58" w:rsidRPr="003E3D16" w:rsidRDefault="00A82A58" w:rsidP="00A82A58">
      <w:r w:rsidRPr="003E3D16">
        <w:t xml:space="preserve">Wniosek musi zmieścić się w </w:t>
      </w:r>
      <w:r w:rsidRPr="003E3D16">
        <w:rPr>
          <w:b/>
        </w:rPr>
        <w:t>limicie stron</w:t>
      </w:r>
      <w:r w:rsidRPr="003E3D16">
        <w:t xml:space="preserve"> </w:t>
      </w:r>
      <w:r w:rsidRPr="003E3D16">
        <w:rPr>
          <w:i/>
        </w:rPr>
        <w:t>(zob. punkt 5)</w:t>
      </w:r>
      <w:r w:rsidRPr="003E3D16">
        <w:t xml:space="preserve">; strony wykraczające poza ten limit nie będą brane pod uwagę. </w:t>
      </w:r>
    </w:p>
    <w:p w14:paraId="20D3A891" w14:textId="3BD2430A" w:rsidR="00774448" w:rsidRPr="003E3D16" w:rsidRDefault="00774448" w:rsidP="00A82A58">
      <w:r w:rsidRPr="003E3D16">
        <w:t xml:space="preserve">Dokumenty muszą zostać przesłane do </w:t>
      </w:r>
      <w:r w:rsidRPr="003E3D16">
        <w:rPr>
          <w:b/>
        </w:rPr>
        <w:t>odpowiedniej kategorii</w:t>
      </w:r>
      <w:r w:rsidRPr="003E3D16">
        <w:t xml:space="preserve"> w systemie składania wniosków, w przeciwnym razie wniosek może zostać uznany za niekompletny, a tym samym niedopuszczalny.</w:t>
      </w:r>
    </w:p>
    <w:p w14:paraId="72F683C9" w14:textId="77777777" w:rsidR="00774448" w:rsidRPr="003E3D16" w:rsidRDefault="00774448" w:rsidP="00774448">
      <w:r w:rsidRPr="003E3D16">
        <w:t xml:space="preserve">Wniosek należy złożyć przed upływem </w:t>
      </w:r>
      <w:r w:rsidRPr="003E3D16">
        <w:rPr>
          <w:b/>
        </w:rPr>
        <w:t>terminu składania wniosków</w:t>
      </w:r>
      <w:r w:rsidRPr="003E3D16">
        <w:t xml:space="preserve"> </w:t>
      </w:r>
      <w:r w:rsidRPr="003E3D16">
        <w:rPr>
          <w:i/>
        </w:rPr>
        <w:t>(zob. punkt 4)</w:t>
      </w:r>
      <w:r w:rsidRPr="003E3D16">
        <w:t xml:space="preserve">. Po upływie tego terminu system zostaje zamknięty i nie można już składać wniosków. </w:t>
      </w:r>
    </w:p>
    <w:p w14:paraId="762AB04D" w14:textId="238FBD0B" w:rsidR="00774448" w:rsidRPr="003E3D16" w:rsidRDefault="00774448" w:rsidP="00774448">
      <w:r w:rsidRPr="003E3D16">
        <w:t xml:space="preserve">Po złożeniu wniosku otrzymasz wiadomość </w:t>
      </w:r>
      <w:r w:rsidRPr="003E3D16">
        <w:rPr>
          <w:b/>
        </w:rPr>
        <w:t>e-mail z potwierdzeniem</w:t>
      </w:r>
      <w:r w:rsidRPr="003E3D16">
        <w:t xml:space="preserve"> (z datą i godziną złożenia wniosku). Jeśli nie otrzymasz wiadomości e-mail z potwierdzeniem, oznacza to, że Twój wniosek NIE został złożony. Jeśli uważasz, że jest to spowodowane błędem w systemie składania wniosków, natychmiast złóż skargę przez formularz internetowy </w:t>
      </w:r>
      <w:hyperlink r:id="rId53" w:history="1">
        <w:r w:rsidRPr="003E3D16">
          <w:rPr>
            <w:color w:val="0088CC"/>
            <w:u w:val="single"/>
          </w:rPr>
          <w:t>helpdesk IT</w:t>
        </w:r>
      </w:hyperlink>
      <w:r w:rsidRPr="003E3D16">
        <w:t>, wyjaśniając okoliczności i załączając kopię wniosku (oraz, jeśli to możliwe, zrzuty ekranu, by pokazać, co się stało).</w:t>
      </w:r>
    </w:p>
    <w:p w14:paraId="5EBA6498" w14:textId="5C540F35" w:rsidR="00774448" w:rsidRPr="003E3D16" w:rsidRDefault="00774448" w:rsidP="00774448">
      <w:r w:rsidRPr="003E3D16">
        <w:t xml:space="preserve">Szczegółowe informacje na temat procesów i procedur są opisane w </w:t>
      </w:r>
      <w:hyperlink r:id="rId54" w:history="1">
        <w:r w:rsidRPr="003E3D16">
          <w:rPr>
            <w:rStyle w:val="Hyperlink"/>
          </w:rPr>
          <w:t>instrukcji użytkownika w wersji online</w:t>
        </w:r>
      </w:hyperlink>
      <w:r w:rsidRPr="003E3D16">
        <w:t>. Instrukcja użytkownika w wersji online zawiera również linki do najczęściej zadawanych pytań oraz szczegółowe instrukcje dotyczące elektronicznego systemu wymiany informacji.</w:t>
      </w:r>
    </w:p>
    <w:p w14:paraId="2FB20757" w14:textId="11484925" w:rsidR="002D1390" w:rsidRPr="003E3D16" w:rsidRDefault="002D1390" w:rsidP="000579AF">
      <w:pPr>
        <w:pStyle w:val="Heading1"/>
        <w:numPr>
          <w:ilvl w:val="0"/>
          <w:numId w:val="54"/>
        </w:numPr>
        <w:tabs>
          <w:tab w:val="left" w:pos="426"/>
        </w:tabs>
        <w:ind w:left="0" w:firstLine="0"/>
      </w:pPr>
      <w:bookmarkStart w:id="39" w:name="_Toc92978253"/>
      <w:r w:rsidRPr="003E3D16">
        <w:t>Pomoc</w:t>
      </w:r>
      <w:bookmarkEnd w:id="39"/>
    </w:p>
    <w:p w14:paraId="5BD07290" w14:textId="77777777" w:rsidR="00B870D7" w:rsidRPr="003E3D16" w:rsidRDefault="00B870D7" w:rsidP="00B870D7">
      <w:pPr>
        <w:spacing w:after="120"/>
        <w:rPr>
          <w:szCs w:val="21"/>
        </w:rPr>
      </w:pPr>
      <w:r w:rsidRPr="003E3D16">
        <w:t xml:space="preserve">O ile to możliwe, </w:t>
      </w:r>
      <w:r w:rsidRPr="003E3D16">
        <w:rPr>
          <w:b/>
          <w:i/>
          <w:szCs w:val="21"/>
        </w:rPr>
        <w:t>spróbuj znaleźć odpowiedzi na swoje pytania we własnym zakresie</w:t>
      </w:r>
      <w:r w:rsidRPr="003E3D16">
        <w:t>, korzystając z poniższych i innych dokumentów (mamy ograniczone możliwości udzielania bezpośrednich odpowiedzi):</w:t>
      </w:r>
    </w:p>
    <w:p w14:paraId="66C7F5F9" w14:textId="1FD857A5" w:rsidR="00B870D7" w:rsidRPr="003E3D16" w:rsidRDefault="00D139A0" w:rsidP="00584316">
      <w:pPr>
        <w:widowControl w:val="0"/>
        <w:numPr>
          <w:ilvl w:val="0"/>
          <w:numId w:val="31"/>
        </w:numPr>
        <w:spacing w:after="120"/>
        <w:ind w:left="709"/>
        <w:jc w:val="left"/>
        <w:rPr>
          <w:szCs w:val="21"/>
        </w:rPr>
      </w:pPr>
      <w:hyperlink r:id="rId55" w:history="1">
        <w:r w:rsidR="00D9124D" w:rsidRPr="003E3D16">
          <w:rPr>
            <w:rStyle w:val="Hyperlink"/>
          </w:rPr>
          <w:t>instrukcja użytkownika w wersji online</w:t>
        </w:r>
      </w:hyperlink>
      <w:r w:rsidR="00D9124D" w:rsidRPr="003E3D16">
        <w:t xml:space="preserve">, </w:t>
      </w:r>
    </w:p>
    <w:p w14:paraId="20342E5F" w14:textId="77777777" w:rsidR="00B870D7" w:rsidRPr="003E3D16" w:rsidRDefault="00B870D7" w:rsidP="00584316">
      <w:pPr>
        <w:widowControl w:val="0"/>
        <w:numPr>
          <w:ilvl w:val="0"/>
          <w:numId w:val="31"/>
        </w:numPr>
        <w:spacing w:after="120"/>
        <w:ind w:left="709"/>
        <w:jc w:val="left"/>
        <w:rPr>
          <w:szCs w:val="21"/>
          <w:u w:val="single"/>
        </w:rPr>
      </w:pPr>
      <w:r w:rsidRPr="003E3D16">
        <w:t>często zadawane pytania na stronie tematu (pytania dotyczące zaproszenia w przypadku otwartych zaproszeń; nie dotyczy działań w ramach zaproszenia),</w:t>
      </w:r>
    </w:p>
    <w:p w14:paraId="15BC9D11" w14:textId="49A7244A" w:rsidR="00B870D7" w:rsidRPr="003E3D16" w:rsidRDefault="00D139A0" w:rsidP="00584316">
      <w:pPr>
        <w:widowControl w:val="0"/>
        <w:numPr>
          <w:ilvl w:val="0"/>
          <w:numId w:val="31"/>
        </w:numPr>
        <w:ind w:left="709" w:hanging="357"/>
        <w:jc w:val="left"/>
        <w:rPr>
          <w:szCs w:val="21"/>
          <w:u w:val="single"/>
        </w:rPr>
      </w:pPr>
      <w:hyperlink r:id="rId56" w:history="1">
        <w:r w:rsidR="00D9124D" w:rsidRPr="003E3D16">
          <w:rPr>
            <w:rStyle w:val="Hyperlink"/>
          </w:rPr>
          <w:t>często zadawane pytania w portalu</w:t>
        </w:r>
      </w:hyperlink>
      <w:r w:rsidR="00D9124D" w:rsidRPr="003E3D16">
        <w:t xml:space="preserve"> (w przypadku pytań ogólnych).</w:t>
      </w:r>
    </w:p>
    <w:p w14:paraId="7FE24C65" w14:textId="77777777" w:rsidR="00A53E20" w:rsidRPr="003E3D16" w:rsidRDefault="00A53E20" w:rsidP="00A53E20">
      <w:pPr>
        <w:rPr>
          <w:color w:val="000000"/>
          <w:szCs w:val="21"/>
        </w:rPr>
      </w:pPr>
      <w:r w:rsidRPr="003E3D16">
        <w:rPr>
          <w:color w:val="000000"/>
          <w:szCs w:val="21"/>
        </w:rPr>
        <w:t>Prosimy o regularne sprawdzanie strony tematu, ponieważ tam będziemy publikować aktualności dotyczące zaproszenia. (W przypadku aktualizacji zaproszenia skontaktujemy się z tobą bezpośrednio).</w:t>
      </w:r>
    </w:p>
    <w:p w14:paraId="2799B9E0" w14:textId="77777777" w:rsidR="00A53E20" w:rsidRPr="003E3D16" w:rsidRDefault="00A53E20" w:rsidP="00A53E20">
      <w:pPr>
        <w:widowControl w:val="0"/>
        <w:rPr>
          <w:i/>
        </w:rPr>
      </w:pPr>
      <w:r w:rsidRPr="003E3D16">
        <w:rPr>
          <w:i/>
        </w:rPr>
        <w:t>Kontakt</w:t>
      </w:r>
    </w:p>
    <w:p w14:paraId="4F7C9187" w14:textId="2C28126F" w:rsidR="00A53E20" w:rsidRPr="003E3D16" w:rsidRDefault="00A53E20" w:rsidP="00A53E20">
      <w:pPr>
        <w:pStyle w:val="Default"/>
        <w:spacing w:after="120"/>
        <w:jc w:val="both"/>
        <w:rPr>
          <w:rFonts w:ascii="Verdana" w:hAnsi="Verdana" w:cs="Arial"/>
          <w:color w:val="auto"/>
          <w:sz w:val="20"/>
          <w:szCs w:val="20"/>
        </w:rPr>
      </w:pPr>
      <w:r w:rsidRPr="003E3D16">
        <w:rPr>
          <w:rFonts w:ascii="Verdana" w:hAnsi="Verdana"/>
          <w:color w:val="auto"/>
          <w:sz w:val="20"/>
          <w:szCs w:val="20"/>
        </w:rPr>
        <w:t xml:space="preserve">W przypadku pytań indywidualnych dotyczących portalu składania wniosków prosimy o kontakt z </w:t>
      </w:r>
      <w:hyperlink r:id="rId57" w:history="1">
        <w:r w:rsidRPr="003E3D16">
          <w:rPr>
            <w:rStyle w:val="Hyperlink"/>
            <w:rFonts w:ascii="Verdana" w:hAnsi="Verdana"/>
            <w:sz w:val="20"/>
            <w:szCs w:val="20"/>
          </w:rPr>
          <w:t>helpdeskiem IT</w:t>
        </w:r>
      </w:hyperlink>
      <w:r w:rsidRPr="003E3D16">
        <w:rPr>
          <w:rFonts w:ascii="Verdana" w:hAnsi="Verdana"/>
          <w:color w:val="auto"/>
          <w:sz w:val="20"/>
          <w:szCs w:val="20"/>
        </w:rPr>
        <w:t>.</w:t>
      </w:r>
    </w:p>
    <w:p w14:paraId="0208E6F8" w14:textId="77777777" w:rsidR="007654F8" w:rsidRPr="003E3D16" w:rsidRDefault="00A53E20" w:rsidP="007654F8">
      <w:pPr>
        <w:pStyle w:val="Text1"/>
        <w:spacing w:after="120"/>
        <w:ind w:left="0"/>
        <w:rPr>
          <w:rFonts w:cs="Arial"/>
        </w:rPr>
      </w:pPr>
      <w:r w:rsidRPr="003E3D16">
        <w:t xml:space="preserve">Pytania niezwiązane z kwestiami IT należy przesyłać na następujący adres e-mail: </w:t>
      </w:r>
    </w:p>
    <w:p w14:paraId="78E7C8FF" w14:textId="18580737" w:rsidR="00CD6C4F" w:rsidRPr="003E3D16" w:rsidRDefault="00D139A0" w:rsidP="007654F8">
      <w:pPr>
        <w:pStyle w:val="Text1"/>
        <w:spacing w:after="120"/>
        <w:ind w:left="0"/>
        <w:rPr>
          <w:rFonts w:cs="Arial"/>
        </w:rPr>
      </w:pPr>
      <w:hyperlink r:id="rId58" w:history="1">
        <w:r w:rsidR="00D9124D" w:rsidRPr="003E3D16">
          <w:rPr>
            <w:rStyle w:val="Hyperlink"/>
            <w:color w:val="FF0000"/>
          </w:rPr>
          <w:t>EACEA-CERV@ec.europa.eu</w:t>
        </w:r>
      </w:hyperlink>
      <w:r w:rsidR="00D9124D" w:rsidRPr="003E3D16">
        <w:t xml:space="preserve">. </w:t>
      </w:r>
    </w:p>
    <w:p w14:paraId="5BAEED01" w14:textId="77777777" w:rsidR="00A53E20" w:rsidRPr="003E3D16" w:rsidRDefault="00A53E20" w:rsidP="00CD6C4F">
      <w:pPr>
        <w:pStyle w:val="Text1"/>
        <w:spacing w:after="120"/>
        <w:ind w:left="0"/>
        <w:rPr>
          <w:rFonts w:cs="Arial"/>
        </w:rPr>
      </w:pPr>
      <w:r w:rsidRPr="003E3D16">
        <w:lastRenderedPageBreak/>
        <w:t xml:space="preserve">Prosimy wyraźnie wskazać, którego zaproszenia i tematu dotyczy pytanie </w:t>
      </w:r>
      <w:r w:rsidRPr="003E3D16">
        <w:rPr>
          <w:i/>
        </w:rPr>
        <w:t>(zob. okładka)</w:t>
      </w:r>
      <w:r w:rsidRPr="003E3D16">
        <w:t>.</w:t>
      </w:r>
    </w:p>
    <w:p w14:paraId="60C73839" w14:textId="77777777" w:rsidR="00376DCA" w:rsidRPr="003E3D16" w:rsidRDefault="00376DCA" w:rsidP="007C37E2"/>
    <w:p w14:paraId="55C4BC05" w14:textId="76070ACC" w:rsidR="008D7360" w:rsidRPr="003E3D16" w:rsidRDefault="00376DCA" w:rsidP="000579AF">
      <w:pPr>
        <w:pStyle w:val="Heading1"/>
        <w:numPr>
          <w:ilvl w:val="0"/>
          <w:numId w:val="54"/>
        </w:numPr>
        <w:tabs>
          <w:tab w:val="left" w:pos="426"/>
        </w:tabs>
        <w:ind w:left="0" w:firstLine="0"/>
      </w:pPr>
      <w:r w:rsidRPr="003E3D16">
        <w:br w:type="page"/>
      </w:r>
      <w:bookmarkStart w:id="40" w:name="_Toc92978254"/>
      <w:r w:rsidRPr="003E3D16">
        <w:lastRenderedPageBreak/>
        <w:t>Ważne</w:t>
      </w:r>
      <w:bookmarkEnd w:id="40"/>
    </w:p>
    <w:p w14:paraId="27573CC2" w14:textId="66C18F3F" w:rsidR="000579AF" w:rsidRPr="003E3D16" w:rsidRDefault="00E02E47" w:rsidP="00DC47B2">
      <w:pPr>
        <w:widowControl w:val="0"/>
        <w:ind w:right="366"/>
        <w:rPr>
          <w:b/>
          <w:color w:val="595959"/>
          <w:sz w:val="18"/>
          <w:szCs w:val="18"/>
        </w:rPr>
      </w:pPr>
      <w:r w:rsidRPr="003E3D16">
        <w:rPr>
          <w:noProof/>
          <w:lang w:val="fr-BE" w:eastAsia="fr-BE"/>
        </w:rPr>
        <mc:AlternateContent>
          <mc:Choice Requires="wps">
            <w:drawing>
              <wp:inline distT="0" distB="0" distL="0" distR="0" wp14:anchorId="2AA15A6D" wp14:editId="0B16C8B7">
                <wp:extent cx="5473065" cy="8186420"/>
                <wp:effectExtent l="0" t="0" r="13335" b="24130"/>
                <wp:docPr id="1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8186420"/>
                        </a:xfrm>
                        <a:prstGeom prst="rect">
                          <a:avLst/>
                        </a:prstGeom>
                        <a:solidFill>
                          <a:srgbClr val="F2F2F2"/>
                        </a:solidFill>
                        <a:ln w="19050">
                          <a:solidFill>
                            <a:srgbClr val="BFBFBF"/>
                          </a:solidFill>
                          <a:miter lim="800000"/>
                          <a:headEnd/>
                          <a:tailEnd/>
                        </a:ln>
                      </wps:spPr>
                      <wps:txbx>
                        <w:txbxContent>
                          <w:p w14:paraId="6B03D364" w14:textId="77777777" w:rsidR="00E02E47" w:rsidRPr="003E3D16" w:rsidRDefault="00E02E47" w:rsidP="00E02E47">
                            <w:pPr>
                              <w:pStyle w:val="Text1"/>
                              <w:spacing w:before="120" w:after="120"/>
                              <w:ind w:left="0"/>
                              <w:rPr>
                                <w:rFonts w:cs="Arial"/>
                                <w:color w:val="595959"/>
                                <w:sz w:val="16"/>
                                <w:szCs w:val="18"/>
                              </w:rPr>
                            </w:pPr>
                            <w:r w:rsidRPr="003E3D16">
                              <w:rPr>
                                <w:b/>
                                <w:noProof/>
                                <w:color w:val="7F7F7F"/>
                                <w:sz w:val="18"/>
                                <w:szCs w:val="21"/>
                                <w:lang w:val="fr-BE" w:eastAsia="fr-BE"/>
                              </w:rPr>
                              <w:drawing>
                                <wp:inline distT="0" distB="0" distL="0" distR="0" wp14:anchorId="5612FD62" wp14:editId="318F6FD2">
                                  <wp:extent cx="187960" cy="187960"/>
                                  <wp:effectExtent l="0" t="0" r="0" b="0"/>
                                  <wp:docPr id="12" name="Picture 1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rn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3E3D16">
                              <w:rPr>
                                <w:sz w:val="18"/>
                                <w:szCs w:val="18"/>
                              </w:rPr>
                              <w:t xml:space="preserve"> </w:t>
                            </w:r>
                            <w:r w:rsidRPr="003E3D16">
                              <w:rPr>
                                <w:b/>
                                <w:color w:val="595959"/>
                                <w:sz w:val="18"/>
                                <w:szCs w:val="18"/>
                              </w:rPr>
                              <w:t xml:space="preserve">WAŻNE </w:t>
                            </w:r>
                          </w:p>
                          <w:p w14:paraId="0CD199A5" w14:textId="77777777" w:rsidR="00E02E47" w:rsidRPr="003E3D16" w:rsidRDefault="00E02E47" w:rsidP="00E02E47">
                            <w:pPr>
                              <w:numPr>
                                <w:ilvl w:val="0"/>
                                <w:numId w:val="25"/>
                              </w:numPr>
                              <w:spacing w:after="120"/>
                              <w:ind w:left="567" w:right="79" w:hanging="447"/>
                              <w:rPr>
                                <w:color w:val="595959"/>
                                <w:sz w:val="18"/>
                                <w:szCs w:val="18"/>
                              </w:rPr>
                            </w:pPr>
                            <w:r w:rsidRPr="003E3D16">
                              <w:rPr>
                                <w:b/>
                                <w:color w:val="595959"/>
                                <w:sz w:val="18"/>
                                <w:szCs w:val="18"/>
                              </w:rPr>
                              <w:t>Nie czekaj do ostatniej chwili –</w:t>
                            </w:r>
                            <w:r w:rsidRPr="003E3D16">
                              <w:rPr>
                                <w:color w:val="595959"/>
                                <w:sz w:val="18"/>
                                <w:szCs w:val="18"/>
                              </w:rPr>
                              <w:t xml:space="preserve"> wypełnij wniosek wystarczająco wcześniej przed upływem terminu, aby uniknąć </w:t>
                            </w:r>
                            <w:r w:rsidRPr="003E3D16">
                              <w:rPr>
                                <w:b/>
                                <w:color w:val="595959"/>
                                <w:sz w:val="18"/>
                                <w:szCs w:val="18"/>
                              </w:rPr>
                              <w:t>problemów technicznych</w:t>
                            </w:r>
                            <w:r w:rsidRPr="003E3D16">
                              <w:rPr>
                                <w:color w:val="595959"/>
                                <w:sz w:val="18"/>
                                <w:szCs w:val="18"/>
                              </w:rPr>
                              <w:t xml:space="preserve">, które mogą się pojawić w ostatniej chwili. Ryzyko związane ze składaniem wniosku w ostatniej chwili </w:t>
                            </w:r>
                            <w:r w:rsidRPr="003E3D16">
                              <w:rPr>
                                <w:i/>
                                <w:color w:val="595959"/>
                                <w:sz w:val="18"/>
                                <w:szCs w:val="18"/>
                              </w:rPr>
                              <w:t>(np. przeciążenie systemu itp.)</w:t>
                            </w:r>
                            <w:r w:rsidRPr="003E3D16">
                              <w:rPr>
                                <w:color w:val="595959"/>
                                <w:sz w:val="18"/>
                                <w:szCs w:val="18"/>
                              </w:rPr>
                              <w:t xml:space="preserve"> w całości obciąża ciebie. NIE ma możliwości przedłużenia terminów.</w:t>
                            </w:r>
                          </w:p>
                          <w:p w14:paraId="5FFFFB39" w14:textId="77777777" w:rsidR="00E02E47" w:rsidRPr="003E3D16" w:rsidRDefault="00E02E47" w:rsidP="00E02E47">
                            <w:pPr>
                              <w:numPr>
                                <w:ilvl w:val="0"/>
                                <w:numId w:val="25"/>
                              </w:numPr>
                              <w:ind w:left="567" w:right="79" w:hanging="447"/>
                              <w:rPr>
                                <w:color w:val="595959"/>
                                <w:sz w:val="18"/>
                                <w:szCs w:val="18"/>
                              </w:rPr>
                            </w:pPr>
                            <w:r w:rsidRPr="003E3D16">
                              <w:rPr>
                                <w:color w:val="595959"/>
                                <w:sz w:val="18"/>
                                <w:szCs w:val="18"/>
                              </w:rPr>
                              <w:t xml:space="preserve">Regularnie </w:t>
                            </w:r>
                            <w:r w:rsidRPr="003E3D16">
                              <w:rPr>
                                <w:b/>
                                <w:color w:val="595959"/>
                                <w:sz w:val="18"/>
                                <w:szCs w:val="18"/>
                              </w:rPr>
                              <w:t>sprawdzaj</w:t>
                            </w:r>
                            <w:r w:rsidRPr="003E3D16">
                              <w:rPr>
                                <w:color w:val="595959"/>
                                <w:sz w:val="18"/>
                                <w:szCs w:val="18"/>
                              </w:rPr>
                              <w:t xml:space="preserve"> stronę tematu w portalu. Tam będziemy publikować aktualności i dodatkowe informacje dotyczące zaproszenia (aktualności dotyczące zaproszenia i tematu).</w:t>
                            </w:r>
                          </w:p>
                          <w:p w14:paraId="7A55A0F4" w14:textId="33BB8FDE" w:rsidR="00E02E47" w:rsidRPr="003E3D16" w:rsidRDefault="00E02E47" w:rsidP="00E02E47">
                            <w:pPr>
                              <w:numPr>
                                <w:ilvl w:val="0"/>
                                <w:numId w:val="25"/>
                              </w:numPr>
                              <w:ind w:left="567" w:right="79" w:hanging="447"/>
                              <w:rPr>
                                <w:rFonts w:cs="Arial"/>
                                <w:color w:val="595959"/>
                                <w:sz w:val="18"/>
                                <w:szCs w:val="18"/>
                              </w:rPr>
                            </w:pPr>
                            <w:r w:rsidRPr="003E3D16">
                              <w:rPr>
                                <w:color w:val="595959"/>
                                <w:sz w:val="18"/>
                                <w:szCs w:val="18"/>
                              </w:rPr>
                              <w:t>Elektroniczny system wymiany informacji w portalu Funding and Tenders —</w:t>
                            </w:r>
                            <w:r w:rsidRPr="003E3D16">
                              <w:rPr>
                                <w:color w:val="595959"/>
                              </w:rPr>
                              <w:t xml:space="preserve"> Składając wniosek, wszyscy uczestnicy </w:t>
                            </w:r>
                            <w:r w:rsidRPr="003E3D16">
                              <w:rPr>
                                <w:b/>
                                <w:color w:val="595959"/>
                              </w:rPr>
                              <w:t>wyrażają zgodę</w:t>
                            </w:r>
                            <w:r w:rsidRPr="003E3D16">
                              <w:rPr>
                                <w:color w:val="595959"/>
                              </w:rPr>
                              <w:t xml:space="preserve"> na korzystanie z elektronicznego systemu wymiany informacji zgodnie z postanowieniami </w:t>
                            </w:r>
                            <w:hyperlink r:id="rId59" w:history="1">
                              <w:r w:rsidRPr="003E3D16">
                                <w:rPr>
                                  <w:rStyle w:val="Hyperlink"/>
                                  <w:sz w:val="18"/>
                                  <w:szCs w:val="18"/>
                                </w:rPr>
                                <w:t>regulaminu portalu</w:t>
                              </w:r>
                            </w:hyperlink>
                            <w:r w:rsidRPr="003E3D16">
                              <w:rPr>
                                <w:color w:val="7F7F7F"/>
                                <w:sz w:val="18"/>
                                <w:szCs w:val="18"/>
                              </w:rPr>
                              <w:t>.</w:t>
                            </w:r>
                          </w:p>
                          <w:p w14:paraId="420CBC62" w14:textId="3D8B1708" w:rsidR="00E02E47" w:rsidRPr="003E3D16" w:rsidRDefault="00E02E47" w:rsidP="00E02E47">
                            <w:pPr>
                              <w:numPr>
                                <w:ilvl w:val="0"/>
                                <w:numId w:val="25"/>
                              </w:numPr>
                              <w:ind w:left="567" w:right="79" w:hanging="447"/>
                              <w:rPr>
                                <w:rFonts w:cs="Arial"/>
                                <w:color w:val="595959"/>
                                <w:sz w:val="18"/>
                                <w:szCs w:val="18"/>
                              </w:rPr>
                            </w:pPr>
                            <w:r w:rsidRPr="003E3D16">
                              <w:rPr>
                                <w:b/>
                                <w:color w:val="595959"/>
                                <w:sz w:val="18"/>
                                <w:szCs w:val="18"/>
                              </w:rPr>
                              <w:t>Rejestracja</w:t>
                            </w:r>
                            <w:r w:rsidRPr="003E3D16">
                              <w:rPr>
                                <w:color w:val="595959"/>
                                <w:sz w:val="18"/>
                                <w:szCs w:val="18"/>
                              </w:rPr>
                              <w:t xml:space="preserve"> — przed złożeniem wniosku wszyscy beneficjenci, podmioty stowarzyszone i partnerzy stowarzyszeni muszą być zarejestrowani w </w:t>
                            </w:r>
                            <w:hyperlink r:id="rId60" w:history="1">
                              <w:r w:rsidRPr="003E3D16">
                                <w:rPr>
                                  <w:rStyle w:val="Hyperlink"/>
                                  <w:sz w:val="18"/>
                                  <w:szCs w:val="18"/>
                                </w:rPr>
                                <w:t>rejestrze uczestników</w:t>
                              </w:r>
                            </w:hyperlink>
                            <w:r w:rsidRPr="003E3D16">
                              <w:rPr>
                                <w:color w:val="595959"/>
                                <w:sz w:val="18"/>
                                <w:szCs w:val="18"/>
                              </w:rPr>
                              <w:t>. W formularzu wniosku należy podać kod identyfikacyjny uczestnika (PIC), jeden dla każdego uczestnika.</w:t>
                            </w:r>
                          </w:p>
                          <w:p w14:paraId="7DA3CC4C" w14:textId="77777777" w:rsidR="00E02E47" w:rsidRPr="003E3D16" w:rsidRDefault="00E02E47" w:rsidP="00E02E47">
                            <w:pPr>
                              <w:numPr>
                                <w:ilvl w:val="0"/>
                                <w:numId w:val="25"/>
                              </w:numPr>
                              <w:spacing w:after="120"/>
                              <w:ind w:left="567" w:right="79" w:hanging="445"/>
                              <w:rPr>
                                <w:rFonts w:cs="Arial"/>
                                <w:iCs/>
                                <w:color w:val="595959"/>
                                <w:sz w:val="18"/>
                                <w:szCs w:val="18"/>
                              </w:rPr>
                            </w:pPr>
                            <w:r w:rsidRPr="003E3D16">
                              <w:rPr>
                                <w:b/>
                                <w:iCs/>
                                <w:color w:val="595959"/>
                                <w:sz w:val="18"/>
                                <w:szCs w:val="18"/>
                              </w:rPr>
                              <w:t>Role w ramach konsorcjum</w:t>
                            </w:r>
                            <w:r w:rsidRPr="003E3D16">
                              <w:rPr>
                                <w:iCs/>
                                <w:color w:val="595959"/>
                                <w:sz w:val="18"/>
                                <w:szCs w:val="18"/>
                              </w:rPr>
                              <w:t xml:space="preserve"> — ustalając skład konsorcjum, należy brać pod uwagę organizacje, które pomogą w osiągnięciu celów i rozwiązaniu problemów.</w:t>
                            </w:r>
                          </w:p>
                          <w:p w14:paraId="0FE17181" w14:textId="77777777" w:rsidR="00E02E47" w:rsidRPr="003E3D16" w:rsidRDefault="00E02E47" w:rsidP="00E02E47">
                            <w:pPr>
                              <w:spacing w:after="120"/>
                              <w:ind w:left="567" w:right="79"/>
                              <w:rPr>
                                <w:rFonts w:eastAsia="Calibri"/>
                                <w:sz w:val="18"/>
                                <w:szCs w:val="18"/>
                              </w:rPr>
                            </w:pPr>
                            <w:r w:rsidRPr="003E3D16">
                              <w:rPr>
                                <w:color w:val="595959"/>
                                <w:sz w:val="18"/>
                                <w:szCs w:val="18"/>
                              </w:rPr>
                              <w:t xml:space="preserve">Role należy przydzielać według poziomu uczestnictwa w projekcie. Główni uczestnicy powinni brać udział jako </w:t>
                            </w:r>
                            <w:r w:rsidRPr="003E3D16">
                              <w:rPr>
                                <w:b/>
                                <w:color w:val="595959"/>
                                <w:sz w:val="18"/>
                                <w:szCs w:val="18"/>
                              </w:rPr>
                              <w:t>beneficjenci</w:t>
                            </w:r>
                            <w:r w:rsidRPr="003E3D16">
                              <w:rPr>
                                <w:color w:val="595959"/>
                                <w:sz w:val="18"/>
                                <w:szCs w:val="18"/>
                              </w:rPr>
                              <w:t xml:space="preserve"> lub </w:t>
                            </w:r>
                            <w:r w:rsidRPr="003E3D16">
                              <w:rPr>
                                <w:b/>
                                <w:bCs/>
                                <w:color w:val="595959"/>
                                <w:sz w:val="18"/>
                                <w:szCs w:val="18"/>
                              </w:rPr>
                              <w:t>podmioty stowarzyszone</w:t>
                            </w:r>
                            <w:r w:rsidRPr="003E3D16">
                              <w:rPr>
                                <w:color w:val="595959"/>
                                <w:sz w:val="18"/>
                                <w:szCs w:val="18"/>
                              </w:rPr>
                              <w:t xml:space="preserve">; inne podmioty mogą brać udział jako partnerzy stowarzyszeni, podwykonawcy, osoby trzecie wnoszące wkład rzeczowy. </w:t>
                            </w:r>
                            <w:r w:rsidRPr="003E3D16">
                              <w:rPr>
                                <w:b/>
                                <w:color w:val="595959"/>
                                <w:sz w:val="18"/>
                                <w:szCs w:val="18"/>
                              </w:rPr>
                              <w:t>Partnerzy stowarzyszeni</w:t>
                            </w:r>
                            <w:r w:rsidRPr="003E3D16">
                              <w:rPr>
                                <w:color w:val="595959"/>
                                <w:sz w:val="18"/>
                                <w:szCs w:val="18"/>
                              </w:rPr>
                              <w:t xml:space="preserve"> oraz osoby trzecie wnoszące wkład rzeczowy powinny ponosić swoje własne koszty (nie staną się formalnymi odbiorcami finansowania UE). </w:t>
                            </w:r>
                            <w:r w:rsidRPr="003E3D16">
                              <w:rPr>
                                <w:b/>
                                <w:color w:val="595959"/>
                                <w:sz w:val="18"/>
                                <w:szCs w:val="18"/>
                              </w:rPr>
                              <w:t>Podwykonawstwo</w:t>
                            </w:r>
                            <w:r w:rsidRPr="003E3D16">
                              <w:rPr>
                                <w:color w:val="595959"/>
                                <w:sz w:val="18"/>
                                <w:szCs w:val="18"/>
                              </w:rPr>
                              <w:t xml:space="preserve"> powinno zwykle stanowić ograniczoną część i musi być realizowane przez osoby trzecie (a nie przez jednego z beneficjentów/podmioty stowarzyszone). We wniosku należy uzasadnić podwykonawstwo, które przekracza 30% całkowitych kosztów kwalifikowalnych.</w:t>
                            </w:r>
                          </w:p>
                          <w:p w14:paraId="56CC18EF" w14:textId="77777777" w:rsidR="00E02E47" w:rsidRPr="003E3D16" w:rsidRDefault="00E02E47" w:rsidP="00E02E47">
                            <w:pPr>
                              <w:numPr>
                                <w:ilvl w:val="0"/>
                                <w:numId w:val="25"/>
                              </w:numPr>
                              <w:ind w:left="567" w:right="78" w:hanging="445"/>
                              <w:rPr>
                                <w:rFonts w:cs="Arial"/>
                                <w:iCs/>
                                <w:color w:val="595959"/>
                                <w:sz w:val="18"/>
                                <w:szCs w:val="18"/>
                              </w:rPr>
                            </w:pPr>
                            <w:r w:rsidRPr="003E3D16">
                              <w:rPr>
                                <w:b/>
                                <w:color w:val="595959"/>
                                <w:sz w:val="18"/>
                                <w:szCs w:val="18"/>
                              </w:rPr>
                              <w:t xml:space="preserve">Koordynator — </w:t>
                            </w:r>
                            <w:r w:rsidRPr="003E3D16">
                              <w:rPr>
                                <w:color w:val="595959"/>
                                <w:sz w:val="18"/>
                                <w:szCs w:val="18"/>
                              </w:rPr>
                              <w:t>w dotacjach przeznaczonych dla wielu beneficjentów beneficjenci uczestniczą jako konsorcjum (grupa beneficjentów). Będą oni musieli wyznaczyć koordynatora, który zajmie się zarządzaniem projektem i jego koordynacją, a także będzie reprezentował konsorcjum wobec organu przyznającego. W dotacjach przeznaczonych dla jednego beneficjenta beneficjent ten automatycznie staje się koordynatorem.</w:t>
                            </w:r>
                          </w:p>
                          <w:p w14:paraId="6EE57611" w14:textId="77777777" w:rsidR="00E02E47" w:rsidRPr="003E3D16" w:rsidRDefault="00E02E47" w:rsidP="00E02E47">
                            <w:pPr>
                              <w:numPr>
                                <w:ilvl w:val="0"/>
                                <w:numId w:val="25"/>
                              </w:numPr>
                              <w:ind w:left="567" w:right="78" w:hanging="445"/>
                              <w:rPr>
                                <w:rFonts w:eastAsia="Verdana" w:cs="Verdana"/>
                                <w:color w:val="595959"/>
                                <w:sz w:val="18"/>
                                <w:szCs w:val="18"/>
                              </w:rPr>
                            </w:pPr>
                            <w:r w:rsidRPr="003E3D16">
                              <w:rPr>
                                <w:b/>
                                <w:color w:val="595959"/>
                                <w:sz w:val="18"/>
                                <w:szCs w:val="18"/>
                              </w:rPr>
                              <w:t xml:space="preserve">Podmioty stowarzyszone </w:t>
                            </w:r>
                            <w:r w:rsidRPr="003E3D16">
                              <w:rPr>
                                <w:color w:val="595959"/>
                                <w:sz w:val="18"/>
                                <w:szCs w:val="18"/>
                              </w:rPr>
                              <w:t>— wnioskodawcy mogą uczestniczyć wraz z podmiotami stowarzyszonymi (tj. podmiotami stowarzyszonymi z beneficjentem, które uczestniczą w działaniu na podobnych prawach i z podobnymi obowiązkami jak beneficjenci, ale nie podpisują umowy o udzielenie dotacji i w związku z tym nie stają się beneficjentami. Otrzymają one część środków finansowych z dotacji i w związku z tym muszą spełnić wszystkie warunki zaproszenia i zostać zatwierdzone (tak jak beneficjenci); nie zaliczają się one jednak do minimalnych kryteriów kwalifikowalności dla składu konsorcjum (jeśli takie istnieją).</w:t>
                            </w:r>
                          </w:p>
                          <w:p w14:paraId="73EF63EE" w14:textId="77777777" w:rsidR="00E02E47" w:rsidRPr="003E3D16" w:rsidRDefault="00E02E47" w:rsidP="00E02E47">
                            <w:pPr>
                              <w:numPr>
                                <w:ilvl w:val="0"/>
                                <w:numId w:val="25"/>
                              </w:numPr>
                              <w:ind w:left="567" w:right="78" w:hanging="445"/>
                              <w:rPr>
                                <w:rFonts w:eastAsia="Verdana" w:cs="Verdana"/>
                                <w:color w:val="595959"/>
                                <w:sz w:val="18"/>
                                <w:szCs w:val="18"/>
                              </w:rPr>
                            </w:pPr>
                            <w:r w:rsidRPr="003E3D16">
                              <w:rPr>
                                <w:b/>
                                <w:color w:val="595959"/>
                                <w:sz w:val="18"/>
                                <w:szCs w:val="18"/>
                              </w:rPr>
                              <w:t xml:space="preserve">Partnerzy stowarzyszeni </w:t>
                            </w:r>
                            <w:r w:rsidRPr="003E3D16">
                              <w:rPr>
                                <w:color w:val="595959"/>
                                <w:sz w:val="18"/>
                                <w:szCs w:val="18"/>
                              </w:rPr>
                              <w:t>— wnioskodawcy mogą uczestniczyć wraz z partnerami stowarzyszonymi (tj. organizacjami partnerskimi, które uczestniczą w działaniu bez prawa do otrzymania pieniędzy z dotacji). Ich udział nie wiąże się z finansowaniem, dlatego nie podlegają oni weryfikacji.</w:t>
                            </w:r>
                          </w:p>
                          <w:p w14:paraId="41D9A81B" w14:textId="77777777" w:rsidR="00E02E47" w:rsidRPr="003E3D16" w:rsidRDefault="00E02E47" w:rsidP="00E02E47">
                            <w:pPr>
                              <w:numPr>
                                <w:ilvl w:val="0"/>
                                <w:numId w:val="25"/>
                              </w:numPr>
                              <w:ind w:left="567" w:right="79" w:hanging="445"/>
                              <w:rPr>
                                <w:rFonts w:cs="Arial"/>
                                <w:color w:val="595959"/>
                                <w:sz w:val="18"/>
                                <w:szCs w:val="18"/>
                              </w:rPr>
                            </w:pPr>
                            <w:r w:rsidRPr="003E3D16">
                              <w:rPr>
                                <w:b/>
                                <w:color w:val="595959"/>
                                <w:sz w:val="18"/>
                                <w:szCs w:val="18"/>
                              </w:rPr>
                              <w:t xml:space="preserve">Umowa konsorcjum </w:t>
                            </w:r>
                            <w:r w:rsidRPr="003E3D16">
                              <w:rPr>
                                <w:color w:val="595959"/>
                                <w:sz w:val="18"/>
                                <w:szCs w:val="18"/>
                              </w:rPr>
                              <w:t>— Ze względów praktycznych i prawnych zaleca się zawarcie wewnętrznych umów, które pozwolą poradzić sobie z sytuacjami wyjątkowymi lub nieprzewidzianymi (we wszystkich przypadkach, nie tylko wtedy, gdy wymaga tego umowa o udzielenie dotacji). Umowa konsorcjum daje również możliwość podziału pieniędzy z dotacji według zasad i parametrów ustalonych w ramach konsorcjum (na przykład jeden beneficjent może przekazać swoje pieniądze z dotacji innemu beneficjentowi). Umowa konsorcjum umożliwia zatem dostosowanie dotacji UE do wewnętrznych potrzeb konsorcjum i może również pomóc w obronie własnych interesów w razie sporów.</w:t>
                            </w:r>
                          </w:p>
                        </w:txbxContent>
                      </wps:txbx>
                      <wps:bodyPr rot="0" vert="horz" wrap="square" lIns="91440" tIns="45720" rIns="91440" bIns="45720" anchor="t" anchorCtr="0" upright="1">
                        <a:noAutofit/>
                      </wps:bodyPr>
                    </wps:wsp>
                  </a:graphicData>
                </a:graphic>
              </wp:inline>
            </w:drawing>
          </mc:Choice>
          <mc:Fallback>
            <w:pict>
              <v:shapetype w14:anchorId="2AA15A6D" id="_x0000_t202" coordsize="21600,21600" o:spt="202" path="m,l,21600r21600,l21600,xe">
                <v:stroke joinstyle="miter"/>
                <v:path gradientshapeok="t" o:connecttype="rect"/>
              </v:shapetype>
              <v:shape id="Text Box 85" o:spid="_x0000_s1026" type="#_x0000_t202" style="width:430.95pt;height:6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" fillcolor="#f2f2f2" strokecolor="#bfbfbf" strokeweight="1.5pt">
                <v:textbox>
                  <w:txbxContent>
                    <w:p w14:paraId="6B03D364" w14:textId="77777777" w:rsidR="00E02E47" w:rsidRPr="003E3D16" w:rsidRDefault="00E02E47" w:rsidP="00E02E47">
                      <w:pPr>
                        <w:pStyle w:val="Text1"/>
                        <w:spacing w:before="120" w:after="120"/>
                        <w:ind w:left="0"/>
                        <w:rPr>
                          <w:rFonts w:cs="Arial"/>
                          <w:color w:val="595959"/>
                          <w:sz w:val="16"/>
                          <w:szCs w:val="18"/>
                        </w:rPr>
                      </w:pPr>
                      <w:r w:rsidRPr="003E3D16">
                        <w:rPr>
                          <w:b/>
                          <w:noProof/>
                          <w:color w:val="7F7F7F"/>
                          <w:sz w:val="18"/>
                          <w:szCs w:val="21"/>
                          <w:lang w:val="en-IE" w:eastAsia="en-IE"/>
                        </w:rPr>
                        <w:drawing>
                          <wp:inline distT="0" distB="0" distL="0" distR="0" wp14:anchorId="5612FD62" wp14:editId="318F6FD2">
                            <wp:extent cx="187960" cy="187960"/>
                            <wp:effectExtent l="0" t="0" r="0" b="0"/>
                            <wp:docPr id="12" name="Picture 1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rni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3E3D16">
                        <w:rPr>
                          <w:sz w:val="18"/>
                          <w:szCs w:val="18"/>
                        </w:rPr>
                        <w:t xml:space="preserve"> </w:t>
                      </w:r>
                      <w:r w:rsidRPr="003E3D16">
                        <w:rPr>
                          <w:b/>
                          <w:color w:val="595959"/>
                          <w:sz w:val="18"/>
                          <w:szCs w:val="18"/>
                        </w:rPr>
                        <w:t xml:space="preserve">WAŻNE </w:t>
                      </w:r>
                    </w:p>
                    <w:p w14:paraId="0CD199A5" w14:textId="77777777" w:rsidR="00E02E47" w:rsidRPr="003E3D16" w:rsidRDefault="00E02E47" w:rsidP="00E02E47">
                      <w:pPr>
                        <w:numPr>
                          <w:ilvl w:val="0"/>
                          <w:numId w:val="25"/>
                        </w:numPr>
                        <w:spacing w:after="120"/>
                        <w:ind w:left="567" w:right="79" w:hanging="447"/>
                        <w:rPr>
                          <w:color w:val="595959"/>
                          <w:sz w:val="18"/>
                          <w:szCs w:val="18"/>
                        </w:rPr>
                      </w:pPr>
                      <w:r w:rsidRPr="003E3D16">
                        <w:rPr>
                          <w:b/>
                          <w:color w:val="595959"/>
                          <w:sz w:val="18"/>
                          <w:szCs w:val="18"/>
                        </w:rPr>
                        <w:t>Nie czekaj do ostatniej chwili –</w:t>
                      </w:r>
                      <w:r w:rsidRPr="003E3D16">
                        <w:rPr>
                          <w:color w:val="595959"/>
                          <w:sz w:val="18"/>
                          <w:szCs w:val="18"/>
                        </w:rPr>
                        <w:t xml:space="preserve"> wypełnij wniosek wystarczająco wcześniej przed upływem terminu, aby uniknąć </w:t>
                      </w:r>
                      <w:r w:rsidRPr="003E3D16">
                        <w:rPr>
                          <w:b/>
                          <w:color w:val="595959"/>
                          <w:sz w:val="18"/>
                          <w:szCs w:val="18"/>
                        </w:rPr>
                        <w:t>problemów technicznych</w:t>
                      </w:r>
                      <w:r w:rsidRPr="003E3D16">
                        <w:rPr>
                          <w:color w:val="595959"/>
                          <w:sz w:val="18"/>
                          <w:szCs w:val="18"/>
                        </w:rPr>
                        <w:t xml:space="preserve">, które mogą się pojawić w ostatniej chwili. Ryzyko związane ze składaniem wniosku w ostatniej chwili </w:t>
                      </w:r>
                      <w:r w:rsidRPr="003E3D16">
                        <w:rPr>
                          <w:i/>
                          <w:color w:val="595959"/>
                          <w:sz w:val="18"/>
                          <w:szCs w:val="18"/>
                        </w:rPr>
                        <w:t>(np. przeciążenie systemu itp.)</w:t>
                      </w:r>
                      <w:r w:rsidRPr="003E3D16">
                        <w:rPr>
                          <w:color w:val="595959"/>
                          <w:sz w:val="18"/>
                          <w:szCs w:val="18"/>
                        </w:rPr>
                        <w:t xml:space="preserve"> w całości obciąża ciebie. NIE ma możliwości przedłużenia terminów.</w:t>
                      </w:r>
                    </w:p>
                    <w:p w14:paraId="5FFFFB39" w14:textId="77777777" w:rsidR="00E02E47" w:rsidRPr="003E3D16" w:rsidRDefault="00E02E47" w:rsidP="00E02E47">
                      <w:pPr>
                        <w:numPr>
                          <w:ilvl w:val="0"/>
                          <w:numId w:val="25"/>
                        </w:numPr>
                        <w:ind w:left="567" w:right="79" w:hanging="447"/>
                        <w:rPr>
                          <w:color w:val="595959"/>
                          <w:sz w:val="18"/>
                          <w:szCs w:val="18"/>
                        </w:rPr>
                      </w:pPr>
                      <w:r w:rsidRPr="003E3D16">
                        <w:rPr>
                          <w:color w:val="595959"/>
                          <w:sz w:val="18"/>
                          <w:szCs w:val="18"/>
                        </w:rPr>
                        <w:t xml:space="preserve">Regularnie </w:t>
                      </w:r>
                      <w:r w:rsidRPr="003E3D16">
                        <w:rPr>
                          <w:b/>
                          <w:color w:val="595959"/>
                          <w:sz w:val="18"/>
                          <w:szCs w:val="18"/>
                        </w:rPr>
                        <w:t>sprawdzaj</w:t>
                      </w:r>
                      <w:r w:rsidRPr="003E3D16">
                        <w:rPr>
                          <w:color w:val="595959"/>
                          <w:sz w:val="18"/>
                          <w:szCs w:val="18"/>
                        </w:rPr>
                        <w:t xml:space="preserve"> stronę tematu w portalu. Tam będziemy publikować aktualności i dodatkowe informacje dotyczące zaproszenia (aktualności dotyczące zaproszenia i tematu).</w:t>
                      </w:r>
                    </w:p>
                    <w:p w14:paraId="7A55A0F4" w14:textId="33BB8FDE" w:rsidR="00E02E47" w:rsidRPr="003E3D16" w:rsidRDefault="00E02E47" w:rsidP="00E02E47">
                      <w:pPr>
                        <w:numPr>
                          <w:ilvl w:val="0"/>
                          <w:numId w:val="25"/>
                        </w:numPr>
                        <w:ind w:left="567" w:right="79" w:hanging="447"/>
                        <w:rPr>
                          <w:rFonts w:cs="Arial"/>
                          <w:color w:val="595959"/>
                          <w:sz w:val="18"/>
                          <w:szCs w:val="18"/>
                        </w:rPr>
                      </w:pPr>
                      <w:r w:rsidRPr="003E3D16">
                        <w:rPr>
                          <w:color w:val="595959"/>
                          <w:sz w:val="18"/>
                          <w:szCs w:val="18"/>
                        </w:rPr>
                        <w:t>Elektroniczny system wymiany informacji w portalu Funding and Tenders —</w:t>
                      </w:r>
                      <w:r w:rsidRPr="003E3D16">
                        <w:rPr>
                          <w:color w:val="595959"/>
                        </w:rPr>
                        <w:t xml:space="preserve"> Składając wniosek, wszyscy uczestnicy </w:t>
                      </w:r>
                      <w:r w:rsidRPr="003E3D16">
                        <w:rPr>
                          <w:b/>
                          <w:color w:val="595959"/>
                        </w:rPr>
                        <w:t>wyrażają zgodę</w:t>
                      </w:r>
                      <w:r w:rsidRPr="003E3D16">
                        <w:rPr>
                          <w:color w:val="595959"/>
                        </w:rPr>
                        <w:t xml:space="preserve"> na korzystanie z elektronicznego systemu wymiany informacji zgodnie z postanowieniami </w:t>
                      </w:r>
                      <w:hyperlink r:id="rId62" w:history="1">
                        <w:r w:rsidRPr="003E3D16">
                          <w:rPr>
                            <w:rStyle w:val="Hyperlink"/>
                            <w:sz w:val="18"/>
                            <w:szCs w:val="18"/>
                          </w:rPr>
                          <w:t>regulaminu portalu</w:t>
                        </w:r>
                      </w:hyperlink>
                      <w:r w:rsidRPr="003E3D16">
                        <w:rPr>
                          <w:color w:val="7F7F7F"/>
                          <w:sz w:val="18"/>
                          <w:szCs w:val="18"/>
                        </w:rPr>
                        <w:t>.</w:t>
                      </w:r>
                    </w:p>
                    <w:p w14:paraId="420CBC62" w14:textId="3D8B1708" w:rsidR="00E02E47" w:rsidRPr="003E3D16" w:rsidRDefault="00E02E47" w:rsidP="00E02E47">
                      <w:pPr>
                        <w:numPr>
                          <w:ilvl w:val="0"/>
                          <w:numId w:val="25"/>
                        </w:numPr>
                        <w:ind w:left="567" w:right="79" w:hanging="447"/>
                        <w:rPr>
                          <w:rFonts w:cs="Arial"/>
                          <w:color w:val="595959"/>
                          <w:sz w:val="18"/>
                          <w:szCs w:val="18"/>
                        </w:rPr>
                      </w:pPr>
                      <w:r w:rsidRPr="003E3D16">
                        <w:rPr>
                          <w:b/>
                          <w:color w:val="595959"/>
                          <w:sz w:val="18"/>
                          <w:szCs w:val="18"/>
                        </w:rPr>
                        <w:t>Rejestracja</w:t>
                      </w:r>
                      <w:r w:rsidRPr="003E3D16">
                        <w:rPr>
                          <w:color w:val="595959"/>
                          <w:sz w:val="18"/>
                          <w:szCs w:val="18"/>
                        </w:rPr>
                        <w:t xml:space="preserve"> — przed złożeniem wniosku wszyscy beneficjenci, podmioty stowarzyszone i partnerzy stowarzyszeni muszą być zarejestrowani w </w:t>
                      </w:r>
                      <w:hyperlink r:id="rId63" w:history="1">
                        <w:r w:rsidRPr="003E3D16">
                          <w:rPr>
                            <w:rStyle w:val="Hyperlink"/>
                            <w:sz w:val="18"/>
                            <w:szCs w:val="18"/>
                          </w:rPr>
                          <w:t>rejestrze uczestników</w:t>
                        </w:r>
                      </w:hyperlink>
                      <w:r w:rsidRPr="003E3D16">
                        <w:rPr>
                          <w:color w:val="595959"/>
                          <w:sz w:val="18"/>
                          <w:szCs w:val="18"/>
                        </w:rPr>
                        <w:t>. W formularzu wniosku należy podać kod identyfikacyjny uczestnika (PIC), jeden dla każdego uczestnika.</w:t>
                      </w:r>
                    </w:p>
                    <w:p w14:paraId="7DA3CC4C" w14:textId="77777777" w:rsidR="00E02E47" w:rsidRPr="003E3D16" w:rsidRDefault="00E02E47" w:rsidP="00E02E47">
                      <w:pPr>
                        <w:numPr>
                          <w:ilvl w:val="0"/>
                          <w:numId w:val="25"/>
                        </w:numPr>
                        <w:spacing w:after="120"/>
                        <w:ind w:left="567" w:right="79" w:hanging="445"/>
                        <w:rPr>
                          <w:rFonts w:cs="Arial"/>
                          <w:iCs/>
                          <w:color w:val="595959"/>
                          <w:sz w:val="18"/>
                          <w:szCs w:val="18"/>
                        </w:rPr>
                      </w:pPr>
                      <w:r w:rsidRPr="003E3D16">
                        <w:rPr>
                          <w:b/>
                          <w:iCs/>
                          <w:color w:val="595959"/>
                          <w:sz w:val="18"/>
                          <w:szCs w:val="18"/>
                        </w:rPr>
                        <w:t>Role w ramach konsorcjum</w:t>
                      </w:r>
                      <w:r w:rsidRPr="003E3D16">
                        <w:rPr>
                          <w:iCs/>
                          <w:color w:val="595959"/>
                          <w:sz w:val="18"/>
                          <w:szCs w:val="18"/>
                        </w:rPr>
                        <w:t xml:space="preserve"> — ustalając skład konsorcjum, należy brać pod uwagę organizacje, które pomogą w osiągnięciu celów i rozwiązaniu problemów.</w:t>
                      </w:r>
                    </w:p>
                    <w:p w14:paraId="0FE17181" w14:textId="77777777" w:rsidR="00E02E47" w:rsidRPr="003E3D16" w:rsidRDefault="00E02E47" w:rsidP="00E02E47">
                      <w:pPr>
                        <w:spacing w:after="120"/>
                        <w:ind w:left="567" w:right="79"/>
                        <w:rPr>
                          <w:rFonts w:eastAsia="Calibri"/>
                          <w:sz w:val="18"/>
                          <w:szCs w:val="18"/>
                        </w:rPr>
                      </w:pPr>
                      <w:r w:rsidRPr="003E3D16">
                        <w:rPr>
                          <w:color w:val="595959"/>
                          <w:sz w:val="18"/>
                          <w:szCs w:val="18"/>
                        </w:rPr>
                        <w:t xml:space="preserve">Role należy przydzielać według poziomu uczestnictwa w projekcie. Główni uczestnicy powinni brać udział jako </w:t>
                      </w:r>
                      <w:r w:rsidRPr="003E3D16">
                        <w:rPr>
                          <w:b/>
                          <w:color w:val="595959"/>
                          <w:sz w:val="18"/>
                          <w:szCs w:val="18"/>
                        </w:rPr>
                        <w:t>beneficjenci</w:t>
                      </w:r>
                      <w:r w:rsidRPr="003E3D16">
                        <w:rPr>
                          <w:color w:val="595959"/>
                          <w:sz w:val="18"/>
                          <w:szCs w:val="18"/>
                        </w:rPr>
                        <w:t xml:space="preserve"> lub </w:t>
                      </w:r>
                      <w:r w:rsidRPr="003E3D16">
                        <w:rPr>
                          <w:b/>
                          <w:bCs/>
                          <w:color w:val="595959"/>
                          <w:sz w:val="18"/>
                          <w:szCs w:val="18"/>
                        </w:rPr>
                        <w:t>podmioty stowarzyszone</w:t>
                      </w:r>
                      <w:r w:rsidRPr="003E3D16">
                        <w:rPr>
                          <w:color w:val="595959"/>
                          <w:sz w:val="18"/>
                          <w:szCs w:val="18"/>
                        </w:rPr>
                        <w:t xml:space="preserve">; inne podmioty mogą brać udział jako partnerzy stowarzyszeni, podwykonawcy, osoby trzecie wnoszące wkład rzeczowy. </w:t>
                      </w:r>
                      <w:r w:rsidRPr="003E3D16">
                        <w:rPr>
                          <w:b/>
                          <w:color w:val="595959"/>
                          <w:sz w:val="18"/>
                          <w:szCs w:val="18"/>
                        </w:rPr>
                        <w:t>Partnerzy stowarzyszeni</w:t>
                      </w:r>
                      <w:r w:rsidRPr="003E3D16">
                        <w:rPr>
                          <w:color w:val="595959"/>
                          <w:sz w:val="18"/>
                          <w:szCs w:val="18"/>
                        </w:rPr>
                        <w:t xml:space="preserve"> oraz osoby trzecie wnoszące wkład rzeczowy powinny ponosić swoje własne koszty (nie staną się formalnymi odbiorcami finansowania UE). </w:t>
                      </w:r>
                      <w:r w:rsidRPr="003E3D16">
                        <w:rPr>
                          <w:b/>
                          <w:color w:val="595959"/>
                          <w:sz w:val="18"/>
                          <w:szCs w:val="18"/>
                        </w:rPr>
                        <w:t>Podwykonawstwo</w:t>
                      </w:r>
                      <w:r w:rsidRPr="003E3D16">
                        <w:rPr>
                          <w:color w:val="595959"/>
                          <w:sz w:val="18"/>
                          <w:szCs w:val="18"/>
                        </w:rPr>
                        <w:t xml:space="preserve"> powinno zwykle stanowić ograniczoną część i musi być realizowane przez osoby trzecie (a nie przez jednego z beneficjentów/podmioty stowarzyszone). We wniosku należy uzasadnić podwykonawstwo, które przekracza 30% całkowitych kosztów kwalifikowalnych.</w:t>
                      </w:r>
                    </w:p>
                    <w:p w14:paraId="56CC18EF" w14:textId="77777777" w:rsidR="00E02E47" w:rsidRPr="003E3D16" w:rsidRDefault="00E02E47" w:rsidP="00E02E47">
                      <w:pPr>
                        <w:numPr>
                          <w:ilvl w:val="0"/>
                          <w:numId w:val="25"/>
                        </w:numPr>
                        <w:ind w:left="567" w:right="78" w:hanging="445"/>
                        <w:rPr>
                          <w:rFonts w:cs="Arial"/>
                          <w:iCs/>
                          <w:color w:val="595959"/>
                          <w:sz w:val="18"/>
                          <w:szCs w:val="18"/>
                        </w:rPr>
                      </w:pPr>
                      <w:r w:rsidRPr="003E3D16">
                        <w:rPr>
                          <w:b/>
                          <w:color w:val="595959"/>
                          <w:sz w:val="18"/>
                          <w:szCs w:val="18"/>
                        </w:rPr>
                        <w:t xml:space="preserve">Koordynator — </w:t>
                      </w:r>
                      <w:r w:rsidRPr="003E3D16">
                        <w:rPr>
                          <w:color w:val="595959"/>
                          <w:sz w:val="18"/>
                          <w:szCs w:val="18"/>
                        </w:rPr>
                        <w:t>w dotacjach przeznaczonych dla wielu beneficjentów beneficjenci uczestniczą jako konsorcjum (grupa beneficjentów). Będą oni musieli wyznaczyć koordynatora, który zajmie się zarządzaniem projektem i jego koordynacją, a także będzie reprezentował konsorcjum wobec organu przyznającego. W dotacjach przeznaczonych dla jednego beneficjenta beneficjent ten automatycznie staje się koordynatorem.</w:t>
                      </w:r>
                    </w:p>
                    <w:p w14:paraId="6EE57611" w14:textId="77777777" w:rsidR="00E02E47" w:rsidRPr="003E3D16" w:rsidRDefault="00E02E47" w:rsidP="00E02E47">
                      <w:pPr>
                        <w:numPr>
                          <w:ilvl w:val="0"/>
                          <w:numId w:val="25"/>
                        </w:numPr>
                        <w:ind w:left="567" w:right="78" w:hanging="445"/>
                        <w:rPr>
                          <w:rFonts w:eastAsia="Verdana" w:cs="Verdana"/>
                          <w:color w:val="595959"/>
                          <w:sz w:val="18"/>
                          <w:szCs w:val="18"/>
                        </w:rPr>
                      </w:pPr>
                      <w:r w:rsidRPr="003E3D16">
                        <w:rPr>
                          <w:b/>
                          <w:color w:val="595959"/>
                          <w:sz w:val="18"/>
                          <w:szCs w:val="18"/>
                        </w:rPr>
                        <w:t xml:space="preserve">Podmioty stowarzyszone </w:t>
                      </w:r>
                      <w:r w:rsidRPr="003E3D16">
                        <w:rPr>
                          <w:color w:val="595959"/>
                          <w:sz w:val="18"/>
                          <w:szCs w:val="18"/>
                        </w:rPr>
                        <w:t>— wnioskodawcy mogą uczestniczyć wraz z podmiotami stowarzyszonymi (tj. podmiotami stowarzyszonymi z beneficjentem, które uczestniczą w działaniu na podobnych prawach i z podobnymi obowiązkami jak beneficjenci, ale nie podpisują umowy o udzielenie dotacji i w związku z tym nie stają się beneficjentami. Otrzymają one część środków finansowych z dotacji i w związku z tym muszą spełnić wszystkie warunki zaproszenia i zostać zatwierdzone (tak jak beneficjenci); nie zaliczają się one jednak do minimalnych kryteriów kwalifikowalności dla składu konsorcjum (jeśli takie istnieją).</w:t>
                      </w:r>
                    </w:p>
                    <w:p w14:paraId="73EF63EE" w14:textId="77777777" w:rsidR="00E02E47" w:rsidRPr="003E3D16" w:rsidRDefault="00E02E47" w:rsidP="00E02E47">
                      <w:pPr>
                        <w:numPr>
                          <w:ilvl w:val="0"/>
                          <w:numId w:val="25"/>
                        </w:numPr>
                        <w:ind w:left="567" w:right="78" w:hanging="445"/>
                        <w:rPr>
                          <w:rFonts w:eastAsia="Verdana" w:cs="Verdana"/>
                          <w:color w:val="595959"/>
                          <w:sz w:val="18"/>
                          <w:szCs w:val="18"/>
                        </w:rPr>
                      </w:pPr>
                      <w:r w:rsidRPr="003E3D16">
                        <w:rPr>
                          <w:b/>
                          <w:color w:val="595959"/>
                          <w:sz w:val="18"/>
                          <w:szCs w:val="18"/>
                        </w:rPr>
                        <w:t xml:space="preserve">Partnerzy stowarzyszeni </w:t>
                      </w:r>
                      <w:r w:rsidRPr="003E3D16">
                        <w:rPr>
                          <w:color w:val="595959"/>
                          <w:sz w:val="18"/>
                          <w:szCs w:val="18"/>
                        </w:rPr>
                        <w:t>— wnioskodawcy mogą uczestniczyć wraz z partnerami stowarzyszonymi (tj. organizacjami partnerskimi, które uczestniczą w działaniu bez prawa do otrzymania pieniędzy z dotacji). Ich udział nie wiąże się z finansowaniem, dlatego nie podlegają oni weryfikacji.</w:t>
                      </w:r>
                    </w:p>
                    <w:p w14:paraId="41D9A81B" w14:textId="77777777" w:rsidR="00E02E47" w:rsidRPr="003E3D16" w:rsidRDefault="00E02E47" w:rsidP="00E02E47">
                      <w:pPr>
                        <w:numPr>
                          <w:ilvl w:val="0"/>
                          <w:numId w:val="25"/>
                        </w:numPr>
                        <w:ind w:left="567" w:right="79" w:hanging="445"/>
                        <w:rPr>
                          <w:rFonts w:cs="Arial"/>
                          <w:color w:val="595959"/>
                          <w:sz w:val="18"/>
                          <w:szCs w:val="18"/>
                        </w:rPr>
                      </w:pPr>
                      <w:r w:rsidRPr="003E3D16">
                        <w:rPr>
                          <w:b/>
                          <w:color w:val="595959"/>
                          <w:sz w:val="18"/>
                          <w:szCs w:val="18"/>
                        </w:rPr>
                        <w:t xml:space="preserve">Umowa konsorcjum </w:t>
                      </w:r>
                      <w:r w:rsidRPr="003E3D16">
                        <w:rPr>
                          <w:color w:val="595959"/>
                          <w:sz w:val="18"/>
                          <w:szCs w:val="18"/>
                        </w:rPr>
                        <w:t>— Ze względów praktycznych i prawnych zaleca się zawarcie wewnętrznych umów, które pozwolą poradzić sobie z sytuacjami wyjątkowymi lub nieprzewidzianymi (we wszystkich przypadkach, nie tylko wtedy, gdy wymaga tego umowa o udzielenie dotacji). Umowa konsorcjum daje również możliwość podziału pieniędzy z dotacji według zasad i parametrów ustalonych w ramach konsorcjum (na przykład jeden beneficjent może przekazać swoje pieniądze z dotacji innemu beneficjentowi). Umowa konsorcjum umożliwia zatem dostosowanie dotacji UE do wewnętrznych potrzeb konsorcjum i może również pomóc w obronie własnych interesów w razie sporów.</w:t>
                      </w:r>
                    </w:p>
                  </w:txbxContent>
                </v:textbox>
                <w10:anchorlock/>
              </v:shape>
            </w:pict>
          </mc:Fallback>
        </mc:AlternateContent>
      </w:r>
      <w:r w:rsidRPr="003E3D16">
        <w:br w:type="page"/>
      </w:r>
    </w:p>
    <w:p w14:paraId="3FF23AF0" w14:textId="6DD5712C" w:rsidR="000579AF" w:rsidRPr="003E3D16" w:rsidRDefault="000579AF" w:rsidP="00E02E47">
      <w:pPr>
        <w:widowControl w:val="0"/>
        <w:spacing w:after="0"/>
        <w:ind w:right="366"/>
        <w:rPr>
          <w:rFonts w:cs="Arial"/>
        </w:rPr>
      </w:pPr>
    </w:p>
    <w:p w14:paraId="07D7977D" w14:textId="49EE7B21" w:rsidR="000579AF" w:rsidRPr="003E3D16" w:rsidRDefault="00E02E47" w:rsidP="00DC47B2">
      <w:pPr>
        <w:widowControl w:val="0"/>
        <w:ind w:right="366"/>
        <w:rPr>
          <w:rFonts w:cs="Arial"/>
        </w:rPr>
      </w:pPr>
      <w:r w:rsidRPr="003E3D16">
        <w:rPr>
          <w:noProof/>
          <w:lang w:val="fr-BE" w:eastAsia="fr-BE"/>
        </w:rPr>
        <mc:AlternateContent>
          <mc:Choice Requires="wps">
            <w:drawing>
              <wp:inline distT="0" distB="0" distL="0" distR="0" wp14:anchorId="5CF682EB" wp14:editId="673BDFE1">
                <wp:extent cx="5473065" cy="7145079"/>
                <wp:effectExtent l="0" t="0" r="13335" b="17780"/>
                <wp:docPr id="1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7145079"/>
                        </a:xfrm>
                        <a:prstGeom prst="rect">
                          <a:avLst/>
                        </a:prstGeom>
                        <a:solidFill>
                          <a:srgbClr val="F2F2F2"/>
                        </a:solidFill>
                        <a:ln w="19050">
                          <a:solidFill>
                            <a:srgbClr val="BFBFBF"/>
                          </a:solidFill>
                          <a:miter lim="800000"/>
                          <a:headEnd/>
                          <a:tailEnd/>
                        </a:ln>
                      </wps:spPr>
                      <wps:txbx>
                        <w:txbxContent>
                          <w:p w14:paraId="44C0A553" w14:textId="77777777" w:rsidR="00E02E47" w:rsidRPr="003E3D16" w:rsidRDefault="00E02E47" w:rsidP="00E02E47">
                            <w:pPr>
                              <w:numPr>
                                <w:ilvl w:val="0"/>
                                <w:numId w:val="25"/>
                              </w:numPr>
                              <w:ind w:left="567" w:right="78" w:hanging="445"/>
                              <w:rPr>
                                <w:color w:val="595959"/>
                                <w:sz w:val="18"/>
                                <w:szCs w:val="18"/>
                              </w:rPr>
                            </w:pPr>
                            <w:r w:rsidRPr="003E3D16">
                              <w:rPr>
                                <w:b/>
                                <w:color w:val="595959"/>
                                <w:sz w:val="18"/>
                                <w:szCs w:val="18"/>
                              </w:rPr>
                              <w:t>Zrównoważony budżet projektu</w:t>
                            </w:r>
                            <w:r w:rsidRPr="003E3D16">
                              <w:rPr>
                                <w:i/>
                                <w:color w:val="4AA55B"/>
                                <w:sz w:val="18"/>
                                <w:szCs w:val="18"/>
                              </w:rPr>
                              <w:t xml:space="preserve"> </w:t>
                            </w:r>
                            <w:r w:rsidRPr="003E3D16">
                              <w:rPr>
                                <w:b/>
                                <w:color w:val="595959"/>
                                <w:sz w:val="18"/>
                                <w:szCs w:val="18"/>
                              </w:rPr>
                              <w:t>—</w:t>
                            </w:r>
                            <w:r w:rsidRPr="003E3D16">
                              <w:rPr>
                                <w:color w:val="595959"/>
                                <w:sz w:val="18"/>
                                <w:szCs w:val="18"/>
                              </w:rPr>
                              <w:t xml:space="preserve"> wnioski dotacyjne powinny zawierać zrównoważony budżet projektu oraz zasoby odpowiednie do jego pomyślnego wdrożenia </w:t>
                            </w:r>
                            <w:r w:rsidRPr="003E3D16">
                              <w:rPr>
                                <w:i/>
                                <w:color w:val="595959"/>
                                <w:sz w:val="18"/>
                                <w:szCs w:val="18"/>
                              </w:rPr>
                              <w:t>(np. wkłady własne, przychód generowany przez działanie, wkłady finansowe osób trzecich itp.)</w:t>
                            </w:r>
                            <w:r w:rsidRPr="003E3D16">
                              <w:rPr>
                                <w:color w:val="595959"/>
                                <w:sz w:val="18"/>
                                <w:szCs w:val="18"/>
                              </w:rPr>
                              <w:t xml:space="preserve">. W przypadku niekwalifikowalności (lub nadmiernej wysokości) szacowanych kosztów możesz zostać poproszony o ich zmniejszenie. </w:t>
                            </w:r>
                          </w:p>
                          <w:p w14:paraId="2D934BC7" w14:textId="77777777" w:rsidR="00E02E47" w:rsidRPr="003E3D16" w:rsidRDefault="00E02E47" w:rsidP="00E02E47">
                            <w:pPr>
                              <w:numPr>
                                <w:ilvl w:val="0"/>
                                <w:numId w:val="25"/>
                              </w:numPr>
                              <w:ind w:left="567" w:right="78" w:hanging="445"/>
                              <w:rPr>
                                <w:color w:val="595959"/>
                                <w:sz w:val="18"/>
                                <w:szCs w:val="18"/>
                              </w:rPr>
                            </w:pPr>
                            <w:r w:rsidRPr="003E3D16">
                              <w:rPr>
                                <w:b/>
                                <w:color w:val="595959"/>
                                <w:sz w:val="18"/>
                                <w:szCs w:val="18"/>
                              </w:rPr>
                              <w:t xml:space="preserve">Zasada niedochodowości — </w:t>
                            </w:r>
                            <w:r w:rsidRPr="003E3D16">
                              <w:rPr>
                                <w:color w:val="595959"/>
                                <w:sz w:val="18"/>
                                <w:szCs w:val="18"/>
                              </w:rPr>
                              <w:t xml:space="preserve">dotacje NIE mogą przynosić dochodu (tj. nadwyżki sumy przychodów i dotacji UE nad kosztami). Zostanie to przez nas sprawdzone na zakończenie projektu. </w:t>
                            </w:r>
                          </w:p>
                          <w:p w14:paraId="06CED6FB" w14:textId="77777777" w:rsidR="00E02E47" w:rsidRPr="003E3D16" w:rsidRDefault="00E02E47" w:rsidP="00E02E47">
                            <w:pPr>
                              <w:numPr>
                                <w:ilvl w:val="0"/>
                                <w:numId w:val="25"/>
                              </w:numPr>
                              <w:ind w:left="567" w:right="79" w:hanging="445"/>
                              <w:rPr>
                                <w:color w:val="595959"/>
                                <w:sz w:val="18"/>
                                <w:szCs w:val="18"/>
                              </w:rPr>
                            </w:pPr>
                            <w:r w:rsidRPr="003E3D16">
                              <w:rPr>
                                <w:b/>
                                <w:color w:val="595959"/>
                                <w:sz w:val="18"/>
                                <w:szCs w:val="18"/>
                              </w:rPr>
                              <w:t>Zakaz podwójnego finansowania —</w:t>
                            </w:r>
                            <w:r w:rsidRPr="003E3D16">
                              <w:rPr>
                                <w:color w:val="595959"/>
                                <w:sz w:val="18"/>
                                <w:szCs w:val="18"/>
                              </w:rPr>
                              <w:t xml:space="preserve"> obowiązuje surowy zakaz podwójnego finansowania projektów z budżetu UE (z wyjątkiem projektów składanych w ramach działań EU Synergies). Poza działaniami EU Synergies wszystkie działania mogą uzyskać tylko JEDNĄ dotację z budżetu UE, a pozycje kosztów w ŻADNYM wypadku nie mogą być zgłaszane w dwóch różnych działaniach UE.</w:t>
                            </w:r>
                          </w:p>
                          <w:p w14:paraId="481A0BD0" w14:textId="77777777" w:rsidR="00E02E47" w:rsidRPr="003E3D16" w:rsidRDefault="00E02E47" w:rsidP="00E02E47">
                            <w:pPr>
                              <w:numPr>
                                <w:ilvl w:val="0"/>
                                <w:numId w:val="25"/>
                              </w:numPr>
                              <w:ind w:left="567" w:right="78" w:hanging="445"/>
                              <w:rPr>
                                <w:rFonts w:eastAsia="Verdana" w:cs="Verdana"/>
                                <w:color w:val="595959"/>
                                <w:sz w:val="18"/>
                                <w:szCs w:val="18"/>
                              </w:rPr>
                            </w:pPr>
                            <w:r w:rsidRPr="003E3D16">
                              <w:rPr>
                                <w:b/>
                                <w:color w:val="595959"/>
                                <w:sz w:val="18"/>
                                <w:szCs w:val="18"/>
                              </w:rPr>
                              <w:t xml:space="preserve">Projekty ukończone lub trwające — </w:t>
                            </w:r>
                            <w:r w:rsidRPr="003E3D16">
                              <w:rPr>
                                <w:color w:val="595959"/>
                                <w:sz w:val="18"/>
                                <w:szCs w:val="18"/>
                              </w:rPr>
                              <w:t>wnioski dotyczące projektów, które zostały już ukończone zostaną odrzucone; decyzje w sprawie wniosków dotyczących projektów, które zostały już rozpoczęte, będą podejmowane dla każdego przypadku z osobna (w tym przypadku nie ma możliwości refundacji działań, które miały miejsce przed datą rozpoczęcia realizacji projektu lub złożenia wniosku).</w:t>
                            </w:r>
                          </w:p>
                          <w:p w14:paraId="2A43FFFB" w14:textId="1BFF7084" w:rsidR="00E02E47" w:rsidRPr="003E3D16" w:rsidRDefault="00E02E47" w:rsidP="00E02E47">
                            <w:pPr>
                              <w:numPr>
                                <w:ilvl w:val="0"/>
                                <w:numId w:val="25"/>
                              </w:numPr>
                              <w:ind w:left="567" w:right="79" w:hanging="445"/>
                              <w:rPr>
                                <w:color w:val="595959"/>
                                <w:sz w:val="18"/>
                                <w:szCs w:val="18"/>
                              </w:rPr>
                            </w:pPr>
                            <w:r w:rsidRPr="003E3D16">
                              <w:rPr>
                                <w:b/>
                                <w:bCs/>
                                <w:color w:val="595959"/>
                                <w:sz w:val="18"/>
                                <w:szCs w:val="18"/>
                              </w:rPr>
                              <w:t xml:space="preserve">Połączenie z dotacjami operacyjnymi UE </w:t>
                            </w:r>
                            <w:r w:rsidRPr="003E3D16">
                              <w:rPr>
                                <w:b/>
                                <w:color w:val="595959"/>
                                <w:sz w:val="18"/>
                                <w:szCs w:val="18"/>
                              </w:rPr>
                              <w:t xml:space="preserve">— </w:t>
                            </w:r>
                            <w:r w:rsidRPr="003E3D16">
                              <w:rPr>
                                <w:color w:val="595959"/>
                                <w:sz w:val="18"/>
                                <w:szCs w:val="18"/>
                              </w:rPr>
                              <w:t xml:space="preserve">połączenie z dotacjami operacyjnymi UE jest możliwe pod warunkiem, że projekt nie jest ujęty w programie prac dotacji operacyjnej oraz że zagwarantowane zostanie wyraźne oddzielenie pozycji kosztowych w księgowości i pozycje te nie zostaną zgłoszone do refundacji dwa razy </w:t>
                            </w:r>
                            <w:r w:rsidRPr="003E3D16">
                              <w:rPr>
                                <w:i/>
                                <w:color w:val="595959"/>
                                <w:sz w:val="18"/>
                                <w:szCs w:val="18"/>
                              </w:rPr>
                              <w:t xml:space="preserve">(zob. </w:t>
                            </w:r>
                            <w:hyperlink r:id="rId64" w:history="1">
                              <w:r w:rsidRPr="003E3D16">
                                <w:rPr>
                                  <w:rStyle w:val="Hyperlink"/>
                                  <w:i/>
                                  <w:sz w:val="18"/>
                                  <w:szCs w:val="18"/>
                                </w:rPr>
                                <w:t>AGA — umowa o udzielenie dotacji z objaśnieniami, art. 6.2.E</w:t>
                              </w:r>
                            </w:hyperlink>
                            <w:r w:rsidRPr="003E3D16">
                              <w:rPr>
                                <w:i/>
                                <w:color w:val="595959"/>
                                <w:sz w:val="18"/>
                                <w:szCs w:val="18"/>
                              </w:rPr>
                              <w:t>).</w:t>
                            </w:r>
                            <w:r w:rsidRPr="003E3D16">
                              <w:rPr>
                                <w:color w:val="4AA55B"/>
                                <w:sz w:val="18"/>
                                <w:szCs w:val="18"/>
                                <w:highlight w:val="yellow"/>
                              </w:rPr>
                              <w:t xml:space="preserve"> </w:t>
                            </w:r>
                          </w:p>
                          <w:p w14:paraId="0DC01CB9" w14:textId="77777777" w:rsidR="00E02E47" w:rsidRPr="003E3D16" w:rsidRDefault="00E02E47" w:rsidP="00E02E47">
                            <w:pPr>
                              <w:numPr>
                                <w:ilvl w:val="0"/>
                                <w:numId w:val="25"/>
                              </w:numPr>
                              <w:ind w:left="567" w:right="79" w:hanging="445"/>
                              <w:rPr>
                                <w:color w:val="595959"/>
                                <w:sz w:val="18"/>
                                <w:szCs w:val="18"/>
                              </w:rPr>
                            </w:pPr>
                            <w:r w:rsidRPr="003E3D16">
                              <w:rPr>
                                <w:b/>
                                <w:color w:val="595959"/>
                                <w:sz w:val="18"/>
                                <w:szCs w:val="18"/>
                              </w:rPr>
                              <w:t>Złożenie wielu wniosków —</w:t>
                            </w:r>
                            <w:r w:rsidRPr="003E3D16">
                              <w:rPr>
                                <w:color w:val="595959"/>
                                <w:sz w:val="18"/>
                                <w:szCs w:val="18"/>
                              </w:rPr>
                              <w:t xml:space="preserve"> wnioskodawcy mogą składać więcej niż jeden wniosek dla </w:t>
                            </w:r>
                            <w:r w:rsidRPr="003E3D16">
                              <w:rPr>
                                <w:i/>
                                <w:color w:val="595959"/>
                                <w:sz w:val="18"/>
                                <w:szCs w:val="18"/>
                              </w:rPr>
                              <w:t>różnych</w:t>
                            </w:r>
                            <w:r w:rsidRPr="003E3D16">
                              <w:rPr>
                                <w:color w:val="595959"/>
                                <w:sz w:val="18"/>
                                <w:szCs w:val="18"/>
                              </w:rPr>
                              <w:t xml:space="preserve"> projektów w ramach tego samego zaproszenia (i uzyskać dla nich finansowanie).</w:t>
                            </w:r>
                          </w:p>
                          <w:p w14:paraId="1E1AA533" w14:textId="77777777" w:rsidR="00E02E47" w:rsidRPr="003E3D16" w:rsidRDefault="00E02E47" w:rsidP="00E02E47">
                            <w:pPr>
                              <w:spacing w:after="120"/>
                              <w:ind w:left="567" w:right="79"/>
                              <w:rPr>
                                <w:color w:val="595959"/>
                                <w:sz w:val="18"/>
                                <w:szCs w:val="18"/>
                              </w:rPr>
                            </w:pPr>
                            <w:r w:rsidRPr="003E3D16">
                              <w:rPr>
                                <w:color w:val="595959"/>
                                <w:sz w:val="18"/>
                                <w:szCs w:val="18"/>
                              </w:rPr>
                              <w:t>Organizacje mogą uczestniczyć w wielu wnioskach.</w:t>
                            </w:r>
                          </w:p>
                          <w:p w14:paraId="7F404DA5" w14:textId="77777777" w:rsidR="00E02E47" w:rsidRPr="003E3D16" w:rsidRDefault="00E02E47" w:rsidP="00E02E47">
                            <w:pPr>
                              <w:ind w:left="567" w:right="79"/>
                              <w:rPr>
                                <w:color w:val="595959"/>
                                <w:sz w:val="18"/>
                                <w:szCs w:val="18"/>
                              </w:rPr>
                            </w:pPr>
                            <w:r w:rsidRPr="003E3D16">
                              <w:rPr>
                                <w:color w:val="595959"/>
                                <w:sz w:val="18"/>
                                <w:szCs w:val="18"/>
                              </w:rPr>
                              <w:t xml:space="preserve">UWAGA: w przypadku gdy kilka wniosków dotyczy </w:t>
                            </w:r>
                            <w:r w:rsidRPr="003E3D16">
                              <w:rPr>
                                <w:i/>
                                <w:iCs/>
                                <w:color w:val="595959"/>
                                <w:sz w:val="18"/>
                                <w:szCs w:val="18"/>
                              </w:rPr>
                              <w:t>bardzo podobnych</w:t>
                            </w:r>
                            <w:r w:rsidRPr="003E3D16">
                              <w:rPr>
                                <w:color w:val="595959"/>
                                <w:sz w:val="18"/>
                                <w:szCs w:val="18"/>
                              </w:rPr>
                              <w:t xml:space="preserve"> projektów, tylko jeden wniosek zostanie przyjęty i oceniony; wnioskodawcy zostaną poproszeni o wycofanie jednego z nich (w przeciwnym razie zostanie on odrzucony).</w:t>
                            </w:r>
                          </w:p>
                          <w:p w14:paraId="60EFB504" w14:textId="77777777" w:rsidR="00E02E47" w:rsidRPr="003E3D16" w:rsidRDefault="00E02E47" w:rsidP="00E02E47">
                            <w:pPr>
                              <w:numPr>
                                <w:ilvl w:val="0"/>
                                <w:numId w:val="25"/>
                              </w:numPr>
                              <w:ind w:left="567" w:right="79" w:hanging="445"/>
                              <w:rPr>
                                <w:rFonts w:cs="Arial"/>
                                <w:b/>
                                <w:iCs/>
                                <w:color w:val="595959"/>
                                <w:sz w:val="18"/>
                                <w:szCs w:val="18"/>
                              </w:rPr>
                            </w:pPr>
                            <w:r w:rsidRPr="003E3D16">
                              <w:rPr>
                                <w:b/>
                                <w:color w:val="595959"/>
                                <w:sz w:val="18"/>
                              </w:rPr>
                              <w:t>Ponowne złożenie wniosku</w:t>
                            </w:r>
                            <w:r w:rsidRPr="003E3D16">
                              <w:rPr>
                                <w:color w:val="595959"/>
                                <w:sz w:val="18"/>
                              </w:rPr>
                              <w:t xml:space="preserve"> </w:t>
                            </w:r>
                            <w:r w:rsidRPr="003E3D16">
                              <w:rPr>
                                <w:b/>
                                <w:color w:val="595959"/>
                                <w:sz w:val="18"/>
                                <w:szCs w:val="18"/>
                              </w:rPr>
                              <w:t>—</w:t>
                            </w:r>
                            <w:r w:rsidRPr="003E3D16">
                              <w:rPr>
                                <w:color w:val="595959"/>
                                <w:sz w:val="18"/>
                              </w:rPr>
                              <w:t xml:space="preserve"> wnioski można zmieniać i składać ponownie przed upływem terminu składania wniosków.</w:t>
                            </w:r>
                          </w:p>
                          <w:p w14:paraId="670040E1" w14:textId="77777777" w:rsidR="00E02E47" w:rsidRPr="003E3D16" w:rsidRDefault="00E02E47" w:rsidP="00E02E47">
                            <w:pPr>
                              <w:numPr>
                                <w:ilvl w:val="0"/>
                                <w:numId w:val="25"/>
                              </w:numPr>
                              <w:spacing w:after="120"/>
                              <w:ind w:left="567" w:right="79" w:hanging="447"/>
                              <w:rPr>
                                <w:b/>
                                <w:bCs/>
                                <w:noProof/>
                                <w:sz w:val="18"/>
                                <w:szCs w:val="18"/>
                              </w:rPr>
                            </w:pPr>
                            <w:r w:rsidRPr="003E3D16">
                              <w:rPr>
                                <w:b/>
                                <w:color w:val="595959"/>
                                <w:sz w:val="18"/>
                                <w:szCs w:val="18"/>
                              </w:rPr>
                              <w:t xml:space="preserve">Odrzucenie — </w:t>
                            </w:r>
                            <w:r w:rsidRPr="003E3D16">
                              <w:rPr>
                                <w:color w:val="595959"/>
                                <w:sz w:val="18"/>
                                <w:szCs w:val="18"/>
                              </w:rPr>
                              <w:t xml:space="preserve">składając wniosek, wszyscy wnioskodawcy akceptują warunki zaproszenia do składania wniosków określone w niniejszym ogłoszeniu o zaproszeniu (i dokumentach, do których ono się odnosi). Wnioski, które są niezgodne z warunkami zaproszenia, zostaną </w:t>
                            </w:r>
                            <w:r w:rsidRPr="003E3D16">
                              <w:rPr>
                                <w:b/>
                                <w:color w:val="595959"/>
                                <w:sz w:val="18"/>
                                <w:szCs w:val="18"/>
                              </w:rPr>
                              <w:t>odrzucone</w:t>
                            </w:r>
                            <w:r w:rsidRPr="003E3D16">
                              <w:rPr>
                                <w:color w:val="595959"/>
                                <w:sz w:val="18"/>
                                <w:szCs w:val="18"/>
                              </w:rPr>
                              <w:t>. Dotyczy to również wnioskodawców: wszyscy wnioskodawcy muszą spełniać kryteria; jeżeli jeden z nich ich nie spełnia, musi on zostać zastąpiony innym pod rygorem odrzucenia wniosku.</w:t>
                            </w:r>
                          </w:p>
                          <w:p w14:paraId="0FC5DD32" w14:textId="77777777" w:rsidR="00E02E47" w:rsidRPr="003E3D16" w:rsidRDefault="00E02E47" w:rsidP="00E02E47">
                            <w:pPr>
                              <w:numPr>
                                <w:ilvl w:val="0"/>
                                <w:numId w:val="25"/>
                              </w:numPr>
                              <w:spacing w:after="120"/>
                              <w:ind w:left="567" w:right="79" w:hanging="447"/>
                              <w:rPr>
                                <w:color w:val="595959"/>
                                <w:sz w:val="18"/>
                                <w:szCs w:val="18"/>
                              </w:rPr>
                            </w:pPr>
                            <w:r w:rsidRPr="003E3D16">
                              <w:rPr>
                                <w:b/>
                                <w:color w:val="595959"/>
                                <w:sz w:val="18"/>
                                <w:szCs w:val="18"/>
                              </w:rPr>
                              <w:t xml:space="preserve">Anulowanie — </w:t>
                            </w:r>
                            <w:r w:rsidRPr="003E3D16">
                              <w:rPr>
                                <w:color w:val="595959"/>
                                <w:sz w:val="18"/>
                                <w:szCs w:val="18"/>
                              </w:rPr>
                              <w:t>Mogą zaistnieć okoliczności, które mogą wymagać anulowania zaproszenia. W takim przypadku opublikowana zostanie aktualizacja dotycząca zaproszenia lub tematu. Należy pamiętać, że anulowanie nie rodzi prawa do odszkodowania.</w:t>
                            </w:r>
                          </w:p>
                          <w:p w14:paraId="34C37865" w14:textId="77777777" w:rsidR="00E02E47" w:rsidRPr="003E3D16" w:rsidRDefault="00E02E47" w:rsidP="00E02E47">
                            <w:pPr>
                              <w:numPr>
                                <w:ilvl w:val="0"/>
                                <w:numId w:val="25"/>
                              </w:numPr>
                              <w:ind w:left="567" w:right="79" w:hanging="445"/>
                              <w:rPr>
                                <w:color w:val="595959"/>
                                <w:sz w:val="18"/>
                                <w:szCs w:val="18"/>
                              </w:rPr>
                            </w:pPr>
                            <w:r w:rsidRPr="003E3D16">
                              <w:rPr>
                                <w:b/>
                                <w:color w:val="595959"/>
                                <w:sz w:val="18"/>
                                <w:szCs w:val="18"/>
                              </w:rPr>
                              <w:t>Język —</w:t>
                            </w:r>
                            <w:r w:rsidRPr="003E3D16">
                              <w:rPr>
                                <w:color w:val="595959"/>
                                <w:sz w:val="18"/>
                                <w:szCs w:val="18"/>
                              </w:rPr>
                              <w:t xml:space="preserve"> można złożyć wniosek w dowolnym języku urzędowym UE (streszczenie projektu powinno jednak zawsze być sporządzone w języku angielskim). Ze względu na większą sprawność zalecamy używanie języka angielskiego w całym procesie składania wniosku. Jeżeli potrzebujesz dokumentacji zaproszenia w innym języku urzędowym UE, zwróć się ze stosownym wnioskiem w terminie 10 dni od ogłoszenia zaproszenia (dane kontaktowe znajdują się w </w:t>
                            </w:r>
                            <w:r w:rsidRPr="003E3D16">
                              <w:rPr>
                                <w:i/>
                                <w:color w:val="595959"/>
                                <w:sz w:val="18"/>
                                <w:szCs w:val="18"/>
                              </w:rPr>
                              <w:t>punkcie 12</w:t>
                            </w:r>
                            <w:r w:rsidRPr="003E3D16">
                              <w:rPr>
                                <w:color w:val="595959"/>
                                <w:sz w:val="18"/>
                                <w:szCs w:val="18"/>
                              </w:rPr>
                              <w:t>).</w:t>
                            </w:r>
                          </w:p>
                        </w:txbxContent>
                      </wps:txbx>
                      <wps:bodyPr rot="0" vert="horz" wrap="square" lIns="91440" tIns="45720" rIns="91440" bIns="45720" anchor="t" anchorCtr="0" upright="1">
                        <a:noAutofit/>
                      </wps:bodyPr>
                    </wps:wsp>
                  </a:graphicData>
                </a:graphic>
              </wp:inline>
            </w:drawing>
          </mc:Choice>
          <mc:Fallback>
            <w:pict>
              <v:shape w14:anchorId="5CF682EB" id="Text Box 69" o:spid="_x0000_s1027" type="#_x0000_t202" style="width:430.95pt;height:5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" fillcolor="#f2f2f2" strokecolor="#bfbfbf" strokeweight="1.5pt">
                <v:textbox>
                  <w:txbxContent>
                    <w:p w14:paraId="44C0A553" w14:textId="77777777" w:rsidR="00E02E47" w:rsidRPr="003E3D16" w:rsidRDefault="00E02E47" w:rsidP="00E02E47">
                      <w:pPr>
                        <w:numPr>
                          <w:ilvl w:val="0"/>
                          <w:numId w:val="25"/>
                        </w:numPr>
                        <w:ind w:left="567" w:right="78" w:hanging="445"/>
                        <w:rPr>
                          <w:color w:val="595959"/>
                          <w:sz w:val="18"/>
                          <w:szCs w:val="18"/>
                        </w:rPr>
                      </w:pPr>
                      <w:r w:rsidRPr="003E3D16">
                        <w:rPr>
                          <w:b/>
                          <w:color w:val="595959"/>
                          <w:sz w:val="18"/>
                          <w:szCs w:val="18"/>
                        </w:rPr>
                        <w:t>Zrównoważony budżet projektu</w:t>
                      </w:r>
                      <w:r w:rsidRPr="003E3D16">
                        <w:rPr>
                          <w:i/>
                          <w:color w:val="4AA55B"/>
                          <w:sz w:val="18"/>
                          <w:szCs w:val="18"/>
                        </w:rPr>
                        <w:t xml:space="preserve"> </w:t>
                      </w:r>
                      <w:r w:rsidRPr="003E3D16">
                        <w:rPr>
                          <w:b/>
                          <w:color w:val="595959"/>
                          <w:sz w:val="18"/>
                          <w:szCs w:val="18"/>
                        </w:rPr>
                        <w:t>—</w:t>
                      </w:r>
                      <w:r w:rsidRPr="003E3D16">
                        <w:rPr>
                          <w:color w:val="595959"/>
                          <w:sz w:val="18"/>
                          <w:szCs w:val="18"/>
                        </w:rPr>
                        <w:t xml:space="preserve"> wnioski dotacyjne powinny zawierać zrównoważony budżet projektu oraz zasoby odpowiednie do jego pomyślnego wdrożenia </w:t>
                      </w:r>
                      <w:r w:rsidRPr="003E3D16">
                        <w:rPr>
                          <w:i/>
                          <w:color w:val="595959"/>
                          <w:sz w:val="18"/>
                          <w:szCs w:val="18"/>
                        </w:rPr>
                        <w:t>(np. wkłady własne, przychód generowany przez działanie, wkłady finansowe osób trzecich itp.)</w:t>
                      </w:r>
                      <w:r w:rsidRPr="003E3D16">
                        <w:rPr>
                          <w:color w:val="595959"/>
                          <w:sz w:val="18"/>
                          <w:szCs w:val="18"/>
                        </w:rPr>
                        <w:t xml:space="preserve">. W przypadku niekwalifikowalności (lub nadmiernej wysokości) szacowanych kosztów możesz zostać poproszony o ich zmniejszenie. </w:t>
                      </w:r>
                    </w:p>
                    <w:p w14:paraId="2D934BC7" w14:textId="77777777" w:rsidR="00E02E47" w:rsidRPr="003E3D16" w:rsidRDefault="00E02E47" w:rsidP="00E02E47">
                      <w:pPr>
                        <w:numPr>
                          <w:ilvl w:val="0"/>
                          <w:numId w:val="25"/>
                        </w:numPr>
                        <w:ind w:left="567" w:right="78" w:hanging="445"/>
                        <w:rPr>
                          <w:color w:val="595959"/>
                          <w:sz w:val="18"/>
                          <w:szCs w:val="18"/>
                        </w:rPr>
                      </w:pPr>
                      <w:r w:rsidRPr="003E3D16">
                        <w:rPr>
                          <w:b/>
                          <w:color w:val="595959"/>
                          <w:sz w:val="18"/>
                          <w:szCs w:val="18"/>
                        </w:rPr>
                        <w:t xml:space="preserve">Zasada niedochodowości — </w:t>
                      </w:r>
                      <w:r w:rsidRPr="003E3D16">
                        <w:rPr>
                          <w:color w:val="595959"/>
                          <w:sz w:val="18"/>
                          <w:szCs w:val="18"/>
                        </w:rPr>
                        <w:t xml:space="preserve">dotacje NIE mogą przynosić dochodu (tj. nadwyżki sumy przychodów i dotacji UE nad kosztami). Zostanie to przez nas sprawdzone na zakończenie projektu. </w:t>
                      </w:r>
                    </w:p>
                    <w:p w14:paraId="06CED6FB" w14:textId="77777777" w:rsidR="00E02E47" w:rsidRPr="003E3D16" w:rsidRDefault="00E02E47" w:rsidP="00E02E47">
                      <w:pPr>
                        <w:numPr>
                          <w:ilvl w:val="0"/>
                          <w:numId w:val="25"/>
                        </w:numPr>
                        <w:ind w:left="567" w:right="79" w:hanging="445"/>
                        <w:rPr>
                          <w:color w:val="595959"/>
                          <w:sz w:val="18"/>
                          <w:szCs w:val="18"/>
                        </w:rPr>
                      </w:pPr>
                      <w:r w:rsidRPr="003E3D16">
                        <w:rPr>
                          <w:b/>
                          <w:color w:val="595959"/>
                          <w:sz w:val="18"/>
                          <w:szCs w:val="18"/>
                        </w:rPr>
                        <w:t>Zakaz podwójnego finansowania —</w:t>
                      </w:r>
                      <w:r w:rsidRPr="003E3D16">
                        <w:rPr>
                          <w:color w:val="595959"/>
                          <w:sz w:val="18"/>
                          <w:szCs w:val="18"/>
                        </w:rPr>
                        <w:t xml:space="preserve"> obowiązuje surowy zakaz podwójnego finansowania projektów z budżetu UE (z wyjątkiem projektów składanych w ramach działań EU Synergies). Poza działaniami EU Synergies wszystkie działania mogą uzyskać tylko JEDNĄ dotację z budżetu UE, a pozycje kosztów w ŻADNYM wypadku nie mogą być zgłaszane w dwóch różnych działaniach UE.</w:t>
                      </w:r>
                    </w:p>
                    <w:p w14:paraId="481A0BD0" w14:textId="77777777" w:rsidR="00E02E47" w:rsidRPr="003E3D16" w:rsidRDefault="00E02E47" w:rsidP="00E02E47">
                      <w:pPr>
                        <w:numPr>
                          <w:ilvl w:val="0"/>
                          <w:numId w:val="25"/>
                        </w:numPr>
                        <w:ind w:left="567" w:right="78" w:hanging="445"/>
                        <w:rPr>
                          <w:rFonts w:eastAsia="Verdana" w:cs="Verdana"/>
                          <w:color w:val="595959"/>
                          <w:sz w:val="18"/>
                          <w:szCs w:val="18"/>
                        </w:rPr>
                      </w:pPr>
                      <w:r w:rsidRPr="003E3D16">
                        <w:rPr>
                          <w:b/>
                          <w:color w:val="595959"/>
                          <w:sz w:val="18"/>
                          <w:szCs w:val="18"/>
                        </w:rPr>
                        <w:t xml:space="preserve">Projekty ukończone lub trwające — </w:t>
                      </w:r>
                      <w:r w:rsidRPr="003E3D16">
                        <w:rPr>
                          <w:color w:val="595959"/>
                          <w:sz w:val="18"/>
                          <w:szCs w:val="18"/>
                        </w:rPr>
                        <w:t>wnioski dotyczące projektów, które zostały już ukończone zostaną odrzucone; decyzje w sprawie wniosków dotyczących projektów, które zostały już rozpoczęte, będą podejmowane dla każdego przypadku z osobna (w tym przypadku nie ma możliwości refundacji działań, które miały miejsce przed datą rozpoczęcia realizacji projektu lub złożenia wniosku).</w:t>
                      </w:r>
                    </w:p>
                    <w:p w14:paraId="2A43FFFB" w14:textId="1BFF7084" w:rsidR="00E02E47" w:rsidRPr="003E3D16" w:rsidRDefault="00E02E47" w:rsidP="00E02E47">
                      <w:pPr>
                        <w:numPr>
                          <w:ilvl w:val="0"/>
                          <w:numId w:val="25"/>
                        </w:numPr>
                        <w:ind w:left="567" w:right="79" w:hanging="445"/>
                        <w:rPr>
                          <w:color w:val="595959"/>
                          <w:sz w:val="18"/>
                          <w:szCs w:val="18"/>
                        </w:rPr>
                      </w:pPr>
                      <w:r w:rsidRPr="003E3D16">
                        <w:rPr>
                          <w:b/>
                          <w:bCs/>
                          <w:color w:val="595959"/>
                          <w:sz w:val="18"/>
                          <w:szCs w:val="18"/>
                        </w:rPr>
                        <w:t xml:space="preserve">Połączenie z dotacjami operacyjnymi UE </w:t>
                      </w:r>
                      <w:r w:rsidRPr="003E3D16">
                        <w:rPr>
                          <w:b/>
                          <w:color w:val="595959"/>
                          <w:sz w:val="18"/>
                          <w:szCs w:val="18"/>
                        </w:rPr>
                        <w:t xml:space="preserve">— </w:t>
                      </w:r>
                      <w:r w:rsidRPr="003E3D16">
                        <w:rPr>
                          <w:color w:val="595959"/>
                          <w:sz w:val="18"/>
                          <w:szCs w:val="18"/>
                        </w:rPr>
                        <w:t xml:space="preserve">połączenie z dotacjami operacyjnymi UE jest możliwe pod warunkiem, że projekt nie jest ujęty w programie prac dotacji operacyjnej oraz że zagwarantowane zostanie wyraźne oddzielenie pozycji kosztowych w księgowości i pozycje te nie zostaną zgłoszone do refundacji dwa razy </w:t>
                      </w:r>
                      <w:r w:rsidRPr="003E3D16">
                        <w:rPr>
                          <w:i/>
                          <w:color w:val="595959"/>
                          <w:sz w:val="18"/>
                          <w:szCs w:val="18"/>
                        </w:rPr>
                        <w:t xml:space="preserve">(zob. </w:t>
                      </w:r>
                      <w:hyperlink r:id="rId65" w:history="1">
                        <w:r w:rsidRPr="003E3D16">
                          <w:rPr>
                            <w:rStyle w:val="Hyperlink"/>
                            <w:i/>
                            <w:sz w:val="18"/>
                            <w:szCs w:val="18"/>
                          </w:rPr>
                          <w:t>AGA — umowa o udzielenie dotacji z objaśnieniami, art. 6.2.E</w:t>
                        </w:r>
                      </w:hyperlink>
                      <w:r w:rsidRPr="003E3D16">
                        <w:rPr>
                          <w:i/>
                          <w:color w:val="595959"/>
                          <w:sz w:val="18"/>
                          <w:szCs w:val="18"/>
                        </w:rPr>
                        <w:t>).</w:t>
                      </w:r>
                      <w:r w:rsidRPr="003E3D16">
                        <w:rPr>
                          <w:color w:val="4AA55B"/>
                          <w:sz w:val="18"/>
                          <w:szCs w:val="18"/>
                          <w:highlight w:val="yellow"/>
                        </w:rPr>
                        <w:t xml:space="preserve"> </w:t>
                      </w:r>
                    </w:p>
                    <w:p w14:paraId="0DC01CB9" w14:textId="77777777" w:rsidR="00E02E47" w:rsidRPr="003E3D16" w:rsidRDefault="00E02E47" w:rsidP="00E02E47">
                      <w:pPr>
                        <w:numPr>
                          <w:ilvl w:val="0"/>
                          <w:numId w:val="25"/>
                        </w:numPr>
                        <w:ind w:left="567" w:right="79" w:hanging="445"/>
                        <w:rPr>
                          <w:color w:val="595959"/>
                          <w:sz w:val="18"/>
                          <w:szCs w:val="18"/>
                        </w:rPr>
                      </w:pPr>
                      <w:r w:rsidRPr="003E3D16">
                        <w:rPr>
                          <w:b/>
                          <w:color w:val="595959"/>
                          <w:sz w:val="18"/>
                          <w:szCs w:val="18"/>
                        </w:rPr>
                        <w:t>Złożenie wielu wniosków —</w:t>
                      </w:r>
                      <w:r w:rsidRPr="003E3D16">
                        <w:rPr>
                          <w:color w:val="595959"/>
                          <w:sz w:val="18"/>
                          <w:szCs w:val="18"/>
                        </w:rPr>
                        <w:t xml:space="preserve"> wnioskodawcy mogą składać więcej niż jeden wniosek dla </w:t>
                      </w:r>
                      <w:r w:rsidRPr="003E3D16">
                        <w:rPr>
                          <w:i/>
                          <w:color w:val="595959"/>
                          <w:sz w:val="18"/>
                          <w:szCs w:val="18"/>
                        </w:rPr>
                        <w:t>różnych</w:t>
                      </w:r>
                      <w:r w:rsidRPr="003E3D16">
                        <w:rPr>
                          <w:color w:val="595959"/>
                          <w:sz w:val="18"/>
                          <w:szCs w:val="18"/>
                        </w:rPr>
                        <w:t xml:space="preserve"> projektów w ramach tego samego zaproszenia (i uzyskać dla nich finansowanie).</w:t>
                      </w:r>
                    </w:p>
                    <w:p w14:paraId="1E1AA533" w14:textId="77777777" w:rsidR="00E02E47" w:rsidRPr="003E3D16" w:rsidRDefault="00E02E47" w:rsidP="00E02E47">
                      <w:pPr>
                        <w:spacing w:after="120"/>
                        <w:ind w:left="567" w:right="79"/>
                        <w:rPr>
                          <w:color w:val="595959"/>
                          <w:sz w:val="18"/>
                          <w:szCs w:val="18"/>
                        </w:rPr>
                      </w:pPr>
                      <w:r w:rsidRPr="003E3D16">
                        <w:rPr>
                          <w:color w:val="595959"/>
                          <w:sz w:val="18"/>
                          <w:szCs w:val="18"/>
                        </w:rPr>
                        <w:t>Organizacje mogą uczestniczyć w wielu wnioskach.</w:t>
                      </w:r>
                    </w:p>
                    <w:p w14:paraId="7F404DA5" w14:textId="77777777" w:rsidR="00E02E47" w:rsidRPr="003E3D16" w:rsidRDefault="00E02E47" w:rsidP="00E02E47">
                      <w:pPr>
                        <w:ind w:left="567" w:right="79"/>
                        <w:rPr>
                          <w:color w:val="595959"/>
                          <w:sz w:val="18"/>
                          <w:szCs w:val="18"/>
                        </w:rPr>
                      </w:pPr>
                      <w:r w:rsidRPr="003E3D16">
                        <w:rPr>
                          <w:color w:val="595959"/>
                          <w:sz w:val="18"/>
                          <w:szCs w:val="18"/>
                        </w:rPr>
                        <w:t xml:space="preserve">UWAGA: w przypadku gdy kilka wniosków dotyczy </w:t>
                      </w:r>
                      <w:r w:rsidRPr="003E3D16">
                        <w:rPr>
                          <w:i/>
                          <w:iCs/>
                          <w:color w:val="595959"/>
                          <w:sz w:val="18"/>
                          <w:szCs w:val="18"/>
                        </w:rPr>
                        <w:t>bardzo podobnych</w:t>
                      </w:r>
                      <w:r w:rsidRPr="003E3D16">
                        <w:rPr>
                          <w:color w:val="595959"/>
                          <w:sz w:val="18"/>
                          <w:szCs w:val="18"/>
                        </w:rPr>
                        <w:t xml:space="preserve"> projektów, tylko jeden wniosek zostanie przyjęty i oceniony; wnioskodawcy zostaną poproszeni o wycofanie jednego z nich (w przeciwnym razie zostanie on odrzucony).</w:t>
                      </w:r>
                    </w:p>
                    <w:p w14:paraId="60EFB504" w14:textId="77777777" w:rsidR="00E02E47" w:rsidRPr="003E3D16" w:rsidRDefault="00E02E47" w:rsidP="00E02E47">
                      <w:pPr>
                        <w:numPr>
                          <w:ilvl w:val="0"/>
                          <w:numId w:val="25"/>
                        </w:numPr>
                        <w:ind w:left="567" w:right="79" w:hanging="445"/>
                        <w:rPr>
                          <w:rFonts w:cs="Arial"/>
                          <w:b/>
                          <w:iCs/>
                          <w:color w:val="595959"/>
                          <w:sz w:val="18"/>
                          <w:szCs w:val="18"/>
                        </w:rPr>
                      </w:pPr>
                      <w:r w:rsidRPr="003E3D16">
                        <w:rPr>
                          <w:b/>
                          <w:color w:val="595959"/>
                          <w:sz w:val="18"/>
                        </w:rPr>
                        <w:t>Ponowne złożenie wniosku</w:t>
                      </w:r>
                      <w:r w:rsidRPr="003E3D16">
                        <w:rPr>
                          <w:color w:val="595959"/>
                          <w:sz w:val="18"/>
                        </w:rPr>
                        <w:t xml:space="preserve"> </w:t>
                      </w:r>
                      <w:r w:rsidRPr="003E3D16">
                        <w:rPr>
                          <w:b/>
                          <w:color w:val="595959"/>
                          <w:sz w:val="18"/>
                          <w:szCs w:val="18"/>
                        </w:rPr>
                        <w:t>—</w:t>
                      </w:r>
                      <w:r w:rsidRPr="003E3D16">
                        <w:rPr>
                          <w:color w:val="595959"/>
                          <w:sz w:val="18"/>
                        </w:rPr>
                        <w:t xml:space="preserve"> wnioski można zmieniać i składać ponownie przed upływem terminu składania wniosków.</w:t>
                      </w:r>
                    </w:p>
                    <w:p w14:paraId="670040E1" w14:textId="77777777" w:rsidR="00E02E47" w:rsidRPr="003E3D16" w:rsidRDefault="00E02E47" w:rsidP="00E02E47">
                      <w:pPr>
                        <w:numPr>
                          <w:ilvl w:val="0"/>
                          <w:numId w:val="25"/>
                        </w:numPr>
                        <w:spacing w:after="120"/>
                        <w:ind w:left="567" w:right="79" w:hanging="447"/>
                        <w:rPr>
                          <w:b/>
                          <w:bCs/>
                          <w:noProof/>
                          <w:sz w:val="18"/>
                          <w:szCs w:val="18"/>
                        </w:rPr>
                      </w:pPr>
                      <w:r w:rsidRPr="003E3D16">
                        <w:rPr>
                          <w:b/>
                          <w:color w:val="595959"/>
                          <w:sz w:val="18"/>
                          <w:szCs w:val="18"/>
                        </w:rPr>
                        <w:t xml:space="preserve">Odrzucenie — </w:t>
                      </w:r>
                      <w:r w:rsidRPr="003E3D16">
                        <w:rPr>
                          <w:color w:val="595959"/>
                          <w:sz w:val="18"/>
                          <w:szCs w:val="18"/>
                        </w:rPr>
                        <w:t xml:space="preserve">składając wniosek, wszyscy wnioskodawcy akceptują warunki zaproszenia do składania wniosków określone w niniejszym ogłoszeniu o zaproszeniu (i dokumentach, do których ono się odnosi). Wnioski, które są niezgodne z warunkami zaproszenia, zostaną </w:t>
                      </w:r>
                      <w:r w:rsidRPr="003E3D16">
                        <w:rPr>
                          <w:b/>
                          <w:color w:val="595959"/>
                          <w:sz w:val="18"/>
                          <w:szCs w:val="18"/>
                        </w:rPr>
                        <w:t>odrzucone</w:t>
                      </w:r>
                      <w:r w:rsidRPr="003E3D16">
                        <w:rPr>
                          <w:color w:val="595959"/>
                          <w:sz w:val="18"/>
                          <w:szCs w:val="18"/>
                        </w:rPr>
                        <w:t>. Dotyczy to również wnioskodawców: wszyscy wnioskodawcy muszą spełniać kryteria; jeżeli jeden z nich ich nie spełnia, musi on zostać zastąpiony innym pod rygorem odrzucenia wniosku.</w:t>
                      </w:r>
                    </w:p>
                    <w:p w14:paraId="0FC5DD32" w14:textId="77777777" w:rsidR="00E02E47" w:rsidRPr="003E3D16" w:rsidRDefault="00E02E47" w:rsidP="00E02E47">
                      <w:pPr>
                        <w:numPr>
                          <w:ilvl w:val="0"/>
                          <w:numId w:val="25"/>
                        </w:numPr>
                        <w:spacing w:after="120"/>
                        <w:ind w:left="567" w:right="79" w:hanging="447"/>
                        <w:rPr>
                          <w:color w:val="595959"/>
                          <w:sz w:val="18"/>
                          <w:szCs w:val="18"/>
                        </w:rPr>
                      </w:pPr>
                      <w:r w:rsidRPr="003E3D16">
                        <w:rPr>
                          <w:b/>
                          <w:color w:val="595959"/>
                          <w:sz w:val="18"/>
                          <w:szCs w:val="18"/>
                        </w:rPr>
                        <w:t xml:space="preserve">Anulowanie — </w:t>
                      </w:r>
                      <w:r w:rsidRPr="003E3D16">
                        <w:rPr>
                          <w:color w:val="595959"/>
                          <w:sz w:val="18"/>
                          <w:szCs w:val="18"/>
                        </w:rPr>
                        <w:t>Mogą zaistnieć okoliczności, które mogą wymagać anulowania zaproszenia. W takim przypadku opublikowana zostanie aktualizacja dotycząca zaproszenia lub tematu. Należy pamiętać, że anulowanie nie rodzi prawa do odszkodowania.</w:t>
                      </w:r>
                    </w:p>
                    <w:p w14:paraId="34C37865" w14:textId="77777777" w:rsidR="00E02E47" w:rsidRPr="003E3D16" w:rsidRDefault="00E02E47" w:rsidP="00E02E47">
                      <w:pPr>
                        <w:numPr>
                          <w:ilvl w:val="0"/>
                          <w:numId w:val="25"/>
                        </w:numPr>
                        <w:ind w:left="567" w:right="79" w:hanging="445"/>
                        <w:rPr>
                          <w:color w:val="595959"/>
                          <w:sz w:val="18"/>
                          <w:szCs w:val="18"/>
                        </w:rPr>
                      </w:pPr>
                      <w:r w:rsidRPr="003E3D16">
                        <w:rPr>
                          <w:b/>
                          <w:color w:val="595959"/>
                          <w:sz w:val="18"/>
                          <w:szCs w:val="18"/>
                        </w:rPr>
                        <w:t>Język —</w:t>
                      </w:r>
                      <w:r w:rsidRPr="003E3D16">
                        <w:rPr>
                          <w:color w:val="595959"/>
                          <w:sz w:val="18"/>
                          <w:szCs w:val="18"/>
                        </w:rPr>
                        <w:t xml:space="preserve"> można złożyć wniosek w dowolnym języku urzędowym UE (streszczenie projektu powinno jednak zawsze być sporządzone w języku angielskim). Ze względu na większą sprawność zalecamy używanie języka angielskiego w całym procesie składania wniosku. Jeżeli potrzebujesz dokumentacji zaproszenia w innym języku urzędowym UE, zwróć się ze stosownym wnioskiem w terminie 10 dni od ogłoszenia zaproszenia (dane kontaktowe znajdują się w </w:t>
                      </w:r>
                      <w:r w:rsidRPr="003E3D16">
                        <w:rPr>
                          <w:i/>
                          <w:color w:val="595959"/>
                          <w:sz w:val="18"/>
                          <w:szCs w:val="18"/>
                        </w:rPr>
                        <w:t>punkcie 12</w:t>
                      </w:r>
                      <w:r w:rsidRPr="003E3D16">
                        <w:rPr>
                          <w:color w:val="595959"/>
                          <w:sz w:val="18"/>
                          <w:szCs w:val="18"/>
                        </w:rPr>
                        <w:t>).</w:t>
                      </w:r>
                    </w:p>
                  </w:txbxContent>
                </v:textbox>
                <w10:anchorlock/>
              </v:shape>
            </w:pict>
          </mc:Fallback>
        </mc:AlternateContent>
      </w:r>
    </w:p>
    <w:p w14:paraId="478432C2" w14:textId="59BCFF3F" w:rsidR="009E1BA1" w:rsidRPr="003E3D16" w:rsidRDefault="002B5DFF" w:rsidP="00DC47B2">
      <w:pPr>
        <w:widowControl w:val="0"/>
        <w:ind w:right="366"/>
        <w:rPr>
          <w:rFonts w:cs="Arial"/>
        </w:rPr>
      </w:pPr>
      <w:r w:rsidRPr="003E3D16">
        <w:br w:type="page"/>
      </w:r>
    </w:p>
    <w:p w14:paraId="32872E1E" w14:textId="0700F232" w:rsidR="00E02E47" w:rsidRPr="003E3D16" w:rsidRDefault="00E02E47" w:rsidP="00DC47B2">
      <w:pPr>
        <w:widowControl w:val="0"/>
        <w:ind w:right="366"/>
        <w:rPr>
          <w:rFonts w:cs="Arial"/>
        </w:rPr>
      </w:pPr>
    </w:p>
    <w:p w14:paraId="4A580B9B" w14:textId="5D79C5A8" w:rsidR="00E02E47" w:rsidRPr="003E3D16" w:rsidRDefault="00E02E47" w:rsidP="00DC47B2">
      <w:pPr>
        <w:widowControl w:val="0"/>
        <w:ind w:right="366"/>
        <w:rPr>
          <w:rFonts w:cs="Arial"/>
        </w:rPr>
      </w:pPr>
      <w:r w:rsidRPr="003E3D16">
        <w:rPr>
          <w:noProof/>
          <w:lang w:val="fr-BE" w:eastAsia="fr-BE"/>
        </w:rPr>
        <mc:AlternateContent>
          <mc:Choice Requires="wps">
            <w:drawing>
              <wp:inline distT="0" distB="0" distL="0" distR="0" wp14:anchorId="23A0AE0D" wp14:editId="6B0908C0">
                <wp:extent cx="5473065" cy="3285460"/>
                <wp:effectExtent l="0" t="0" r="13335" b="10795"/>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3285460"/>
                        </a:xfrm>
                        <a:prstGeom prst="rect">
                          <a:avLst/>
                        </a:prstGeom>
                        <a:solidFill>
                          <a:srgbClr val="F2F2F2"/>
                        </a:solidFill>
                        <a:ln w="19050">
                          <a:solidFill>
                            <a:srgbClr val="BFBFBF"/>
                          </a:solidFill>
                          <a:miter lim="800000"/>
                          <a:headEnd/>
                          <a:tailEnd/>
                        </a:ln>
                      </wps:spPr>
                      <wps:txbx>
                        <w:txbxContent>
                          <w:p w14:paraId="70A0E3AE" w14:textId="69A46A0B" w:rsidR="00D9124D" w:rsidRPr="003E3D16" w:rsidRDefault="00D9124D" w:rsidP="00E02E47">
                            <w:pPr>
                              <w:numPr>
                                <w:ilvl w:val="0"/>
                                <w:numId w:val="26"/>
                              </w:numPr>
                              <w:spacing w:after="120"/>
                              <w:ind w:left="567" w:right="79" w:hanging="425"/>
                              <w:rPr>
                                <w:color w:val="595959"/>
                                <w:sz w:val="18"/>
                                <w:szCs w:val="18"/>
                              </w:rPr>
                            </w:pPr>
                            <w:r w:rsidRPr="003E3D16">
                              <w:rPr>
                                <w:b/>
                                <w:color w:val="595959"/>
                                <w:sz w:val="18"/>
                                <w:szCs w:val="18"/>
                              </w:rPr>
                              <w:t>Przejrzystość —</w:t>
                            </w:r>
                            <w:r w:rsidRPr="003E3D16">
                              <w:rPr>
                                <w:color w:val="595959"/>
                                <w:sz w:val="18"/>
                                <w:szCs w:val="18"/>
                              </w:rPr>
                              <w:t xml:space="preserve"> zgodnie z art. 38</w:t>
                            </w:r>
                            <w:r w:rsidRPr="003E3D16">
                              <w:t xml:space="preserve"> </w:t>
                            </w:r>
                            <w:hyperlink r:id="rId66" w:history="1">
                              <w:r w:rsidRPr="003E3D16">
                                <w:rPr>
                                  <w:color w:val="0088CC"/>
                                  <w:sz w:val="18"/>
                                  <w:szCs w:val="24"/>
                                  <w:u w:val="single"/>
                                </w:rPr>
                                <w:t>rozporządzenia finansowego UE</w:t>
                              </w:r>
                            </w:hyperlink>
                            <w:r w:rsidRPr="003E3D16">
                              <w:rPr>
                                <w:color w:val="595959"/>
                                <w:sz w:val="18"/>
                                <w:szCs w:val="18"/>
                              </w:rPr>
                              <w:t xml:space="preserve">, informacje o udzielonych dotacjach unijnych są publikowane co roku na stronie internetowej </w:t>
                            </w:r>
                            <w:hyperlink r:id="rId67" w:history="1">
                              <w:r w:rsidRPr="003E3D16">
                                <w:rPr>
                                  <w:rStyle w:val="Hyperlink"/>
                                  <w:sz w:val="18"/>
                                  <w:szCs w:val="18"/>
                                </w:rPr>
                                <w:t>Europa</w:t>
                              </w:r>
                            </w:hyperlink>
                            <w:r w:rsidRPr="003E3D16">
                              <w:rPr>
                                <w:color w:val="595959"/>
                                <w:sz w:val="18"/>
                                <w:szCs w:val="18"/>
                              </w:rPr>
                              <w:t>.</w:t>
                            </w:r>
                          </w:p>
                          <w:p w14:paraId="65E9D009" w14:textId="77777777" w:rsidR="00E02E47" w:rsidRPr="003E3D16" w:rsidRDefault="00E02E47" w:rsidP="00E02E47">
                            <w:pPr>
                              <w:spacing w:after="60"/>
                              <w:ind w:left="567" w:right="79"/>
                              <w:rPr>
                                <w:color w:val="595959"/>
                                <w:sz w:val="18"/>
                                <w:szCs w:val="18"/>
                              </w:rPr>
                            </w:pPr>
                            <w:r w:rsidRPr="003E3D16">
                              <w:rPr>
                                <w:color w:val="595959"/>
                                <w:sz w:val="18"/>
                                <w:szCs w:val="18"/>
                              </w:rPr>
                              <w:t>Obejmują one:</w:t>
                            </w:r>
                          </w:p>
                          <w:p w14:paraId="55DEDA69" w14:textId="77777777" w:rsidR="00E02E47" w:rsidRPr="003E3D16" w:rsidRDefault="00E02E47" w:rsidP="00E02E47">
                            <w:pPr>
                              <w:widowControl w:val="0"/>
                              <w:numPr>
                                <w:ilvl w:val="0"/>
                                <w:numId w:val="27"/>
                              </w:numPr>
                              <w:spacing w:after="60"/>
                              <w:ind w:left="1134" w:hanging="380"/>
                              <w:jc w:val="left"/>
                              <w:rPr>
                                <w:color w:val="595959"/>
                                <w:sz w:val="18"/>
                                <w:szCs w:val="18"/>
                              </w:rPr>
                            </w:pPr>
                            <w:r w:rsidRPr="003E3D16">
                              <w:rPr>
                                <w:color w:val="595959"/>
                                <w:sz w:val="18"/>
                                <w:szCs w:val="18"/>
                              </w:rPr>
                              <w:t>nazwy beneficjentów;</w:t>
                            </w:r>
                          </w:p>
                          <w:p w14:paraId="616DD29F" w14:textId="77777777" w:rsidR="00E02E47" w:rsidRPr="003E3D16" w:rsidRDefault="00E02E47" w:rsidP="00E02E47">
                            <w:pPr>
                              <w:widowControl w:val="0"/>
                              <w:numPr>
                                <w:ilvl w:val="0"/>
                                <w:numId w:val="27"/>
                              </w:numPr>
                              <w:spacing w:after="60"/>
                              <w:ind w:left="1134" w:hanging="380"/>
                              <w:jc w:val="left"/>
                              <w:rPr>
                                <w:color w:val="595959"/>
                                <w:sz w:val="18"/>
                                <w:szCs w:val="18"/>
                              </w:rPr>
                            </w:pPr>
                            <w:r w:rsidRPr="003E3D16">
                              <w:rPr>
                                <w:color w:val="595959"/>
                                <w:sz w:val="18"/>
                                <w:szCs w:val="18"/>
                              </w:rPr>
                              <w:t>adresy beneficjentów;</w:t>
                            </w:r>
                          </w:p>
                          <w:p w14:paraId="4D360DDB" w14:textId="77777777" w:rsidR="00E02E47" w:rsidRPr="003E3D16" w:rsidRDefault="00E02E47" w:rsidP="00E02E47">
                            <w:pPr>
                              <w:widowControl w:val="0"/>
                              <w:numPr>
                                <w:ilvl w:val="0"/>
                                <w:numId w:val="27"/>
                              </w:numPr>
                              <w:spacing w:after="60"/>
                              <w:ind w:left="1134" w:hanging="380"/>
                              <w:jc w:val="left"/>
                              <w:rPr>
                                <w:color w:val="595959"/>
                                <w:sz w:val="18"/>
                                <w:szCs w:val="18"/>
                              </w:rPr>
                            </w:pPr>
                            <w:r w:rsidRPr="003E3D16">
                              <w:rPr>
                                <w:color w:val="595959"/>
                                <w:sz w:val="18"/>
                                <w:szCs w:val="18"/>
                              </w:rPr>
                              <w:t>cel przyznania dotacji;</w:t>
                            </w:r>
                          </w:p>
                          <w:p w14:paraId="2DBE5A35" w14:textId="77777777" w:rsidR="00E02E47" w:rsidRPr="003E3D16" w:rsidRDefault="00E02E47" w:rsidP="00E02E47">
                            <w:pPr>
                              <w:widowControl w:val="0"/>
                              <w:numPr>
                                <w:ilvl w:val="0"/>
                                <w:numId w:val="27"/>
                              </w:numPr>
                              <w:spacing w:after="120"/>
                              <w:ind w:left="1134" w:hanging="380"/>
                              <w:jc w:val="left"/>
                              <w:rPr>
                                <w:color w:val="595959"/>
                                <w:sz w:val="18"/>
                                <w:szCs w:val="18"/>
                              </w:rPr>
                            </w:pPr>
                            <w:r w:rsidRPr="003E3D16">
                              <w:rPr>
                                <w:color w:val="595959"/>
                                <w:sz w:val="18"/>
                                <w:szCs w:val="18"/>
                              </w:rPr>
                              <w:t>maksymalną przyznaną kwotę dotacji.</w:t>
                            </w:r>
                          </w:p>
                          <w:p w14:paraId="7A978050" w14:textId="77777777" w:rsidR="00E02E47" w:rsidRPr="003E3D16" w:rsidRDefault="00E02E47" w:rsidP="00E02E47">
                            <w:pPr>
                              <w:widowControl w:val="0"/>
                              <w:ind w:left="567"/>
                              <w:rPr>
                                <w:color w:val="595959"/>
                                <w:sz w:val="18"/>
                                <w:szCs w:val="18"/>
                              </w:rPr>
                            </w:pPr>
                            <w:r w:rsidRPr="003E3D16">
                              <w:rPr>
                                <w:color w:val="595959"/>
                                <w:sz w:val="18"/>
                                <w:szCs w:val="18"/>
                              </w:rPr>
                              <w:t>W wyjątkowych przypadkach można odstąpić od publikacji danych (na odpowiednio uzasadniony wniosek), w przypadku gdy zachodzi ryzyko, że ujawnienie informacji mogłoby zagrozić prawom i wolnościom określonym w Karcie praw podstawowych UE lub zaszkodzić interesom handlowym.</w:t>
                            </w:r>
                          </w:p>
                          <w:p w14:paraId="3CE68070" w14:textId="6385220D" w:rsidR="00830E63" w:rsidRPr="003E3D16" w:rsidRDefault="00830E63" w:rsidP="00E02E47">
                            <w:pPr>
                              <w:pStyle w:val="Default"/>
                              <w:widowControl w:val="0"/>
                              <w:numPr>
                                <w:ilvl w:val="0"/>
                                <w:numId w:val="26"/>
                              </w:numPr>
                              <w:spacing w:after="120"/>
                              <w:ind w:left="567" w:hanging="447"/>
                              <w:jc w:val="both"/>
                              <w:rPr>
                                <w:rFonts w:ascii="Verdana" w:hAnsi="Verdana"/>
                                <w:color w:val="595959"/>
                                <w:sz w:val="18"/>
                                <w:szCs w:val="18"/>
                              </w:rPr>
                            </w:pPr>
                            <w:r w:rsidRPr="003E3D16">
                              <w:rPr>
                                <w:rFonts w:ascii="Verdana" w:hAnsi="Verdana"/>
                                <w:b/>
                                <w:color w:val="595959"/>
                                <w:sz w:val="18"/>
                                <w:szCs w:val="18"/>
                              </w:rPr>
                              <w:t>Ochrona danych —</w:t>
                            </w:r>
                            <w:r w:rsidRPr="003E3D16">
                              <w:rPr>
                                <w:rFonts w:ascii="Verdana" w:hAnsi="Verdana"/>
                                <w:color w:val="595959"/>
                                <w:sz w:val="18"/>
                                <w:szCs w:val="18"/>
                              </w:rPr>
                              <w:t xml:space="preserve"> złożenie wniosku w ramach niniejszego zaproszenia wiąże się ze zbieraniem, wykorzystywaniem i przetwarzaniem danych osobowych. Dane te będą przetwarzane zgodnie ze stosownymi przepisami prawa. Będą one przetwarzane jedynie w celu oceny wniosku, późniejszego zarządzania dotacją oraz, w razie konieczności, monitorowania programu, jego oceny i informowania o programie. Szczegółowe informacje na ten temat znajdują się w </w:t>
                            </w:r>
                            <w:hyperlink r:id="rId68" w:history="1">
                              <w:r w:rsidRPr="003E3D16">
                                <w:rPr>
                                  <w:rStyle w:val="Hyperlink"/>
                                  <w:rFonts w:ascii="Verdana" w:hAnsi="Verdana"/>
                                  <w:sz w:val="18"/>
                                  <w:szCs w:val="20"/>
                                </w:rPr>
                                <w:t>oświadczeniu o ochronie prywatności portalu Funding and Tenders</w:t>
                              </w:r>
                            </w:hyperlink>
                            <w:r w:rsidRPr="003E3D16">
                              <w:rPr>
                                <w:rFonts w:ascii="Verdana" w:hAnsi="Verdana"/>
                                <w:color w:val="595959"/>
                                <w:sz w:val="18"/>
                                <w:szCs w:val="18"/>
                              </w:rPr>
                              <w:t>.</w:t>
                            </w:r>
                          </w:p>
                        </w:txbxContent>
                      </wps:txbx>
                      <wps:bodyPr rot="0" vert="horz" wrap="square" lIns="91440" tIns="45720" rIns="91440" bIns="45720" anchor="t" anchorCtr="0" upright="1">
                        <a:noAutofit/>
                      </wps:bodyPr>
                    </wps:wsp>
                  </a:graphicData>
                </a:graphic>
              </wp:inline>
            </w:drawing>
          </mc:Choice>
          <mc:Fallback>
            <w:pict>
              <v:shape w14:anchorId="23A0AE0D" id="Text Box 21" o:spid="_x0000_s1028" type="#_x0000_t202" style="width:430.95pt;height:2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" fillcolor="#f2f2f2" strokecolor="#bfbfbf" strokeweight="1.5pt">
                <v:textbox>
                  <w:txbxContent>
                    <w:p w14:paraId="70A0E3AE" w14:textId="69A46A0B" w:rsidR="00D9124D" w:rsidRPr="003E3D16" w:rsidRDefault="00D9124D" w:rsidP="00E02E47">
                      <w:pPr>
                        <w:numPr>
                          <w:ilvl w:val="0"/>
                          <w:numId w:val="26"/>
                        </w:numPr>
                        <w:spacing w:after="120"/>
                        <w:ind w:left="567" w:right="79" w:hanging="425"/>
                        <w:rPr>
                          <w:color w:val="595959"/>
                          <w:sz w:val="18"/>
                          <w:szCs w:val="18"/>
                        </w:rPr>
                      </w:pPr>
                      <w:r w:rsidRPr="003E3D16">
                        <w:rPr>
                          <w:b/>
                          <w:color w:val="595959"/>
                          <w:sz w:val="18"/>
                          <w:szCs w:val="18"/>
                        </w:rPr>
                        <w:t>Przejrzystość —</w:t>
                      </w:r>
                      <w:r w:rsidRPr="003E3D16">
                        <w:rPr>
                          <w:color w:val="595959"/>
                          <w:sz w:val="18"/>
                          <w:szCs w:val="18"/>
                        </w:rPr>
                        <w:t xml:space="preserve"> zgodnie z art. 38</w:t>
                      </w:r>
                      <w:r w:rsidRPr="003E3D16">
                        <w:t xml:space="preserve"> </w:t>
                      </w:r>
                      <w:hyperlink r:id="rId69" w:history="1">
                        <w:r w:rsidRPr="003E3D16">
                          <w:rPr>
                            <w:color w:val="0088CC"/>
                            <w:sz w:val="18"/>
                            <w:szCs w:val="24"/>
                            <w:u w:val="single"/>
                          </w:rPr>
                          <w:t>rozporządzenia finansowego UE</w:t>
                        </w:r>
                      </w:hyperlink>
                      <w:r w:rsidRPr="003E3D16">
                        <w:rPr>
                          <w:color w:val="595959"/>
                          <w:sz w:val="18"/>
                          <w:szCs w:val="18"/>
                        </w:rPr>
                        <w:t xml:space="preserve">, informacje o udzielonych dotacjach unijnych są publikowane co roku na stronie internetowej </w:t>
                      </w:r>
                      <w:hyperlink r:id="rId70" w:history="1">
                        <w:r w:rsidRPr="003E3D16">
                          <w:rPr>
                            <w:rStyle w:val="Hyperlink"/>
                            <w:sz w:val="18"/>
                            <w:szCs w:val="18"/>
                          </w:rPr>
                          <w:t>Europa</w:t>
                        </w:r>
                      </w:hyperlink>
                      <w:r w:rsidRPr="003E3D16">
                        <w:rPr>
                          <w:color w:val="595959"/>
                          <w:sz w:val="18"/>
                          <w:szCs w:val="18"/>
                        </w:rPr>
                        <w:t>.</w:t>
                      </w:r>
                    </w:p>
                    <w:p w14:paraId="65E9D009" w14:textId="77777777" w:rsidR="00E02E47" w:rsidRPr="003E3D16" w:rsidRDefault="00E02E47" w:rsidP="00E02E47">
                      <w:pPr>
                        <w:spacing w:after="60"/>
                        <w:ind w:left="567" w:right="79"/>
                        <w:rPr>
                          <w:color w:val="595959"/>
                          <w:sz w:val="18"/>
                          <w:szCs w:val="18"/>
                        </w:rPr>
                      </w:pPr>
                      <w:r w:rsidRPr="003E3D16">
                        <w:rPr>
                          <w:color w:val="595959"/>
                          <w:sz w:val="18"/>
                          <w:szCs w:val="18"/>
                        </w:rPr>
                        <w:t>Obejmują one:</w:t>
                      </w:r>
                    </w:p>
                    <w:p w14:paraId="55DEDA69" w14:textId="77777777" w:rsidR="00E02E47" w:rsidRPr="003E3D16" w:rsidRDefault="00E02E47" w:rsidP="00E02E47">
                      <w:pPr>
                        <w:widowControl w:val="0"/>
                        <w:numPr>
                          <w:ilvl w:val="0"/>
                          <w:numId w:val="27"/>
                        </w:numPr>
                        <w:spacing w:after="60"/>
                        <w:ind w:left="1134" w:hanging="380"/>
                        <w:jc w:val="left"/>
                        <w:rPr>
                          <w:color w:val="595959"/>
                          <w:sz w:val="18"/>
                          <w:szCs w:val="18"/>
                        </w:rPr>
                      </w:pPr>
                      <w:r w:rsidRPr="003E3D16">
                        <w:rPr>
                          <w:color w:val="595959"/>
                          <w:sz w:val="18"/>
                          <w:szCs w:val="18"/>
                        </w:rPr>
                        <w:t>nazwy beneficjentów;</w:t>
                      </w:r>
                    </w:p>
                    <w:p w14:paraId="616DD29F" w14:textId="77777777" w:rsidR="00E02E47" w:rsidRPr="003E3D16" w:rsidRDefault="00E02E47" w:rsidP="00E02E47">
                      <w:pPr>
                        <w:widowControl w:val="0"/>
                        <w:numPr>
                          <w:ilvl w:val="0"/>
                          <w:numId w:val="27"/>
                        </w:numPr>
                        <w:spacing w:after="60"/>
                        <w:ind w:left="1134" w:hanging="380"/>
                        <w:jc w:val="left"/>
                        <w:rPr>
                          <w:color w:val="595959"/>
                          <w:sz w:val="18"/>
                          <w:szCs w:val="18"/>
                        </w:rPr>
                      </w:pPr>
                      <w:r w:rsidRPr="003E3D16">
                        <w:rPr>
                          <w:color w:val="595959"/>
                          <w:sz w:val="18"/>
                          <w:szCs w:val="18"/>
                        </w:rPr>
                        <w:t>adresy beneficjentów;</w:t>
                      </w:r>
                    </w:p>
                    <w:p w14:paraId="4D360DDB" w14:textId="77777777" w:rsidR="00E02E47" w:rsidRPr="003E3D16" w:rsidRDefault="00E02E47" w:rsidP="00E02E47">
                      <w:pPr>
                        <w:widowControl w:val="0"/>
                        <w:numPr>
                          <w:ilvl w:val="0"/>
                          <w:numId w:val="27"/>
                        </w:numPr>
                        <w:spacing w:after="60"/>
                        <w:ind w:left="1134" w:hanging="380"/>
                        <w:jc w:val="left"/>
                        <w:rPr>
                          <w:color w:val="595959"/>
                          <w:sz w:val="18"/>
                          <w:szCs w:val="18"/>
                        </w:rPr>
                      </w:pPr>
                      <w:r w:rsidRPr="003E3D16">
                        <w:rPr>
                          <w:color w:val="595959"/>
                          <w:sz w:val="18"/>
                          <w:szCs w:val="18"/>
                        </w:rPr>
                        <w:t>cel przyznania dotacji;</w:t>
                      </w:r>
                    </w:p>
                    <w:p w14:paraId="2DBE5A35" w14:textId="77777777" w:rsidR="00E02E47" w:rsidRPr="003E3D16" w:rsidRDefault="00E02E47" w:rsidP="00E02E47">
                      <w:pPr>
                        <w:widowControl w:val="0"/>
                        <w:numPr>
                          <w:ilvl w:val="0"/>
                          <w:numId w:val="27"/>
                        </w:numPr>
                        <w:spacing w:after="120"/>
                        <w:ind w:left="1134" w:hanging="380"/>
                        <w:jc w:val="left"/>
                        <w:rPr>
                          <w:color w:val="595959"/>
                          <w:sz w:val="18"/>
                          <w:szCs w:val="18"/>
                        </w:rPr>
                      </w:pPr>
                      <w:r w:rsidRPr="003E3D16">
                        <w:rPr>
                          <w:color w:val="595959"/>
                          <w:sz w:val="18"/>
                          <w:szCs w:val="18"/>
                        </w:rPr>
                        <w:t>maksymalną przyznaną kwotę dotacji.</w:t>
                      </w:r>
                    </w:p>
                    <w:p w14:paraId="7A978050" w14:textId="77777777" w:rsidR="00E02E47" w:rsidRPr="003E3D16" w:rsidRDefault="00E02E47" w:rsidP="00E02E47">
                      <w:pPr>
                        <w:widowControl w:val="0"/>
                        <w:ind w:left="567"/>
                        <w:rPr>
                          <w:color w:val="595959"/>
                          <w:sz w:val="18"/>
                          <w:szCs w:val="18"/>
                        </w:rPr>
                      </w:pPr>
                      <w:r w:rsidRPr="003E3D16">
                        <w:rPr>
                          <w:color w:val="595959"/>
                          <w:sz w:val="18"/>
                          <w:szCs w:val="18"/>
                        </w:rPr>
                        <w:t>W wyjątkowych przypadkach można odstąpić od publikacji danych (na odpowiednio uzasadniony wniosek), w przypadku gdy zachodzi ryzyko, że ujawnienie informacji mogłoby zagrozić prawom i wolnościom określonym w Karcie praw podstawowych UE lub zaszkodzić interesom handlowym.</w:t>
                      </w:r>
                    </w:p>
                    <w:p w14:paraId="3CE68070" w14:textId="6385220D" w:rsidR="00830E63" w:rsidRPr="003E3D16" w:rsidRDefault="00830E63" w:rsidP="00E02E47">
                      <w:pPr>
                        <w:pStyle w:val="Default"/>
                        <w:widowControl w:val="0"/>
                        <w:numPr>
                          <w:ilvl w:val="0"/>
                          <w:numId w:val="26"/>
                        </w:numPr>
                        <w:spacing w:after="120"/>
                        <w:ind w:left="567" w:hanging="447"/>
                        <w:jc w:val="both"/>
                        <w:rPr>
                          <w:rFonts w:ascii="Verdana" w:hAnsi="Verdana"/>
                          <w:color w:val="595959"/>
                          <w:sz w:val="18"/>
                          <w:szCs w:val="18"/>
                        </w:rPr>
                      </w:pPr>
                      <w:r w:rsidRPr="003E3D16">
                        <w:rPr>
                          <w:rFonts w:ascii="Verdana" w:hAnsi="Verdana"/>
                          <w:b/>
                          <w:color w:val="595959"/>
                          <w:sz w:val="18"/>
                          <w:szCs w:val="18"/>
                        </w:rPr>
                        <w:t>Ochrona danych —</w:t>
                      </w:r>
                      <w:r w:rsidRPr="003E3D16">
                        <w:rPr>
                          <w:rFonts w:ascii="Verdana" w:hAnsi="Verdana"/>
                          <w:color w:val="595959"/>
                          <w:sz w:val="18"/>
                          <w:szCs w:val="18"/>
                        </w:rPr>
                        <w:t xml:space="preserve"> złożenie wniosku w ramach niniejszego zaproszenia wiąże się ze zbieraniem, wykorzystywaniem i przetwarzaniem danych osobowych. Dane te będą przetwarzane zgodnie ze stosownymi przepisami prawa. Będą one przetwarzane jedynie w celu oceny wniosku, późniejszego zarządzania dotacją oraz, w razie konieczności, monitorowania programu, jego oceny i informowania o programie. Szczegółowe informacje na ten temat znajdują się w </w:t>
                      </w:r>
                      <w:hyperlink r:id="rId71" w:history="1">
                        <w:r w:rsidRPr="003E3D16">
                          <w:rPr>
                            <w:rStyle w:val="Hyperlink"/>
                            <w:rFonts w:ascii="Verdana" w:hAnsi="Verdana"/>
                            <w:sz w:val="18"/>
                            <w:szCs w:val="20"/>
                          </w:rPr>
                          <w:t>oświadczeniu o ochronie prywatności portalu Funding and Tenders</w:t>
                        </w:r>
                      </w:hyperlink>
                      <w:r w:rsidRPr="003E3D16">
                        <w:rPr>
                          <w:rFonts w:ascii="Verdana" w:hAnsi="Verdana"/>
                          <w:color w:val="595959"/>
                          <w:sz w:val="18"/>
                          <w:szCs w:val="18"/>
                        </w:rPr>
                        <w:t>.</w:t>
                      </w:r>
                    </w:p>
                  </w:txbxContent>
                </v:textbox>
                <w10:anchorlock/>
              </v:shape>
            </w:pict>
          </mc:Fallback>
        </mc:AlternateContent>
      </w:r>
    </w:p>
    <w:sectPr w:rsidR="00E02E47" w:rsidRPr="003E3D16" w:rsidSect="00A2572D">
      <w:headerReference w:type="first" r:id="rId72"/>
      <w:pgSz w:w="11906" w:h="16838" w:code="9"/>
      <w:pgMar w:top="1560" w:right="1588" w:bottom="1276" w:left="1588" w:header="567" w:footer="73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0A63D" w14:textId="77777777" w:rsidR="000579AF" w:rsidRPr="003E3D16" w:rsidRDefault="000579AF" w:rsidP="00B02821">
      <w:pPr>
        <w:spacing w:after="0"/>
      </w:pPr>
      <w:r w:rsidRPr="003E3D16">
        <w:separator/>
      </w:r>
    </w:p>
  </w:endnote>
  <w:endnote w:type="continuationSeparator" w:id="0">
    <w:p w14:paraId="5E4852A8" w14:textId="77777777" w:rsidR="000579AF" w:rsidRPr="003E3D16" w:rsidRDefault="000579AF" w:rsidP="00B02821">
      <w:pPr>
        <w:spacing w:after="0"/>
      </w:pPr>
      <w:r w:rsidRPr="003E3D16">
        <w:continuationSeparator/>
      </w:r>
    </w:p>
  </w:endnote>
  <w:endnote w:type="continuationNotice" w:id="1">
    <w:p w14:paraId="3A4B1D9C" w14:textId="77777777" w:rsidR="000579AF" w:rsidRPr="003E3D16" w:rsidRDefault="000579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C Square Sans Pro">
    <w:panose1 w:val="020B0506040000020004"/>
    <w:charset w:val="00"/>
    <w:family w:val="swiss"/>
    <w:pitch w:val="variable"/>
    <w:sig w:usb0="A00002BF" w:usb1="5000E0FB" w:usb2="00000000" w:usb3="00000000" w:csb0="0000019F" w:csb1="00000000"/>
  </w:font>
  <w:font w:name="EC Square Sans Pro Medium">
    <w:panose1 w:val="020B0500000000020004"/>
    <w:charset w:val="00"/>
    <w:family w:val="swiss"/>
    <w:pitch w:val="variable"/>
    <w:sig w:usb0="A00002BF" w:usb1="5000E0FB" w:usb2="00000000" w:usb3="00000000" w:csb0="0000019F" w:csb1="00000000"/>
  </w:font>
  <w:font w:name="EC Square Sans Pro Light">
    <w:panose1 w:val="020B0506000000020004"/>
    <w:charset w:val="00"/>
    <w:family w:val="swiss"/>
    <w:pitch w:val="variable"/>
    <w:sig w:usb0="A00002B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FCF89" w14:textId="6DE39E01" w:rsidR="000579AF" w:rsidRPr="003E3D16" w:rsidRDefault="000579AF" w:rsidP="009E1BA1">
    <w:pPr>
      <w:pStyle w:val="Footer"/>
      <w:ind w:right="-1"/>
      <w:jc w:val="right"/>
      <w:rPr>
        <w:rFonts w:ascii="Verdana" w:hAnsi="Verdana"/>
      </w:rPr>
    </w:pPr>
    <w:r w:rsidRPr="003E3D16">
      <w:rPr>
        <w:rFonts w:ascii="Verdana" w:hAnsi="Verdana"/>
      </w:rPr>
      <w:fldChar w:fldCharType="begin"/>
    </w:r>
    <w:r w:rsidRPr="003E3D16">
      <w:rPr>
        <w:rFonts w:ascii="Verdana" w:hAnsi="Verdana"/>
      </w:rPr>
      <w:instrText xml:space="preserve"> PAGE   \* MERGEFORMAT </w:instrText>
    </w:r>
    <w:r w:rsidRPr="003E3D16">
      <w:rPr>
        <w:rFonts w:ascii="Verdana" w:hAnsi="Verdana"/>
      </w:rPr>
      <w:fldChar w:fldCharType="separate"/>
    </w:r>
    <w:r w:rsidR="00D139A0">
      <w:rPr>
        <w:rFonts w:ascii="Verdana" w:hAnsi="Verdana"/>
        <w:noProof/>
      </w:rPr>
      <w:t>2</w:t>
    </w:r>
    <w:r w:rsidRPr="003E3D16">
      <w:rPr>
        <w:rFonts w:ascii="Verdana" w:hAnsi="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F6BD1" w14:textId="44898DC0" w:rsidR="000579AF" w:rsidRPr="003E3D16" w:rsidRDefault="000579AF" w:rsidP="00971780">
    <w:pPr>
      <w:autoSpaceDE w:val="0"/>
      <w:autoSpaceDN w:val="0"/>
      <w:adjustRightInd w:val="0"/>
      <w:spacing w:after="0"/>
    </w:pPr>
    <w:r w:rsidRPr="003E3D16">
      <w:rPr>
        <w:noProof/>
        <w:lang w:val="fr-BE" w:eastAsia="fr-BE"/>
      </w:rPr>
      <mc:AlternateContent>
        <mc:Choice Requires="wps">
          <w:drawing>
            <wp:anchor distT="0" distB="0" distL="114300" distR="114300" simplePos="0" relativeHeight="251658240" behindDoc="0" locked="0" layoutInCell="1" allowOverlap="1" wp14:anchorId="7D21EC33" wp14:editId="1E65DADA">
              <wp:simplePos x="0" y="0"/>
              <wp:positionH relativeFrom="column">
                <wp:posOffset>2272665</wp:posOffset>
              </wp:positionH>
              <wp:positionV relativeFrom="page">
                <wp:posOffset>10395585</wp:posOffset>
              </wp:positionV>
              <wp:extent cx="842645" cy="28829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4" style="position:absolute;margin-left:178.95pt;margin-top:818.55pt;width:66.3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004494" stroked="f" w14:anchorId="74C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">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92B73" w14:textId="77777777" w:rsidR="000579AF" w:rsidRPr="003E3D16" w:rsidRDefault="000579AF" w:rsidP="00B02821">
      <w:pPr>
        <w:spacing w:after="0"/>
      </w:pPr>
      <w:r w:rsidRPr="003E3D16">
        <w:separator/>
      </w:r>
    </w:p>
  </w:footnote>
  <w:footnote w:type="continuationSeparator" w:id="0">
    <w:p w14:paraId="107E5550" w14:textId="77777777" w:rsidR="000579AF" w:rsidRPr="003E3D16" w:rsidRDefault="000579AF" w:rsidP="00B02821">
      <w:pPr>
        <w:spacing w:after="0"/>
      </w:pPr>
      <w:r w:rsidRPr="003E3D16">
        <w:continuationSeparator/>
      </w:r>
    </w:p>
  </w:footnote>
  <w:footnote w:type="continuationNotice" w:id="1">
    <w:p w14:paraId="416A5574" w14:textId="77777777" w:rsidR="000579AF" w:rsidRPr="003E3D16" w:rsidRDefault="000579AF">
      <w:pPr>
        <w:spacing w:after="0"/>
      </w:pPr>
    </w:p>
  </w:footnote>
  <w:footnote w:id="2">
    <w:p w14:paraId="1D801B00" w14:textId="279D0F77" w:rsidR="000579AF" w:rsidRPr="003E3D16" w:rsidRDefault="000579AF" w:rsidP="00924362">
      <w:pPr>
        <w:pStyle w:val="FootnoteText"/>
        <w:spacing w:after="0"/>
        <w:ind w:left="284" w:hanging="284"/>
        <w:rPr>
          <w:color w:val="000000"/>
          <w:sz w:val="16"/>
          <w:szCs w:val="16"/>
        </w:rPr>
      </w:pPr>
      <w:r w:rsidRPr="003E3D16">
        <w:rPr>
          <w:rStyle w:val="FootnoteReference"/>
          <w:sz w:val="16"/>
          <w:szCs w:val="16"/>
        </w:rPr>
        <w:footnoteRef/>
      </w:r>
      <w:r w:rsidRPr="003E3D16">
        <w:rPr>
          <w:sz w:val="16"/>
          <w:szCs w:val="16"/>
        </w:rPr>
        <w:t xml:space="preserve"> </w:t>
      </w:r>
      <w:r w:rsidRPr="003E3D16">
        <w:rPr>
          <w:sz w:val="16"/>
          <w:szCs w:val="16"/>
        </w:rPr>
        <w:tab/>
        <w:t>Rozporządzenie Parlamentu Europejskiego i Rady (UE) 2021/692 z dnia 28 kwietnia 2021 r. ustanawiające program „Obywatele, równość, prawa i wartości” (Dz.U. L 156 z 5.5.2021, s. 1).</w:t>
      </w:r>
    </w:p>
  </w:footnote>
  <w:footnote w:id="3">
    <w:p w14:paraId="61A4F60E" w14:textId="3164B12C" w:rsidR="000579AF" w:rsidRPr="003E3D16" w:rsidRDefault="000579AF" w:rsidP="00924362">
      <w:pPr>
        <w:pStyle w:val="FootnoteText"/>
        <w:spacing w:after="0"/>
        <w:ind w:left="284" w:hanging="284"/>
        <w:rPr>
          <w:sz w:val="16"/>
          <w:szCs w:val="16"/>
        </w:rPr>
      </w:pPr>
      <w:r w:rsidRPr="003E3D16">
        <w:rPr>
          <w:rStyle w:val="FootnoteReference"/>
          <w:sz w:val="16"/>
          <w:szCs w:val="16"/>
        </w:rPr>
        <w:footnoteRef/>
      </w:r>
      <w:r w:rsidRPr="003E3D16">
        <w:rPr>
          <w:sz w:val="16"/>
          <w:szCs w:val="16"/>
        </w:rPr>
        <w:t xml:space="preserve"> </w:t>
      </w:r>
      <w:r w:rsidRPr="003E3D16">
        <w:rPr>
          <w:sz w:val="16"/>
          <w:szCs w:val="16"/>
        </w:rPr>
        <w:tab/>
        <w:t>Decyzja wykonawcza Komisji C(2021) 2583 final z dnia 19 kwietnia 2021 r. w sprawie finansowania programu „Obywatele, równość, prawa i wartości” oraz przyjęcia wieloletniego programu prac na lata 2021–2022.</w:t>
      </w:r>
    </w:p>
  </w:footnote>
  <w:footnote w:id="4">
    <w:p w14:paraId="190283C3" w14:textId="11605722" w:rsidR="000579AF" w:rsidRPr="003E3D16" w:rsidRDefault="000579AF" w:rsidP="00924362">
      <w:pPr>
        <w:pStyle w:val="FootnoteText"/>
        <w:spacing w:after="0"/>
        <w:ind w:left="284" w:hanging="284"/>
        <w:rPr>
          <w:sz w:val="16"/>
          <w:szCs w:val="16"/>
        </w:rPr>
      </w:pPr>
      <w:r w:rsidRPr="003E3D16">
        <w:rPr>
          <w:sz w:val="16"/>
          <w:szCs w:val="16"/>
          <w:vertAlign w:val="superscript"/>
        </w:rPr>
        <w:footnoteRef/>
      </w:r>
      <w:r w:rsidRPr="003E3D16">
        <w:rPr>
          <w:sz w:val="16"/>
          <w:szCs w:val="16"/>
        </w:rPr>
        <w:tab/>
        <w:t>Rozporządzenie Parlamentu Europejskiego i Rady (UE) nr 1381/2013 z dnia 17 grudnia 2013 r. ustanawiające program „Prawa, równość i obywatelstwo” na lata 2014–2020 (Dz.U. L 354 z 28.12.2013, s. 62).</w:t>
      </w:r>
    </w:p>
  </w:footnote>
  <w:footnote w:id="5">
    <w:p w14:paraId="10858EDC" w14:textId="37FB5CA3" w:rsidR="000579AF" w:rsidRPr="003E3D16" w:rsidRDefault="000579AF" w:rsidP="00924362">
      <w:pPr>
        <w:pStyle w:val="FootnoteText"/>
        <w:spacing w:after="0"/>
        <w:ind w:left="284" w:hanging="284"/>
        <w:rPr>
          <w:sz w:val="16"/>
          <w:szCs w:val="16"/>
        </w:rPr>
      </w:pPr>
      <w:r w:rsidRPr="003E3D16">
        <w:rPr>
          <w:sz w:val="16"/>
          <w:szCs w:val="16"/>
          <w:vertAlign w:val="superscript"/>
        </w:rPr>
        <w:footnoteRef/>
      </w:r>
      <w:r w:rsidRPr="003E3D16">
        <w:rPr>
          <w:sz w:val="16"/>
          <w:szCs w:val="16"/>
        </w:rPr>
        <w:tab/>
        <w:t>Rozporządzenie Rady (UE) nr 390/2014 z dnia 14 kwietnia 2014 r. ustanawiające program „Europa dla obywateli” na lata 2014–2020 (Dz.U. L 115 z 17.4.2014, s. 3).</w:t>
      </w:r>
    </w:p>
  </w:footnote>
  <w:footnote w:id="6">
    <w:p w14:paraId="6EC6382E" w14:textId="04198920" w:rsidR="000579AF" w:rsidRPr="003E3D16" w:rsidRDefault="000579AF" w:rsidP="00924362">
      <w:pPr>
        <w:pStyle w:val="FootnoteText"/>
        <w:spacing w:after="0"/>
        <w:ind w:left="284" w:hanging="284"/>
        <w:rPr>
          <w:sz w:val="16"/>
          <w:szCs w:val="16"/>
        </w:rPr>
      </w:pPr>
      <w:r w:rsidRPr="003E3D16">
        <w:rPr>
          <w:rStyle w:val="FootnoteReference"/>
          <w:sz w:val="16"/>
          <w:szCs w:val="16"/>
        </w:rPr>
        <w:footnoteRef/>
      </w:r>
      <w:r w:rsidRPr="003E3D16">
        <w:rPr>
          <w:sz w:val="16"/>
          <w:szCs w:val="16"/>
        </w:rPr>
        <w:t xml:space="preserve"> </w:t>
      </w:r>
      <w:r w:rsidRPr="003E3D16">
        <w:rPr>
          <w:sz w:val="16"/>
          <w:szCs w:val="16"/>
        </w:rPr>
        <w:tab/>
      </w:r>
      <w:hyperlink w:anchor=":~:text=The%20European%20Democracy%20Action%20Plan%20is%20designed%20to,the%20EU%20by%20promoting%20free%20and%20fair%20elections" w:history="1">
        <w:r w:rsidRPr="003E3D16">
          <w:rPr>
            <w:rStyle w:val="Hyperlink"/>
            <w:sz w:val="16"/>
            <w:szCs w:val="16"/>
          </w:rPr>
          <w:t>Europejski plan działania na rzecz demokracji</w:t>
        </w:r>
      </w:hyperlink>
      <w:r w:rsidRPr="003E3D16">
        <w:rPr>
          <w:sz w:val="16"/>
          <w:szCs w:val="16"/>
        </w:rPr>
        <w:t>.</w:t>
      </w:r>
    </w:p>
  </w:footnote>
  <w:footnote w:id="7">
    <w:p w14:paraId="456627A2" w14:textId="62AE3051" w:rsidR="000579AF" w:rsidRPr="003E3D16" w:rsidRDefault="000579AF" w:rsidP="00924362">
      <w:pPr>
        <w:pStyle w:val="FootnoteText"/>
        <w:spacing w:after="0"/>
        <w:ind w:left="284" w:hanging="284"/>
        <w:rPr>
          <w:sz w:val="16"/>
          <w:szCs w:val="16"/>
        </w:rPr>
      </w:pPr>
      <w:r w:rsidRPr="003E3D16">
        <w:rPr>
          <w:rStyle w:val="FootnoteReference"/>
          <w:sz w:val="16"/>
          <w:szCs w:val="16"/>
        </w:rPr>
        <w:footnoteRef/>
      </w:r>
      <w:r w:rsidRPr="003E3D16">
        <w:rPr>
          <w:sz w:val="16"/>
          <w:szCs w:val="16"/>
        </w:rPr>
        <w:t xml:space="preserve"> </w:t>
      </w:r>
      <w:r w:rsidRPr="003E3D16">
        <w:rPr>
          <w:sz w:val="16"/>
          <w:szCs w:val="16"/>
        </w:rPr>
        <w:tab/>
      </w:r>
      <w:hyperlink r:id="rId1" w:history="1">
        <w:r w:rsidRPr="003E3D16">
          <w:rPr>
            <w:rStyle w:val="Hyperlink"/>
            <w:sz w:val="16"/>
            <w:szCs w:val="16"/>
          </w:rPr>
          <w:t>Unijne ramy strategiczne na rzecz równouprawnienia, włączenia społecznego i udziału Romów</w:t>
        </w:r>
      </w:hyperlink>
      <w:r w:rsidRPr="003E3D16">
        <w:rPr>
          <w:sz w:val="16"/>
          <w:szCs w:val="16"/>
        </w:rPr>
        <w:t>.</w:t>
      </w:r>
    </w:p>
  </w:footnote>
  <w:footnote w:id="8">
    <w:p w14:paraId="7B0B537B" w14:textId="4F808D42" w:rsidR="000579AF" w:rsidRPr="003E3D16" w:rsidRDefault="000579AF" w:rsidP="00924362">
      <w:pPr>
        <w:pStyle w:val="FootnoteText"/>
        <w:spacing w:after="0"/>
        <w:ind w:left="284" w:hanging="284"/>
        <w:rPr>
          <w:sz w:val="16"/>
          <w:szCs w:val="16"/>
        </w:rPr>
      </w:pPr>
      <w:r w:rsidRPr="003E3D16">
        <w:rPr>
          <w:rStyle w:val="FootnoteReference"/>
          <w:sz w:val="16"/>
          <w:szCs w:val="16"/>
        </w:rPr>
        <w:footnoteRef/>
      </w:r>
      <w:r w:rsidRPr="003E3D16">
        <w:rPr>
          <w:sz w:val="16"/>
          <w:szCs w:val="16"/>
        </w:rPr>
        <w:t xml:space="preserve"> </w:t>
      </w:r>
      <w:r w:rsidRPr="003E3D16">
        <w:rPr>
          <w:sz w:val="16"/>
          <w:szCs w:val="16"/>
        </w:rPr>
        <w:tab/>
      </w:r>
      <w:hyperlink r:id="rId2" w:history="1">
        <w:r w:rsidRPr="003E3D16">
          <w:rPr>
            <w:rStyle w:val="Hyperlink"/>
            <w:sz w:val="16"/>
            <w:szCs w:val="16"/>
          </w:rPr>
          <w:t>Unijna strategia na rzecz wzmocnienia stosowania Karty praw podstawowych w UE</w:t>
        </w:r>
      </w:hyperlink>
      <w:r w:rsidRPr="003E3D16">
        <w:rPr>
          <w:sz w:val="16"/>
          <w:szCs w:val="16"/>
        </w:rPr>
        <w:t>.</w:t>
      </w:r>
    </w:p>
  </w:footnote>
  <w:footnote w:id="9">
    <w:p w14:paraId="7C8E8985" w14:textId="11B80428" w:rsidR="000579AF" w:rsidRPr="003E3D16" w:rsidRDefault="000579AF" w:rsidP="00924362">
      <w:pPr>
        <w:pStyle w:val="FootnoteText"/>
        <w:spacing w:after="0"/>
        <w:ind w:left="284" w:hanging="284"/>
        <w:jc w:val="left"/>
        <w:rPr>
          <w:sz w:val="16"/>
          <w:szCs w:val="16"/>
        </w:rPr>
      </w:pPr>
      <w:r w:rsidRPr="003E3D16">
        <w:rPr>
          <w:rStyle w:val="FootnoteReference"/>
          <w:sz w:val="16"/>
          <w:szCs w:val="16"/>
        </w:rPr>
        <w:footnoteRef/>
      </w:r>
      <w:r w:rsidRPr="003E3D16">
        <w:rPr>
          <w:sz w:val="16"/>
          <w:szCs w:val="16"/>
        </w:rPr>
        <w:t xml:space="preserve"> </w:t>
      </w:r>
      <w:r w:rsidRPr="003E3D16">
        <w:rPr>
          <w:sz w:val="16"/>
          <w:szCs w:val="16"/>
        </w:rPr>
        <w:tab/>
      </w:r>
      <w:hyperlink r:id="rId3" w:history="1">
        <w:r w:rsidRPr="003E3D16">
          <w:rPr>
            <w:rStyle w:val="Hyperlink"/>
            <w:sz w:val="16"/>
            <w:szCs w:val="16"/>
          </w:rPr>
          <w:t>Sprawozdanie na temat obywatelstwa UE za 2020 r.</w:t>
        </w:r>
      </w:hyperlink>
    </w:p>
  </w:footnote>
  <w:footnote w:id="10">
    <w:p w14:paraId="5A4970F1" w14:textId="5B842A94" w:rsidR="000579AF" w:rsidRPr="003E3D16" w:rsidRDefault="000579AF" w:rsidP="00732A4F">
      <w:pPr>
        <w:keepLines/>
        <w:spacing w:after="0"/>
        <w:ind w:left="284" w:hanging="284"/>
        <w:rPr>
          <w:sz w:val="16"/>
          <w:szCs w:val="16"/>
        </w:rPr>
      </w:pPr>
      <w:r w:rsidRPr="003E3D16">
        <w:rPr>
          <w:rStyle w:val="FootnoteReference"/>
          <w:sz w:val="16"/>
          <w:szCs w:val="16"/>
        </w:rPr>
        <w:footnoteRef/>
      </w:r>
      <w:r w:rsidRPr="003E3D16">
        <w:rPr>
          <w:color w:val="2F5496"/>
          <w:sz w:val="16"/>
          <w:szCs w:val="16"/>
        </w:rPr>
        <w:t xml:space="preserve"> </w:t>
      </w:r>
      <w:r w:rsidRPr="003E3D16">
        <w:rPr>
          <w:color w:val="2F5496"/>
          <w:sz w:val="16"/>
          <w:szCs w:val="16"/>
        </w:rPr>
        <w:tab/>
      </w:r>
      <w:hyperlink r:id="rId4" w:history="1">
        <w:r w:rsidRPr="003E3D16">
          <w:rPr>
            <w:rStyle w:val="Hyperlink"/>
            <w:sz w:val="16"/>
            <w:szCs w:val="16"/>
          </w:rPr>
          <w:t>Konferencja w sprawie przyszłości Europy</w:t>
        </w:r>
      </w:hyperlink>
      <w:r w:rsidRPr="003E3D16">
        <w:rPr>
          <w:sz w:val="16"/>
          <w:szCs w:val="16"/>
        </w:rPr>
        <w:t xml:space="preserve"> to ukierunkowane na obywateli, oddolne wydarzenie, dzięki któremu Europejki i Europejczycy mogą wyrazić swe oczekiwania wobec Unii Europejskiej. To sprawi, że obywatele będą odgrywać większą rolę w kształtowaniu przyszłej polityki i ambicji Unii, co zwiększy jej odporność. Będzie to możliwe dzięki licznym wydarzeniom i debatom organizowanym w ramach konferencji w całej Unii, a także interaktywnej wielojęzycznej platformy cyfrowej. Konferencje, tradycyjne spotkania lub spotkania w środowisku cyfrowym mogą być organizowane na różnych szczeblach, w tym na szczeblu transnarodowym i europejskim. Udział obywateli w tych wydarzeniach powinien mieć na celu odzwierciedlenie różnorodności Europy. Gminy partnerskie zachęca się do udziału w Konferencji w sprawie przyszłości Europy.</w:t>
      </w:r>
    </w:p>
  </w:footnote>
  <w:footnote w:id="11">
    <w:p w14:paraId="0F69B04E" w14:textId="1D8FFFBA" w:rsidR="000579AF" w:rsidRPr="003E3D16" w:rsidRDefault="000579AF" w:rsidP="00924362">
      <w:pPr>
        <w:pStyle w:val="FootnoteText"/>
        <w:spacing w:after="0"/>
        <w:ind w:left="284" w:hanging="284"/>
        <w:rPr>
          <w:sz w:val="16"/>
          <w:szCs w:val="16"/>
          <w:highlight w:val="green"/>
        </w:rPr>
      </w:pPr>
      <w:r w:rsidRPr="003E3D16">
        <w:rPr>
          <w:rStyle w:val="FootnoteReference"/>
          <w:sz w:val="16"/>
          <w:szCs w:val="16"/>
        </w:rPr>
        <w:footnoteRef/>
      </w:r>
      <w:r w:rsidRPr="003E3D16">
        <w:rPr>
          <w:sz w:val="16"/>
          <w:szCs w:val="16"/>
        </w:rPr>
        <w:t xml:space="preserve"> </w:t>
      </w:r>
      <w:r w:rsidRPr="003E3D16">
        <w:rPr>
          <w:sz w:val="16"/>
          <w:szCs w:val="16"/>
        </w:rPr>
        <w:tab/>
        <w:t xml:space="preserve">Więcej informacji można znaleźć w punkcie </w:t>
      </w:r>
      <w:r w:rsidRPr="003E3D16">
        <w:rPr>
          <w:i/>
          <w:sz w:val="16"/>
          <w:szCs w:val="16"/>
        </w:rPr>
        <w:t>Etyka i wartości UE</w:t>
      </w:r>
      <w:r w:rsidRPr="003E3D16">
        <w:rPr>
          <w:sz w:val="16"/>
          <w:szCs w:val="16"/>
        </w:rPr>
        <w:t>.</w:t>
      </w:r>
    </w:p>
  </w:footnote>
  <w:footnote w:id="12">
    <w:p w14:paraId="17D7FFB5" w14:textId="79853DA1" w:rsidR="000579AF" w:rsidRPr="003E3D16" w:rsidRDefault="000579AF" w:rsidP="00924362">
      <w:pPr>
        <w:pStyle w:val="FootnoteText"/>
        <w:spacing w:after="0"/>
        <w:ind w:left="284" w:hanging="284"/>
        <w:rPr>
          <w:sz w:val="16"/>
          <w:szCs w:val="16"/>
        </w:rPr>
      </w:pPr>
      <w:r w:rsidRPr="003E3D16">
        <w:rPr>
          <w:rStyle w:val="FootnoteReference"/>
          <w:sz w:val="16"/>
          <w:szCs w:val="16"/>
        </w:rPr>
        <w:footnoteRef/>
      </w:r>
      <w:r w:rsidRPr="003E3D16">
        <w:rPr>
          <w:sz w:val="16"/>
          <w:szCs w:val="16"/>
        </w:rPr>
        <w:t xml:space="preserve"> </w:t>
      </w:r>
      <w:r w:rsidRPr="003E3D16">
        <w:rPr>
          <w:sz w:val="16"/>
          <w:szCs w:val="16"/>
        </w:rPr>
        <w:tab/>
        <w:t>„Uczestnicy zaproszeni” to podróżujące delegacje z kwalifikujących się krajów partnerskich projektu, innych niż państwo organizujące wydarzenie w ramach partnerstwa miast.</w:t>
      </w:r>
    </w:p>
  </w:footnote>
  <w:footnote w:id="13">
    <w:p w14:paraId="228A0A98" w14:textId="079A3B62" w:rsidR="000579AF" w:rsidRPr="003E3D16" w:rsidRDefault="000579AF" w:rsidP="00924362">
      <w:pPr>
        <w:pStyle w:val="FootnoteText"/>
        <w:spacing w:after="0"/>
        <w:ind w:left="284" w:hanging="284"/>
        <w:rPr>
          <w:sz w:val="16"/>
          <w:szCs w:val="16"/>
        </w:rPr>
      </w:pPr>
      <w:r w:rsidRPr="003E3D16">
        <w:rPr>
          <w:rStyle w:val="FootnoteReference"/>
          <w:sz w:val="16"/>
          <w:szCs w:val="16"/>
        </w:rPr>
        <w:footnoteRef/>
      </w:r>
      <w:r w:rsidRPr="003E3D16">
        <w:rPr>
          <w:sz w:val="16"/>
          <w:szCs w:val="16"/>
        </w:rPr>
        <w:t xml:space="preserve"> </w:t>
      </w:r>
      <w:r w:rsidRPr="003E3D16">
        <w:rPr>
          <w:sz w:val="16"/>
          <w:szCs w:val="16"/>
        </w:rPr>
        <w:tab/>
        <w:t>Koordynator jest głównym wnioskodawcą w konsorcjum.</w:t>
      </w:r>
    </w:p>
  </w:footnote>
  <w:footnote w:id="14">
    <w:p w14:paraId="527456B7" w14:textId="78624482" w:rsidR="00683BCF" w:rsidRPr="003E3D16" w:rsidRDefault="000579AF" w:rsidP="00924362">
      <w:pPr>
        <w:pStyle w:val="FootnoteText"/>
        <w:spacing w:after="0"/>
        <w:ind w:left="284" w:hanging="284"/>
        <w:rPr>
          <w:sz w:val="16"/>
          <w:szCs w:val="16"/>
        </w:rPr>
      </w:pPr>
      <w:r w:rsidRPr="003E3D16">
        <w:rPr>
          <w:rStyle w:val="FootnoteReference"/>
          <w:sz w:val="16"/>
          <w:szCs w:val="16"/>
        </w:rPr>
        <w:footnoteRef/>
      </w:r>
      <w:r w:rsidRPr="003E3D16">
        <w:rPr>
          <w:sz w:val="16"/>
          <w:szCs w:val="16"/>
        </w:rPr>
        <w:t xml:space="preserve"> </w:t>
      </w:r>
      <w:r w:rsidRPr="003E3D16">
        <w:rPr>
          <w:sz w:val="16"/>
          <w:szCs w:val="16"/>
        </w:rPr>
        <w:tab/>
        <w:t xml:space="preserve">Zob. art. 197 ust. 2 lit. c) rozporządzenia finansowego UE </w:t>
      </w:r>
      <w:hyperlink r:id="rId5" w:history="1">
        <w:r w:rsidRPr="003E3D16">
          <w:rPr>
            <w:bCs/>
            <w:color w:val="0088CC"/>
            <w:sz w:val="16"/>
            <w:szCs w:val="16"/>
            <w:u w:val="single"/>
          </w:rPr>
          <w:t>2018/1046</w:t>
        </w:r>
      </w:hyperlink>
      <w:r w:rsidRPr="003E3D16">
        <w:rPr>
          <w:sz w:val="16"/>
          <w:szCs w:val="16"/>
        </w:rPr>
        <w:t>.</w:t>
      </w:r>
    </w:p>
  </w:footnote>
  <w:footnote w:id="15">
    <w:p w14:paraId="58E63D84" w14:textId="6CEB19C6" w:rsidR="002D27D8" w:rsidRPr="003E3D16" w:rsidRDefault="000579AF" w:rsidP="00924362">
      <w:pPr>
        <w:pStyle w:val="FootnoteText"/>
        <w:spacing w:after="0"/>
        <w:ind w:left="284" w:hanging="284"/>
        <w:rPr>
          <w:sz w:val="16"/>
          <w:szCs w:val="16"/>
        </w:rPr>
      </w:pPr>
      <w:r w:rsidRPr="003E3D16">
        <w:rPr>
          <w:rStyle w:val="FootnoteReference"/>
          <w:sz w:val="16"/>
          <w:szCs w:val="16"/>
        </w:rPr>
        <w:footnoteRef/>
      </w:r>
      <w:r w:rsidRPr="003E3D16">
        <w:rPr>
          <w:sz w:val="16"/>
          <w:szCs w:val="16"/>
        </w:rPr>
        <w:t xml:space="preserve"> </w:t>
      </w:r>
      <w:r w:rsidRPr="003E3D16">
        <w:rPr>
          <w:sz w:val="16"/>
          <w:szCs w:val="16"/>
        </w:rPr>
        <w:tab/>
        <w:t xml:space="preserve">Definicje tych pojęć zawarto w art. 187 ust. 2 i 197 ust. 2 lit. c) rozporządzenia finansowego UE </w:t>
      </w:r>
      <w:hyperlink r:id="rId6" w:history="1">
        <w:r w:rsidRPr="003E3D16">
          <w:rPr>
            <w:bCs/>
            <w:color w:val="0088CC"/>
            <w:sz w:val="16"/>
            <w:szCs w:val="16"/>
            <w:u w:val="single"/>
          </w:rPr>
          <w:t>2018/1046</w:t>
        </w:r>
      </w:hyperlink>
      <w:r w:rsidRPr="003E3D16">
        <w:rPr>
          <w:sz w:val="16"/>
          <w:szCs w:val="16"/>
        </w:rPr>
        <w:t>.</w:t>
      </w:r>
    </w:p>
  </w:footnote>
  <w:footnote w:id="16">
    <w:p w14:paraId="52822DD7" w14:textId="1248A629" w:rsidR="000579AF" w:rsidRPr="003E3D16" w:rsidRDefault="000579AF" w:rsidP="000579AF">
      <w:pPr>
        <w:pStyle w:val="FootnoteText"/>
        <w:spacing w:after="0"/>
        <w:ind w:left="284" w:hanging="284"/>
        <w:rPr>
          <w:sz w:val="16"/>
          <w:szCs w:val="16"/>
        </w:rPr>
      </w:pPr>
      <w:r w:rsidRPr="003E3D16">
        <w:rPr>
          <w:rStyle w:val="FootnoteReference"/>
          <w:sz w:val="16"/>
          <w:szCs w:val="16"/>
        </w:rPr>
        <w:footnoteRef/>
      </w:r>
      <w:r w:rsidRPr="003E3D16">
        <w:rPr>
          <w:sz w:val="16"/>
          <w:szCs w:val="16"/>
        </w:rPr>
        <w:t xml:space="preserve"> </w:t>
      </w:r>
      <w:r w:rsidRPr="003E3D16">
        <w:rPr>
          <w:sz w:val="16"/>
          <w:szCs w:val="16"/>
        </w:rPr>
        <w:tab/>
        <w:t xml:space="preserve">Należy mieć na uwadze, że oficjalny wykaz znajduje się w Dzienniku Urzędowym UE i, w razie niezgodności, ma on pierwszeństwo przed </w:t>
      </w:r>
      <w:hyperlink r:id="rId7" w:history="1">
        <w:r w:rsidRPr="003E3D16">
          <w:rPr>
            <w:rStyle w:val="Hyperlink"/>
            <w:sz w:val="16"/>
            <w:szCs w:val="16"/>
          </w:rPr>
          <w:t>mapą sankcji UE</w:t>
        </w:r>
      </w:hyperlink>
      <w:r w:rsidRPr="003E3D16">
        <w:rPr>
          <w:sz w:val="16"/>
          <w:szCs w:val="16"/>
        </w:rPr>
        <w:t>.</w:t>
      </w:r>
    </w:p>
  </w:footnote>
  <w:footnote w:id="17">
    <w:p w14:paraId="67257775" w14:textId="081B35A9" w:rsidR="000579AF" w:rsidRPr="003E3D16" w:rsidRDefault="000579AF" w:rsidP="000579AF">
      <w:pPr>
        <w:pStyle w:val="CM1"/>
        <w:ind w:left="284" w:hanging="284"/>
        <w:jc w:val="both"/>
        <w:rPr>
          <w:rFonts w:ascii="Verdana" w:hAnsi="Verdana"/>
          <w:sz w:val="16"/>
          <w:szCs w:val="16"/>
        </w:rPr>
      </w:pPr>
      <w:r w:rsidRPr="003E3D16">
        <w:rPr>
          <w:rStyle w:val="FootnoteReference"/>
          <w:rFonts w:ascii="Verdana" w:hAnsi="Verdana"/>
          <w:sz w:val="16"/>
          <w:szCs w:val="16"/>
        </w:rPr>
        <w:footnoteRef/>
      </w:r>
      <w:r w:rsidRPr="003E3D16">
        <w:rPr>
          <w:rFonts w:ascii="Verdana" w:hAnsi="Verdana"/>
          <w:sz w:val="16"/>
          <w:szCs w:val="16"/>
        </w:rPr>
        <w:t xml:space="preserve"> </w:t>
      </w:r>
      <w:r w:rsidRPr="003E3D16">
        <w:rPr>
          <w:sz w:val="16"/>
          <w:szCs w:val="16"/>
        </w:rPr>
        <w:tab/>
      </w:r>
      <w:r w:rsidRPr="003E3D16">
        <w:rPr>
          <w:rFonts w:ascii="Verdana" w:hAnsi="Verdana"/>
          <w:sz w:val="16"/>
          <w:szCs w:val="16"/>
        </w:rPr>
        <w:t xml:space="preserve">Wytyczne Komisji nr </w:t>
      </w:r>
      <w:hyperlink r:id="rId8" w:history="1">
        <w:r w:rsidRPr="003E3D16">
          <w:rPr>
            <w:rStyle w:val="Hyperlink"/>
            <w:rFonts w:ascii="Verdana" w:hAnsi="Verdana"/>
            <w:sz w:val="16"/>
            <w:szCs w:val="16"/>
          </w:rPr>
          <w:t>2013/C 205/05</w:t>
        </w:r>
      </w:hyperlink>
      <w:r w:rsidRPr="003E3D16">
        <w:rPr>
          <w:rFonts w:ascii="Verdana" w:hAnsi="Verdana"/>
          <w:sz w:val="16"/>
          <w:szCs w:val="16"/>
        </w:rPr>
        <w:t xml:space="preserve"> dotyczące kwalifikowania się podmiotów izraelskich i ich działań na terytoriach okupowanych przez Izrael od czerwca 1967 r. do korzystania z dotacji, nagród i instrumentów finansowych finansowanych ze środków UE począwszy od 2014 r. (Dz.U. UE C 205 z dnia 19 lipca 2013 r., s. 9-11). </w:t>
      </w:r>
    </w:p>
  </w:footnote>
  <w:footnote w:id="18">
    <w:p w14:paraId="2364A1FE" w14:textId="16E641CE" w:rsidR="000579AF" w:rsidRPr="003E3D16" w:rsidRDefault="000579AF" w:rsidP="000579AF">
      <w:pPr>
        <w:pStyle w:val="CM1"/>
        <w:ind w:left="284" w:hanging="284"/>
        <w:jc w:val="both"/>
        <w:rPr>
          <w:rFonts w:ascii="Verdana" w:hAnsi="Verdana"/>
          <w:sz w:val="16"/>
          <w:szCs w:val="16"/>
        </w:rPr>
      </w:pPr>
      <w:r w:rsidRPr="003E3D16">
        <w:rPr>
          <w:rStyle w:val="FootnoteReference"/>
          <w:sz w:val="16"/>
          <w:szCs w:val="16"/>
        </w:rPr>
        <w:footnoteRef/>
      </w:r>
      <w:r w:rsidRPr="003E3D16">
        <w:rPr>
          <w:sz w:val="16"/>
          <w:szCs w:val="16"/>
        </w:rPr>
        <w:t xml:space="preserve"> </w:t>
      </w:r>
      <w:r w:rsidRPr="003E3D16">
        <w:rPr>
          <w:sz w:val="16"/>
          <w:szCs w:val="16"/>
        </w:rPr>
        <w:tab/>
      </w:r>
      <w:hyperlink r:id="rId9" w:anchor=":~:text=Non-discrimination%20mainstreaming%20is%20about%20%E2%80%98placing%20equality%20considerations%20at,the%20EU-%20wide%20network%20of%20specialised%20equality%20bodies%29." w:history="1">
        <w:r w:rsidRPr="003E3D16">
          <w:rPr>
            <w:rStyle w:val="Hyperlink"/>
            <w:rFonts w:ascii="Verdana" w:hAnsi="Verdana"/>
            <w:sz w:val="16"/>
            <w:szCs w:val="16"/>
          </w:rPr>
          <w:t>Instrumenty włączania niedyskryminacji do głównego nurtu polityki, studia przypadków i sposoby postępowania</w:t>
        </w:r>
      </w:hyperlink>
      <w:r w:rsidRPr="003E3D16">
        <w:rPr>
          <w:sz w:val="16"/>
          <w:szCs w:val="16"/>
        </w:rPr>
        <w:t>.</w:t>
      </w:r>
    </w:p>
  </w:footnote>
  <w:footnote w:id="19">
    <w:p w14:paraId="39B3B430" w14:textId="1A773229" w:rsidR="000579AF" w:rsidRPr="003E3D16" w:rsidRDefault="000579AF" w:rsidP="00163978">
      <w:pPr>
        <w:pStyle w:val="FootnoteText"/>
        <w:spacing w:after="0"/>
        <w:ind w:left="284" w:hanging="284"/>
        <w:rPr>
          <w:rStyle w:val="FootnoteReference"/>
          <w:sz w:val="16"/>
          <w:szCs w:val="16"/>
          <w:vertAlign w:val="baseline"/>
        </w:rPr>
      </w:pPr>
      <w:r w:rsidRPr="003E3D16">
        <w:rPr>
          <w:rStyle w:val="FootnoteReference"/>
          <w:sz w:val="16"/>
          <w:szCs w:val="16"/>
        </w:rPr>
        <w:footnoteRef/>
      </w:r>
      <w:r w:rsidRPr="003E3D16">
        <w:rPr>
          <w:sz w:val="16"/>
          <w:szCs w:val="16"/>
        </w:rPr>
        <w:t xml:space="preserve"> </w:t>
      </w:r>
      <w:r w:rsidRPr="003E3D16">
        <w:rPr>
          <w:sz w:val="16"/>
          <w:szCs w:val="16"/>
        </w:rPr>
        <w:tab/>
        <w:t xml:space="preserve">Zob. art. 136 i 141 rozporządzenia finansowego UE </w:t>
      </w:r>
      <w:hyperlink r:id="rId10" w:history="1">
        <w:r w:rsidRPr="003E3D16">
          <w:rPr>
            <w:bCs/>
            <w:color w:val="0088CC"/>
            <w:sz w:val="16"/>
            <w:szCs w:val="16"/>
            <w:u w:val="single"/>
          </w:rPr>
          <w:t>2018/1046</w:t>
        </w:r>
      </w:hyperlink>
      <w:r w:rsidRPr="003E3D16">
        <w:rPr>
          <w:sz w:val="16"/>
          <w:szCs w:val="16"/>
        </w:rPr>
        <w:t>.</w:t>
      </w:r>
    </w:p>
  </w:footnote>
  <w:footnote w:id="20">
    <w:p w14:paraId="3E147AE4" w14:textId="77777777" w:rsidR="000579AF" w:rsidRPr="003E3D16" w:rsidRDefault="000579AF" w:rsidP="000579AF">
      <w:pPr>
        <w:pStyle w:val="FootnoteText"/>
        <w:spacing w:after="0"/>
        <w:ind w:left="284" w:hanging="284"/>
        <w:rPr>
          <w:sz w:val="16"/>
          <w:szCs w:val="16"/>
        </w:rPr>
      </w:pPr>
      <w:r w:rsidRPr="003E3D16">
        <w:rPr>
          <w:rStyle w:val="FootnoteReference"/>
          <w:sz w:val="16"/>
          <w:szCs w:val="16"/>
        </w:rPr>
        <w:footnoteRef/>
      </w:r>
      <w:r w:rsidRPr="003E3D16">
        <w:rPr>
          <w:sz w:val="16"/>
          <w:szCs w:val="16"/>
        </w:rPr>
        <w:t xml:space="preserve"> </w:t>
      </w:r>
      <w:r w:rsidRPr="003E3D16">
        <w:rPr>
          <w:sz w:val="16"/>
          <w:szCs w:val="16"/>
        </w:rPr>
        <w:tab/>
        <w:t>Poważne wykroczenie zawodowe obejmuje: naruszenie norm etycznych grupy zawodowej, bezprawne zachowanie, które ma wpływ na zawodową wiarygodność, składanie fałszywych oświadczeń/przedstawienie nieprawdziwych informacji, udział w kartelu lub innym porozumieniu mającym na celu zakłócenie konkurencji, naruszenie praw własności intelektualnej, próbę wpłynięcia na proces podejmowania decyzji lub pozyskania poufnych informacji od organu władzy publicznej, które mogą dać nienależną przewagę.</w:t>
      </w:r>
    </w:p>
  </w:footnote>
  <w:footnote w:id="21">
    <w:p w14:paraId="32BB546C" w14:textId="69CC1CD1" w:rsidR="000579AF" w:rsidRPr="003E3D16" w:rsidRDefault="000579AF" w:rsidP="00C71BF4">
      <w:pPr>
        <w:pStyle w:val="FootnoteText"/>
        <w:spacing w:after="0"/>
        <w:ind w:left="284" w:hanging="284"/>
        <w:rPr>
          <w:sz w:val="16"/>
          <w:szCs w:val="16"/>
        </w:rPr>
      </w:pPr>
      <w:r w:rsidRPr="003E3D16">
        <w:rPr>
          <w:rStyle w:val="FootnoteReference"/>
          <w:sz w:val="16"/>
          <w:szCs w:val="16"/>
        </w:rPr>
        <w:footnoteRef/>
      </w:r>
      <w:r w:rsidRPr="003E3D16">
        <w:rPr>
          <w:sz w:val="16"/>
          <w:szCs w:val="16"/>
        </w:rPr>
        <w:t xml:space="preserve"> </w:t>
      </w:r>
      <w:r w:rsidRPr="003E3D16">
        <w:rPr>
          <w:sz w:val="16"/>
          <w:szCs w:val="16"/>
        </w:rPr>
        <w:tab/>
        <w:t xml:space="preserve">Zob. art. 141 rozporządzenia finansowego UE </w:t>
      </w:r>
      <w:hyperlink r:id="rId11" w:history="1">
        <w:r w:rsidRPr="003E3D16">
          <w:rPr>
            <w:bCs/>
            <w:color w:val="0088CC"/>
            <w:sz w:val="16"/>
            <w:szCs w:val="16"/>
            <w:u w:val="single"/>
          </w:rPr>
          <w:t>2018/1046</w:t>
        </w:r>
      </w:hyperlink>
      <w:r w:rsidRPr="003E3D16">
        <w:rPr>
          <w:sz w:val="16"/>
          <w:szCs w:val="16"/>
        </w:rPr>
        <w:t>.</w:t>
      </w:r>
    </w:p>
  </w:footnote>
  <w:footnote w:id="22">
    <w:p w14:paraId="482E0888" w14:textId="567A7A88" w:rsidR="000579AF" w:rsidRPr="003E3D16" w:rsidRDefault="000579AF" w:rsidP="00C71BF4">
      <w:pPr>
        <w:pStyle w:val="FootnoteText"/>
        <w:spacing w:after="0"/>
        <w:ind w:left="284" w:hanging="284"/>
        <w:rPr>
          <w:sz w:val="16"/>
          <w:szCs w:val="16"/>
        </w:rPr>
      </w:pPr>
      <w:r w:rsidRPr="003E3D16">
        <w:rPr>
          <w:rStyle w:val="FootnoteReference"/>
          <w:sz w:val="16"/>
          <w:szCs w:val="16"/>
        </w:rPr>
        <w:footnoteRef/>
      </w:r>
      <w:r w:rsidRPr="003E3D16">
        <w:rPr>
          <w:sz w:val="16"/>
          <w:szCs w:val="16"/>
        </w:rPr>
        <w:t xml:space="preserve"> </w:t>
      </w:r>
      <w:r w:rsidRPr="003E3D16">
        <w:rPr>
          <w:sz w:val="16"/>
          <w:szCs w:val="16"/>
        </w:rPr>
        <w:tab/>
      </w:r>
      <w:hyperlink r:id="rId12" w:history="1">
        <w:r w:rsidRPr="003E3D16">
          <w:rPr>
            <w:rStyle w:val="Hyperlink"/>
            <w:sz w:val="16"/>
            <w:szCs w:val="16"/>
          </w:rPr>
          <w:t>Decyzja</w:t>
        </w:r>
      </w:hyperlink>
      <w:r w:rsidRPr="003E3D16">
        <w:rPr>
          <w:sz w:val="16"/>
          <w:szCs w:val="16"/>
        </w:rPr>
        <w:t xml:space="preserve"> z dnia 26 marca 2021 r. upoważniająca do stosowania kwot ryczałtowych na działania w ramach programu „Obywatele, równość, prawa i wartości” (2021–2027)</w:t>
      </w:r>
      <w:r w:rsidRPr="003E3D16">
        <w:rPr>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D7FEE" w14:textId="68511716" w:rsidR="000579AF" w:rsidRPr="003E3D16" w:rsidRDefault="00D47016" w:rsidP="00322207">
    <w:pPr>
      <w:tabs>
        <w:tab w:val="center" w:pos="4536"/>
        <w:tab w:val="right" w:pos="9072"/>
      </w:tabs>
      <w:spacing w:after="0"/>
      <w:rPr>
        <w:rFonts w:eastAsia="Calibri"/>
        <w:sz w:val="16"/>
      </w:rPr>
    </w:pPr>
    <w:r w:rsidRPr="003E3D16">
      <w:rPr>
        <w:sz w:val="16"/>
      </w:rPr>
      <w:t>Zaproszenie: [CERV-2022-CITIZENS-TOWN] — [Partnerstwo miast i Sieci miast]</w:t>
    </w:r>
  </w:p>
  <w:p w14:paraId="15B1C007" w14:textId="77777777" w:rsidR="000579AF" w:rsidRPr="003E3D16" w:rsidRDefault="000579AF" w:rsidP="00322207">
    <w:pPr>
      <w:tabs>
        <w:tab w:val="center" w:pos="4536"/>
        <w:tab w:val="right" w:pos="9072"/>
      </w:tabs>
      <w:spacing w:after="0" w:line="276" w:lineRule="auto"/>
      <w:rPr>
        <w:rFonts w:eastAsia="Calibri"/>
        <w:sz w:val="16"/>
      </w:rPr>
    </w:pPr>
  </w:p>
  <w:p w14:paraId="010F2120" w14:textId="205373BA" w:rsidR="000579AF" w:rsidRPr="003E3D16" w:rsidRDefault="000579AF" w:rsidP="00C90797">
    <w:pPr>
      <w:spacing w:after="0"/>
      <w:jc w:val="right"/>
      <w:rPr>
        <w:rFonts w:eastAsia="Calibri"/>
        <w:color w:val="808080"/>
        <w:sz w:val="16"/>
        <w:szCs w:val="16"/>
      </w:rPr>
    </w:pPr>
    <w:r w:rsidRPr="003E3D16">
      <w:rPr>
        <w:color w:val="4AA55B"/>
        <w:sz w:val="16"/>
      </w:rPr>
      <w:tab/>
    </w:r>
    <w:r w:rsidRPr="003E3D16">
      <w:rPr>
        <w:color w:val="7F7F7F"/>
        <w:sz w:val="16"/>
        <w:szCs w:val="16"/>
      </w:rPr>
      <w:t>Dotacje UE</w:t>
    </w:r>
    <w:r w:rsidRPr="003E3D16">
      <w:rPr>
        <w:color w:val="808080"/>
        <w:sz w:val="16"/>
        <w:szCs w:val="16"/>
      </w:rPr>
      <w:t xml:space="preserve">: Ogłoszenie o zaproszeniu </w:t>
    </w:r>
    <w:r w:rsidRPr="003E3D16">
      <w:rPr>
        <w:color w:val="7F7F7F"/>
        <w:sz w:val="16"/>
        <w:szCs w:val="16"/>
      </w:rPr>
      <w:t>(CERV)</w:t>
    </w:r>
    <w:r w:rsidRPr="003E3D16">
      <w:rPr>
        <w:color w:val="808080"/>
        <w:sz w:val="16"/>
        <w:szCs w:val="16"/>
      </w:rPr>
      <w:t>: V1.0 – 16.11.2021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9273" w14:textId="5A6FCB6C" w:rsidR="000579AF" w:rsidRPr="003E3D16" w:rsidRDefault="000579AF" w:rsidP="007A412A">
    <w:pPr>
      <w:pStyle w:val="Header"/>
      <w:jc w:val="center"/>
      <w:rPr>
        <w:rFonts w:ascii="Arial" w:hAnsi="Arial"/>
        <w:color w:val="595959"/>
        <w:szCs w:val="24"/>
      </w:rPr>
    </w:pPr>
    <w:r w:rsidRPr="003E3D16">
      <w:rPr>
        <w:noProof/>
        <w:lang w:val="fr-BE" w:eastAsia="fr-BE"/>
      </w:rPr>
      <w:drawing>
        <wp:inline distT="0" distB="0" distL="0" distR="0" wp14:anchorId="4FA16163" wp14:editId="1ECA857D">
          <wp:extent cx="1922780" cy="914400"/>
          <wp:effectExtent l="0" t="0" r="0" b="0"/>
          <wp:docPr id="2" name="Picture 2"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8EEC9" w14:textId="377CC7BB" w:rsidR="000579AF" w:rsidRPr="003E3D16" w:rsidRDefault="000579AF" w:rsidP="00771274">
    <w:pPr>
      <w:pStyle w:val="Header"/>
      <w:tabs>
        <w:tab w:val="clear" w:pos="4153"/>
        <w:tab w:val="clear" w:pos="8306"/>
        <w:tab w:val="left" w:pos="2659"/>
      </w:tabs>
      <w:spacing w:after="0"/>
    </w:pPr>
    <w:r w:rsidRPr="003E3D16">
      <w:tab/>
    </w:r>
    <w:r w:rsidRPr="003E3D16">
      <w:rPr>
        <w:noProof/>
        <w:lang w:val="fr-BE" w:eastAsia="fr-BE"/>
      </w:rPr>
      <w:drawing>
        <wp:inline distT="0" distB="0" distL="0" distR="0" wp14:anchorId="097AAA03" wp14:editId="590F354E">
          <wp:extent cx="1922780" cy="914400"/>
          <wp:effectExtent l="0" t="0" r="0" b="0"/>
          <wp:docPr id="14" name="Picture 14"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58F066"/>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013C92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AE6C26"/>
    <w:multiLevelType w:val="hybridMultilevel"/>
    <w:tmpl w:val="2C38E760"/>
    <w:lvl w:ilvl="0" w:tplc="D2AEE564">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36E4EC3"/>
    <w:multiLevelType w:val="hybridMultilevel"/>
    <w:tmpl w:val="8C984A6A"/>
    <w:lvl w:ilvl="0" w:tplc="2B5A9408">
      <w:start w:val="1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93CAB"/>
    <w:multiLevelType w:val="hybridMultilevel"/>
    <w:tmpl w:val="4FEEC344"/>
    <w:lvl w:ilvl="0" w:tplc="8DA6C39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8F54C3"/>
    <w:multiLevelType w:val="multilevel"/>
    <w:tmpl w:val="445AC056"/>
    <w:lvl w:ilvl="0">
      <w:start w:val="1"/>
      <w:numFmt w:val="bullet"/>
      <w:pStyle w:val="ListDash3"/>
      <w:lvlText w:val="–"/>
      <w:lvlJc w:val="left"/>
      <w:pPr>
        <w:tabs>
          <w:tab w:val="num" w:pos="1723"/>
        </w:tabs>
        <w:ind w:left="172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34387"/>
    <w:multiLevelType w:val="hybridMultilevel"/>
    <w:tmpl w:val="B17EC242"/>
    <w:lvl w:ilvl="0" w:tplc="FEAA60BA">
      <w:start w:val="1"/>
      <w:numFmt w:val="bullet"/>
      <w:lvlText w:val="·"/>
      <w:lvlJc w:val="left"/>
      <w:pPr>
        <w:ind w:left="720" w:hanging="360"/>
      </w:pPr>
      <w:rPr>
        <w:rFonts w:ascii="Symbol" w:hAnsi="Symbol" w:hint="default"/>
      </w:rPr>
    </w:lvl>
    <w:lvl w:ilvl="1" w:tplc="4880BB64">
      <w:start w:val="1"/>
      <w:numFmt w:val="bullet"/>
      <w:lvlText w:val="o"/>
      <w:lvlJc w:val="left"/>
      <w:pPr>
        <w:ind w:left="1440" w:hanging="360"/>
      </w:pPr>
      <w:rPr>
        <w:rFonts w:ascii="Courier New" w:hAnsi="Courier New" w:cs="Times New Roman" w:hint="default"/>
      </w:rPr>
    </w:lvl>
    <w:lvl w:ilvl="2" w:tplc="5F68A3DA">
      <w:start w:val="1"/>
      <w:numFmt w:val="bullet"/>
      <w:lvlText w:val=""/>
      <w:lvlJc w:val="left"/>
      <w:pPr>
        <w:ind w:left="2160" w:hanging="360"/>
      </w:pPr>
      <w:rPr>
        <w:rFonts w:ascii="Wingdings" w:hAnsi="Wingdings" w:hint="default"/>
      </w:rPr>
    </w:lvl>
    <w:lvl w:ilvl="3" w:tplc="8234825C">
      <w:start w:val="1"/>
      <w:numFmt w:val="bullet"/>
      <w:lvlText w:val=""/>
      <w:lvlJc w:val="left"/>
      <w:pPr>
        <w:ind w:left="2880" w:hanging="360"/>
      </w:pPr>
      <w:rPr>
        <w:rFonts w:ascii="Symbol" w:hAnsi="Symbol" w:hint="default"/>
      </w:rPr>
    </w:lvl>
    <w:lvl w:ilvl="4" w:tplc="92E26BB8">
      <w:start w:val="1"/>
      <w:numFmt w:val="bullet"/>
      <w:lvlText w:val="o"/>
      <w:lvlJc w:val="left"/>
      <w:pPr>
        <w:ind w:left="3600" w:hanging="360"/>
      </w:pPr>
      <w:rPr>
        <w:rFonts w:ascii="Courier New" w:hAnsi="Courier New" w:cs="Times New Roman" w:hint="default"/>
      </w:rPr>
    </w:lvl>
    <w:lvl w:ilvl="5" w:tplc="C94884C8">
      <w:start w:val="1"/>
      <w:numFmt w:val="bullet"/>
      <w:lvlText w:val=""/>
      <w:lvlJc w:val="left"/>
      <w:pPr>
        <w:ind w:left="4320" w:hanging="360"/>
      </w:pPr>
      <w:rPr>
        <w:rFonts w:ascii="Wingdings" w:hAnsi="Wingdings" w:hint="default"/>
      </w:rPr>
    </w:lvl>
    <w:lvl w:ilvl="6" w:tplc="7CAC58A4">
      <w:start w:val="1"/>
      <w:numFmt w:val="bullet"/>
      <w:lvlText w:val=""/>
      <w:lvlJc w:val="left"/>
      <w:pPr>
        <w:ind w:left="5040" w:hanging="360"/>
      </w:pPr>
      <w:rPr>
        <w:rFonts w:ascii="Symbol" w:hAnsi="Symbol" w:hint="default"/>
      </w:rPr>
    </w:lvl>
    <w:lvl w:ilvl="7" w:tplc="27DA3F58">
      <w:start w:val="1"/>
      <w:numFmt w:val="bullet"/>
      <w:lvlText w:val="o"/>
      <w:lvlJc w:val="left"/>
      <w:pPr>
        <w:ind w:left="5760" w:hanging="360"/>
      </w:pPr>
      <w:rPr>
        <w:rFonts w:ascii="Courier New" w:hAnsi="Courier New" w:cs="Times New Roman" w:hint="default"/>
      </w:rPr>
    </w:lvl>
    <w:lvl w:ilvl="8" w:tplc="7AC2F7E8">
      <w:start w:val="1"/>
      <w:numFmt w:val="bullet"/>
      <w:lvlText w:val=""/>
      <w:lvlJc w:val="left"/>
      <w:pPr>
        <w:ind w:left="6480" w:hanging="360"/>
      </w:pPr>
      <w:rPr>
        <w:rFonts w:ascii="Wingdings" w:hAnsi="Wingdings" w:hint="default"/>
      </w:rPr>
    </w:lvl>
  </w:abstractNum>
  <w:abstractNum w:abstractNumId="7" w15:restartNumberingAfterBreak="0">
    <w:nsid w:val="13B00C30"/>
    <w:multiLevelType w:val="singleLevel"/>
    <w:tmpl w:val="0FD0142C"/>
    <w:lvl w:ilvl="0">
      <w:start w:val="1"/>
      <w:numFmt w:val="bullet"/>
      <w:pStyle w:val="ListDash4"/>
      <w:lvlText w:val="–"/>
      <w:lvlJc w:val="left"/>
      <w:pPr>
        <w:tabs>
          <w:tab w:val="num" w:pos="1723"/>
        </w:tabs>
        <w:ind w:left="1723" w:hanging="283"/>
      </w:pPr>
      <w:rPr>
        <w:rFonts w:ascii="Times New Roman" w:hAnsi="Times New Roman"/>
      </w:rPr>
    </w:lvl>
  </w:abstractNum>
  <w:abstractNum w:abstractNumId="8" w15:restartNumberingAfterBreak="0">
    <w:nsid w:val="141800C7"/>
    <w:multiLevelType w:val="hybridMultilevel"/>
    <w:tmpl w:val="11706440"/>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494262"/>
    <w:multiLevelType w:val="hybridMultilevel"/>
    <w:tmpl w:val="9F5C3216"/>
    <w:lvl w:ilvl="0" w:tplc="04E080B6">
      <w:start w:val="1"/>
      <w:numFmt w:val="bullet"/>
      <w:lvlText w:val=""/>
      <w:lvlJc w:val="left"/>
      <w:pPr>
        <w:ind w:left="720" w:hanging="360"/>
      </w:pPr>
      <w:rPr>
        <w:rFonts w:ascii="Symbol" w:hAnsi="Symbol" w:hint="default"/>
        <w:color w:val="595959"/>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02B3C"/>
    <w:multiLevelType w:val="hybridMultilevel"/>
    <w:tmpl w:val="925C5806"/>
    <w:lvl w:ilvl="0" w:tplc="5F84B092">
      <w:start w:val="1"/>
      <w:numFmt w:val="bullet"/>
      <w:lvlText w:val=""/>
      <w:lvlJc w:val="left"/>
      <w:pPr>
        <w:ind w:left="720" w:hanging="360"/>
      </w:pPr>
      <w:rPr>
        <w:rFonts w:ascii="Symbol" w:hAnsi="Symbol" w:hint="default"/>
      </w:rPr>
    </w:lvl>
    <w:lvl w:ilvl="1" w:tplc="6D7A6886">
      <w:start w:val="1"/>
      <w:numFmt w:val="bullet"/>
      <w:lvlText w:val="o"/>
      <w:lvlJc w:val="left"/>
      <w:pPr>
        <w:ind w:left="1440" w:hanging="360"/>
      </w:pPr>
      <w:rPr>
        <w:rFonts w:ascii="Courier New" w:hAnsi="Courier New" w:cs="Times New Roman" w:hint="default"/>
      </w:rPr>
    </w:lvl>
    <w:lvl w:ilvl="2" w:tplc="540CB382">
      <w:start w:val="1"/>
      <w:numFmt w:val="bullet"/>
      <w:lvlText w:val=""/>
      <w:lvlJc w:val="left"/>
      <w:pPr>
        <w:ind w:left="2160" w:hanging="360"/>
      </w:pPr>
      <w:rPr>
        <w:rFonts w:ascii="Wingdings" w:hAnsi="Wingdings" w:hint="default"/>
      </w:rPr>
    </w:lvl>
    <w:lvl w:ilvl="3" w:tplc="18F6D324">
      <w:start w:val="1"/>
      <w:numFmt w:val="bullet"/>
      <w:lvlText w:val=""/>
      <w:lvlJc w:val="left"/>
      <w:pPr>
        <w:ind w:left="2880" w:hanging="360"/>
      </w:pPr>
      <w:rPr>
        <w:rFonts w:ascii="Symbol" w:hAnsi="Symbol" w:hint="default"/>
      </w:rPr>
    </w:lvl>
    <w:lvl w:ilvl="4" w:tplc="8D4AF8BA">
      <w:start w:val="1"/>
      <w:numFmt w:val="bullet"/>
      <w:lvlText w:val="o"/>
      <w:lvlJc w:val="left"/>
      <w:pPr>
        <w:ind w:left="3600" w:hanging="360"/>
      </w:pPr>
      <w:rPr>
        <w:rFonts w:ascii="Courier New" w:hAnsi="Courier New" w:cs="Times New Roman" w:hint="default"/>
      </w:rPr>
    </w:lvl>
    <w:lvl w:ilvl="5" w:tplc="9BF6974A">
      <w:start w:val="1"/>
      <w:numFmt w:val="bullet"/>
      <w:lvlText w:val=""/>
      <w:lvlJc w:val="left"/>
      <w:pPr>
        <w:ind w:left="4320" w:hanging="360"/>
      </w:pPr>
      <w:rPr>
        <w:rFonts w:ascii="Wingdings" w:hAnsi="Wingdings" w:hint="default"/>
      </w:rPr>
    </w:lvl>
    <w:lvl w:ilvl="6" w:tplc="953457D0">
      <w:start w:val="1"/>
      <w:numFmt w:val="bullet"/>
      <w:lvlText w:val=""/>
      <w:lvlJc w:val="left"/>
      <w:pPr>
        <w:ind w:left="5040" w:hanging="360"/>
      </w:pPr>
      <w:rPr>
        <w:rFonts w:ascii="Symbol" w:hAnsi="Symbol" w:hint="default"/>
      </w:rPr>
    </w:lvl>
    <w:lvl w:ilvl="7" w:tplc="2BA84904">
      <w:start w:val="1"/>
      <w:numFmt w:val="bullet"/>
      <w:lvlText w:val="o"/>
      <w:lvlJc w:val="left"/>
      <w:pPr>
        <w:ind w:left="5760" w:hanging="360"/>
      </w:pPr>
      <w:rPr>
        <w:rFonts w:ascii="Courier New" w:hAnsi="Courier New" w:cs="Times New Roman" w:hint="default"/>
      </w:rPr>
    </w:lvl>
    <w:lvl w:ilvl="8" w:tplc="7D52480A">
      <w:start w:val="1"/>
      <w:numFmt w:val="bullet"/>
      <w:lvlText w:val=""/>
      <w:lvlJc w:val="left"/>
      <w:pPr>
        <w:ind w:left="6480" w:hanging="360"/>
      </w:pPr>
      <w:rPr>
        <w:rFonts w:ascii="Wingdings" w:hAnsi="Wingdings" w:hint="default"/>
      </w:rPr>
    </w:lvl>
  </w:abstractNum>
  <w:abstractNum w:abstractNumId="12" w15:restartNumberingAfterBreak="0">
    <w:nsid w:val="1B511E85"/>
    <w:multiLevelType w:val="singleLevel"/>
    <w:tmpl w:val="82186D90"/>
    <w:lvl w:ilvl="0">
      <w:start w:val="1"/>
      <w:numFmt w:val="bullet"/>
      <w:pStyle w:val="ListBullet4"/>
      <w:lvlText w:val=""/>
      <w:lvlJc w:val="left"/>
      <w:pPr>
        <w:tabs>
          <w:tab w:val="num" w:pos="1723"/>
        </w:tabs>
        <w:ind w:left="1723" w:hanging="283"/>
      </w:pPr>
      <w:rPr>
        <w:rFonts w:ascii="Symbol" w:hAnsi="Symbol"/>
      </w:rPr>
    </w:lvl>
  </w:abstractNum>
  <w:abstractNum w:abstractNumId="13" w15:restartNumberingAfterBreak="0">
    <w:nsid w:val="1C7D1A8D"/>
    <w:multiLevelType w:val="singleLevel"/>
    <w:tmpl w:val="B086A94E"/>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204774F5"/>
    <w:multiLevelType w:val="multilevel"/>
    <w:tmpl w:val="D9F42482"/>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72162AA"/>
    <w:multiLevelType w:val="hybridMultilevel"/>
    <w:tmpl w:val="D4BE07C6"/>
    <w:lvl w:ilvl="0" w:tplc="BE50AD9E">
      <w:start w:val="1"/>
      <w:numFmt w:val="bullet"/>
      <w:lvlText w:val=""/>
      <w:lvlJc w:val="left"/>
      <w:pPr>
        <w:ind w:left="720" w:hanging="360"/>
      </w:pPr>
      <w:rPr>
        <w:rFonts w:ascii="Symbol" w:hAnsi="Symbol" w:hint="default"/>
        <w:sz w:val="21"/>
        <w:szCs w:val="24"/>
      </w:rPr>
    </w:lvl>
    <w:lvl w:ilvl="1" w:tplc="96AE0BB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352FFF"/>
    <w:multiLevelType w:val="hybridMultilevel"/>
    <w:tmpl w:val="548CD240"/>
    <w:lvl w:ilvl="0" w:tplc="69B2380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E667A"/>
    <w:multiLevelType w:val="hybridMultilevel"/>
    <w:tmpl w:val="087A7580"/>
    <w:lvl w:ilvl="0" w:tplc="BE50AD9E">
      <w:start w:val="1"/>
      <w:numFmt w:val="bullet"/>
      <w:lvlText w:val=""/>
      <w:lvlJc w:val="left"/>
      <w:pPr>
        <w:ind w:left="720" w:hanging="360"/>
      </w:pPr>
      <w:rPr>
        <w:rFonts w:ascii="Symbol" w:hAnsi="Symbol" w:hint="default"/>
      </w:rPr>
    </w:lvl>
    <w:lvl w:ilvl="1" w:tplc="BE50AD9E">
      <w:start w:val="1"/>
      <w:numFmt w:val="bullet"/>
      <w:lvlText w:val=""/>
      <w:lvlJc w:val="left"/>
      <w:pPr>
        <w:ind w:left="1440" w:hanging="360"/>
      </w:pPr>
      <w:rPr>
        <w:rFonts w:ascii="Symbol" w:hAnsi="Symbol" w:hint="default"/>
        <w:sz w:val="21"/>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737DD"/>
    <w:multiLevelType w:val="hybridMultilevel"/>
    <w:tmpl w:val="5C64EC24"/>
    <w:lvl w:ilvl="0" w:tplc="9294DFBC">
      <w:numFmt w:val="bullet"/>
      <w:lvlText w:val="•"/>
      <w:lvlJc w:val="left"/>
      <w:pPr>
        <w:ind w:left="1080" w:hanging="720"/>
      </w:pPr>
      <w:rPr>
        <w:rFonts w:ascii="Verdana" w:eastAsia="Times New Roman" w:hAnsi="Verdana" w:cs="Times New Roman" w:hint="default"/>
      </w:rPr>
    </w:lvl>
    <w:lvl w:ilvl="1" w:tplc="BE50AD9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475FA"/>
    <w:multiLevelType w:val="multilevel"/>
    <w:tmpl w:val="F65826E8"/>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5646B0E"/>
    <w:multiLevelType w:val="multilevel"/>
    <w:tmpl w:val="C51C4B2C"/>
    <w:lvl w:ilvl="0">
      <w:start w:val="1"/>
      <w:numFmt w:val="bullet"/>
      <w:pStyle w:val="ListBullet3"/>
      <w:lvlText w:val=""/>
      <w:lvlJc w:val="left"/>
      <w:pPr>
        <w:tabs>
          <w:tab w:val="num" w:pos="1723"/>
        </w:tabs>
        <w:ind w:left="172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346497"/>
    <w:multiLevelType w:val="hybridMultilevel"/>
    <w:tmpl w:val="9DF6880C"/>
    <w:lvl w:ilvl="0" w:tplc="24C6155C">
      <w:start w:val="1"/>
      <w:numFmt w:val="bullet"/>
      <w:lvlText w:val=""/>
      <w:lvlJc w:val="left"/>
      <w:pPr>
        <w:ind w:left="720"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C641BA"/>
    <w:multiLevelType w:val="hybridMultilevel"/>
    <w:tmpl w:val="943A1348"/>
    <w:lvl w:ilvl="0" w:tplc="F1F85750">
      <w:start w:val="1"/>
      <w:numFmt w:val="bullet"/>
      <w:lvlText w:val=""/>
      <w:lvlJc w:val="left"/>
      <w:pPr>
        <w:ind w:left="720" w:hanging="360"/>
      </w:pPr>
      <w:rPr>
        <w:rFonts w:ascii="Symbol" w:hAnsi="Symbol" w:hint="default"/>
        <w:color w:val="5959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D7EE5"/>
    <w:multiLevelType w:val="hybridMultilevel"/>
    <w:tmpl w:val="5DF04E64"/>
    <w:lvl w:ilvl="0" w:tplc="BE50AD9E">
      <w:start w:val="1"/>
      <w:numFmt w:val="bullet"/>
      <w:lvlText w:val=""/>
      <w:lvlJc w:val="left"/>
      <w:pPr>
        <w:ind w:left="7023" w:hanging="360"/>
      </w:pPr>
      <w:rPr>
        <w:rFonts w:ascii="Symbol" w:hAnsi="Symbol" w:hint="default"/>
        <w:b/>
        <w:strike w:val="0"/>
        <w:dstrike w:val="0"/>
        <w:color w:val="auto"/>
        <w:sz w:val="24"/>
        <w:u w:val="none"/>
        <w:effect w:val="none"/>
      </w:rPr>
    </w:lvl>
    <w:lvl w:ilvl="1" w:tplc="44FE2B32">
      <w:start w:val="3"/>
      <w:numFmt w:val="bullet"/>
      <w:lvlText w:val="-"/>
      <w:lvlJc w:val="left"/>
      <w:pPr>
        <w:ind w:left="3381" w:hanging="360"/>
      </w:pPr>
      <w:rPr>
        <w:rFonts w:ascii="Times New Roman" w:eastAsia="Calibri" w:hAnsi="Times New Roman" w:cs="Times New Roman" w:hint="default"/>
        <w:color w:val="auto"/>
      </w:rPr>
    </w:lvl>
    <w:lvl w:ilvl="2" w:tplc="08090005">
      <w:start w:val="1"/>
      <w:numFmt w:val="bullet"/>
      <w:lvlText w:val=""/>
      <w:lvlJc w:val="left"/>
      <w:pPr>
        <w:ind w:left="4101" w:hanging="360"/>
      </w:pPr>
      <w:rPr>
        <w:rFonts w:ascii="Wingdings" w:hAnsi="Wingdings" w:hint="default"/>
      </w:rPr>
    </w:lvl>
    <w:lvl w:ilvl="3" w:tplc="08090001">
      <w:start w:val="1"/>
      <w:numFmt w:val="bullet"/>
      <w:lvlText w:val=""/>
      <w:lvlJc w:val="left"/>
      <w:pPr>
        <w:ind w:left="4821" w:hanging="360"/>
      </w:pPr>
      <w:rPr>
        <w:rFonts w:ascii="Symbol" w:hAnsi="Symbol" w:hint="default"/>
      </w:rPr>
    </w:lvl>
    <w:lvl w:ilvl="4" w:tplc="08090003" w:tentative="1">
      <w:start w:val="1"/>
      <w:numFmt w:val="bullet"/>
      <w:lvlText w:val="o"/>
      <w:lvlJc w:val="left"/>
      <w:pPr>
        <w:ind w:left="5541" w:hanging="360"/>
      </w:pPr>
      <w:rPr>
        <w:rFonts w:ascii="Courier New" w:hAnsi="Courier New" w:cs="Courier New" w:hint="default"/>
      </w:rPr>
    </w:lvl>
    <w:lvl w:ilvl="5" w:tplc="08090005" w:tentative="1">
      <w:start w:val="1"/>
      <w:numFmt w:val="bullet"/>
      <w:lvlText w:val=""/>
      <w:lvlJc w:val="left"/>
      <w:pPr>
        <w:ind w:left="6261" w:hanging="360"/>
      </w:pPr>
      <w:rPr>
        <w:rFonts w:ascii="Wingdings" w:hAnsi="Wingdings" w:hint="default"/>
      </w:rPr>
    </w:lvl>
    <w:lvl w:ilvl="6" w:tplc="08090001" w:tentative="1">
      <w:start w:val="1"/>
      <w:numFmt w:val="bullet"/>
      <w:lvlText w:val=""/>
      <w:lvlJc w:val="left"/>
      <w:pPr>
        <w:ind w:left="6981" w:hanging="360"/>
      </w:pPr>
      <w:rPr>
        <w:rFonts w:ascii="Symbol" w:hAnsi="Symbol" w:hint="default"/>
      </w:rPr>
    </w:lvl>
    <w:lvl w:ilvl="7" w:tplc="08090003" w:tentative="1">
      <w:start w:val="1"/>
      <w:numFmt w:val="bullet"/>
      <w:lvlText w:val="o"/>
      <w:lvlJc w:val="left"/>
      <w:pPr>
        <w:ind w:left="7701" w:hanging="360"/>
      </w:pPr>
      <w:rPr>
        <w:rFonts w:ascii="Courier New" w:hAnsi="Courier New" w:cs="Courier New" w:hint="default"/>
      </w:rPr>
    </w:lvl>
    <w:lvl w:ilvl="8" w:tplc="08090005" w:tentative="1">
      <w:start w:val="1"/>
      <w:numFmt w:val="bullet"/>
      <w:lvlText w:val=""/>
      <w:lvlJc w:val="left"/>
      <w:pPr>
        <w:ind w:left="8421" w:hanging="360"/>
      </w:pPr>
      <w:rPr>
        <w:rFonts w:ascii="Wingdings" w:hAnsi="Wingdings" w:hint="default"/>
      </w:rPr>
    </w:lvl>
  </w:abstractNum>
  <w:abstractNum w:abstractNumId="24" w15:restartNumberingAfterBreak="0">
    <w:nsid w:val="3E0216B9"/>
    <w:multiLevelType w:val="multilevel"/>
    <w:tmpl w:val="49C6B458"/>
    <w:lvl w:ilvl="0">
      <w:start w:val="1"/>
      <w:numFmt w:val="decimal"/>
      <w:lvlText w:val="%1."/>
      <w:lvlJc w:val="left"/>
      <w:pPr>
        <w:tabs>
          <w:tab w:val="num" w:pos="1440"/>
        </w:tabs>
        <w:ind w:left="1440" w:hanging="1440"/>
      </w:pPr>
      <w:rPr>
        <w:i w:val="0"/>
        <w:sz w:val="24"/>
        <w:szCs w:val="28"/>
      </w:rPr>
    </w:lvl>
    <w:lvl w:ilvl="1">
      <w:start w:val="1"/>
      <w:numFmt w:val="decimal"/>
      <w:lvlText w:val="%1.%2."/>
      <w:lvlJc w:val="left"/>
      <w:pPr>
        <w:tabs>
          <w:tab w:val="num" w:pos="1440"/>
        </w:tabs>
        <w:ind w:left="1440" w:hanging="1440"/>
      </w:pPr>
      <w:rPr>
        <w:rFonts w:ascii="Verdana" w:hAnsi="Verdana" w:hint="default"/>
        <w:b/>
        <w:sz w:val="22"/>
        <w:szCs w:val="22"/>
      </w:rPr>
    </w:lvl>
    <w:lvl w:ilvl="2">
      <w:start w:val="1"/>
      <w:numFmt w:val="decimal"/>
      <w:lvlText w:val="%1.%2.%3."/>
      <w:lvlJc w:val="left"/>
      <w:pPr>
        <w:tabs>
          <w:tab w:val="num" w:pos="1724"/>
        </w:tabs>
        <w:ind w:left="1724" w:hanging="1440"/>
      </w:pPr>
      <w:rPr>
        <w:i w:val="0"/>
        <w:sz w:val="24"/>
        <w:szCs w:val="24"/>
      </w:rPr>
    </w:lvl>
    <w:lvl w:ilvl="3">
      <w:start w:val="1"/>
      <w:numFmt w:val="decimal"/>
      <w:pStyle w:val="Heading4"/>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E60361F"/>
    <w:multiLevelType w:val="hybridMultilevel"/>
    <w:tmpl w:val="DF28AE3E"/>
    <w:lvl w:ilvl="0" w:tplc="239695B4">
      <w:start w:val="1"/>
      <w:numFmt w:val="bullet"/>
      <w:lvlText w:val=""/>
      <w:lvlJc w:val="left"/>
      <w:pPr>
        <w:ind w:left="720" w:hanging="360"/>
      </w:pPr>
      <w:rPr>
        <w:rFonts w:ascii="Symbol" w:hAnsi="Symbol" w:hint="default"/>
      </w:rPr>
    </w:lvl>
    <w:lvl w:ilvl="1" w:tplc="A6523FA2">
      <w:start w:val="1"/>
      <w:numFmt w:val="bullet"/>
      <w:lvlText w:val="o"/>
      <w:lvlJc w:val="left"/>
      <w:pPr>
        <w:ind w:left="1440" w:hanging="360"/>
      </w:pPr>
      <w:rPr>
        <w:rFonts w:ascii="Courier New" w:hAnsi="Courier New" w:cs="Times New Roman" w:hint="default"/>
      </w:rPr>
    </w:lvl>
    <w:lvl w:ilvl="2" w:tplc="AE2A2790">
      <w:start w:val="1"/>
      <w:numFmt w:val="bullet"/>
      <w:lvlText w:val=""/>
      <w:lvlJc w:val="left"/>
      <w:pPr>
        <w:ind w:left="2160" w:hanging="360"/>
      </w:pPr>
      <w:rPr>
        <w:rFonts w:ascii="Wingdings" w:hAnsi="Wingdings" w:hint="default"/>
      </w:rPr>
    </w:lvl>
    <w:lvl w:ilvl="3" w:tplc="27403B40">
      <w:start w:val="1"/>
      <w:numFmt w:val="bullet"/>
      <w:lvlText w:val=""/>
      <w:lvlJc w:val="left"/>
      <w:pPr>
        <w:ind w:left="2880" w:hanging="360"/>
      </w:pPr>
      <w:rPr>
        <w:rFonts w:ascii="Symbol" w:hAnsi="Symbol" w:hint="default"/>
      </w:rPr>
    </w:lvl>
    <w:lvl w:ilvl="4" w:tplc="4E4AC0A0">
      <w:start w:val="1"/>
      <w:numFmt w:val="bullet"/>
      <w:lvlText w:val="o"/>
      <w:lvlJc w:val="left"/>
      <w:pPr>
        <w:ind w:left="3600" w:hanging="360"/>
      </w:pPr>
      <w:rPr>
        <w:rFonts w:ascii="Courier New" w:hAnsi="Courier New" w:cs="Times New Roman" w:hint="default"/>
      </w:rPr>
    </w:lvl>
    <w:lvl w:ilvl="5" w:tplc="419A324E">
      <w:start w:val="1"/>
      <w:numFmt w:val="bullet"/>
      <w:lvlText w:val=""/>
      <w:lvlJc w:val="left"/>
      <w:pPr>
        <w:ind w:left="4320" w:hanging="360"/>
      </w:pPr>
      <w:rPr>
        <w:rFonts w:ascii="Wingdings" w:hAnsi="Wingdings" w:hint="default"/>
      </w:rPr>
    </w:lvl>
    <w:lvl w:ilvl="6" w:tplc="4656E830">
      <w:start w:val="1"/>
      <w:numFmt w:val="bullet"/>
      <w:lvlText w:val=""/>
      <w:lvlJc w:val="left"/>
      <w:pPr>
        <w:ind w:left="5040" w:hanging="360"/>
      </w:pPr>
      <w:rPr>
        <w:rFonts w:ascii="Symbol" w:hAnsi="Symbol" w:hint="default"/>
      </w:rPr>
    </w:lvl>
    <w:lvl w:ilvl="7" w:tplc="12B2BECA">
      <w:start w:val="1"/>
      <w:numFmt w:val="bullet"/>
      <w:lvlText w:val="o"/>
      <w:lvlJc w:val="left"/>
      <w:pPr>
        <w:ind w:left="5760" w:hanging="360"/>
      </w:pPr>
      <w:rPr>
        <w:rFonts w:ascii="Courier New" w:hAnsi="Courier New" w:cs="Times New Roman" w:hint="default"/>
      </w:rPr>
    </w:lvl>
    <w:lvl w:ilvl="8" w:tplc="02C8FA5A">
      <w:start w:val="1"/>
      <w:numFmt w:val="bullet"/>
      <w:lvlText w:val=""/>
      <w:lvlJc w:val="left"/>
      <w:pPr>
        <w:ind w:left="6480" w:hanging="360"/>
      </w:pPr>
      <w:rPr>
        <w:rFonts w:ascii="Wingdings" w:hAnsi="Wingdings" w:hint="default"/>
      </w:rPr>
    </w:lvl>
  </w:abstractNum>
  <w:abstractNum w:abstractNumId="26" w15:restartNumberingAfterBreak="0">
    <w:nsid w:val="420D3041"/>
    <w:multiLevelType w:val="hybridMultilevel"/>
    <w:tmpl w:val="D00CEF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64731"/>
    <w:multiLevelType w:val="hybridMultilevel"/>
    <w:tmpl w:val="E1C86960"/>
    <w:lvl w:ilvl="0" w:tplc="038A179E">
      <w:start w:val="1"/>
      <w:numFmt w:val="bullet"/>
      <w:pStyle w:val="ListDash2"/>
      <w:lvlText w:val="–"/>
      <w:lvlJc w:val="left"/>
      <w:pPr>
        <w:tabs>
          <w:tab w:val="num" w:pos="1723"/>
        </w:tabs>
        <w:ind w:left="1723" w:hanging="283"/>
      </w:pPr>
      <w:rPr>
        <w:rFonts w:ascii="Times New Roman" w:hAnsi="Times New Roman"/>
      </w:rPr>
    </w:lvl>
    <w:lvl w:ilvl="1" w:tplc="7C264ED0">
      <w:numFmt w:val="decimal"/>
      <w:lvlText w:val=""/>
      <w:lvlJc w:val="left"/>
    </w:lvl>
    <w:lvl w:ilvl="2" w:tplc="00D2EBD8">
      <w:numFmt w:val="decimal"/>
      <w:lvlText w:val=""/>
      <w:lvlJc w:val="left"/>
    </w:lvl>
    <w:lvl w:ilvl="3" w:tplc="676E3FC4">
      <w:numFmt w:val="decimal"/>
      <w:lvlText w:val=""/>
      <w:lvlJc w:val="left"/>
    </w:lvl>
    <w:lvl w:ilvl="4" w:tplc="A87C3F26">
      <w:numFmt w:val="decimal"/>
      <w:lvlText w:val=""/>
      <w:lvlJc w:val="left"/>
    </w:lvl>
    <w:lvl w:ilvl="5" w:tplc="E5627EE0">
      <w:numFmt w:val="decimal"/>
      <w:lvlText w:val=""/>
      <w:lvlJc w:val="left"/>
    </w:lvl>
    <w:lvl w:ilvl="6" w:tplc="D9E606CA">
      <w:numFmt w:val="decimal"/>
      <w:lvlText w:val=""/>
      <w:lvlJc w:val="left"/>
    </w:lvl>
    <w:lvl w:ilvl="7" w:tplc="DF82021A">
      <w:numFmt w:val="decimal"/>
      <w:lvlText w:val=""/>
      <w:lvlJc w:val="left"/>
    </w:lvl>
    <w:lvl w:ilvl="8" w:tplc="DDA6C10A">
      <w:numFmt w:val="decimal"/>
      <w:lvlText w:val=""/>
      <w:lvlJc w:val="left"/>
    </w:lvl>
  </w:abstractNum>
  <w:abstractNum w:abstractNumId="28" w15:restartNumberingAfterBreak="0">
    <w:nsid w:val="491C066E"/>
    <w:multiLevelType w:val="hybridMultilevel"/>
    <w:tmpl w:val="D5A26558"/>
    <w:lvl w:ilvl="0" w:tplc="8D7666F0">
      <w:start w:val="1"/>
      <w:numFmt w:val="lowerLetter"/>
      <w:lvlText w:val="%1)"/>
      <w:lvlJc w:val="left"/>
      <w:pPr>
        <w:ind w:left="720" w:hanging="360"/>
      </w:pPr>
      <w:rPr>
        <w:rFonts w:ascii="Verdana" w:hAnsi="Verdana" w:hint="default"/>
        <w:b w:val="0"/>
        <w:i w:val="0"/>
        <w:sz w:val="20"/>
        <w:szCs w:val="22"/>
        <w:u w:val="none"/>
      </w:rPr>
    </w:lvl>
    <w:lvl w:ilvl="1" w:tplc="8D7666F0">
      <w:start w:val="1"/>
      <w:numFmt w:val="lowerLetter"/>
      <w:lvlText w:val="%2)"/>
      <w:lvlJc w:val="left"/>
      <w:pPr>
        <w:ind w:left="1440" w:hanging="360"/>
      </w:pPr>
      <w:rPr>
        <w:rFonts w:ascii="Verdana" w:hAnsi="Verdana" w:hint="default"/>
        <w:b w:val="0"/>
        <w:i w:val="0"/>
        <w:sz w:val="20"/>
        <w:szCs w:val="22"/>
        <w:u w:val="none"/>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15:restartNumberingAfterBreak="0">
    <w:nsid w:val="4C801BB6"/>
    <w:multiLevelType w:val="hybridMultilevel"/>
    <w:tmpl w:val="8F32D7DE"/>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24C6155C">
      <w:start w:val="1"/>
      <w:numFmt w:val="bullet"/>
      <w:lvlText w:val=""/>
      <w:lvlJc w:val="left"/>
      <w:pPr>
        <w:ind w:left="1800" w:hanging="360"/>
      </w:pPr>
      <w:rPr>
        <w:rFonts w:ascii="Symbol" w:hAnsi="Symbol"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DD22A24"/>
    <w:multiLevelType w:val="hybridMultilevel"/>
    <w:tmpl w:val="67A0E23E"/>
    <w:lvl w:ilvl="0" w:tplc="BE50AD9E">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1" w15:restartNumberingAfterBreak="0">
    <w:nsid w:val="500A42E9"/>
    <w:multiLevelType w:val="hybridMultilevel"/>
    <w:tmpl w:val="3BCC837E"/>
    <w:lvl w:ilvl="0" w:tplc="BE50AD9E">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6041FE"/>
    <w:multiLevelType w:val="hybridMultilevel"/>
    <w:tmpl w:val="F96417D2"/>
    <w:lvl w:ilvl="0" w:tplc="69B23806">
      <w:start w:val="1"/>
      <w:numFmt w:val="bullet"/>
      <w:lvlText w:val=""/>
      <w:lvlJc w:val="left"/>
      <w:pPr>
        <w:ind w:left="720" w:hanging="360"/>
      </w:pPr>
      <w:rPr>
        <w:rFonts w:ascii="Symbol" w:hAnsi="Symbol" w:hint="default"/>
        <w:color w:val="auto"/>
      </w:rPr>
    </w:lvl>
    <w:lvl w:ilvl="1" w:tplc="8DA6C39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B45DE7"/>
    <w:multiLevelType w:val="hybridMultilevel"/>
    <w:tmpl w:val="53C4DB58"/>
    <w:lvl w:ilvl="0" w:tplc="EE3C0108">
      <w:start w:val="1"/>
      <w:numFmt w:val="decimal"/>
      <w:pStyle w:val="ListNumber4"/>
      <w:lvlText w:val="(%1)"/>
      <w:lvlJc w:val="left"/>
      <w:pPr>
        <w:tabs>
          <w:tab w:val="num" w:pos="2149"/>
        </w:tabs>
        <w:ind w:left="2149" w:hanging="709"/>
      </w:pPr>
    </w:lvl>
    <w:lvl w:ilvl="1" w:tplc="D8749A26">
      <w:start w:val="1"/>
      <w:numFmt w:val="lowerLetter"/>
      <w:pStyle w:val="ListNumber4Level2"/>
      <w:lvlText w:val="(%2)"/>
      <w:lvlJc w:val="left"/>
      <w:pPr>
        <w:tabs>
          <w:tab w:val="num" w:pos="2857"/>
        </w:tabs>
        <w:ind w:left="2857" w:hanging="708"/>
      </w:pPr>
    </w:lvl>
    <w:lvl w:ilvl="2" w:tplc="21AE8B46">
      <w:start w:val="1"/>
      <w:numFmt w:val="bullet"/>
      <w:pStyle w:val="ListNumber4Level3"/>
      <w:lvlText w:val="–"/>
      <w:lvlJc w:val="left"/>
      <w:pPr>
        <w:tabs>
          <w:tab w:val="num" w:pos="3566"/>
        </w:tabs>
        <w:ind w:left="3566" w:hanging="709"/>
      </w:pPr>
      <w:rPr>
        <w:rFonts w:ascii="Times New Roman" w:hAnsi="Times New Roman" w:hint="default"/>
      </w:rPr>
    </w:lvl>
    <w:lvl w:ilvl="3" w:tplc="99840AC4">
      <w:start w:val="1"/>
      <w:numFmt w:val="bullet"/>
      <w:pStyle w:val="ListNumber4Level4"/>
      <w:lvlText w:val=""/>
      <w:lvlJc w:val="left"/>
      <w:pPr>
        <w:tabs>
          <w:tab w:val="num" w:pos="4275"/>
        </w:tabs>
        <w:ind w:left="4275" w:hanging="709"/>
      </w:pPr>
      <w:rPr>
        <w:rFonts w:ascii="Symbol" w:hAnsi="Symbol" w:hint="default"/>
      </w:rPr>
    </w:lvl>
    <w:lvl w:ilvl="4" w:tplc="654EBFD8">
      <w:start w:val="1"/>
      <w:numFmt w:val="lowerLetter"/>
      <w:lvlText w:val="(%5)"/>
      <w:lvlJc w:val="left"/>
      <w:pPr>
        <w:tabs>
          <w:tab w:val="num" w:pos="1800"/>
        </w:tabs>
        <w:ind w:left="1800" w:hanging="360"/>
      </w:pPr>
    </w:lvl>
    <w:lvl w:ilvl="5" w:tplc="6DF8574A">
      <w:start w:val="1"/>
      <w:numFmt w:val="lowerRoman"/>
      <w:lvlText w:val="(%6)"/>
      <w:lvlJc w:val="left"/>
      <w:pPr>
        <w:tabs>
          <w:tab w:val="num" w:pos="2160"/>
        </w:tabs>
        <w:ind w:left="2160" w:hanging="360"/>
      </w:pPr>
    </w:lvl>
    <w:lvl w:ilvl="6" w:tplc="4ABA14C0">
      <w:start w:val="1"/>
      <w:numFmt w:val="decimal"/>
      <w:lvlText w:val="%7."/>
      <w:lvlJc w:val="left"/>
      <w:pPr>
        <w:tabs>
          <w:tab w:val="num" w:pos="2520"/>
        </w:tabs>
        <w:ind w:left="2520" w:hanging="360"/>
      </w:pPr>
    </w:lvl>
    <w:lvl w:ilvl="7" w:tplc="47D2BEBC">
      <w:start w:val="1"/>
      <w:numFmt w:val="lowerLetter"/>
      <w:lvlText w:val="%8."/>
      <w:lvlJc w:val="left"/>
      <w:pPr>
        <w:tabs>
          <w:tab w:val="num" w:pos="2880"/>
        </w:tabs>
        <w:ind w:left="2880" w:hanging="360"/>
      </w:pPr>
    </w:lvl>
    <w:lvl w:ilvl="8" w:tplc="CB2E1996">
      <w:start w:val="1"/>
      <w:numFmt w:val="lowerRoman"/>
      <w:lvlText w:val="%9."/>
      <w:lvlJc w:val="left"/>
      <w:pPr>
        <w:tabs>
          <w:tab w:val="num" w:pos="3240"/>
        </w:tabs>
        <w:ind w:left="3240" w:hanging="360"/>
      </w:pPr>
    </w:lvl>
  </w:abstractNum>
  <w:abstractNum w:abstractNumId="34" w15:restartNumberingAfterBreak="0">
    <w:nsid w:val="52106FC3"/>
    <w:multiLevelType w:val="hybridMultilevel"/>
    <w:tmpl w:val="A5BA5E8C"/>
    <w:lvl w:ilvl="0" w:tplc="E72635F0">
      <w:start w:val="1"/>
      <w:numFmt w:val="bullet"/>
      <w:pStyle w:val="ListBullet1"/>
      <w:lvlText w:val=""/>
      <w:lvlJc w:val="left"/>
      <w:pPr>
        <w:tabs>
          <w:tab w:val="num" w:pos="1723"/>
        </w:tabs>
        <w:ind w:left="1723" w:hanging="283"/>
      </w:pPr>
      <w:rPr>
        <w:rFonts w:ascii="Symbol" w:hAnsi="Symbol"/>
      </w:rPr>
    </w:lvl>
    <w:lvl w:ilvl="1" w:tplc="A2A40ACA">
      <w:numFmt w:val="decimal"/>
      <w:lvlText w:val=""/>
      <w:lvlJc w:val="left"/>
    </w:lvl>
    <w:lvl w:ilvl="2" w:tplc="626E7278">
      <w:numFmt w:val="decimal"/>
      <w:lvlText w:val=""/>
      <w:lvlJc w:val="left"/>
    </w:lvl>
    <w:lvl w:ilvl="3" w:tplc="EF52CEAC">
      <w:numFmt w:val="decimal"/>
      <w:lvlText w:val=""/>
      <w:lvlJc w:val="left"/>
    </w:lvl>
    <w:lvl w:ilvl="4" w:tplc="5AB65512">
      <w:numFmt w:val="decimal"/>
      <w:lvlText w:val=""/>
      <w:lvlJc w:val="left"/>
    </w:lvl>
    <w:lvl w:ilvl="5" w:tplc="EFB80F84">
      <w:numFmt w:val="decimal"/>
      <w:lvlText w:val=""/>
      <w:lvlJc w:val="left"/>
    </w:lvl>
    <w:lvl w:ilvl="6" w:tplc="AB7EABD2">
      <w:numFmt w:val="decimal"/>
      <w:lvlText w:val=""/>
      <w:lvlJc w:val="left"/>
    </w:lvl>
    <w:lvl w:ilvl="7" w:tplc="434E9688">
      <w:numFmt w:val="decimal"/>
      <w:lvlText w:val=""/>
      <w:lvlJc w:val="left"/>
    </w:lvl>
    <w:lvl w:ilvl="8" w:tplc="5B6A80F4">
      <w:numFmt w:val="decimal"/>
      <w:lvlText w:val=""/>
      <w:lvlJc w:val="left"/>
    </w:lvl>
  </w:abstractNum>
  <w:abstractNum w:abstractNumId="35" w15:restartNumberingAfterBreak="0">
    <w:nsid w:val="526B09AB"/>
    <w:multiLevelType w:val="hybridMultilevel"/>
    <w:tmpl w:val="463012AC"/>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6" w15:restartNumberingAfterBreak="0">
    <w:nsid w:val="532C7B77"/>
    <w:multiLevelType w:val="hybridMultilevel"/>
    <w:tmpl w:val="632852C2"/>
    <w:lvl w:ilvl="0" w:tplc="BE50AD9E">
      <w:start w:val="1"/>
      <w:numFmt w:val="bullet"/>
      <w:lvlText w:val=""/>
      <w:lvlJc w:val="left"/>
      <w:pPr>
        <w:ind w:left="786"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5CE46C29"/>
    <w:multiLevelType w:val="hybridMultilevel"/>
    <w:tmpl w:val="1A929C5E"/>
    <w:lvl w:ilvl="0" w:tplc="C86EA79A">
      <w:start w:val="1"/>
      <w:numFmt w:val="bullet"/>
      <w:pStyle w:val="ListBullet2"/>
      <w:lvlText w:val=""/>
      <w:lvlJc w:val="left"/>
      <w:pPr>
        <w:tabs>
          <w:tab w:val="num" w:pos="1723"/>
        </w:tabs>
        <w:ind w:left="1723" w:hanging="283"/>
      </w:pPr>
      <w:rPr>
        <w:rFonts w:ascii="Symbol" w:hAnsi="Symbol"/>
      </w:rPr>
    </w:lvl>
    <w:lvl w:ilvl="1" w:tplc="3F225D00">
      <w:numFmt w:val="decimal"/>
      <w:lvlText w:val=""/>
      <w:lvlJc w:val="left"/>
    </w:lvl>
    <w:lvl w:ilvl="2" w:tplc="6080728C">
      <w:numFmt w:val="decimal"/>
      <w:lvlText w:val=""/>
      <w:lvlJc w:val="left"/>
    </w:lvl>
    <w:lvl w:ilvl="3" w:tplc="C8A63B92">
      <w:numFmt w:val="decimal"/>
      <w:lvlText w:val=""/>
      <w:lvlJc w:val="left"/>
    </w:lvl>
    <w:lvl w:ilvl="4" w:tplc="CD3870E0">
      <w:numFmt w:val="decimal"/>
      <w:lvlText w:val=""/>
      <w:lvlJc w:val="left"/>
    </w:lvl>
    <w:lvl w:ilvl="5" w:tplc="BCF45F38">
      <w:numFmt w:val="decimal"/>
      <w:lvlText w:val=""/>
      <w:lvlJc w:val="left"/>
    </w:lvl>
    <w:lvl w:ilvl="6" w:tplc="5FE2F52E">
      <w:numFmt w:val="decimal"/>
      <w:lvlText w:val=""/>
      <w:lvlJc w:val="left"/>
    </w:lvl>
    <w:lvl w:ilvl="7" w:tplc="993402E2">
      <w:numFmt w:val="decimal"/>
      <w:lvlText w:val=""/>
      <w:lvlJc w:val="left"/>
    </w:lvl>
    <w:lvl w:ilvl="8" w:tplc="030A0664">
      <w:numFmt w:val="decimal"/>
      <w:lvlText w:val=""/>
      <w:lvlJc w:val="left"/>
    </w:lvl>
  </w:abstractNum>
  <w:abstractNum w:abstractNumId="38" w15:restartNumberingAfterBreak="0">
    <w:nsid w:val="628C6C8B"/>
    <w:multiLevelType w:val="hybridMultilevel"/>
    <w:tmpl w:val="D9A29BEA"/>
    <w:lvl w:ilvl="0" w:tplc="0A1E9640">
      <w:start w:val="1"/>
      <w:numFmt w:val="bullet"/>
      <w:pStyle w:val="ListDash"/>
      <w:lvlText w:val="–"/>
      <w:lvlJc w:val="left"/>
      <w:pPr>
        <w:tabs>
          <w:tab w:val="num" w:pos="283"/>
        </w:tabs>
        <w:ind w:left="283" w:hanging="283"/>
      </w:pPr>
      <w:rPr>
        <w:rFonts w:ascii="Times New Roman" w:hAnsi="Times New Roman"/>
      </w:rPr>
    </w:lvl>
    <w:lvl w:ilvl="1" w:tplc="C202729E">
      <w:numFmt w:val="decimal"/>
      <w:lvlText w:val=""/>
      <w:lvlJc w:val="left"/>
    </w:lvl>
    <w:lvl w:ilvl="2" w:tplc="BA8642BA">
      <w:numFmt w:val="decimal"/>
      <w:lvlText w:val=""/>
      <w:lvlJc w:val="left"/>
    </w:lvl>
    <w:lvl w:ilvl="3" w:tplc="43D48606">
      <w:numFmt w:val="decimal"/>
      <w:lvlText w:val=""/>
      <w:lvlJc w:val="left"/>
    </w:lvl>
    <w:lvl w:ilvl="4" w:tplc="1CC893D6">
      <w:numFmt w:val="decimal"/>
      <w:lvlText w:val=""/>
      <w:lvlJc w:val="left"/>
    </w:lvl>
    <w:lvl w:ilvl="5" w:tplc="F7341166">
      <w:numFmt w:val="decimal"/>
      <w:lvlText w:val=""/>
      <w:lvlJc w:val="left"/>
    </w:lvl>
    <w:lvl w:ilvl="6" w:tplc="CAAE128C">
      <w:numFmt w:val="decimal"/>
      <w:lvlText w:val=""/>
      <w:lvlJc w:val="left"/>
    </w:lvl>
    <w:lvl w:ilvl="7" w:tplc="D408AFE0">
      <w:numFmt w:val="decimal"/>
      <w:lvlText w:val=""/>
      <w:lvlJc w:val="left"/>
    </w:lvl>
    <w:lvl w:ilvl="8" w:tplc="D842D462">
      <w:numFmt w:val="decimal"/>
      <w:lvlText w:val=""/>
      <w:lvlJc w:val="left"/>
    </w:lvl>
  </w:abstractNum>
  <w:abstractNum w:abstractNumId="39" w15:restartNumberingAfterBreak="0">
    <w:nsid w:val="630D466A"/>
    <w:multiLevelType w:val="hybridMultilevel"/>
    <w:tmpl w:val="938CC7DE"/>
    <w:lvl w:ilvl="0" w:tplc="0AD28318">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0" w15:restartNumberingAfterBreak="0">
    <w:nsid w:val="66CD13BD"/>
    <w:multiLevelType w:val="hybridMultilevel"/>
    <w:tmpl w:val="79B82EE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1" w15:restartNumberingAfterBreak="0">
    <w:nsid w:val="699543D1"/>
    <w:multiLevelType w:val="hybridMultilevel"/>
    <w:tmpl w:val="D5A60282"/>
    <w:lvl w:ilvl="0" w:tplc="B55E7CD0">
      <w:start w:val="1"/>
      <w:numFmt w:val="bullet"/>
      <w:pStyle w:val="ListDash1"/>
      <w:lvlText w:val="–"/>
      <w:lvlJc w:val="left"/>
      <w:pPr>
        <w:tabs>
          <w:tab w:val="num" w:pos="1723"/>
        </w:tabs>
        <w:ind w:left="1723" w:hanging="283"/>
      </w:pPr>
      <w:rPr>
        <w:rFonts w:ascii="Times New Roman" w:hAnsi="Times New Roman"/>
      </w:rPr>
    </w:lvl>
    <w:lvl w:ilvl="1" w:tplc="9976E3C8">
      <w:numFmt w:val="decimal"/>
      <w:lvlText w:val=""/>
      <w:lvlJc w:val="left"/>
    </w:lvl>
    <w:lvl w:ilvl="2" w:tplc="ECECE028">
      <w:numFmt w:val="decimal"/>
      <w:lvlText w:val=""/>
      <w:lvlJc w:val="left"/>
    </w:lvl>
    <w:lvl w:ilvl="3" w:tplc="13343134">
      <w:numFmt w:val="decimal"/>
      <w:lvlText w:val=""/>
      <w:lvlJc w:val="left"/>
    </w:lvl>
    <w:lvl w:ilvl="4" w:tplc="239C91A4">
      <w:numFmt w:val="decimal"/>
      <w:lvlText w:val=""/>
      <w:lvlJc w:val="left"/>
    </w:lvl>
    <w:lvl w:ilvl="5" w:tplc="C59210FE">
      <w:numFmt w:val="decimal"/>
      <w:lvlText w:val=""/>
      <w:lvlJc w:val="left"/>
    </w:lvl>
    <w:lvl w:ilvl="6" w:tplc="65447814">
      <w:numFmt w:val="decimal"/>
      <w:lvlText w:val=""/>
      <w:lvlJc w:val="left"/>
    </w:lvl>
    <w:lvl w:ilvl="7" w:tplc="17E4CECE">
      <w:numFmt w:val="decimal"/>
      <w:lvlText w:val=""/>
      <w:lvlJc w:val="left"/>
    </w:lvl>
    <w:lvl w:ilvl="8" w:tplc="4E324D6A">
      <w:numFmt w:val="decimal"/>
      <w:lvlText w:val=""/>
      <w:lvlJc w:val="left"/>
    </w:lvl>
  </w:abstractNum>
  <w:abstractNum w:abstractNumId="42" w15:restartNumberingAfterBreak="0">
    <w:nsid w:val="69CC7ACA"/>
    <w:multiLevelType w:val="hybridMultilevel"/>
    <w:tmpl w:val="C5749B60"/>
    <w:lvl w:ilvl="0" w:tplc="BE50AD9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A7E3CD3"/>
    <w:multiLevelType w:val="hybridMultilevel"/>
    <w:tmpl w:val="598221D0"/>
    <w:lvl w:ilvl="0" w:tplc="08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5A5E87"/>
    <w:multiLevelType w:val="hybridMultilevel"/>
    <w:tmpl w:val="3A58C910"/>
    <w:lvl w:ilvl="0" w:tplc="3CDE6F60">
      <w:start w:val="1"/>
      <w:numFmt w:val="decimal"/>
      <w:pStyle w:val="ListNumber3"/>
      <w:lvlText w:val="(%1)"/>
      <w:lvlJc w:val="left"/>
      <w:pPr>
        <w:tabs>
          <w:tab w:val="num" w:pos="2149"/>
        </w:tabs>
        <w:ind w:left="2149" w:hanging="709"/>
      </w:pPr>
    </w:lvl>
    <w:lvl w:ilvl="1" w:tplc="4724B3C4">
      <w:start w:val="1"/>
      <w:numFmt w:val="lowerLetter"/>
      <w:pStyle w:val="ListNumber3Level2"/>
      <w:lvlText w:val="(%2)"/>
      <w:lvlJc w:val="left"/>
      <w:pPr>
        <w:tabs>
          <w:tab w:val="num" w:pos="2857"/>
        </w:tabs>
        <w:ind w:left="2857" w:hanging="708"/>
      </w:pPr>
    </w:lvl>
    <w:lvl w:ilvl="2" w:tplc="E75672D8">
      <w:start w:val="1"/>
      <w:numFmt w:val="bullet"/>
      <w:pStyle w:val="ListNumber3Level3"/>
      <w:lvlText w:val="–"/>
      <w:lvlJc w:val="left"/>
      <w:pPr>
        <w:tabs>
          <w:tab w:val="num" w:pos="3566"/>
        </w:tabs>
        <w:ind w:left="3566" w:hanging="709"/>
      </w:pPr>
      <w:rPr>
        <w:rFonts w:ascii="Times New Roman" w:hAnsi="Times New Roman" w:hint="default"/>
      </w:rPr>
    </w:lvl>
    <w:lvl w:ilvl="3" w:tplc="582C2598">
      <w:start w:val="1"/>
      <w:numFmt w:val="bullet"/>
      <w:pStyle w:val="ListNumber3Level4"/>
      <w:lvlText w:val=""/>
      <w:lvlJc w:val="left"/>
      <w:pPr>
        <w:tabs>
          <w:tab w:val="num" w:pos="4275"/>
        </w:tabs>
        <w:ind w:left="4275" w:hanging="709"/>
      </w:pPr>
      <w:rPr>
        <w:rFonts w:ascii="Symbol" w:hAnsi="Symbol" w:hint="default"/>
      </w:rPr>
    </w:lvl>
    <w:lvl w:ilvl="4" w:tplc="BCE06DD8">
      <w:start w:val="1"/>
      <w:numFmt w:val="lowerLetter"/>
      <w:lvlText w:val="(%5)"/>
      <w:lvlJc w:val="left"/>
      <w:pPr>
        <w:tabs>
          <w:tab w:val="num" w:pos="1800"/>
        </w:tabs>
        <w:ind w:left="1800" w:hanging="360"/>
      </w:pPr>
    </w:lvl>
    <w:lvl w:ilvl="5" w:tplc="4FDE5DF6">
      <w:start w:val="1"/>
      <w:numFmt w:val="lowerRoman"/>
      <w:lvlText w:val="(%6)"/>
      <w:lvlJc w:val="left"/>
      <w:pPr>
        <w:tabs>
          <w:tab w:val="num" w:pos="2160"/>
        </w:tabs>
        <w:ind w:left="2160" w:hanging="360"/>
      </w:pPr>
    </w:lvl>
    <w:lvl w:ilvl="6" w:tplc="22301246">
      <w:start w:val="1"/>
      <w:numFmt w:val="decimal"/>
      <w:lvlText w:val="%7."/>
      <w:lvlJc w:val="left"/>
      <w:pPr>
        <w:tabs>
          <w:tab w:val="num" w:pos="2520"/>
        </w:tabs>
        <w:ind w:left="2520" w:hanging="360"/>
      </w:pPr>
    </w:lvl>
    <w:lvl w:ilvl="7" w:tplc="51D24918">
      <w:start w:val="1"/>
      <w:numFmt w:val="lowerLetter"/>
      <w:lvlText w:val="%8."/>
      <w:lvlJc w:val="left"/>
      <w:pPr>
        <w:tabs>
          <w:tab w:val="num" w:pos="2880"/>
        </w:tabs>
        <w:ind w:left="2880" w:hanging="360"/>
      </w:pPr>
    </w:lvl>
    <w:lvl w:ilvl="8" w:tplc="ADF2AA4C">
      <w:start w:val="1"/>
      <w:numFmt w:val="lowerRoman"/>
      <w:lvlText w:val="%9."/>
      <w:lvlJc w:val="left"/>
      <w:pPr>
        <w:tabs>
          <w:tab w:val="num" w:pos="3240"/>
        </w:tabs>
        <w:ind w:left="3240" w:hanging="360"/>
      </w:pPr>
    </w:lvl>
  </w:abstractNum>
  <w:abstractNum w:abstractNumId="45" w15:restartNumberingAfterBreak="0">
    <w:nsid w:val="6F1A03D0"/>
    <w:multiLevelType w:val="hybridMultilevel"/>
    <w:tmpl w:val="3AB00464"/>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22A0FA3"/>
    <w:multiLevelType w:val="hybridMultilevel"/>
    <w:tmpl w:val="1D8E4896"/>
    <w:lvl w:ilvl="0" w:tplc="8DBE542A">
      <w:start w:val="1"/>
      <w:numFmt w:val="bullet"/>
      <w:lvlText w:val="o"/>
      <w:lvlJc w:val="left"/>
      <w:rPr>
        <w:rFonts w:ascii="Courier New" w:hAnsi="Courier New" w:cs="Courier New" w:hint="default"/>
        <w:b w:val="0"/>
        <w:bCs w:val="0"/>
        <w:i w:val="0"/>
        <w:iCs w:val="0"/>
        <w:smallCaps w:val="0"/>
        <w:strike w:val="0"/>
        <w:color w:val="595959"/>
        <w:spacing w:val="0"/>
        <w:w w:val="100"/>
        <w:position w:val="0"/>
        <w:sz w:val="22"/>
        <w:szCs w:val="22"/>
        <w:u w:val="none"/>
        <w:lang w:val="en-US" w:eastAsia="en-US" w:bidi="en-US"/>
      </w:rPr>
    </w:lvl>
    <w:lvl w:ilvl="1" w:tplc="60227D96">
      <w:numFmt w:val="decimal"/>
      <w:lvlText w:val=""/>
      <w:lvlJc w:val="left"/>
    </w:lvl>
    <w:lvl w:ilvl="2" w:tplc="828C9C76">
      <w:numFmt w:val="decimal"/>
      <w:lvlText w:val=""/>
      <w:lvlJc w:val="left"/>
    </w:lvl>
    <w:lvl w:ilvl="3" w:tplc="E598A570">
      <w:numFmt w:val="decimal"/>
      <w:lvlText w:val=""/>
      <w:lvlJc w:val="left"/>
    </w:lvl>
    <w:lvl w:ilvl="4" w:tplc="5596BD84">
      <w:numFmt w:val="decimal"/>
      <w:lvlText w:val=""/>
      <w:lvlJc w:val="left"/>
    </w:lvl>
    <w:lvl w:ilvl="5" w:tplc="EC8AF6D8">
      <w:numFmt w:val="decimal"/>
      <w:lvlText w:val=""/>
      <w:lvlJc w:val="left"/>
    </w:lvl>
    <w:lvl w:ilvl="6" w:tplc="5EE62D2C">
      <w:numFmt w:val="decimal"/>
      <w:lvlText w:val=""/>
      <w:lvlJc w:val="left"/>
    </w:lvl>
    <w:lvl w:ilvl="7" w:tplc="497C6DA8">
      <w:numFmt w:val="decimal"/>
      <w:lvlText w:val=""/>
      <w:lvlJc w:val="left"/>
    </w:lvl>
    <w:lvl w:ilvl="8" w:tplc="4A200BEE">
      <w:numFmt w:val="decimal"/>
      <w:lvlText w:val=""/>
      <w:lvlJc w:val="left"/>
    </w:lvl>
  </w:abstractNum>
  <w:abstractNum w:abstractNumId="47"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57E2C4B"/>
    <w:multiLevelType w:val="hybridMultilevel"/>
    <w:tmpl w:val="0E9023D8"/>
    <w:lvl w:ilvl="0" w:tplc="24C6155C">
      <w:start w:val="1"/>
      <w:numFmt w:val="bullet"/>
      <w:lvlText w:val=""/>
      <w:lvlJc w:val="left"/>
      <w:pPr>
        <w:ind w:left="720" w:hanging="360"/>
      </w:pPr>
      <w:rPr>
        <w:rFonts w:ascii="Symbol" w:hAnsi="Symbol" w:hint="default"/>
      </w:rPr>
    </w:lvl>
    <w:lvl w:ilvl="1" w:tplc="24C6155C">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63A5E4B"/>
    <w:multiLevelType w:val="hybridMultilevel"/>
    <w:tmpl w:val="9BF8F262"/>
    <w:lvl w:ilvl="0" w:tplc="08B6A2BE">
      <w:start w:val="1"/>
      <w:numFmt w:val="decimal"/>
      <w:pStyle w:val="ListNumber2"/>
      <w:lvlText w:val="(%1)"/>
      <w:lvlJc w:val="left"/>
      <w:pPr>
        <w:tabs>
          <w:tab w:val="num" w:pos="2149"/>
        </w:tabs>
        <w:ind w:left="2149" w:hanging="709"/>
      </w:pPr>
    </w:lvl>
    <w:lvl w:ilvl="1" w:tplc="02E20676">
      <w:start w:val="1"/>
      <w:numFmt w:val="lowerLetter"/>
      <w:pStyle w:val="ListNumber2Level2"/>
      <w:lvlText w:val="(%2)"/>
      <w:lvlJc w:val="left"/>
      <w:pPr>
        <w:tabs>
          <w:tab w:val="num" w:pos="2857"/>
        </w:tabs>
        <w:ind w:left="2857" w:hanging="708"/>
      </w:pPr>
    </w:lvl>
    <w:lvl w:ilvl="2" w:tplc="2CB0D676">
      <w:start w:val="1"/>
      <w:numFmt w:val="bullet"/>
      <w:pStyle w:val="ListNumber2Level3"/>
      <w:lvlText w:val="–"/>
      <w:lvlJc w:val="left"/>
      <w:pPr>
        <w:tabs>
          <w:tab w:val="num" w:pos="3566"/>
        </w:tabs>
        <w:ind w:left="3566" w:hanging="709"/>
      </w:pPr>
      <w:rPr>
        <w:rFonts w:ascii="Times New Roman" w:hAnsi="Times New Roman" w:hint="default"/>
      </w:rPr>
    </w:lvl>
    <w:lvl w:ilvl="3" w:tplc="1758E3A2">
      <w:start w:val="1"/>
      <w:numFmt w:val="bullet"/>
      <w:pStyle w:val="ListNumber2Level4"/>
      <w:lvlText w:val=""/>
      <w:lvlJc w:val="left"/>
      <w:pPr>
        <w:tabs>
          <w:tab w:val="num" w:pos="4275"/>
        </w:tabs>
        <w:ind w:left="4275" w:hanging="709"/>
      </w:pPr>
      <w:rPr>
        <w:rFonts w:ascii="Symbol" w:hAnsi="Symbol" w:hint="default"/>
      </w:rPr>
    </w:lvl>
    <w:lvl w:ilvl="4" w:tplc="3E86EE16">
      <w:start w:val="1"/>
      <w:numFmt w:val="lowerLetter"/>
      <w:lvlText w:val="(%5)"/>
      <w:lvlJc w:val="left"/>
      <w:pPr>
        <w:tabs>
          <w:tab w:val="num" w:pos="1800"/>
        </w:tabs>
        <w:ind w:left="1800" w:hanging="360"/>
      </w:pPr>
    </w:lvl>
    <w:lvl w:ilvl="5" w:tplc="54666906">
      <w:start w:val="1"/>
      <w:numFmt w:val="lowerRoman"/>
      <w:lvlText w:val="(%6)"/>
      <w:lvlJc w:val="left"/>
      <w:pPr>
        <w:tabs>
          <w:tab w:val="num" w:pos="2160"/>
        </w:tabs>
        <w:ind w:left="2160" w:hanging="360"/>
      </w:pPr>
    </w:lvl>
    <w:lvl w:ilvl="6" w:tplc="A5F098B0">
      <w:start w:val="1"/>
      <w:numFmt w:val="decimal"/>
      <w:lvlText w:val="%7."/>
      <w:lvlJc w:val="left"/>
      <w:pPr>
        <w:tabs>
          <w:tab w:val="num" w:pos="2520"/>
        </w:tabs>
        <w:ind w:left="2520" w:hanging="360"/>
      </w:pPr>
    </w:lvl>
    <w:lvl w:ilvl="7" w:tplc="2EC2265A">
      <w:start w:val="1"/>
      <w:numFmt w:val="lowerLetter"/>
      <w:lvlText w:val="%8."/>
      <w:lvlJc w:val="left"/>
      <w:pPr>
        <w:tabs>
          <w:tab w:val="num" w:pos="2880"/>
        </w:tabs>
        <w:ind w:left="2880" w:hanging="360"/>
      </w:pPr>
    </w:lvl>
    <w:lvl w:ilvl="8" w:tplc="BBF2C824">
      <w:start w:val="1"/>
      <w:numFmt w:val="lowerRoman"/>
      <w:lvlText w:val="%9."/>
      <w:lvlJc w:val="left"/>
      <w:pPr>
        <w:tabs>
          <w:tab w:val="num" w:pos="3240"/>
        </w:tabs>
        <w:ind w:left="3240" w:hanging="360"/>
      </w:pPr>
    </w:lvl>
  </w:abstractNum>
  <w:abstractNum w:abstractNumId="50" w15:restartNumberingAfterBreak="0">
    <w:nsid w:val="792B473D"/>
    <w:multiLevelType w:val="hybridMultilevel"/>
    <w:tmpl w:val="15E08760"/>
    <w:lvl w:ilvl="0" w:tplc="FFFFFFFF">
      <w:start w:val="1"/>
      <w:numFmt w:val="bullet"/>
      <w:lvlText w:val=""/>
      <w:lvlJc w:val="left"/>
      <w:pPr>
        <w:ind w:left="927" w:hanging="360"/>
      </w:pPr>
      <w:rPr>
        <w:rFonts w:ascii="Symbol" w:hAnsi="Symbol" w:hint="default"/>
      </w:rPr>
    </w:lvl>
    <w:lvl w:ilvl="1" w:tplc="BE50AD9E">
      <w:start w:val="1"/>
      <w:numFmt w:val="bullet"/>
      <w:lvlText w:val=""/>
      <w:lvlJc w:val="left"/>
      <w:pPr>
        <w:ind w:left="1647" w:hanging="360"/>
      </w:pPr>
      <w:rPr>
        <w:rFonts w:ascii="Symbol" w:hAnsi="Symbol"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1" w15:restartNumberingAfterBreak="0">
    <w:nsid w:val="7A8B752A"/>
    <w:multiLevelType w:val="hybridMultilevel"/>
    <w:tmpl w:val="5E1E11F0"/>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2" w15:restartNumberingAfterBreak="0">
    <w:nsid w:val="7B6658A8"/>
    <w:multiLevelType w:val="hybridMultilevel"/>
    <w:tmpl w:val="B910093C"/>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num w:numId="1">
    <w:abstractNumId w:val="1"/>
  </w:num>
  <w:num w:numId="2">
    <w:abstractNumId w:val="0"/>
  </w:num>
  <w:num w:numId="3">
    <w:abstractNumId w:val="24"/>
  </w:num>
  <w:num w:numId="4">
    <w:abstractNumId w:val="13"/>
  </w:num>
  <w:num w:numId="5">
    <w:abstractNumId w:val="34"/>
  </w:num>
  <w:num w:numId="6">
    <w:abstractNumId w:val="37"/>
  </w:num>
  <w:num w:numId="7">
    <w:abstractNumId w:val="20"/>
  </w:num>
  <w:num w:numId="8">
    <w:abstractNumId w:val="12"/>
  </w:num>
  <w:num w:numId="9">
    <w:abstractNumId w:val="38"/>
  </w:num>
  <w:num w:numId="10">
    <w:abstractNumId w:val="41"/>
  </w:num>
  <w:num w:numId="11">
    <w:abstractNumId w:val="27"/>
  </w:num>
  <w:num w:numId="12">
    <w:abstractNumId w:val="5"/>
  </w:num>
  <w:num w:numId="13">
    <w:abstractNumId w:val="7"/>
  </w:num>
  <w:num w:numId="14">
    <w:abstractNumId w:val="19"/>
  </w:num>
  <w:num w:numId="15">
    <w:abstractNumId w:val="14"/>
  </w:num>
  <w:num w:numId="16">
    <w:abstractNumId w:val="49"/>
  </w:num>
  <w:num w:numId="17">
    <w:abstractNumId w:val="44"/>
  </w:num>
  <w:num w:numId="18">
    <w:abstractNumId w:val="33"/>
  </w:num>
  <w:num w:numId="19">
    <w:abstractNumId w:val="45"/>
  </w:num>
  <w:num w:numId="20">
    <w:abstractNumId w:val="29"/>
  </w:num>
  <w:num w:numId="21">
    <w:abstractNumId w:val="15"/>
  </w:num>
  <w:num w:numId="22">
    <w:abstractNumId w:val="50"/>
  </w:num>
  <w:num w:numId="23">
    <w:abstractNumId w:val="26"/>
  </w:num>
  <w:num w:numId="24">
    <w:abstractNumId w:val="16"/>
  </w:num>
  <w:num w:numId="25">
    <w:abstractNumId w:val="10"/>
  </w:num>
  <w:num w:numId="26">
    <w:abstractNumId w:val="22"/>
  </w:num>
  <w:num w:numId="27">
    <w:abstractNumId w:val="46"/>
  </w:num>
  <w:num w:numId="28">
    <w:abstractNumId w:val="47"/>
  </w:num>
  <w:num w:numId="29">
    <w:abstractNumId w:val="31"/>
  </w:num>
  <w:num w:numId="30">
    <w:abstractNumId w:val="43"/>
  </w:num>
  <w:num w:numId="31">
    <w:abstractNumId w:val="30"/>
  </w:num>
  <w:num w:numId="32">
    <w:abstractNumId w:val="4"/>
  </w:num>
  <w:num w:numId="33">
    <w:abstractNumId w:val="23"/>
  </w:num>
  <w:num w:numId="34">
    <w:abstractNumId w:val="35"/>
  </w:num>
  <w:num w:numId="35">
    <w:abstractNumId w:val="21"/>
  </w:num>
  <w:num w:numId="36">
    <w:abstractNumId w:val="51"/>
  </w:num>
  <w:num w:numId="37">
    <w:abstractNumId w:val="52"/>
  </w:num>
  <w:num w:numId="38">
    <w:abstractNumId w:val="36"/>
  </w:num>
  <w:num w:numId="39">
    <w:abstractNumId w:val="8"/>
  </w:num>
  <w:num w:numId="40">
    <w:abstractNumId w:val="32"/>
  </w:num>
  <w:num w:numId="41">
    <w:abstractNumId w:val="18"/>
  </w:num>
  <w:num w:numId="42">
    <w:abstractNumId w:val="17"/>
  </w:num>
  <w:num w:numId="43">
    <w:abstractNumId w:val="9"/>
  </w:num>
  <w:num w:numId="44">
    <w:abstractNumId w:val="42"/>
  </w:num>
  <w:num w:numId="45">
    <w:abstractNumId w:val="48"/>
  </w:num>
  <w:num w:numId="46">
    <w:abstractNumId w:val="3"/>
  </w:num>
  <w:num w:numId="47">
    <w:abstractNumId w:val="25"/>
  </w:num>
  <w:num w:numId="48">
    <w:abstractNumId w:val="40"/>
  </w:num>
  <w:num w:numId="49">
    <w:abstractNumId w:val="11"/>
  </w:num>
  <w:num w:numId="50">
    <w:abstractNumId w:val="6"/>
  </w:num>
  <w:num w:numId="51">
    <w:abstractNumId w:val="17"/>
  </w:num>
  <w:num w:numId="52">
    <w:abstractNumId w:val="51"/>
  </w:num>
  <w:num w:numId="53">
    <w:abstractNumId w:val="52"/>
  </w:num>
  <w:num w:numId="54">
    <w:abstractNumId w:val="39"/>
  </w:num>
  <w:num w:numId="55">
    <w:abstractNumId w:val="2"/>
  </w:num>
  <w:num w:numId="56">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BE" w:vendorID="64" w:dllVersion="4096" w:nlCheck="1" w:checkStyle="0"/>
  <w:activeWritingStyle w:appName="MSWord" w:lang="en-US" w:vendorID="64" w:dllVersion="131078" w:nlCheck="1" w:checkStyle="1"/>
  <w:attachedTemplate r:id="rId1"/>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SPE"/>
  </w:docVars>
  <w:rsids>
    <w:rsidRoot w:val="002D3B73"/>
    <w:rsid w:val="0000051B"/>
    <w:rsid w:val="00000525"/>
    <w:rsid w:val="00000A48"/>
    <w:rsid w:val="00000A5A"/>
    <w:rsid w:val="0000139E"/>
    <w:rsid w:val="00001DD9"/>
    <w:rsid w:val="00001F8C"/>
    <w:rsid w:val="00003286"/>
    <w:rsid w:val="000035EC"/>
    <w:rsid w:val="000037EF"/>
    <w:rsid w:val="00003FA6"/>
    <w:rsid w:val="000048FF"/>
    <w:rsid w:val="00004B82"/>
    <w:rsid w:val="00005C2E"/>
    <w:rsid w:val="000106C7"/>
    <w:rsid w:val="00010FB3"/>
    <w:rsid w:val="000110C1"/>
    <w:rsid w:val="0001201B"/>
    <w:rsid w:val="00012DE2"/>
    <w:rsid w:val="00012E3D"/>
    <w:rsid w:val="00012F11"/>
    <w:rsid w:val="0001352B"/>
    <w:rsid w:val="000141AD"/>
    <w:rsid w:val="0001483A"/>
    <w:rsid w:val="000159B8"/>
    <w:rsid w:val="0001642E"/>
    <w:rsid w:val="00017CFE"/>
    <w:rsid w:val="000202D7"/>
    <w:rsid w:val="000207FE"/>
    <w:rsid w:val="0002123A"/>
    <w:rsid w:val="0002138E"/>
    <w:rsid w:val="00022D50"/>
    <w:rsid w:val="00023D49"/>
    <w:rsid w:val="0002436C"/>
    <w:rsid w:val="000259B5"/>
    <w:rsid w:val="00027143"/>
    <w:rsid w:val="0003074D"/>
    <w:rsid w:val="00032658"/>
    <w:rsid w:val="000327FC"/>
    <w:rsid w:val="00032BE9"/>
    <w:rsid w:val="00033DEA"/>
    <w:rsid w:val="000347CD"/>
    <w:rsid w:val="00034DB1"/>
    <w:rsid w:val="00035C88"/>
    <w:rsid w:val="00037DE7"/>
    <w:rsid w:val="000403DA"/>
    <w:rsid w:val="000406B2"/>
    <w:rsid w:val="0004070D"/>
    <w:rsid w:val="000409E8"/>
    <w:rsid w:val="00040B22"/>
    <w:rsid w:val="00040C05"/>
    <w:rsid w:val="00040EE2"/>
    <w:rsid w:val="00042813"/>
    <w:rsid w:val="00042873"/>
    <w:rsid w:val="00042C91"/>
    <w:rsid w:val="000430E6"/>
    <w:rsid w:val="00043815"/>
    <w:rsid w:val="000441AC"/>
    <w:rsid w:val="00044AB8"/>
    <w:rsid w:val="00044C55"/>
    <w:rsid w:val="00045CDD"/>
    <w:rsid w:val="0004651F"/>
    <w:rsid w:val="00047391"/>
    <w:rsid w:val="000476F5"/>
    <w:rsid w:val="00050892"/>
    <w:rsid w:val="000519CE"/>
    <w:rsid w:val="000533A2"/>
    <w:rsid w:val="00053E40"/>
    <w:rsid w:val="000540F7"/>
    <w:rsid w:val="00054936"/>
    <w:rsid w:val="00055750"/>
    <w:rsid w:val="00055DFD"/>
    <w:rsid w:val="00055DFF"/>
    <w:rsid w:val="000564AA"/>
    <w:rsid w:val="00056563"/>
    <w:rsid w:val="00056731"/>
    <w:rsid w:val="000574C6"/>
    <w:rsid w:val="000579AF"/>
    <w:rsid w:val="00057FF3"/>
    <w:rsid w:val="000603B7"/>
    <w:rsid w:val="0006041C"/>
    <w:rsid w:val="00062A81"/>
    <w:rsid w:val="00063141"/>
    <w:rsid w:val="000631BD"/>
    <w:rsid w:val="0006410B"/>
    <w:rsid w:val="0006529A"/>
    <w:rsid w:val="0006612A"/>
    <w:rsid w:val="00066732"/>
    <w:rsid w:val="000669DF"/>
    <w:rsid w:val="00066C05"/>
    <w:rsid w:val="00067BF2"/>
    <w:rsid w:val="00067F09"/>
    <w:rsid w:val="000705E3"/>
    <w:rsid w:val="00070E82"/>
    <w:rsid w:val="00071CBE"/>
    <w:rsid w:val="000720E9"/>
    <w:rsid w:val="00072B1A"/>
    <w:rsid w:val="00072FAA"/>
    <w:rsid w:val="0007449D"/>
    <w:rsid w:val="000748C0"/>
    <w:rsid w:val="00076EE7"/>
    <w:rsid w:val="000775A9"/>
    <w:rsid w:val="00077DA3"/>
    <w:rsid w:val="0008000A"/>
    <w:rsid w:val="00080676"/>
    <w:rsid w:val="00080CD4"/>
    <w:rsid w:val="00081050"/>
    <w:rsid w:val="00083038"/>
    <w:rsid w:val="000844D0"/>
    <w:rsid w:val="00084A8B"/>
    <w:rsid w:val="00084F8A"/>
    <w:rsid w:val="00085A43"/>
    <w:rsid w:val="00085C68"/>
    <w:rsid w:val="00085D55"/>
    <w:rsid w:val="00086B61"/>
    <w:rsid w:val="000874E2"/>
    <w:rsid w:val="000877BA"/>
    <w:rsid w:val="000900C2"/>
    <w:rsid w:val="00090A5C"/>
    <w:rsid w:val="00090C7F"/>
    <w:rsid w:val="00091DCA"/>
    <w:rsid w:val="00092B41"/>
    <w:rsid w:val="0009406D"/>
    <w:rsid w:val="000940AB"/>
    <w:rsid w:val="00095DCB"/>
    <w:rsid w:val="000961CB"/>
    <w:rsid w:val="00096F77"/>
    <w:rsid w:val="0009731E"/>
    <w:rsid w:val="000A2D67"/>
    <w:rsid w:val="000A44D2"/>
    <w:rsid w:val="000A52A2"/>
    <w:rsid w:val="000A7529"/>
    <w:rsid w:val="000B0E7F"/>
    <w:rsid w:val="000B1110"/>
    <w:rsid w:val="000B1BA5"/>
    <w:rsid w:val="000B3314"/>
    <w:rsid w:val="000B3566"/>
    <w:rsid w:val="000B3B01"/>
    <w:rsid w:val="000B4A09"/>
    <w:rsid w:val="000B4B19"/>
    <w:rsid w:val="000B5D31"/>
    <w:rsid w:val="000B616B"/>
    <w:rsid w:val="000B6CED"/>
    <w:rsid w:val="000B7AAC"/>
    <w:rsid w:val="000C0763"/>
    <w:rsid w:val="000C07E1"/>
    <w:rsid w:val="000C16B4"/>
    <w:rsid w:val="000C1E59"/>
    <w:rsid w:val="000C25DF"/>
    <w:rsid w:val="000C270E"/>
    <w:rsid w:val="000C3756"/>
    <w:rsid w:val="000C3922"/>
    <w:rsid w:val="000C4CCF"/>
    <w:rsid w:val="000C4EB7"/>
    <w:rsid w:val="000C6DE8"/>
    <w:rsid w:val="000C7A98"/>
    <w:rsid w:val="000C7B7C"/>
    <w:rsid w:val="000D1C8D"/>
    <w:rsid w:val="000D3C05"/>
    <w:rsid w:val="000D4025"/>
    <w:rsid w:val="000D4912"/>
    <w:rsid w:val="000D50F6"/>
    <w:rsid w:val="000D51E7"/>
    <w:rsid w:val="000D56C6"/>
    <w:rsid w:val="000D5E35"/>
    <w:rsid w:val="000D6EA6"/>
    <w:rsid w:val="000D76FB"/>
    <w:rsid w:val="000D7BF7"/>
    <w:rsid w:val="000D7F89"/>
    <w:rsid w:val="000E019B"/>
    <w:rsid w:val="000E1047"/>
    <w:rsid w:val="000E1ECB"/>
    <w:rsid w:val="000E2A38"/>
    <w:rsid w:val="000E2BBE"/>
    <w:rsid w:val="000E44DA"/>
    <w:rsid w:val="000E45DE"/>
    <w:rsid w:val="000E5797"/>
    <w:rsid w:val="000E7913"/>
    <w:rsid w:val="000F0038"/>
    <w:rsid w:val="000F05DF"/>
    <w:rsid w:val="000F076B"/>
    <w:rsid w:val="000F12E4"/>
    <w:rsid w:val="000F1647"/>
    <w:rsid w:val="000F2BA5"/>
    <w:rsid w:val="000F2CDF"/>
    <w:rsid w:val="000F42B6"/>
    <w:rsid w:val="000F4465"/>
    <w:rsid w:val="000F4F5F"/>
    <w:rsid w:val="000F5190"/>
    <w:rsid w:val="000F7C97"/>
    <w:rsid w:val="00100A73"/>
    <w:rsid w:val="00100E82"/>
    <w:rsid w:val="0010315E"/>
    <w:rsid w:val="00103386"/>
    <w:rsid w:val="00104A19"/>
    <w:rsid w:val="00105745"/>
    <w:rsid w:val="00106AA7"/>
    <w:rsid w:val="00110267"/>
    <w:rsid w:val="00110F16"/>
    <w:rsid w:val="00110FFB"/>
    <w:rsid w:val="00112304"/>
    <w:rsid w:val="001126AE"/>
    <w:rsid w:val="00113044"/>
    <w:rsid w:val="00113B96"/>
    <w:rsid w:val="00114C13"/>
    <w:rsid w:val="001154D2"/>
    <w:rsid w:val="001160B5"/>
    <w:rsid w:val="00116930"/>
    <w:rsid w:val="00117796"/>
    <w:rsid w:val="00120B0A"/>
    <w:rsid w:val="001213F5"/>
    <w:rsid w:val="00122451"/>
    <w:rsid w:val="00122581"/>
    <w:rsid w:val="00124050"/>
    <w:rsid w:val="00124570"/>
    <w:rsid w:val="00124700"/>
    <w:rsid w:val="00125355"/>
    <w:rsid w:val="00126429"/>
    <w:rsid w:val="00126457"/>
    <w:rsid w:val="0013083E"/>
    <w:rsid w:val="001308C1"/>
    <w:rsid w:val="00130A12"/>
    <w:rsid w:val="0013108F"/>
    <w:rsid w:val="00131E3D"/>
    <w:rsid w:val="0013220F"/>
    <w:rsid w:val="00132D48"/>
    <w:rsid w:val="0013453E"/>
    <w:rsid w:val="0013535F"/>
    <w:rsid w:val="001353AE"/>
    <w:rsid w:val="00135608"/>
    <w:rsid w:val="00137215"/>
    <w:rsid w:val="0013737B"/>
    <w:rsid w:val="001411B2"/>
    <w:rsid w:val="001414A1"/>
    <w:rsid w:val="00141525"/>
    <w:rsid w:val="001419A7"/>
    <w:rsid w:val="001423B4"/>
    <w:rsid w:val="00142C5E"/>
    <w:rsid w:val="0014507F"/>
    <w:rsid w:val="001459B6"/>
    <w:rsid w:val="00146F2C"/>
    <w:rsid w:val="001472F2"/>
    <w:rsid w:val="001474DC"/>
    <w:rsid w:val="0014766E"/>
    <w:rsid w:val="00150E42"/>
    <w:rsid w:val="001517B5"/>
    <w:rsid w:val="00153478"/>
    <w:rsid w:val="0015357F"/>
    <w:rsid w:val="00153739"/>
    <w:rsid w:val="00153A24"/>
    <w:rsid w:val="00153B98"/>
    <w:rsid w:val="0015466F"/>
    <w:rsid w:val="0015637F"/>
    <w:rsid w:val="00157676"/>
    <w:rsid w:val="001576C9"/>
    <w:rsid w:val="00160B9C"/>
    <w:rsid w:val="00161D60"/>
    <w:rsid w:val="0016264E"/>
    <w:rsid w:val="00162E65"/>
    <w:rsid w:val="001635D2"/>
    <w:rsid w:val="00163978"/>
    <w:rsid w:val="00163D11"/>
    <w:rsid w:val="0016419A"/>
    <w:rsid w:val="00164967"/>
    <w:rsid w:val="00165594"/>
    <w:rsid w:val="0016636F"/>
    <w:rsid w:val="0016763E"/>
    <w:rsid w:val="001676F2"/>
    <w:rsid w:val="001700CE"/>
    <w:rsid w:val="001726C0"/>
    <w:rsid w:val="00172ED6"/>
    <w:rsid w:val="001748F1"/>
    <w:rsid w:val="00175DFA"/>
    <w:rsid w:val="00176C03"/>
    <w:rsid w:val="001779E7"/>
    <w:rsid w:val="0018247A"/>
    <w:rsid w:val="001829E2"/>
    <w:rsid w:val="00182DAD"/>
    <w:rsid w:val="0018363C"/>
    <w:rsid w:val="00183AE4"/>
    <w:rsid w:val="00183D94"/>
    <w:rsid w:val="00184020"/>
    <w:rsid w:val="001843A6"/>
    <w:rsid w:val="001861E8"/>
    <w:rsid w:val="00186842"/>
    <w:rsid w:val="00187D00"/>
    <w:rsid w:val="001902B0"/>
    <w:rsid w:val="001908CC"/>
    <w:rsid w:val="00193767"/>
    <w:rsid w:val="00193DFE"/>
    <w:rsid w:val="00196064"/>
    <w:rsid w:val="0019779F"/>
    <w:rsid w:val="001A072F"/>
    <w:rsid w:val="001A1008"/>
    <w:rsid w:val="001A2CE3"/>
    <w:rsid w:val="001A46FD"/>
    <w:rsid w:val="001A6421"/>
    <w:rsid w:val="001A6893"/>
    <w:rsid w:val="001A6F61"/>
    <w:rsid w:val="001A7098"/>
    <w:rsid w:val="001B0962"/>
    <w:rsid w:val="001B1FCC"/>
    <w:rsid w:val="001B2045"/>
    <w:rsid w:val="001B2811"/>
    <w:rsid w:val="001B2CB1"/>
    <w:rsid w:val="001B3E9F"/>
    <w:rsid w:val="001B474E"/>
    <w:rsid w:val="001B502B"/>
    <w:rsid w:val="001B50C2"/>
    <w:rsid w:val="001B5BE8"/>
    <w:rsid w:val="001B6BA4"/>
    <w:rsid w:val="001B6BCF"/>
    <w:rsid w:val="001B7701"/>
    <w:rsid w:val="001B7B9F"/>
    <w:rsid w:val="001C00CC"/>
    <w:rsid w:val="001C0AD9"/>
    <w:rsid w:val="001C0E99"/>
    <w:rsid w:val="001C1672"/>
    <w:rsid w:val="001C2FB2"/>
    <w:rsid w:val="001C3263"/>
    <w:rsid w:val="001C3D41"/>
    <w:rsid w:val="001C475C"/>
    <w:rsid w:val="001C4949"/>
    <w:rsid w:val="001C4C95"/>
    <w:rsid w:val="001C500C"/>
    <w:rsid w:val="001C5EA3"/>
    <w:rsid w:val="001C662D"/>
    <w:rsid w:val="001C6816"/>
    <w:rsid w:val="001C72D4"/>
    <w:rsid w:val="001C7B38"/>
    <w:rsid w:val="001D0AB4"/>
    <w:rsid w:val="001D0E54"/>
    <w:rsid w:val="001D2DE2"/>
    <w:rsid w:val="001D30CB"/>
    <w:rsid w:val="001D31BD"/>
    <w:rsid w:val="001D43BB"/>
    <w:rsid w:val="001D4463"/>
    <w:rsid w:val="001D55FB"/>
    <w:rsid w:val="001D5814"/>
    <w:rsid w:val="001E01C6"/>
    <w:rsid w:val="001E04FA"/>
    <w:rsid w:val="001E0C5C"/>
    <w:rsid w:val="001E15BE"/>
    <w:rsid w:val="001E1800"/>
    <w:rsid w:val="001E1AEC"/>
    <w:rsid w:val="001E1BE2"/>
    <w:rsid w:val="001E1CBA"/>
    <w:rsid w:val="001E255E"/>
    <w:rsid w:val="001E2740"/>
    <w:rsid w:val="001E2EBB"/>
    <w:rsid w:val="001E2F81"/>
    <w:rsid w:val="001E30E9"/>
    <w:rsid w:val="001E3955"/>
    <w:rsid w:val="001E3EA8"/>
    <w:rsid w:val="001E4200"/>
    <w:rsid w:val="001E4B93"/>
    <w:rsid w:val="001E5AB8"/>
    <w:rsid w:val="001E5EE2"/>
    <w:rsid w:val="001E6C28"/>
    <w:rsid w:val="001E7636"/>
    <w:rsid w:val="001E79F5"/>
    <w:rsid w:val="001F0617"/>
    <w:rsid w:val="001F0FF9"/>
    <w:rsid w:val="001F1744"/>
    <w:rsid w:val="001F2C8E"/>
    <w:rsid w:val="001F3514"/>
    <w:rsid w:val="001F41D6"/>
    <w:rsid w:val="001F48DD"/>
    <w:rsid w:val="001F496B"/>
    <w:rsid w:val="001F5633"/>
    <w:rsid w:val="001F5C93"/>
    <w:rsid w:val="001F5F4B"/>
    <w:rsid w:val="001F71FE"/>
    <w:rsid w:val="001F7AA8"/>
    <w:rsid w:val="002009C9"/>
    <w:rsid w:val="00200E9E"/>
    <w:rsid w:val="002021BA"/>
    <w:rsid w:val="0020287A"/>
    <w:rsid w:val="00202AF1"/>
    <w:rsid w:val="00203A19"/>
    <w:rsid w:val="00203BEE"/>
    <w:rsid w:val="002043EA"/>
    <w:rsid w:val="002043F8"/>
    <w:rsid w:val="0020658B"/>
    <w:rsid w:val="002075A1"/>
    <w:rsid w:val="002076E6"/>
    <w:rsid w:val="00207BC7"/>
    <w:rsid w:val="002102D6"/>
    <w:rsid w:val="002106EC"/>
    <w:rsid w:val="0021096D"/>
    <w:rsid w:val="00211623"/>
    <w:rsid w:val="00211FA8"/>
    <w:rsid w:val="00212608"/>
    <w:rsid w:val="002126F7"/>
    <w:rsid w:val="00213368"/>
    <w:rsid w:val="00215EBF"/>
    <w:rsid w:val="00215FE6"/>
    <w:rsid w:val="002162FB"/>
    <w:rsid w:val="00216695"/>
    <w:rsid w:val="00216B86"/>
    <w:rsid w:val="00216E4E"/>
    <w:rsid w:val="00217CDB"/>
    <w:rsid w:val="00217F79"/>
    <w:rsid w:val="002213F5"/>
    <w:rsid w:val="002223F4"/>
    <w:rsid w:val="00222569"/>
    <w:rsid w:val="002249CB"/>
    <w:rsid w:val="00224B98"/>
    <w:rsid w:val="00225CDB"/>
    <w:rsid w:val="002262D8"/>
    <w:rsid w:val="00226925"/>
    <w:rsid w:val="00226E81"/>
    <w:rsid w:val="00227897"/>
    <w:rsid w:val="00227920"/>
    <w:rsid w:val="00227E2C"/>
    <w:rsid w:val="00227F45"/>
    <w:rsid w:val="00230B1A"/>
    <w:rsid w:val="002316D2"/>
    <w:rsid w:val="00232672"/>
    <w:rsid w:val="00232714"/>
    <w:rsid w:val="00232AAB"/>
    <w:rsid w:val="002331E1"/>
    <w:rsid w:val="00233324"/>
    <w:rsid w:val="002335B4"/>
    <w:rsid w:val="002337F3"/>
    <w:rsid w:val="00233DD6"/>
    <w:rsid w:val="0023435A"/>
    <w:rsid w:val="00234787"/>
    <w:rsid w:val="0023497E"/>
    <w:rsid w:val="00234D67"/>
    <w:rsid w:val="0023505E"/>
    <w:rsid w:val="00235136"/>
    <w:rsid w:val="00235353"/>
    <w:rsid w:val="002367CF"/>
    <w:rsid w:val="00237101"/>
    <w:rsid w:val="002379D7"/>
    <w:rsid w:val="00240B89"/>
    <w:rsid w:val="00241A83"/>
    <w:rsid w:val="00245408"/>
    <w:rsid w:val="00246005"/>
    <w:rsid w:val="0024698E"/>
    <w:rsid w:val="00251391"/>
    <w:rsid w:val="00251717"/>
    <w:rsid w:val="00251796"/>
    <w:rsid w:val="00251A4A"/>
    <w:rsid w:val="002525BF"/>
    <w:rsid w:val="002530F5"/>
    <w:rsid w:val="00253342"/>
    <w:rsid w:val="00254BF2"/>
    <w:rsid w:val="00255991"/>
    <w:rsid w:val="00255B9B"/>
    <w:rsid w:val="00255D06"/>
    <w:rsid w:val="0025760C"/>
    <w:rsid w:val="00260449"/>
    <w:rsid w:val="00260EAA"/>
    <w:rsid w:val="002617A8"/>
    <w:rsid w:val="00263630"/>
    <w:rsid w:val="00264DEA"/>
    <w:rsid w:val="00265517"/>
    <w:rsid w:val="00265DC9"/>
    <w:rsid w:val="00267060"/>
    <w:rsid w:val="00267836"/>
    <w:rsid w:val="00267F07"/>
    <w:rsid w:val="002708CB"/>
    <w:rsid w:val="00271AB7"/>
    <w:rsid w:val="002729E1"/>
    <w:rsid w:val="00272B57"/>
    <w:rsid w:val="00272BB5"/>
    <w:rsid w:val="00272D41"/>
    <w:rsid w:val="00273127"/>
    <w:rsid w:val="00273926"/>
    <w:rsid w:val="00273AA8"/>
    <w:rsid w:val="00275734"/>
    <w:rsid w:val="00275C13"/>
    <w:rsid w:val="00275F15"/>
    <w:rsid w:val="00276A20"/>
    <w:rsid w:val="00276AD7"/>
    <w:rsid w:val="00277012"/>
    <w:rsid w:val="00280015"/>
    <w:rsid w:val="00281602"/>
    <w:rsid w:val="00281EE3"/>
    <w:rsid w:val="00281FD3"/>
    <w:rsid w:val="002831DC"/>
    <w:rsid w:val="0028341F"/>
    <w:rsid w:val="002838AF"/>
    <w:rsid w:val="00283FD1"/>
    <w:rsid w:val="002848E9"/>
    <w:rsid w:val="00285FAD"/>
    <w:rsid w:val="00286CD6"/>
    <w:rsid w:val="00287A04"/>
    <w:rsid w:val="00287C90"/>
    <w:rsid w:val="00287DA1"/>
    <w:rsid w:val="00290E14"/>
    <w:rsid w:val="00292B1E"/>
    <w:rsid w:val="002940C5"/>
    <w:rsid w:val="00294E84"/>
    <w:rsid w:val="0029520E"/>
    <w:rsid w:val="00295890"/>
    <w:rsid w:val="002961CB"/>
    <w:rsid w:val="00296418"/>
    <w:rsid w:val="00296BAF"/>
    <w:rsid w:val="002A0310"/>
    <w:rsid w:val="002A0377"/>
    <w:rsid w:val="002A0D54"/>
    <w:rsid w:val="002A0D8F"/>
    <w:rsid w:val="002A2349"/>
    <w:rsid w:val="002A2DCC"/>
    <w:rsid w:val="002A32D8"/>
    <w:rsid w:val="002A3A8F"/>
    <w:rsid w:val="002A40EA"/>
    <w:rsid w:val="002A4C1A"/>
    <w:rsid w:val="002A58F5"/>
    <w:rsid w:val="002A6432"/>
    <w:rsid w:val="002A65C3"/>
    <w:rsid w:val="002A73C4"/>
    <w:rsid w:val="002A7E19"/>
    <w:rsid w:val="002B0EB1"/>
    <w:rsid w:val="002B160C"/>
    <w:rsid w:val="002B1C03"/>
    <w:rsid w:val="002B1E9E"/>
    <w:rsid w:val="002B457A"/>
    <w:rsid w:val="002B46C0"/>
    <w:rsid w:val="002B4F5E"/>
    <w:rsid w:val="002B5BD3"/>
    <w:rsid w:val="002B5DFF"/>
    <w:rsid w:val="002B5F2A"/>
    <w:rsid w:val="002B5FF8"/>
    <w:rsid w:val="002B620A"/>
    <w:rsid w:val="002B6833"/>
    <w:rsid w:val="002B7DA9"/>
    <w:rsid w:val="002C0EE6"/>
    <w:rsid w:val="002C0FED"/>
    <w:rsid w:val="002C10A7"/>
    <w:rsid w:val="002C1210"/>
    <w:rsid w:val="002C20A1"/>
    <w:rsid w:val="002C23D9"/>
    <w:rsid w:val="002C2980"/>
    <w:rsid w:val="002C2F1C"/>
    <w:rsid w:val="002C4129"/>
    <w:rsid w:val="002C4532"/>
    <w:rsid w:val="002C4717"/>
    <w:rsid w:val="002C50CE"/>
    <w:rsid w:val="002C533F"/>
    <w:rsid w:val="002C59EC"/>
    <w:rsid w:val="002C6F35"/>
    <w:rsid w:val="002C767E"/>
    <w:rsid w:val="002C7B37"/>
    <w:rsid w:val="002D033E"/>
    <w:rsid w:val="002D0C6B"/>
    <w:rsid w:val="002D1390"/>
    <w:rsid w:val="002D27D8"/>
    <w:rsid w:val="002D2A17"/>
    <w:rsid w:val="002D34E3"/>
    <w:rsid w:val="002D38BA"/>
    <w:rsid w:val="002D3B73"/>
    <w:rsid w:val="002D4583"/>
    <w:rsid w:val="002D5C6E"/>
    <w:rsid w:val="002D5FF3"/>
    <w:rsid w:val="002D6FA3"/>
    <w:rsid w:val="002E0795"/>
    <w:rsid w:val="002E161C"/>
    <w:rsid w:val="002E1642"/>
    <w:rsid w:val="002E166B"/>
    <w:rsid w:val="002E432D"/>
    <w:rsid w:val="002E58E3"/>
    <w:rsid w:val="002E5DAF"/>
    <w:rsid w:val="002E5F62"/>
    <w:rsid w:val="002E648A"/>
    <w:rsid w:val="002E64EF"/>
    <w:rsid w:val="002E66FE"/>
    <w:rsid w:val="002E6A2B"/>
    <w:rsid w:val="002E7203"/>
    <w:rsid w:val="002F1583"/>
    <w:rsid w:val="002F1E99"/>
    <w:rsid w:val="002F2FA5"/>
    <w:rsid w:val="002F5CEF"/>
    <w:rsid w:val="002F5F41"/>
    <w:rsid w:val="002F62D3"/>
    <w:rsid w:val="002F6C8E"/>
    <w:rsid w:val="002F749B"/>
    <w:rsid w:val="002F7EBB"/>
    <w:rsid w:val="0030065F"/>
    <w:rsid w:val="00300B20"/>
    <w:rsid w:val="003010B4"/>
    <w:rsid w:val="00301FE1"/>
    <w:rsid w:val="00304D48"/>
    <w:rsid w:val="00304EAE"/>
    <w:rsid w:val="0030558C"/>
    <w:rsid w:val="00306761"/>
    <w:rsid w:val="003069C4"/>
    <w:rsid w:val="00306BA1"/>
    <w:rsid w:val="00306E47"/>
    <w:rsid w:val="00307C01"/>
    <w:rsid w:val="00307C2C"/>
    <w:rsid w:val="00310A7B"/>
    <w:rsid w:val="00310FF1"/>
    <w:rsid w:val="003113BA"/>
    <w:rsid w:val="00311927"/>
    <w:rsid w:val="00311E4D"/>
    <w:rsid w:val="00312A94"/>
    <w:rsid w:val="0031505F"/>
    <w:rsid w:val="003164D2"/>
    <w:rsid w:val="00320922"/>
    <w:rsid w:val="00321BAD"/>
    <w:rsid w:val="00322207"/>
    <w:rsid w:val="00322FF6"/>
    <w:rsid w:val="003242ED"/>
    <w:rsid w:val="00324907"/>
    <w:rsid w:val="00326330"/>
    <w:rsid w:val="0032716B"/>
    <w:rsid w:val="00330493"/>
    <w:rsid w:val="00330BDA"/>
    <w:rsid w:val="00330C5F"/>
    <w:rsid w:val="00331565"/>
    <w:rsid w:val="0033172F"/>
    <w:rsid w:val="00331A7C"/>
    <w:rsid w:val="00331D11"/>
    <w:rsid w:val="00331DA4"/>
    <w:rsid w:val="00332576"/>
    <w:rsid w:val="00334426"/>
    <w:rsid w:val="00334A57"/>
    <w:rsid w:val="00335282"/>
    <w:rsid w:val="003355ED"/>
    <w:rsid w:val="00337943"/>
    <w:rsid w:val="00340303"/>
    <w:rsid w:val="00340A6F"/>
    <w:rsid w:val="003438B0"/>
    <w:rsid w:val="00343F5C"/>
    <w:rsid w:val="003445B7"/>
    <w:rsid w:val="00344979"/>
    <w:rsid w:val="0034512F"/>
    <w:rsid w:val="00350A5F"/>
    <w:rsid w:val="0035258B"/>
    <w:rsid w:val="00352749"/>
    <w:rsid w:val="00352D94"/>
    <w:rsid w:val="00354247"/>
    <w:rsid w:val="003554D8"/>
    <w:rsid w:val="00355AA9"/>
    <w:rsid w:val="00356109"/>
    <w:rsid w:val="00357478"/>
    <w:rsid w:val="003577AB"/>
    <w:rsid w:val="00360B0F"/>
    <w:rsid w:val="00360DB7"/>
    <w:rsid w:val="003611DE"/>
    <w:rsid w:val="00361B67"/>
    <w:rsid w:val="00361E4C"/>
    <w:rsid w:val="00362228"/>
    <w:rsid w:val="00362DC6"/>
    <w:rsid w:val="0036370D"/>
    <w:rsid w:val="00364E24"/>
    <w:rsid w:val="00365131"/>
    <w:rsid w:val="00365722"/>
    <w:rsid w:val="0036681E"/>
    <w:rsid w:val="00366F83"/>
    <w:rsid w:val="003679CC"/>
    <w:rsid w:val="00367C90"/>
    <w:rsid w:val="00370644"/>
    <w:rsid w:val="00370822"/>
    <w:rsid w:val="003711D5"/>
    <w:rsid w:val="0037136D"/>
    <w:rsid w:val="00371666"/>
    <w:rsid w:val="003719A3"/>
    <w:rsid w:val="00371F9B"/>
    <w:rsid w:val="003723B9"/>
    <w:rsid w:val="00372A37"/>
    <w:rsid w:val="00372CBD"/>
    <w:rsid w:val="003754DD"/>
    <w:rsid w:val="003755AF"/>
    <w:rsid w:val="00376DCA"/>
    <w:rsid w:val="003772C3"/>
    <w:rsid w:val="0038046E"/>
    <w:rsid w:val="003829CC"/>
    <w:rsid w:val="00383B16"/>
    <w:rsid w:val="0038460A"/>
    <w:rsid w:val="003851DF"/>
    <w:rsid w:val="003853C8"/>
    <w:rsid w:val="003867AC"/>
    <w:rsid w:val="00386D0C"/>
    <w:rsid w:val="00387C5A"/>
    <w:rsid w:val="00392518"/>
    <w:rsid w:val="00393A61"/>
    <w:rsid w:val="00394579"/>
    <w:rsid w:val="00394787"/>
    <w:rsid w:val="00394AAD"/>
    <w:rsid w:val="00395054"/>
    <w:rsid w:val="00395473"/>
    <w:rsid w:val="0039604C"/>
    <w:rsid w:val="003961E3"/>
    <w:rsid w:val="00396223"/>
    <w:rsid w:val="00396DE5"/>
    <w:rsid w:val="003A0D64"/>
    <w:rsid w:val="003A176D"/>
    <w:rsid w:val="003A212F"/>
    <w:rsid w:val="003A2E53"/>
    <w:rsid w:val="003A3372"/>
    <w:rsid w:val="003A3FD0"/>
    <w:rsid w:val="003A4148"/>
    <w:rsid w:val="003A4575"/>
    <w:rsid w:val="003A47F8"/>
    <w:rsid w:val="003A715F"/>
    <w:rsid w:val="003B09DE"/>
    <w:rsid w:val="003B0F74"/>
    <w:rsid w:val="003B1405"/>
    <w:rsid w:val="003B1582"/>
    <w:rsid w:val="003B178A"/>
    <w:rsid w:val="003B264C"/>
    <w:rsid w:val="003B32E9"/>
    <w:rsid w:val="003B4B40"/>
    <w:rsid w:val="003B5707"/>
    <w:rsid w:val="003B6715"/>
    <w:rsid w:val="003B7331"/>
    <w:rsid w:val="003C0A79"/>
    <w:rsid w:val="003C2252"/>
    <w:rsid w:val="003C26DC"/>
    <w:rsid w:val="003C3B59"/>
    <w:rsid w:val="003C3F4B"/>
    <w:rsid w:val="003C5C9B"/>
    <w:rsid w:val="003C67AF"/>
    <w:rsid w:val="003C6B28"/>
    <w:rsid w:val="003C730A"/>
    <w:rsid w:val="003C7CBB"/>
    <w:rsid w:val="003D1DEB"/>
    <w:rsid w:val="003D2AA7"/>
    <w:rsid w:val="003D3330"/>
    <w:rsid w:val="003D3369"/>
    <w:rsid w:val="003D34A7"/>
    <w:rsid w:val="003D3B6A"/>
    <w:rsid w:val="003D41B5"/>
    <w:rsid w:val="003D4771"/>
    <w:rsid w:val="003D5920"/>
    <w:rsid w:val="003D5D72"/>
    <w:rsid w:val="003D6480"/>
    <w:rsid w:val="003D69DA"/>
    <w:rsid w:val="003D6D73"/>
    <w:rsid w:val="003E00C8"/>
    <w:rsid w:val="003E0309"/>
    <w:rsid w:val="003E0560"/>
    <w:rsid w:val="003E05B4"/>
    <w:rsid w:val="003E06B2"/>
    <w:rsid w:val="003E0820"/>
    <w:rsid w:val="003E0BEB"/>
    <w:rsid w:val="003E2FD9"/>
    <w:rsid w:val="003E316A"/>
    <w:rsid w:val="003E31C6"/>
    <w:rsid w:val="003E3699"/>
    <w:rsid w:val="003E37CB"/>
    <w:rsid w:val="003E3D16"/>
    <w:rsid w:val="003E4D65"/>
    <w:rsid w:val="003E5A36"/>
    <w:rsid w:val="003E7C49"/>
    <w:rsid w:val="003F067A"/>
    <w:rsid w:val="003F0C0A"/>
    <w:rsid w:val="003F24E7"/>
    <w:rsid w:val="003F2D19"/>
    <w:rsid w:val="003F3371"/>
    <w:rsid w:val="003F3479"/>
    <w:rsid w:val="003F3649"/>
    <w:rsid w:val="003F39D2"/>
    <w:rsid w:val="003F3B36"/>
    <w:rsid w:val="003F56D1"/>
    <w:rsid w:val="003F639F"/>
    <w:rsid w:val="003F75AA"/>
    <w:rsid w:val="003F79A6"/>
    <w:rsid w:val="00400B20"/>
    <w:rsid w:val="004024EC"/>
    <w:rsid w:val="00402508"/>
    <w:rsid w:val="004037C4"/>
    <w:rsid w:val="00403B3A"/>
    <w:rsid w:val="0040586A"/>
    <w:rsid w:val="0040589D"/>
    <w:rsid w:val="00405FC0"/>
    <w:rsid w:val="00406905"/>
    <w:rsid w:val="00407269"/>
    <w:rsid w:val="00407ACF"/>
    <w:rsid w:val="00410071"/>
    <w:rsid w:val="004101B3"/>
    <w:rsid w:val="0041062C"/>
    <w:rsid w:val="0041083A"/>
    <w:rsid w:val="00410FA2"/>
    <w:rsid w:val="00411A36"/>
    <w:rsid w:val="004128FF"/>
    <w:rsid w:val="00413349"/>
    <w:rsid w:val="004143E6"/>
    <w:rsid w:val="00414CC3"/>
    <w:rsid w:val="00414FC5"/>
    <w:rsid w:val="00415040"/>
    <w:rsid w:val="00415ABA"/>
    <w:rsid w:val="00416404"/>
    <w:rsid w:val="00416CB5"/>
    <w:rsid w:val="0041720D"/>
    <w:rsid w:val="00417249"/>
    <w:rsid w:val="004176C8"/>
    <w:rsid w:val="00417F25"/>
    <w:rsid w:val="00421A53"/>
    <w:rsid w:val="00422FE5"/>
    <w:rsid w:val="004233D4"/>
    <w:rsid w:val="004239B1"/>
    <w:rsid w:val="00423E86"/>
    <w:rsid w:val="00424BCF"/>
    <w:rsid w:val="00424FB5"/>
    <w:rsid w:val="00424FD8"/>
    <w:rsid w:val="004255C9"/>
    <w:rsid w:val="004259A8"/>
    <w:rsid w:val="00425BCE"/>
    <w:rsid w:val="00426CDD"/>
    <w:rsid w:val="00430D18"/>
    <w:rsid w:val="00430DBF"/>
    <w:rsid w:val="00431177"/>
    <w:rsid w:val="0043128A"/>
    <w:rsid w:val="0043197C"/>
    <w:rsid w:val="00432CB9"/>
    <w:rsid w:val="00433592"/>
    <w:rsid w:val="00435348"/>
    <w:rsid w:val="004369FD"/>
    <w:rsid w:val="004371EE"/>
    <w:rsid w:val="004374ED"/>
    <w:rsid w:val="004403D3"/>
    <w:rsid w:val="004405F0"/>
    <w:rsid w:val="00440CB7"/>
    <w:rsid w:val="004418C7"/>
    <w:rsid w:val="0044312F"/>
    <w:rsid w:val="004433CF"/>
    <w:rsid w:val="004445E3"/>
    <w:rsid w:val="00445C60"/>
    <w:rsid w:val="00445C7B"/>
    <w:rsid w:val="00447716"/>
    <w:rsid w:val="00447B43"/>
    <w:rsid w:val="00447CF5"/>
    <w:rsid w:val="00447FA0"/>
    <w:rsid w:val="00450006"/>
    <w:rsid w:val="00450AB1"/>
    <w:rsid w:val="0045120F"/>
    <w:rsid w:val="004530AE"/>
    <w:rsid w:val="00453C2A"/>
    <w:rsid w:val="00453F2C"/>
    <w:rsid w:val="004568AA"/>
    <w:rsid w:val="00456BF0"/>
    <w:rsid w:val="004575B9"/>
    <w:rsid w:val="00460C4C"/>
    <w:rsid w:val="00462AC2"/>
    <w:rsid w:val="00463462"/>
    <w:rsid w:val="004636A3"/>
    <w:rsid w:val="0046495B"/>
    <w:rsid w:val="00464BE2"/>
    <w:rsid w:val="00464E7E"/>
    <w:rsid w:val="0046574F"/>
    <w:rsid w:val="004657E0"/>
    <w:rsid w:val="00465C62"/>
    <w:rsid w:val="0046713C"/>
    <w:rsid w:val="00467975"/>
    <w:rsid w:val="004679F2"/>
    <w:rsid w:val="00467F3D"/>
    <w:rsid w:val="00470840"/>
    <w:rsid w:val="00470CD4"/>
    <w:rsid w:val="004721BB"/>
    <w:rsid w:val="004729C4"/>
    <w:rsid w:val="00473B5A"/>
    <w:rsid w:val="00474F7B"/>
    <w:rsid w:val="00476648"/>
    <w:rsid w:val="00476BF1"/>
    <w:rsid w:val="0047776D"/>
    <w:rsid w:val="00480250"/>
    <w:rsid w:val="004804E3"/>
    <w:rsid w:val="00480C00"/>
    <w:rsid w:val="00480DEE"/>
    <w:rsid w:val="00480F4A"/>
    <w:rsid w:val="00481036"/>
    <w:rsid w:val="0048103F"/>
    <w:rsid w:val="00481ABA"/>
    <w:rsid w:val="00481D22"/>
    <w:rsid w:val="00482173"/>
    <w:rsid w:val="00483663"/>
    <w:rsid w:val="004838D8"/>
    <w:rsid w:val="00484A26"/>
    <w:rsid w:val="00484C34"/>
    <w:rsid w:val="00484EEC"/>
    <w:rsid w:val="004854C3"/>
    <w:rsid w:val="0048592A"/>
    <w:rsid w:val="00486C71"/>
    <w:rsid w:val="004872A5"/>
    <w:rsid w:val="00487DD1"/>
    <w:rsid w:val="0049105D"/>
    <w:rsid w:val="00491491"/>
    <w:rsid w:val="00492AB2"/>
    <w:rsid w:val="00492E32"/>
    <w:rsid w:val="00493027"/>
    <w:rsid w:val="004941EE"/>
    <w:rsid w:val="0049436F"/>
    <w:rsid w:val="00494E0C"/>
    <w:rsid w:val="0049524A"/>
    <w:rsid w:val="004966AF"/>
    <w:rsid w:val="004A0F49"/>
    <w:rsid w:val="004A0FF9"/>
    <w:rsid w:val="004A12F6"/>
    <w:rsid w:val="004A3506"/>
    <w:rsid w:val="004A4299"/>
    <w:rsid w:val="004A47F3"/>
    <w:rsid w:val="004A4A2F"/>
    <w:rsid w:val="004A50B2"/>
    <w:rsid w:val="004A5568"/>
    <w:rsid w:val="004A5C02"/>
    <w:rsid w:val="004A6DA6"/>
    <w:rsid w:val="004A7EE2"/>
    <w:rsid w:val="004B0632"/>
    <w:rsid w:val="004B3884"/>
    <w:rsid w:val="004B3D8D"/>
    <w:rsid w:val="004B3FF4"/>
    <w:rsid w:val="004B4431"/>
    <w:rsid w:val="004B4644"/>
    <w:rsid w:val="004B5D8F"/>
    <w:rsid w:val="004B656C"/>
    <w:rsid w:val="004B71C1"/>
    <w:rsid w:val="004B7E74"/>
    <w:rsid w:val="004C227D"/>
    <w:rsid w:val="004C3274"/>
    <w:rsid w:val="004C3708"/>
    <w:rsid w:val="004C3714"/>
    <w:rsid w:val="004C38A5"/>
    <w:rsid w:val="004C38EF"/>
    <w:rsid w:val="004C3B70"/>
    <w:rsid w:val="004C4D86"/>
    <w:rsid w:val="004C50BC"/>
    <w:rsid w:val="004C52CA"/>
    <w:rsid w:val="004C580F"/>
    <w:rsid w:val="004C6739"/>
    <w:rsid w:val="004C74B9"/>
    <w:rsid w:val="004C7933"/>
    <w:rsid w:val="004C7F26"/>
    <w:rsid w:val="004D0252"/>
    <w:rsid w:val="004D1A80"/>
    <w:rsid w:val="004D1C5D"/>
    <w:rsid w:val="004D29DC"/>
    <w:rsid w:val="004D3031"/>
    <w:rsid w:val="004D3345"/>
    <w:rsid w:val="004D4582"/>
    <w:rsid w:val="004D47EB"/>
    <w:rsid w:val="004D50AA"/>
    <w:rsid w:val="004D58AF"/>
    <w:rsid w:val="004D61CE"/>
    <w:rsid w:val="004D6A8F"/>
    <w:rsid w:val="004D6E09"/>
    <w:rsid w:val="004E0D0B"/>
    <w:rsid w:val="004E1FE8"/>
    <w:rsid w:val="004E2520"/>
    <w:rsid w:val="004E252C"/>
    <w:rsid w:val="004E31A1"/>
    <w:rsid w:val="004E3313"/>
    <w:rsid w:val="004E368D"/>
    <w:rsid w:val="004E3F9E"/>
    <w:rsid w:val="004E4956"/>
    <w:rsid w:val="004E562F"/>
    <w:rsid w:val="004E5815"/>
    <w:rsid w:val="004E5DDD"/>
    <w:rsid w:val="004E666E"/>
    <w:rsid w:val="004E6E2A"/>
    <w:rsid w:val="004E7351"/>
    <w:rsid w:val="004F0A46"/>
    <w:rsid w:val="004F0F5C"/>
    <w:rsid w:val="004F0F95"/>
    <w:rsid w:val="004F11F8"/>
    <w:rsid w:val="004F17FB"/>
    <w:rsid w:val="004F215D"/>
    <w:rsid w:val="004F2655"/>
    <w:rsid w:val="004F2AD7"/>
    <w:rsid w:val="004F2B24"/>
    <w:rsid w:val="004F3579"/>
    <w:rsid w:val="004F4573"/>
    <w:rsid w:val="004F567E"/>
    <w:rsid w:val="004F5A35"/>
    <w:rsid w:val="004F67D6"/>
    <w:rsid w:val="00500DB3"/>
    <w:rsid w:val="005017A9"/>
    <w:rsid w:val="0050192C"/>
    <w:rsid w:val="0050217F"/>
    <w:rsid w:val="005021DA"/>
    <w:rsid w:val="00502D61"/>
    <w:rsid w:val="00503830"/>
    <w:rsid w:val="00503E39"/>
    <w:rsid w:val="0050564B"/>
    <w:rsid w:val="005056C4"/>
    <w:rsid w:val="005056E3"/>
    <w:rsid w:val="005069FD"/>
    <w:rsid w:val="00510B7E"/>
    <w:rsid w:val="00511AFE"/>
    <w:rsid w:val="005124D8"/>
    <w:rsid w:val="00512ED6"/>
    <w:rsid w:val="005130D1"/>
    <w:rsid w:val="005139EE"/>
    <w:rsid w:val="00513B01"/>
    <w:rsid w:val="00513C67"/>
    <w:rsid w:val="0051495B"/>
    <w:rsid w:val="00516990"/>
    <w:rsid w:val="00516CE9"/>
    <w:rsid w:val="005177B9"/>
    <w:rsid w:val="00517B96"/>
    <w:rsid w:val="00517DDA"/>
    <w:rsid w:val="00520435"/>
    <w:rsid w:val="00520672"/>
    <w:rsid w:val="00521321"/>
    <w:rsid w:val="00521861"/>
    <w:rsid w:val="00521E96"/>
    <w:rsid w:val="005224A7"/>
    <w:rsid w:val="00523F5C"/>
    <w:rsid w:val="00524312"/>
    <w:rsid w:val="00524A7C"/>
    <w:rsid w:val="00524AEC"/>
    <w:rsid w:val="00524E9C"/>
    <w:rsid w:val="00524F18"/>
    <w:rsid w:val="00525B0A"/>
    <w:rsid w:val="00525EA4"/>
    <w:rsid w:val="0052619E"/>
    <w:rsid w:val="005262B6"/>
    <w:rsid w:val="005268B5"/>
    <w:rsid w:val="00526C3C"/>
    <w:rsid w:val="00526CED"/>
    <w:rsid w:val="005279BA"/>
    <w:rsid w:val="00527AC2"/>
    <w:rsid w:val="00531568"/>
    <w:rsid w:val="00533E74"/>
    <w:rsid w:val="00534454"/>
    <w:rsid w:val="005349BE"/>
    <w:rsid w:val="00534B3F"/>
    <w:rsid w:val="00535501"/>
    <w:rsid w:val="00535D88"/>
    <w:rsid w:val="005368DF"/>
    <w:rsid w:val="00536A72"/>
    <w:rsid w:val="00536AE5"/>
    <w:rsid w:val="005374C9"/>
    <w:rsid w:val="00540408"/>
    <w:rsid w:val="005409BA"/>
    <w:rsid w:val="00541C07"/>
    <w:rsid w:val="00541D60"/>
    <w:rsid w:val="00541DA7"/>
    <w:rsid w:val="0054222A"/>
    <w:rsid w:val="005422EA"/>
    <w:rsid w:val="00542F1C"/>
    <w:rsid w:val="00543394"/>
    <w:rsid w:val="00544348"/>
    <w:rsid w:val="0054443A"/>
    <w:rsid w:val="0054444E"/>
    <w:rsid w:val="00544DAC"/>
    <w:rsid w:val="00546332"/>
    <w:rsid w:val="005463DF"/>
    <w:rsid w:val="00546DD7"/>
    <w:rsid w:val="005472B1"/>
    <w:rsid w:val="00547324"/>
    <w:rsid w:val="00547BBA"/>
    <w:rsid w:val="005501B8"/>
    <w:rsid w:val="00551A3E"/>
    <w:rsid w:val="00551E2D"/>
    <w:rsid w:val="005544AC"/>
    <w:rsid w:val="00554ED5"/>
    <w:rsid w:val="00555C2A"/>
    <w:rsid w:val="00557037"/>
    <w:rsid w:val="005571F2"/>
    <w:rsid w:val="00557219"/>
    <w:rsid w:val="00557885"/>
    <w:rsid w:val="005579E1"/>
    <w:rsid w:val="00560625"/>
    <w:rsid w:val="00560BD8"/>
    <w:rsid w:val="00560F9D"/>
    <w:rsid w:val="005616E6"/>
    <w:rsid w:val="005620CD"/>
    <w:rsid w:val="005636A7"/>
    <w:rsid w:val="00563E36"/>
    <w:rsid w:val="0056439B"/>
    <w:rsid w:val="00566371"/>
    <w:rsid w:val="005664DA"/>
    <w:rsid w:val="00566DC2"/>
    <w:rsid w:val="00566FD9"/>
    <w:rsid w:val="0056756C"/>
    <w:rsid w:val="0056758D"/>
    <w:rsid w:val="005710E5"/>
    <w:rsid w:val="005718C8"/>
    <w:rsid w:val="00571EC3"/>
    <w:rsid w:val="00572075"/>
    <w:rsid w:val="00573402"/>
    <w:rsid w:val="00573DD1"/>
    <w:rsid w:val="00574A2D"/>
    <w:rsid w:val="00575FDF"/>
    <w:rsid w:val="005764E8"/>
    <w:rsid w:val="00577C24"/>
    <w:rsid w:val="005802F4"/>
    <w:rsid w:val="00580417"/>
    <w:rsid w:val="00580F68"/>
    <w:rsid w:val="005822CA"/>
    <w:rsid w:val="00582E08"/>
    <w:rsid w:val="005834BE"/>
    <w:rsid w:val="00583CB8"/>
    <w:rsid w:val="00584316"/>
    <w:rsid w:val="00584CD8"/>
    <w:rsid w:val="0058666B"/>
    <w:rsid w:val="00586A26"/>
    <w:rsid w:val="0058799E"/>
    <w:rsid w:val="005906A6"/>
    <w:rsid w:val="00590F35"/>
    <w:rsid w:val="00591C2E"/>
    <w:rsid w:val="0059258C"/>
    <w:rsid w:val="00593F0C"/>
    <w:rsid w:val="0059459C"/>
    <w:rsid w:val="00596FFA"/>
    <w:rsid w:val="00597CCB"/>
    <w:rsid w:val="00597E79"/>
    <w:rsid w:val="005A0402"/>
    <w:rsid w:val="005A1518"/>
    <w:rsid w:val="005A1588"/>
    <w:rsid w:val="005A2014"/>
    <w:rsid w:val="005A21A0"/>
    <w:rsid w:val="005A34ED"/>
    <w:rsid w:val="005A3754"/>
    <w:rsid w:val="005A51C3"/>
    <w:rsid w:val="005A543F"/>
    <w:rsid w:val="005A6DF4"/>
    <w:rsid w:val="005A717A"/>
    <w:rsid w:val="005A7643"/>
    <w:rsid w:val="005A7B1E"/>
    <w:rsid w:val="005B0B1A"/>
    <w:rsid w:val="005B1B1A"/>
    <w:rsid w:val="005B2812"/>
    <w:rsid w:val="005B2A03"/>
    <w:rsid w:val="005B30C6"/>
    <w:rsid w:val="005B387C"/>
    <w:rsid w:val="005B4F3D"/>
    <w:rsid w:val="005B55B8"/>
    <w:rsid w:val="005B5B58"/>
    <w:rsid w:val="005B6AAE"/>
    <w:rsid w:val="005B6E73"/>
    <w:rsid w:val="005B7545"/>
    <w:rsid w:val="005C1535"/>
    <w:rsid w:val="005C3782"/>
    <w:rsid w:val="005C41F3"/>
    <w:rsid w:val="005C59D8"/>
    <w:rsid w:val="005C626D"/>
    <w:rsid w:val="005C6FC4"/>
    <w:rsid w:val="005C784E"/>
    <w:rsid w:val="005D16B4"/>
    <w:rsid w:val="005D1DCD"/>
    <w:rsid w:val="005D23EE"/>
    <w:rsid w:val="005D2CCB"/>
    <w:rsid w:val="005D2DA8"/>
    <w:rsid w:val="005D2FD4"/>
    <w:rsid w:val="005D30D4"/>
    <w:rsid w:val="005D31FA"/>
    <w:rsid w:val="005D3F74"/>
    <w:rsid w:val="005D44D0"/>
    <w:rsid w:val="005D4615"/>
    <w:rsid w:val="005D4693"/>
    <w:rsid w:val="005D4E8E"/>
    <w:rsid w:val="005D53CF"/>
    <w:rsid w:val="005D543A"/>
    <w:rsid w:val="005D55CF"/>
    <w:rsid w:val="005D5981"/>
    <w:rsid w:val="005D6631"/>
    <w:rsid w:val="005D7303"/>
    <w:rsid w:val="005D7CB2"/>
    <w:rsid w:val="005E0ACA"/>
    <w:rsid w:val="005E0FAD"/>
    <w:rsid w:val="005E1FE7"/>
    <w:rsid w:val="005E233B"/>
    <w:rsid w:val="005E3615"/>
    <w:rsid w:val="005E363C"/>
    <w:rsid w:val="005E4378"/>
    <w:rsid w:val="005E447B"/>
    <w:rsid w:val="005E5D68"/>
    <w:rsid w:val="005E6063"/>
    <w:rsid w:val="005E6551"/>
    <w:rsid w:val="005E7737"/>
    <w:rsid w:val="005E7B90"/>
    <w:rsid w:val="005F08FC"/>
    <w:rsid w:val="005F0EF2"/>
    <w:rsid w:val="005F20DB"/>
    <w:rsid w:val="005F35A8"/>
    <w:rsid w:val="005F3C2C"/>
    <w:rsid w:val="005F47DE"/>
    <w:rsid w:val="005F4D5E"/>
    <w:rsid w:val="005F534F"/>
    <w:rsid w:val="005F5C18"/>
    <w:rsid w:val="005F5D33"/>
    <w:rsid w:val="005F5E44"/>
    <w:rsid w:val="005F7319"/>
    <w:rsid w:val="005F7B9C"/>
    <w:rsid w:val="005F7FCC"/>
    <w:rsid w:val="006004D2"/>
    <w:rsid w:val="00600A46"/>
    <w:rsid w:val="00600EEA"/>
    <w:rsid w:val="006010BA"/>
    <w:rsid w:val="006016AA"/>
    <w:rsid w:val="006026A3"/>
    <w:rsid w:val="00603850"/>
    <w:rsid w:val="00603CF1"/>
    <w:rsid w:val="006046FD"/>
    <w:rsid w:val="00604B3E"/>
    <w:rsid w:val="00604EC0"/>
    <w:rsid w:val="00604FA0"/>
    <w:rsid w:val="00605221"/>
    <w:rsid w:val="00605D4F"/>
    <w:rsid w:val="0060629E"/>
    <w:rsid w:val="00606CD2"/>
    <w:rsid w:val="006071A7"/>
    <w:rsid w:val="006118FA"/>
    <w:rsid w:val="00611CA3"/>
    <w:rsid w:val="00611E28"/>
    <w:rsid w:val="00612ECF"/>
    <w:rsid w:val="00613EBF"/>
    <w:rsid w:val="006142A5"/>
    <w:rsid w:val="006149F6"/>
    <w:rsid w:val="0061544D"/>
    <w:rsid w:val="00615B82"/>
    <w:rsid w:val="00616089"/>
    <w:rsid w:val="0061648D"/>
    <w:rsid w:val="00616D6E"/>
    <w:rsid w:val="0061767B"/>
    <w:rsid w:val="00617F75"/>
    <w:rsid w:val="006206D7"/>
    <w:rsid w:val="00620DD0"/>
    <w:rsid w:val="006218DA"/>
    <w:rsid w:val="0062273B"/>
    <w:rsid w:val="00622A1F"/>
    <w:rsid w:val="00623078"/>
    <w:rsid w:val="006235EB"/>
    <w:rsid w:val="006238A9"/>
    <w:rsid w:val="00623D2A"/>
    <w:rsid w:val="006241E7"/>
    <w:rsid w:val="006243D0"/>
    <w:rsid w:val="00624941"/>
    <w:rsid w:val="00624EF9"/>
    <w:rsid w:val="006258BA"/>
    <w:rsid w:val="00625B4C"/>
    <w:rsid w:val="006262BB"/>
    <w:rsid w:val="006276A8"/>
    <w:rsid w:val="00630174"/>
    <w:rsid w:val="006312EF"/>
    <w:rsid w:val="00631868"/>
    <w:rsid w:val="006318BA"/>
    <w:rsid w:val="00631A4A"/>
    <w:rsid w:val="00631B5A"/>
    <w:rsid w:val="00633326"/>
    <w:rsid w:val="00633811"/>
    <w:rsid w:val="00634676"/>
    <w:rsid w:val="00635404"/>
    <w:rsid w:val="00636459"/>
    <w:rsid w:val="006367F2"/>
    <w:rsid w:val="00637C88"/>
    <w:rsid w:val="00640BD7"/>
    <w:rsid w:val="00641D36"/>
    <w:rsid w:val="00642048"/>
    <w:rsid w:val="00642572"/>
    <w:rsid w:val="00642650"/>
    <w:rsid w:val="00642769"/>
    <w:rsid w:val="00643041"/>
    <w:rsid w:val="00643CFC"/>
    <w:rsid w:val="006444B9"/>
    <w:rsid w:val="00644A3A"/>
    <w:rsid w:val="00644B4A"/>
    <w:rsid w:val="00644E7B"/>
    <w:rsid w:val="006455A9"/>
    <w:rsid w:val="006456B7"/>
    <w:rsid w:val="006471EB"/>
    <w:rsid w:val="0064752C"/>
    <w:rsid w:val="006511C4"/>
    <w:rsid w:val="00651353"/>
    <w:rsid w:val="00651B25"/>
    <w:rsid w:val="00651DB0"/>
    <w:rsid w:val="0065207E"/>
    <w:rsid w:val="006526A5"/>
    <w:rsid w:val="006527A4"/>
    <w:rsid w:val="00653541"/>
    <w:rsid w:val="00653789"/>
    <w:rsid w:val="00654814"/>
    <w:rsid w:val="00654AF2"/>
    <w:rsid w:val="00654B7A"/>
    <w:rsid w:val="00654C55"/>
    <w:rsid w:val="006557E6"/>
    <w:rsid w:val="00655C06"/>
    <w:rsid w:val="00656CD7"/>
    <w:rsid w:val="00657B32"/>
    <w:rsid w:val="00657ECA"/>
    <w:rsid w:val="0066007A"/>
    <w:rsid w:val="006609DB"/>
    <w:rsid w:val="00660EA8"/>
    <w:rsid w:val="006623D6"/>
    <w:rsid w:val="006629E7"/>
    <w:rsid w:val="00664BE9"/>
    <w:rsid w:val="00664F4F"/>
    <w:rsid w:val="00665256"/>
    <w:rsid w:val="006652B8"/>
    <w:rsid w:val="00665391"/>
    <w:rsid w:val="006654DE"/>
    <w:rsid w:val="006667ED"/>
    <w:rsid w:val="00666B16"/>
    <w:rsid w:val="00666E11"/>
    <w:rsid w:val="00670035"/>
    <w:rsid w:val="00670A9E"/>
    <w:rsid w:val="0067161E"/>
    <w:rsid w:val="00671752"/>
    <w:rsid w:val="00671C1A"/>
    <w:rsid w:val="00671D68"/>
    <w:rsid w:val="00671E3C"/>
    <w:rsid w:val="006727DB"/>
    <w:rsid w:val="00672E2F"/>
    <w:rsid w:val="00673398"/>
    <w:rsid w:val="00674179"/>
    <w:rsid w:val="0067455C"/>
    <w:rsid w:val="00674D50"/>
    <w:rsid w:val="00674DE6"/>
    <w:rsid w:val="00676206"/>
    <w:rsid w:val="00676E32"/>
    <w:rsid w:val="00676FB4"/>
    <w:rsid w:val="006771D1"/>
    <w:rsid w:val="00677403"/>
    <w:rsid w:val="00680756"/>
    <w:rsid w:val="00681690"/>
    <w:rsid w:val="0068190B"/>
    <w:rsid w:val="00682420"/>
    <w:rsid w:val="00682D6E"/>
    <w:rsid w:val="00682D91"/>
    <w:rsid w:val="00682F24"/>
    <w:rsid w:val="00683BCF"/>
    <w:rsid w:val="00683E57"/>
    <w:rsid w:val="00684A76"/>
    <w:rsid w:val="00686978"/>
    <w:rsid w:val="00686C74"/>
    <w:rsid w:val="006874A1"/>
    <w:rsid w:val="006876F8"/>
    <w:rsid w:val="00687F1D"/>
    <w:rsid w:val="00690560"/>
    <w:rsid w:val="0069161E"/>
    <w:rsid w:val="00692A4A"/>
    <w:rsid w:val="00692AF3"/>
    <w:rsid w:val="00692CDE"/>
    <w:rsid w:val="0069312C"/>
    <w:rsid w:val="0069324F"/>
    <w:rsid w:val="00693FD8"/>
    <w:rsid w:val="00694CCC"/>
    <w:rsid w:val="00697866"/>
    <w:rsid w:val="006A0DB8"/>
    <w:rsid w:val="006A25E0"/>
    <w:rsid w:val="006A2FB2"/>
    <w:rsid w:val="006A3894"/>
    <w:rsid w:val="006A4616"/>
    <w:rsid w:val="006A5007"/>
    <w:rsid w:val="006A54FC"/>
    <w:rsid w:val="006A60E1"/>
    <w:rsid w:val="006A6322"/>
    <w:rsid w:val="006A71C4"/>
    <w:rsid w:val="006A7545"/>
    <w:rsid w:val="006B0009"/>
    <w:rsid w:val="006B1AF0"/>
    <w:rsid w:val="006B226C"/>
    <w:rsid w:val="006B2482"/>
    <w:rsid w:val="006B2744"/>
    <w:rsid w:val="006B47BE"/>
    <w:rsid w:val="006B542A"/>
    <w:rsid w:val="006B6615"/>
    <w:rsid w:val="006B739D"/>
    <w:rsid w:val="006B7807"/>
    <w:rsid w:val="006B79E9"/>
    <w:rsid w:val="006C018E"/>
    <w:rsid w:val="006C04DC"/>
    <w:rsid w:val="006C0FBE"/>
    <w:rsid w:val="006C15A9"/>
    <w:rsid w:val="006C28D7"/>
    <w:rsid w:val="006C2D98"/>
    <w:rsid w:val="006C358B"/>
    <w:rsid w:val="006C3E12"/>
    <w:rsid w:val="006C4AE6"/>
    <w:rsid w:val="006C5066"/>
    <w:rsid w:val="006C5768"/>
    <w:rsid w:val="006C6030"/>
    <w:rsid w:val="006C71CA"/>
    <w:rsid w:val="006D0B30"/>
    <w:rsid w:val="006D16C6"/>
    <w:rsid w:val="006D22B3"/>
    <w:rsid w:val="006D3248"/>
    <w:rsid w:val="006D3B46"/>
    <w:rsid w:val="006D52C9"/>
    <w:rsid w:val="006D55B1"/>
    <w:rsid w:val="006E0336"/>
    <w:rsid w:val="006E2A2A"/>
    <w:rsid w:val="006E36A4"/>
    <w:rsid w:val="006E38A9"/>
    <w:rsid w:val="006E39B9"/>
    <w:rsid w:val="006E3DE2"/>
    <w:rsid w:val="006E495F"/>
    <w:rsid w:val="006E4AEE"/>
    <w:rsid w:val="006E54E1"/>
    <w:rsid w:val="006E6A94"/>
    <w:rsid w:val="006E74C9"/>
    <w:rsid w:val="006F03B2"/>
    <w:rsid w:val="006F0478"/>
    <w:rsid w:val="006F137B"/>
    <w:rsid w:val="006F156E"/>
    <w:rsid w:val="006F18E6"/>
    <w:rsid w:val="006F1CE9"/>
    <w:rsid w:val="006F201C"/>
    <w:rsid w:val="006F2DBF"/>
    <w:rsid w:val="006F3878"/>
    <w:rsid w:val="006F4531"/>
    <w:rsid w:val="006F484D"/>
    <w:rsid w:val="006F58BD"/>
    <w:rsid w:val="006F6C37"/>
    <w:rsid w:val="006F6DCF"/>
    <w:rsid w:val="006F7CFD"/>
    <w:rsid w:val="0070044A"/>
    <w:rsid w:val="00703DF7"/>
    <w:rsid w:val="0070479F"/>
    <w:rsid w:val="00705BA8"/>
    <w:rsid w:val="00705FEB"/>
    <w:rsid w:val="00706677"/>
    <w:rsid w:val="00706BC3"/>
    <w:rsid w:val="007107C6"/>
    <w:rsid w:val="007112CE"/>
    <w:rsid w:val="0071138E"/>
    <w:rsid w:val="00711523"/>
    <w:rsid w:val="007126FD"/>
    <w:rsid w:val="007141CB"/>
    <w:rsid w:val="0071428A"/>
    <w:rsid w:val="00714345"/>
    <w:rsid w:val="00714DDD"/>
    <w:rsid w:val="007156D2"/>
    <w:rsid w:val="007162E1"/>
    <w:rsid w:val="007171E6"/>
    <w:rsid w:val="00720CB3"/>
    <w:rsid w:val="00722888"/>
    <w:rsid w:val="0072312A"/>
    <w:rsid w:val="00723167"/>
    <w:rsid w:val="00724B29"/>
    <w:rsid w:val="0072792C"/>
    <w:rsid w:val="007303E9"/>
    <w:rsid w:val="00731A6D"/>
    <w:rsid w:val="00731CDC"/>
    <w:rsid w:val="00731D94"/>
    <w:rsid w:val="00732079"/>
    <w:rsid w:val="0073229C"/>
    <w:rsid w:val="00732512"/>
    <w:rsid w:val="007325C4"/>
    <w:rsid w:val="00732A4F"/>
    <w:rsid w:val="00734AEB"/>
    <w:rsid w:val="00736C6F"/>
    <w:rsid w:val="007371F8"/>
    <w:rsid w:val="0074010C"/>
    <w:rsid w:val="007413EB"/>
    <w:rsid w:val="00741682"/>
    <w:rsid w:val="00741F4D"/>
    <w:rsid w:val="0074229C"/>
    <w:rsid w:val="007426B0"/>
    <w:rsid w:val="00743E49"/>
    <w:rsid w:val="0074458A"/>
    <w:rsid w:val="0074476D"/>
    <w:rsid w:val="00744BBC"/>
    <w:rsid w:val="00744C20"/>
    <w:rsid w:val="00746633"/>
    <w:rsid w:val="00746CFC"/>
    <w:rsid w:val="00747C62"/>
    <w:rsid w:val="007502F1"/>
    <w:rsid w:val="00750472"/>
    <w:rsid w:val="007507E6"/>
    <w:rsid w:val="00750A15"/>
    <w:rsid w:val="0075170E"/>
    <w:rsid w:val="007518E7"/>
    <w:rsid w:val="00751EA6"/>
    <w:rsid w:val="0075255C"/>
    <w:rsid w:val="007525F4"/>
    <w:rsid w:val="00752D71"/>
    <w:rsid w:val="0075380A"/>
    <w:rsid w:val="0075433E"/>
    <w:rsid w:val="00755068"/>
    <w:rsid w:val="007554A9"/>
    <w:rsid w:val="00755607"/>
    <w:rsid w:val="00756662"/>
    <w:rsid w:val="00757159"/>
    <w:rsid w:val="007574E6"/>
    <w:rsid w:val="00757C59"/>
    <w:rsid w:val="00761EFB"/>
    <w:rsid w:val="00762230"/>
    <w:rsid w:val="00762400"/>
    <w:rsid w:val="00763267"/>
    <w:rsid w:val="00764030"/>
    <w:rsid w:val="007654F8"/>
    <w:rsid w:val="00765601"/>
    <w:rsid w:val="00766A37"/>
    <w:rsid w:val="0076737E"/>
    <w:rsid w:val="0077111C"/>
    <w:rsid w:val="00771274"/>
    <w:rsid w:val="00772620"/>
    <w:rsid w:val="0077298D"/>
    <w:rsid w:val="00772F99"/>
    <w:rsid w:val="0077300A"/>
    <w:rsid w:val="0077340E"/>
    <w:rsid w:val="00774448"/>
    <w:rsid w:val="00774559"/>
    <w:rsid w:val="00774727"/>
    <w:rsid w:val="007747C5"/>
    <w:rsid w:val="0077494B"/>
    <w:rsid w:val="00774D15"/>
    <w:rsid w:val="00774DF6"/>
    <w:rsid w:val="0077513B"/>
    <w:rsid w:val="00775996"/>
    <w:rsid w:val="00776410"/>
    <w:rsid w:val="00776A60"/>
    <w:rsid w:val="00777929"/>
    <w:rsid w:val="00780DBC"/>
    <w:rsid w:val="00781631"/>
    <w:rsid w:val="00781A0E"/>
    <w:rsid w:val="00781B27"/>
    <w:rsid w:val="007835FC"/>
    <w:rsid w:val="00783B85"/>
    <w:rsid w:val="00785E3A"/>
    <w:rsid w:val="00786C3F"/>
    <w:rsid w:val="0078771C"/>
    <w:rsid w:val="007903BC"/>
    <w:rsid w:val="00790E00"/>
    <w:rsid w:val="0079201A"/>
    <w:rsid w:val="0079258F"/>
    <w:rsid w:val="007926FA"/>
    <w:rsid w:val="00792736"/>
    <w:rsid w:val="0079408F"/>
    <w:rsid w:val="0079481B"/>
    <w:rsid w:val="00795629"/>
    <w:rsid w:val="00795A87"/>
    <w:rsid w:val="00796FE7"/>
    <w:rsid w:val="00797449"/>
    <w:rsid w:val="007A10F4"/>
    <w:rsid w:val="007A124A"/>
    <w:rsid w:val="007A1DB0"/>
    <w:rsid w:val="007A28DC"/>
    <w:rsid w:val="007A2CE7"/>
    <w:rsid w:val="007A32C9"/>
    <w:rsid w:val="007A34FC"/>
    <w:rsid w:val="007A412A"/>
    <w:rsid w:val="007A466F"/>
    <w:rsid w:val="007A4E97"/>
    <w:rsid w:val="007A5CED"/>
    <w:rsid w:val="007B0835"/>
    <w:rsid w:val="007B0D45"/>
    <w:rsid w:val="007B28BE"/>
    <w:rsid w:val="007B3F30"/>
    <w:rsid w:val="007B40D1"/>
    <w:rsid w:val="007B4F9E"/>
    <w:rsid w:val="007B50CC"/>
    <w:rsid w:val="007B557A"/>
    <w:rsid w:val="007B5B04"/>
    <w:rsid w:val="007B5D7F"/>
    <w:rsid w:val="007B5DAF"/>
    <w:rsid w:val="007B63D0"/>
    <w:rsid w:val="007B65CD"/>
    <w:rsid w:val="007B694E"/>
    <w:rsid w:val="007B74CA"/>
    <w:rsid w:val="007B7FDC"/>
    <w:rsid w:val="007C129E"/>
    <w:rsid w:val="007C1687"/>
    <w:rsid w:val="007C1BE1"/>
    <w:rsid w:val="007C1E0D"/>
    <w:rsid w:val="007C203E"/>
    <w:rsid w:val="007C37E2"/>
    <w:rsid w:val="007C3973"/>
    <w:rsid w:val="007C41C8"/>
    <w:rsid w:val="007C4A8B"/>
    <w:rsid w:val="007C52F1"/>
    <w:rsid w:val="007C5C6E"/>
    <w:rsid w:val="007C616D"/>
    <w:rsid w:val="007C75BC"/>
    <w:rsid w:val="007C7C0F"/>
    <w:rsid w:val="007D1F54"/>
    <w:rsid w:val="007D20C6"/>
    <w:rsid w:val="007D230F"/>
    <w:rsid w:val="007D23E3"/>
    <w:rsid w:val="007D2612"/>
    <w:rsid w:val="007D3D23"/>
    <w:rsid w:val="007D4818"/>
    <w:rsid w:val="007D4F29"/>
    <w:rsid w:val="007D638C"/>
    <w:rsid w:val="007D6BBF"/>
    <w:rsid w:val="007D7670"/>
    <w:rsid w:val="007E034A"/>
    <w:rsid w:val="007E0427"/>
    <w:rsid w:val="007E1697"/>
    <w:rsid w:val="007E174C"/>
    <w:rsid w:val="007E2137"/>
    <w:rsid w:val="007E21FD"/>
    <w:rsid w:val="007E2B67"/>
    <w:rsid w:val="007E376F"/>
    <w:rsid w:val="007E484C"/>
    <w:rsid w:val="007E569A"/>
    <w:rsid w:val="007E5CA1"/>
    <w:rsid w:val="007E5FF7"/>
    <w:rsid w:val="007E6808"/>
    <w:rsid w:val="007E6BA0"/>
    <w:rsid w:val="007E749F"/>
    <w:rsid w:val="007E7C4D"/>
    <w:rsid w:val="007F02E5"/>
    <w:rsid w:val="007F073F"/>
    <w:rsid w:val="007F0C28"/>
    <w:rsid w:val="007F10E7"/>
    <w:rsid w:val="007F225F"/>
    <w:rsid w:val="007F22F7"/>
    <w:rsid w:val="007F2725"/>
    <w:rsid w:val="007F3354"/>
    <w:rsid w:val="007F3889"/>
    <w:rsid w:val="007F3928"/>
    <w:rsid w:val="007F3A33"/>
    <w:rsid w:val="007F6354"/>
    <w:rsid w:val="007F78E9"/>
    <w:rsid w:val="008002FA"/>
    <w:rsid w:val="00800E94"/>
    <w:rsid w:val="008015CC"/>
    <w:rsid w:val="00801F80"/>
    <w:rsid w:val="00802BBC"/>
    <w:rsid w:val="00802D82"/>
    <w:rsid w:val="008040D1"/>
    <w:rsid w:val="00804FF8"/>
    <w:rsid w:val="00805CDD"/>
    <w:rsid w:val="00807292"/>
    <w:rsid w:val="0081060D"/>
    <w:rsid w:val="0081074A"/>
    <w:rsid w:val="0081075D"/>
    <w:rsid w:val="00810A03"/>
    <w:rsid w:val="00811502"/>
    <w:rsid w:val="00811E16"/>
    <w:rsid w:val="008125C9"/>
    <w:rsid w:val="00812FBF"/>
    <w:rsid w:val="008133F5"/>
    <w:rsid w:val="008138BA"/>
    <w:rsid w:val="008138D1"/>
    <w:rsid w:val="008159CE"/>
    <w:rsid w:val="00816413"/>
    <w:rsid w:val="00821962"/>
    <w:rsid w:val="00821FEB"/>
    <w:rsid w:val="008246AA"/>
    <w:rsid w:val="00824768"/>
    <w:rsid w:val="00824952"/>
    <w:rsid w:val="00824987"/>
    <w:rsid w:val="00824B80"/>
    <w:rsid w:val="00825162"/>
    <w:rsid w:val="008255E9"/>
    <w:rsid w:val="008265EF"/>
    <w:rsid w:val="00826C03"/>
    <w:rsid w:val="0082724F"/>
    <w:rsid w:val="008272F3"/>
    <w:rsid w:val="00830A3D"/>
    <w:rsid w:val="00830D5E"/>
    <w:rsid w:val="00830E63"/>
    <w:rsid w:val="008316B1"/>
    <w:rsid w:val="00831954"/>
    <w:rsid w:val="00831A4F"/>
    <w:rsid w:val="00832213"/>
    <w:rsid w:val="0083246D"/>
    <w:rsid w:val="00832AA9"/>
    <w:rsid w:val="00833337"/>
    <w:rsid w:val="008340FE"/>
    <w:rsid w:val="008341B3"/>
    <w:rsid w:val="00835164"/>
    <w:rsid w:val="00835670"/>
    <w:rsid w:val="0083731A"/>
    <w:rsid w:val="00837FA4"/>
    <w:rsid w:val="0084030A"/>
    <w:rsid w:val="00840F59"/>
    <w:rsid w:val="00841E94"/>
    <w:rsid w:val="008420D4"/>
    <w:rsid w:val="00842367"/>
    <w:rsid w:val="00842DFB"/>
    <w:rsid w:val="00843C38"/>
    <w:rsid w:val="00844EDB"/>
    <w:rsid w:val="00844F8E"/>
    <w:rsid w:val="00845575"/>
    <w:rsid w:val="0084666C"/>
    <w:rsid w:val="0084678C"/>
    <w:rsid w:val="0084765B"/>
    <w:rsid w:val="00847E71"/>
    <w:rsid w:val="008514C7"/>
    <w:rsid w:val="00851E37"/>
    <w:rsid w:val="008523DB"/>
    <w:rsid w:val="00852C40"/>
    <w:rsid w:val="0085393C"/>
    <w:rsid w:val="008543F6"/>
    <w:rsid w:val="00854BCD"/>
    <w:rsid w:val="00855D97"/>
    <w:rsid w:val="0085668A"/>
    <w:rsid w:val="00856E7B"/>
    <w:rsid w:val="0086024E"/>
    <w:rsid w:val="008618C0"/>
    <w:rsid w:val="0086397D"/>
    <w:rsid w:val="0086432C"/>
    <w:rsid w:val="0086598B"/>
    <w:rsid w:val="0086772C"/>
    <w:rsid w:val="008678CD"/>
    <w:rsid w:val="00867C05"/>
    <w:rsid w:val="008701CE"/>
    <w:rsid w:val="0087095E"/>
    <w:rsid w:val="00871398"/>
    <w:rsid w:val="00871F59"/>
    <w:rsid w:val="0087354F"/>
    <w:rsid w:val="00874AFD"/>
    <w:rsid w:val="00874D78"/>
    <w:rsid w:val="00874E82"/>
    <w:rsid w:val="00875BB5"/>
    <w:rsid w:val="00875C5F"/>
    <w:rsid w:val="00875D2E"/>
    <w:rsid w:val="00876180"/>
    <w:rsid w:val="00876693"/>
    <w:rsid w:val="00877924"/>
    <w:rsid w:val="0088112F"/>
    <w:rsid w:val="008814FB"/>
    <w:rsid w:val="00881EBA"/>
    <w:rsid w:val="008823F6"/>
    <w:rsid w:val="00882768"/>
    <w:rsid w:val="00884C69"/>
    <w:rsid w:val="00885375"/>
    <w:rsid w:val="00885F14"/>
    <w:rsid w:val="008869B6"/>
    <w:rsid w:val="00887331"/>
    <w:rsid w:val="00890183"/>
    <w:rsid w:val="008907BD"/>
    <w:rsid w:val="00890A15"/>
    <w:rsid w:val="00890C95"/>
    <w:rsid w:val="008917AF"/>
    <w:rsid w:val="00891A55"/>
    <w:rsid w:val="00892458"/>
    <w:rsid w:val="00892642"/>
    <w:rsid w:val="00893332"/>
    <w:rsid w:val="008934FA"/>
    <w:rsid w:val="008936B8"/>
    <w:rsid w:val="00893B13"/>
    <w:rsid w:val="00894F92"/>
    <w:rsid w:val="008958A0"/>
    <w:rsid w:val="008961E0"/>
    <w:rsid w:val="008967FD"/>
    <w:rsid w:val="008975C9"/>
    <w:rsid w:val="008A0398"/>
    <w:rsid w:val="008A08EE"/>
    <w:rsid w:val="008A0A01"/>
    <w:rsid w:val="008A0DE0"/>
    <w:rsid w:val="008A1BC3"/>
    <w:rsid w:val="008A1F70"/>
    <w:rsid w:val="008A2093"/>
    <w:rsid w:val="008A2A0C"/>
    <w:rsid w:val="008A3F8E"/>
    <w:rsid w:val="008A406C"/>
    <w:rsid w:val="008A45CA"/>
    <w:rsid w:val="008A483B"/>
    <w:rsid w:val="008A4860"/>
    <w:rsid w:val="008A56D2"/>
    <w:rsid w:val="008B06C5"/>
    <w:rsid w:val="008B100A"/>
    <w:rsid w:val="008B13F1"/>
    <w:rsid w:val="008B1F42"/>
    <w:rsid w:val="008B23B3"/>
    <w:rsid w:val="008B2433"/>
    <w:rsid w:val="008B2566"/>
    <w:rsid w:val="008B2AE2"/>
    <w:rsid w:val="008B30EA"/>
    <w:rsid w:val="008B5590"/>
    <w:rsid w:val="008B5715"/>
    <w:rsid w:val="008B590C"/>
    <w:rsid w:val="008B6B85"/>
    <w:rsid w:val="008C0F8C"/>
    <w:rsid w:val="008C2A2F"/>
    <w:rsid w:val="008C31CE"/>
    <w:rsid w:val="008C334F"/>
    <w:rsid w:val="008C3D9D"/>
    <w:rsid w:val="008C4755"/>
    <w:rsid w:val="008C58B6"/>
    <w:rsid w:val="008C6F8F"/>
    <w:rsid w:val="008C7F3F"/>
    <w:rsid w:val="008D0264"/>
    <w:rsid w:val="008D1490"/>
    <w:rsid w:val="008D14DC"/>
    <w:rsid w:val="008D2D3C"/>
    <w:rsid w:val="008D3191"/>
    <w:rsid w:val="008D31F6"/>
    <w:rsid w:val="008D357E"/>
    <w:rsid w:val="008D3E14"/>
    <w:rsid w:val="008D44D1"/>
    <w:rsid w:val="008D4CEF"/>
    <w:rsid w:val="008D6C30"/>
    <w:rsid w:val="008D6F09"/>
    <w:rsid w:val="008D7360"/>
    <w:rsid w:val="008D7F37"/>
    <w:rsid w:val="008E1A87"/>
    <w:rsid w:val="008E1F99"/>
    <w:rsid w:val="008E2FA3"/>
    <w:rsid w:val="008E3C7B"/>
    <w:rsid w:val="008E4FE9"/>
    <w:rsid w:val="008E5007"/>
    <w:rsid w:val="008E5A7E"/>
    <w:rsid w:val="008E5E46"/>
    <w:rsid w:val="008E5ED9"/>
    <w:rsid w:val="008E699D"/>
    <w:rsid w:val="008E7B20"/>
    <w:rsid w:val="008E7F84"/>
    <w:rsid w:val="008F05C0"/>
    <w:rsid w:val="008F0D17"/>
    <w:rsid w:val="008F0ED2"/>
    <w:rsid w:val="008F1B78"/>
    <w:rsid w:val="008F22D2"/>
    <w:rsid w:val="008F27B9"/>
    <w:rsid w:val="008F2C1D"/>
    <w:rsid w:val="008F36CE"/>
    <w:rsid w:val="008F44CD"/>
    <w:rsid w:val="008F44DE"/>
    <w:rsid w:val="008F4965"/>
    <w:rsid w:val="008F4A23"/>
    <w:rsid w:val="008F4A88"/>
    <w:rsid w:val="008F59E0"/>
    <w:rsid w:val="008F61EC"/>
    <w:rsid w:val="008F7D65"/>
    <w:rsid w:val="008F7F92"/>
    <w:rsid w:val="0090225F"/>
    <w:rsid w:val="00902697"/>
    <w:rsid w:val="009035F2"/>
    <w:rsid w:val="00903B12"/>
    <w:rsid w:val="00903F3F"/>
    <w:rsid w:val="00904018"/>
    <w:rsid w:val="00904473"/>
    <w:rsid w:val="00904912"/>
    <w:rsid w:val="00905D4D"/>
    <w:rsid w:val="00906C25"/>
    <w:rsid w:val="009117C5"/>
    <w:rsid w:val="00911C93"/>
    <w:rsid w:val="00911E7D"/>
    <w:rsid w:val="00912369"/>
    <w:rsid w:val="00912372"/>
    <w:rsid w:val="00912404"/>
    <w:rsid w:val="00912766"/>
    <w:rsid w:val="00913BD0"/>
    <w:rsid w:val="0091480A"/>
    <w:rsid w:val="0091507B"/>
    <w:rsid w:val="009150A0"/>
    <w:rsid w:val="00915126"/>
    <w:rsid w:val="0091527B"/>
    <w:rsid w:val="00916192"/>
    <w:rsid w:val="009164A9"/>
    <w:rsid w:val="0091731A"/>
    <w:rsid w:val="00917C30"/>
    <w:rsid w:val="00917DB4"/>
    <w:rsid w:val="00920160"/>
    <w:rsid w:val="0092016C"/>
    <w:rsid w:val="0092017B"/>
    <w:rsid w:val="0092146B"/>
    <w:rsid w:val="00921D5D"/>
    <w:rsid w:val="009226C3"/>
    <w:rsid w:val="00922748"/>
    <w:rsid w:val="00922769"/>
    <w:rsid w:val="0092325F"/>
    <w:rsid w:val="009235DC"/>
    <w:rsid w:val="00924362"/>
    <w:rsid w:val="009248E3"/>
    <w:rsid w:val="0092504C"/>
    <w:rsid w:val="00927E57"/>
    <w:rsid w:val="0093038B"/>
    <w:rsid w:val="00930985"/>
    <w:rsid w:val="00930D04"/>
    <w:rsid w:val="009328B6"/>
    <w:rsid w:val="009331BA"/>
    <w:rsid w:val="0093325A"/>
    <w:rsid w:val="0093379C"/>
    <w:rsid w:val="00933F3B"/>
    <w:rsid w:val="00933F52"/>
    <w:rsid w:val="00934283"/>
    <w:rsid w:val="0093644B"/>
    <w:rsid w:val="00937D4E"/>
    <w:rsid w:val="00940515"/>
    <w:rsid w:val="00940A8D"/>
    <w:rsid w:val="00940FDE"/>
    <w:rsid w:val="00941044"/>
    <w:rsid w:val="00941602"/>
    <w:rsid w:val="00941676"/>
    <w:rsid w:val="00942A22"/>
    <w:rsid w:val="00942BB9"/>
    <w:rsid w:val="00943292"/>
    <w:rsid w:val="00943FF6"/>
    <w:rsid w:val="0094597E"/>
    <w:rsid w:val="00946457"/>
    <w:rsid w:val="00952464"/>
    <w:rsid w:val="009529BE"/>
    <w:rsid w:val="00952A60"/>
    <w:rsid w:val="00952D8E"/>
    <w:rsid w:val="00952FDB"/>
    <w:rsid w:val="009540B6"/>
    <w:rsid w:val="00954148"/>
    <w:rsid w:val="00954378"/>
    <w:rsid w:val="0095485F"/>
    <w:rsid w:val="00954D4E"/>
    <w:rsid w:val="00955423"/>
    <w:rsid w:val="00955786"/>
    <w:rsid w:val="00955D93"/>
    <w:rsid w:val="009579FC"/>
    <w:rsid w:val="009604A9"/>
    <w:rsid w:val="009613C5"/>
    <w:rsid w:val="00961E86"/>
    <w:rsid w:val="0096248E"/>
    <w:rsid w:val="009644AC"/>
    <w:rsid w:val="00964627"/>
    <w:rsid w:val="00964CEF"/>
    <w:rsid w:val="00965369"/>
    <w:rsid w:val="0096549C"/>
    <w:rsid w:val="009659E7"/>
    <w:rsid w:val="00965D18"/>
    <w:rsid w:val="00966069"/>
    <w:rsid w:val="0096691B"/>
    <w:rsid w:val="009700B2"/>
    <w:rsid w:val="009704FF"/>
    <w:rsid w:val="009710D8"/>
    <w:rsid w:val="0097177E"/>
    <w:rsid w:val="00971780"/>
    <w:rsid w:val="00971DFD"/>
    <w:rsid w:val="009720DB"/>
    <w:rsid w:val="00972CEB"/>
    <w:rsid w:val="0097311F"/>
    <w:rsid w:val="00974D17"/>
    <w:rsid w:val="009757BC"/>
    <w:rsid w:val="00975A34"/>
    <w:rsid w:val="0097600C"/>
    <w:rsid w:val="00976899"/>
    <w:rsid w:val="00977508"/>
    <w:rsid w:val="00977618"/>
    <w:rsid w:val="0098039D"/>
    <w:rsid w:val="00980998"/>
    <w:rsid w:val="00981CAD"/>
    <w:rsid w:val="00982532"/>
    <w:rsid w:val="00982B47"/>
    <w:rsid w:val="00982B51"/>
    <w:rsid w:val="00982C03"/>
    <w:rsid w:val="00983BC0"/>
    <w:rsid w:val="00985A98"/>
    <w:rsid w:val="00985AB1"/>
    <w:rsid w:val="009860F1"/>
    <w:rsid w:val="009862C3"/>
    <w:rsid w:val="009866A7"/>
    <w:rsid w:val="009869F1"/>
    <w:rsid w:val="00986A4A"/>
    <w:rsid w:val="00986AA2"/>
    <w:rsid w:val="00987086"/>
    <w:rsid w:val="00987376"/>
    <w:rsid w:val="0098767D"/>
    <w:rsid w:val="0098791D"/>
    <w:rsid w:val="00987A03"/>
    <w:rsid w:val="00987F4B"/>
    <w:rsid w:val="0099063F"/>
    <w:rsid w:val="00990FF8"/>
    <w:rsid w:val="009910D3"/>
    <w:rsid w:val="0099157F"/>
    <w:rsid w:val="00991692"/>
    <w:rsid w:val="00991F9D"/>
    <w:rsid w:val="0099263C"/>
    <w:rsid w:val="00992A26"/>
    <w:rsid w:val="009933F6"/>
    <w:rsid w:val="009952EC"/>
    <w:rsid w:val="009955C9"/>
    <w:rsid w:val="00995EC8"/>
    <w:rsid w:val="0099672A"/>
    <w:rsid w:val="00996856"/>
    <w:rsid w:val="00997299"/>
    <w:rsid w:val="009A1542"/>
    <w:rsid w:val="009A167A"/>
    <w:rsid w:val="009A22C6"/>
    <w:rsid w:val="009A2B08"/>
    <w:rsid w:val="009A2DEB"/>
    <w:rsid w:val="009A2EB7"/>
    <w:rsid w:val="009A3283"/>
    <w:rsid w:val="009A4762"/>
    <w:rsid w:val="009A4A08"/>
    <w:rsid w:val="009A54AA"/>
    <w:rsid w:val="009A57EA"/>
    <w:rsid w:val="009A5F02"/>
    <w:rsid w:val="009B076E"/>
    <w:rsid w:val="009B2350"/>
    <w:rsid w:val="009B273D"/>
    <w:rsid w:val="009B3251"/>
    <w:rsid w:val="009B4ECF"/>
    <w:rsid w:val="009B617F"/>
    <w:rsid w:val="009C148E"/>
    <w:rsid w:val="009C2F5F"/>
    <w:rsid w:val="009C3DB9"/>
    <w:rsid w:val="009C453A"/>
    <w:rsid w:val="009C572B"/>
    <w:rsid w:val="009C65D6"/>
    <w:rsid w:val="009C6A77"/>
    <w:rsid w:val="009C6B57"/>
    <w:rsid w:val="009C78E7"/>
    <w:rsid w:val="009C7F6F"/>
    <w:rsid w:val="009C7FC2"/>
    <w:rsid w:val="009D01F7"/>
    <w:rsid w:val="009D0585"/>
    <w:rsid w:val="009D17D3"/>
    <w:rsid w:val="009D21BF"/>
    <w:rsid w:val="009D32F8"/>
    <w:rsid w:val="009D4FC3"/>
    <w:rsid w:val="009D6322"/>
    <w:rsid w:val="009D7754"/>
    <w:rsid w:val="009D791C"/>
    <w:rsid w:val="009D7CA9"/>
    <w:rsid w:val="009D7CBA"/>
    <w:rsid w:val="009D7DE4"/>
    <w:rsid w:val="009E08C3"/>
    <w:rsid w:val="009E0B19"/>
    <w:rsid w:val="009E0E8F"/>
    <w:rsid w:val="009E0F0D"/>
    <w:rsid w:val="009E1814"/>
    <w:rsid w:val="009E1BA1"/>
    <w:rsid w:val="009E209A"/>
    <w:rsid w:val="009E2BC2"/>
    <w:rsid w:val="009E33A3"/>
    <w:rsid w:val="009E491C"/>
    <w:rsid w:val="009E49B4"/>
    <w:rsid w:val="009E564A"/>
    <w:rsid w:val="009E6900"/>
    <w:rsid w:val="009E6AE8"/>
    <w:rsid w:val="009E6E4E"/>
    <w:rsid w:val="009F009E"/>
    <w:rsid w:val="009F0186"/>
    <w:rsid w:val="009F04DB"/>
    <w:rsid w:val="009F1DC8"/>
    <w:rsid w:val="009F229A"/>
    <w:rsid w:val="009F2C08"/>
    <w:rsid w:val="009F51AC"/>
    <w:rsid w:val="009F5235"/>
    <w:rsid w:val="009F5905"/>
    <w:rsid w:val="009F675F"/>
    <w:rsid w:val="009F683C"/>
    <w:rsid w:val="009F6C61"/>
    <w:rsid w:val="009F7CE9"/>
    <w:rsid w:val="00A00AB5"/>
    <w:rsid w:val="00A01654"/>
    <w:rsid w:val="00A01F5F"/>
    <w:rsid w:val="00A0271E"/>
    <w:rsid w:val="00A02B74"/>
    <w:rsid w:val="00A02BFD"/>
    <w:rsid w:val="00A03082"/>
    <w:rsid w:val="00A038ED"/>
    <w:rsid w:val="00A03CCF"/>
    <w:rsid w:val="00A03CD2"/>
    <w:rsid w:val="00A04B6B"/>
    <w:rsid w:val="00A04C1D"/>
    <w:rsid w:val="00A054C3"/>
    <w:rsid w:val="00A05C5B"/>
    <w:rsid w:val="00A06BBF"/>
    <w:rsid w:val="00A07DD8"/>
    <w:rsid w:val="00A1039B"/>
    <w:rsid w:val="00A11091"/>
    <w:rsid w:val="00A11EC4"/>
    <w:rsid w:val="00A1311A"/>
    <w:rsid w:val="00A14120"/>
    <w:rsid w:val="00A15626"/>
    <w:rsid w:val="00A16FE1"/>
    <w:rsid w:val="00A21C99"/>
    <w:rsid w:val="00A2214E"/>
    <w:rsid w:val="00A228AA"/>
    <w:rsid w:val="00A2422B"/>
    <w:rsid w:val="00A2572D"/>
    <w:rsid w:val="00A25ACE"/>
    <w:rsid w:val="00A26646"/>
    <w:rsid w:val="00A30385"/>
    <w:rsid w:val="00A30FF5"/>
    <w:rsid w:val="00A318F7"/>
    <w:rsid w:val="00A32077"/>
    <w:rsid w:val="00A322D7"/>
    <w:rsid w:val="00A32612"/>
    <w:rsid w:val="00A32895"/>
    <w:rsid w:val="00A329F7"/>
    <w:rsid w:val="00A3376A"/>
    <w:rsid w:val="00A347F0"/>
    <w:rsid w:val="00A34802"/>
    <w:rsid w:val="00A35812"/>
    <w:rsid w:val="00A3598A"/>
    <w:rsid w:val="00A35C76"/>
    <w:rsid w:val="00A35D36"/>
    <w:rsid w:val="00A362F4"/>
    <w:rsid w:val="00A36D6F"/>
    <w:rsid w:val="00A378AB"/>
    <w:rsid w:val="00A37CB3"/>
    <w:rsid w:val="00A40AEE"/>
    <w:rsid w:val="00A4150D"/>
    <w:rsid w:val="00A4393E"/>
    <w:rsid w:val="00A464AB"/>
    <w:rsid w:val="00A47C3A"/>
    <w:rsid w:val="00A47F83"/>
    <w:rsid w:val="00A508ED"/>
    <w:rsid w:val="00A509A5"/>
    <w:rsid w:val="00A50AEF"/>
    <w:rsid w:val="00A52249"/>
    <w:rsid w:val="00A53E20"/>
    <w:rsid w:val="00A54C2F"/>
    <w:rsid w:val="00A55E10"/>
    <w:rsid w:val="00A56471"/>
    <w:rsid w:val="00A57D8F"/>
    <w:rsid w:val="00A57F61"/>
    <w:rsid w:val="00A60B48"/>
    <w:rsid w:val="00A60D92"/>
    <w:rsid w:val="00A60E54"/>
    <w:rsid w:val="00A619D1"/>
    <w:rsid w:val="00A62F56"/>
    <w:rsid w:val="00A63A8D"/>
    <w:rsid w:val="00A65948"/>
    <w:rsid w:val="00A66A11"/>
    <w:rsid w:val="00A66E73"/>
    <w:rsid w:val="00A67DF3"/>
    <w:rsid w:val="00A70843"/>
    <w:rsid w:val="00A70963"/>
    <w:rsid w:val="00A71306"/>
    <w:rsid w:val="00A71487"/>
    <w:rsid w:val="00A717A8"/>
    <w:rsid w:val="00A71B7D"/>
    <w:rsid w:val="00A727C8"/>
    <w:rsid w:val="00A73503"/>
    <w:rsid w:val="00A74894"/>
    <w:rsid w:val="00A75244"/>
    <w:rsid w:val="00A7560D"/>
    <w:rsid w:val="00A756C6"/>
    <w:rsid w:val="00A76856"/>
    <w:rsid w:val="00A80495"/>
    <w:rsid w:val="00A80D47"/>
    <w:rsid w:val="00A812AF"/>
    <w:rsid w:val="00A82601"/>
    <w:rsid w:val="00A82A40"/>
    <w:rsid w:val="00A82A58"/>
    <w:rsid w:val="00A8317E"/>
    <w:rsid w:val="00A83BA4"/>
    <w:rsid w:val="00A83E3B"/>
    <w:rsid w:val="00A83E7E"/>
    <w:rsid w:val="00A84159"/>
    <w:rsid w:val="00A84C73"/>
    <w:rsid w:val="00A85AE2"/>
    <w:rsid w:val="00A85B6B"/>
    <w:rsid w:val="00A85CC8"/>
    <w:rsid w:val="00A863FA"/>
    <w:rsid w:val="00A86519"/>
    <w:rsid w:val="00A86D0E"/>
    <w:rsid w:val="00A90E6D"/>
    <w:rsid w:val="00A9139A"/>
    <w:rsid w:val="00A91468"/>
    <w:rsid w:val="00A93637"/>
    <w:rsid w:val="00A93C4C"/>
    <w:rsid w:val="00A94F4F"/>
    <w:rsid w:val="00A95D21"/>
    <w:rsid w:val="00A95E1B"/>
    <w:rsid w:val="00A9686B"/>
    <w:rsid w:val="00A96C1B"/>
    <w:rsid w:val="00A97867"/>
    <w:rsid w:val="00A97D07"/>
    <w:rsid w:val="00AA028E"/>
    <w:rsid w:val="00AA0338"/>
    <w:rsid w:val="00AA0769"/>
    <w:rsid w:val="00AA0FEF"/>
    <w:rsid w:val="00AA2B7A"/>
    <w:rsid w:val="00AA2C39"/>
    <w:rsid w:val="00AA3789"/>
    <w:rsid w:val="00AA3E41"/>
    <w:rsid w:val="00AA550A"/>
    <w:rsid w:val="00AB1E1D"/>
    <w:rsid w:val="00AB1FA2"/>
    <w:rsid w:val="00AB27A8"/>
    <w:rsid w:val="00AB2F53"/>
    <w:rsid w:val="00AB3535"/>
    <w:rsid w:val="00AB388E"/>
    <w:rsid w:val="00AB3FE1"/>
    <w:rsid w:val="00AB4343"/>
    <w:rsid w:val="00AB45C5"/>
    <w:rsid w:val="00AB5199"/>
    <w:rsid w:val="00AB60B1"/>
    <w:rsid w:val="00AB6A88"/>
    <w:rsid w:val="00AB6C6C"/>
    <w:rsid w:val="00AB6F4F"/>
    <w:rsid w:val="00AB78BF"/>
    <w:rsid w:val="00AC00E9"/>
    <w:rsid w:val="00AC175E"/>
    <w:rsid w:val="00AC187E"/>
    <w:rsid w:val="00AC2775"/>
    <w:rsid w:val="00AC3EE9"/>
    <w:rsid w:val="00AC444E"/>
    <w:rsid w:val="00AC4F1D"/>
    <w:rsid w:val="00AC643E"/>
    <w:rsid w:val="00AC755E"/>
    <w:rsid w:val="00AC77E8"/>
    <w:rsid w:val="00AC7B1B"/>
    <w:rsid w:val="00AD043E"/>
    <w:rsid w:val="00AD0E7E"/>
    <w:rsid w:val="00AD2684"/>
    <w:rsid w:val="00AD27B4"/>
    <w:rsid w:val="00AD2ABF"/>
    <w:rsid w:val="00AD34CB"/>
    <w:rsid w:val="00AD39F9"/>
    <w:rsid w:val="00AD584E"/>
    <w:rsid w:val="00AD59F8"/>
    <w:rsid w:val="00AD5FA9"/>
    <w:rsid w:val="00AD64BE"/>
    <w:rsid w:val="00AD6576"/>
    <w:rsid w:val="00AD723B"/>
    <w:rsid w:val="00AD770D"/>
    <w:rsid w:val="00AE0F2A"/>
    <w:rsid w:val="00AE12B0"/>
    <w:rsid w:val="00AE188D"/>
    <w:rsid w:val="00AE2B4D"/>
    <w:rsid w:val="00AE4100"/>
    <w:rsid w:val="00AE555B"/>
    <w:rsid w:val="00AE5C30"/>
    <w:rsid w:val="00AE64C9"/>
    <w:rsid w:val="00AE684B"/>
    <w:rsid w:val="00AE70EF"/>
    <w:rsid w:val="00AE7886"/>
    <w:rsid w:val="00AE7E1C"/>
    <w:rsid w:val="00AF0C79"/>
    <w:rsid w:val="00AF11FB"/>
    <w:rsid w:val="00AF1AC3"/>
    <w:rsid w:val="00AF1F1A"/>
    <w:rsid w:val="00AF20CA"/>
    <w:rsid w:val="00AF23D1"/>
    <w:rsid w:val="00AF32E6"/>
    <w:rsid w:val="00AF3C11"/>
    <w:rsid w:val="00AF3E59"/>
    <w:rsid w:val="00AF41ED"/>
    <w:rsid w:val="00AF4219"/>
    <w:rsid w:val="00AF5714"/>
    <w:rsid w:val="00AF5E5A"/>
    <w:rsid w:val="00AF6761"/>
    <w:rsid w:val="00AF68D5"/>
    <w:rsid w:val="00AF75BD"/>
    <w:rsid w:val="00AF7C74"/>
    <w:rsid w:val="00B00300"/>
    <w:rsid w:val="00B004CB"/>
    <w:rsid w:val="00B00662"/>
    <w:rsid w:val="00B00FCF"/>
    <w:rsid w:val="00B0103B"/>
    <w:rsid w:val="00B017E5"/>
    <w:rsid w:val="00B0269C"/>
    <w:rsid w:val="00B02821"/>
    <w:rsid w:val="00B0465C"/>
    <w:rsid w:val="00B06002"/>
    <w:rsid w:val="00B064BD"/>
    <w:rsid w:val="00B06872"/>
    <w:rsid w:val="00B07FAD"/>
    <w:rsid w:val="00B103C0"/>
    <w:rsid w:val="00B11BC0"/>
    <w:rsid w:val="00B13DBA"/>
    <w:rsid w:val="00B142A6"/>
    <w:rsid w:val="00B14EF5"/>
    <w:rsid w:val="00B15328"/>
    <w:rsid w:val="00B159A8"/>
    <w:rsid w:val="00B16723"/>
    <w:rsid w:val="00B16D8A"/>
    <w:rsid w:val="00B2086B"/>
    <w:rsid w:val="00B21D14"/>
    <w:rsid w:val="00B21F85"/>
    <w:rsid w:val="00B22F79"/>
    <w:rsid w:val="00B241BD"/>
    <w:rsid w:val="00B24B35"/>
    <w:rsid w:val="00B24D1D"/>
    <w:rsid w:val="00B25D95"/>
    <w:rsid w:val="00B263DE"/>
    <w:rsid w:val="00B264E6"/>
    <w:rsid w:val="00B27706"/>
    <w:rsid w:val="00B3014C"/>
    <w:rsid w:val="00B30966"/>
    <w:rsid w:val="00B313B6"/>
    <w:rsid w:val="00B31960"/>
    <w:rsid w:val="00B31972"/>
    <w:rsid w:val="00B3253A"/>
    <w:rsid w:val="00B327E7"/>
    <w:rsid w:val="00B34582"/>
    <w:rsid w:val="00B34E8C"/>
    <w:rsid w:val="00B3649F"/>
    <w:rsid w:val="00B41972"/>
    <w:rsid w:val="00B41E81"/>
    <w:rsid w:val="00B42145"/>
    <w:rsid w:val="00B42F5D"/>
    <w:rsid w:val="00B42FC6"/>
    <w:rsid w:val="00B43097"/>
    <w:rsid w:val="00B43184"/>
    <w:rsid w:val="00B44ED9"/>
    <w:rsid w:val="00B45127"/>
    <w:rsid w:val="00B455FE"/>
    <w:rsid w:val="00B45779"/>
    <w:rsid w:val="00B4695C"/>
    <w:rsid w:val="00B46BB0"/>
    <w:rsid w:val="00B47148"/>
    <w:rsid w:val="00B4733D"/>
    <w:rsid w:val="00B47C1D"/>
    <w:rsid w:val="00B50DF8"/>
    <w:rsid w:val="00B5194C"/>
    <w:rsid w:val="00B51D0D"/>
    <w:rsid w:val="00B526CA"/>
    <w:rsid w:val="00B5281A"/>
    <w:rsid w:val="00B53840"/>
    <w:rsid w:val="00B53AA5"/>
    <w:rsid w:val="00B53B32"/>
    <w:rsid w:val="00B54502"/>
    <w:rsid w:val="00B54D19"/>
    <w:rsid w:val="00B5525F"/>
    <w:rsid w:val="00B5544F"/>
    <w:rsid w:val="00B56133"/>
    <w:rsid w:val="00B56B56"/>
    <w:rsid w:val="00B56B63"/>
    <w:rsid w:val="00B57534"/>
    <w:rsid w:val="00B6066D"/>
    <w:rsid w:val="00B6075E"/>
    <w:rsid w:val="00B612F2"/>
    <w:rsid w:val="00B6184E"/>
    <w:rsid w:val="00B61DAF"/>
    <w:rsid w:val="00B63826"/>
    <w:rsid w:val="00B63BD8"/>
    <w:rsid w:val="00B64001"/>
    <w:rsid w:val="00B6417C"/>
    <w:rsid w:val="00B6437F"/>
    <w:rsid w:val="00B672EE"/>
    <w:rsid w:val="00B673F3"/>
    <w:rsid w:val="00B675E7"/>
    <w:rsid w:val="00B703B7"/>
    <w:rsid w:val="00B70489"/>
    <w:rsid w:val="00B7081A"/>
    <w:rsid w:val="00B7199D"/>
    <w:rsid w:val="00B71FD5"/>
    <w:rsid w:val="00B7214C"/>
    <w:rsid w:val="00B72CA5"/>
    <w:rsid w:val="00B730E0"/>
    <w:rsid w:val="00B7349E"/>
    <w:rsid w:val="00B75FA0"/>
    <w:rsid w:val="00B76294"/>
    <w:rsid w:val="00B76417"/>
    <w:rsid w:val="00B76E4A"/>
    <w:rsid w:val="00B773BB"/>
    <w:rsid w:val="00B80740"/>
    <w:rsid w:val="00B808FA"/>
    <w:rsid w:val="00B80C2A"/>
    <w:rsid w:val="00B81657"/>
    <w:rsid w:val="00B827D7"/>
    <w:rsid w:val="00B82C9C"/>
    <w:rsid w:val="00B836FF"/>
    <w:rsid w:val="00B83821"/>
    <w:rsid w:val="00B84124"/>
    <w:rsid w:val="00B84C6D"/>
    <w:rsid w:val="00B85204"/>
    <w:rsid w:val="00B8563B"/>
    <w:rsid w:val="00B857EE"/>
    <w:rsid w:val="00B870D7"/>
    <w:rsid w:val="00B8773D"/>
    <w:rsid w:val="00B9007C"/>
    <w:rsid w:val="00B90B4C"/>
    <w:rsid w:val="00B91DF9"/>
    <w:rsid w:val="00B9295E"/>
    <w:rsid w:val="00B929AF"/>
    <w:rsid w:val="00B93D17"/>
    <w:rsid w:val="00B949B5"/>
    <w:rsid w:val="00B95670"/>
    <w:rsid w:val="00B9631B"/>
    <w:rsid w:val="00B96DCB"/>
    <w:rsid w:val="00BA0343"/>
    <w:rsid w:val="00BA0482"/>
    <w:rsid w:val="00BA0AF9"/>
    <w:rsid w:val="00BA16BA"/>
    <w:rsid w:val="00BA26DF"/>
    <w:rsid w:val="00BA38DB"/>
    <w:rsid w:val="00BA3BAB"/>
    <w:rsid w:val="00BA41D4"/>
    <w:rsid w:val="00BA4F02"/>
    <w:rsid w:val="00BA5378"/>
    <w:rsid w:val="00BA5437"/>
    <w:rsid w:val="00BA57BE"/>
    <w:rsid w:val="00BA6752"/>
    <w:rsid w:val="00BA69DD"/>
    <w:rsid w:val="00BA6D7E"/>
    <w:rsid w:val="00BA7EB3"/>
    <w:rsid w:val="00BA7FF0"/>
    <w:rsid w:val="00BB0516"/>
    <w:rsid w:val="00BB0823"/>
    <w:rsid w:val="00BB1B94"/>
    <w:rsid w:val="00BB40BA"/>
    <w:rsid w:val="00BB54C5"/>
    <w:rsid w:val="00BB63ED"/>
    <w:rsid w:val="00BB74B0"/>
    <w:rsid w:val="00BB761E"/>
    <w:rsid w:val="00BC06B3"/>
    <w:rsid w:val="00BC06E5"/>
    <w:rsid w:val="00BC0BC9"/>
    <w:rsid w:val="00BC0C23"/>
    <w:rsid w:val="00BC0D60"/>
    <w:rsid w:val="00BC0F75"/>
    <w:rsid w:val="00BC20F4"/>
    <w:rsid w:val="00BC378F"/>
    <w:rsid w:val="00BC5759"/>
    <w:rsid w:val="00BC5E2B"/>
    <w:rsid w:val="00BC6280"/>
    <w:rsid w:val="00BC6341"/>
    <w:rsid w:val="00BC6762"/>
    <w:rsid w:val="00BC6AA7"/>
    <w:rsid w:val="00BC6FF4"/>
    <w:rsid w:val="00BC72DC"/>
    <w:rsid w:val="00BC74FD"/>
    <w:rsid w:val="00BC77C3"/>
    <w:rsid w:val="00BC77D2"/>
    <w:rsid w:val="00BC7CEC"/>
    <w:rsid w:val="00BD43F5"/>
    <w:rsid w:val="00BD5BC1"/>
    <w:rsid w:val="00BD5FB0"/>
    <w:rsid w:val="00BD67F7"/>
    <w:rsid w:val="00BD7C62"/>
    <w:rsid w:val="00BD7E37"/>
    <w:rsid w:val="00BE09D3"/>
    <w:rsid w:val="00BE0EB6"/>
    <w:rsid w:val="00BE4197"/>
    <w:rsid w:val="00BE471D"/>
    <w:rsid w:val="00BE48CC"/>
    <w:rsid w:val="00BE4BCE"/>
    <w:rsid w:val="00BE4CEF"/>
    <w:rsid w:val="00BE537C"/>
    <w:rsid w:val="00BE632C"/>
    <w:rsid w:val="00BE6627"/>
    <w:rsid w:val="00BE67B6"/>
    <w:rsid w:val="00BE6F8B"/>
    <w:rsid w:val="00BE7E07"/>
    <w:rsid w:val="00BF07C4"/>
    <w:rsid w:val="00BF109A"/>
    <w:rsid w:val="00BF18FE"/>
    <w:rsid w:val="00BF2F05"/>
    <w:rsid w:val="00BF2F2D"/>
    <w:rsid w:val="00BF3DDD"/>
    <w:rsid w:val="00BF4033"/>
    <w:rsid w:val="00BF4CF1"/>
    <w:rsid w:val="00BF4D1C"/>
    <w:rsid w:val="00BF5947"/>
    <w:rsid w:val="00BF5F74"/>
    <w:rsid w:val="00BF64FB"/>
    <w:rsid w:val="00BF671E"/>
    <w:rsid w:val="00BF69B0"/>
    <w:rsid w:val="00BF7239"/>
    <w:rsid w:val="00C00DC1"/>
    <w:rsid w:val="00C017D2"/>
    <w:rsid w:val="00C01E49"/>
    <w:rsid w:val="00C026E6"/>
    <w:rsid w:val="00C02A6F"/>
    <w:rsid w:val="00C02CD4"/>
    <w:rsid w:val="00C038C5"/>
    <w:rsid w:val="00C03E41"/>
    <w:rsid w:val="00C046A4"/>
    <w:rsid w:val="00C04FD7"/>
    <w:rsid w:val="00C05874"/>
    <w:rsid w:val="00C06118"/>
    <w:rsid w:val="00C07571"/>
    <w:rsid w:val="00C07C07"/>
    <w:rsid w:val="00C07D4F"/>
    <w:rsid w:val="00C07DC2"/>
    <w:rsid w:val="00C104A0"/>
    <w:rsid w:val="00C10E45"/>
    <w:rsid w:val="00C11817"/>
    <w:rsid w:val="00C11C2F"/>
    <w:rsid w:val="00C12D2A"/>
    <w:rsid w:val="00C13C90"/>
    <w:rsid w:val="00C13FD2"/>
    <w:rsid w:val="00C15793"/>
    <w:rsid w:val="00C16D93"/>
    <w:rsid w:val="00C17FFC"/>
    <w:rsid w:val="00C208B6"/>
    <w:rsid w:val="00C208C8"/>
    <w:rsid w:val="00C20D32"/>
    <w:rsid w:val="00C22177"/>
    <w:rsid w:val="00C237F7"/>
    <w:rsid w:val="00C2396C"/>
    <w:rsid w:val="00C23A1F"/>
    <w:rsid w:val="00C23CC0"/>
    <w:rsid w:val="00C24FE6"/>
    <w:rsid w:val="00C25C6D"/>
    <w:rsid w:val="00C25D2B"/>
    <w:rsid w:val="00C2761F"/>
    <w:rsid w:val="00C32CEB"/>
    <w:rsid w:val="00C3341E"/>
    <w:rsid w:val="00C33D61"/>
    <w:rsid w:val="00C35405"/>
    <w:rsid w:val="00C3565C"/>
    <w:rsid w:val="00C35C41"/>
    <w:rsid w:val="00C35FDF"/>
    <w:rsid w:val="00C361FB"/>
    <w:rsid w:val="00C362F5"/>
    <w:rsid w:val="00C365B4"/>
    <w:rsid w:val="00C36932"/>
    <w:rsid w:val="00C36F1F"/>
    <w:rsid w:val="00C4054E"/>
    <w:rsid w:val="00C406C2"/>
    <w:rsid w:val="00C41B03"/>
    <w:rsid w:val="00C41E84"/>
    <w:rsid w:val="00C430A3"/>
    <w:rsid w:val="00C442EE"/>
    <w:rsid w:val="00C4477F"/>
    <w:rsid w:val="00C44A40"/>
    <w:rsid w:val="00C44D66"/>
    <w:rsid w:val="00C45A7B"/>
    <w:rsid w:val="00C46052"/>
    <w:rsid w:val="00C46378"/>
    <w:rsid w:val="00C464F3"/>
    <w:rsid w:val="00C46B74"/>
    <w:rsid w:val="00C47725"/>
    <w:rsid w:val="00C477B1"/>
    <w:rsid w:val="00C47EAF"/>
    <w:rsid w:val="00C50357"/>
    <w:rsid w:val="00C50389"/>
    <w:rsid w:val="00C506C4"/>
    <w:rsid w:val="00C50DC1"/>
    <w:rsid w:val="00C50F86"/>
    <w:rsid w:val="00C51461"/>
    <w:rsid w:val="00C517A7"/>
    <w:rsid w:val="00C51A9B"/>
    <w:rsid w:val="00C51E37"/>
    <w:rsid w:val="00C5286D"/>
    <w:rsid w:val="00C54482"/>
    <w:rsid w:val="00C55BB8"/>
    <w:rsid w:val="00C56028"/>
    <w:rsid w:val="00C56244"/>
    <w:rsid w:val="00C576B0"/>
    <w:rsid w:val="00C577C7"/>
    <w:rsid w:val="00C579D1"/>
    <w:rsid w:val="00C60A62"/>
    <w:rsid w:val="00C6171B"/>
    <w:rsid w:val="00C61D45"/>
    <w:rsid w:val="00C621EF"/>
    <w:rsid w:val="00C62BD4"/>
    <w:rsid w:val="00C64674"/>
    <w:rsid w:val="00C65E77"/>
    <w:rsid w:val="00C66F75"/>
    <w:rsid w:val="00C67B80"/>
    <w:rsid w:val="00C71BF4"/>
    <w:rsid w:val="00C722E2"/>
    <w:rsid w:val="00C73430"/>
    <w:rsid w:val="00C73C1B"/>
    <w:rsid w:val="00C74B49"/>
    <w:rsid w:val="00C75485"/>
    <w:rsid w:val="00C75A45"/>
    <w:rsid w:val="00C75E22"/>
    <w:rsid w:val="00C76084"/>
    <w:rsid w:val="00C764B3"/>
    <w:rsid w:val="00C76B32"/>
    <w:rsid w:val="00C8061E"/>
    <w:rsid w:val="00C806D7"/>
    <w:rsid w:val="00C808EE"/>
    <w:rsid w:val="00C80B62"/>
    <w:rsid w:val="00C811BF"/>
    <w:rsid w:val="00C82072"/>
    <w:rsid w:val="00C82433"/>
    <w:rsid w:val="00C83C09"/>
    <w:rsid w:val="00C85519"/>
    <w:rsid w:val="00C86026"/>
    <w:rsid w:val="00C8657D"/>
    <w:rsid w:val="00C86D26"/>
    <w:rsid w:val="00C8774B"/>
    <w:rsid w:val="00C878BA"/>
    <w:rsid w:val="00C9027A"/>
    <w:rsid w:val="00C90311"/>
    <w:rsid w:val="00C90797"/>
    <w:rsid w:val="00C909EF"/>
    <w:rsid w:val="00C90F39"/>
    <w:rsid w:val="00C93535"/>
    <w:rsid w:val="00C93C87"/>
    <w:rsid w:val="00C96229"/>
    <w:rsid w:val="00C971BD"/>
    <w:rsid w:val="00C971DA"/>
    <w:rsid w:val="00CA0814"/>
    <w:rsid w:val="00CA178C"/>
    <w:rsid w:val="00CA28CE"/>
    <w:rsid w:val="00CA2E5A"/>
    <w:rsid w:val="00CA3110"/>
    <w:rsid w:val="00CA43C6"/>
    <w:rsid w:val="00CA4C88"/>
    <w:rsid w:val="00CA599D"/>
    <w:rsid w:val="00CA64FC"/>
    <w:rsid w:val="00CA67E0"/>
    <w:rsid w:val="00CA6B15"/>
    <w:rsid w:val="00CA7530"/>
    <w:rsid w:val="00CB07A3"/>
    <w:rsid w:val="00CB0884"/>
    <w:rsid w:val="00CB16AB"/>
    <w:rsid w:val="00CB1F10"/>
    <w:rsid w:val="00CB2C89"/>
    <w:rsid w:val="00CB2D32"/>
    <w:rsid w:val="00CB2F51"/>
    <w:rsid w:val="00CB3924"/>
    <w:rsid w:val="00CB49AD"/>
    <w:rsid w:val="00CB6057"/>
    <w:rsid w:val="00CB6FAF"/>
    <w:rsid w:val="00CB712F"/>
    <w:rsid w:val="00CB7C23"/>
    <w:rsid w:val="00CB7CB3"/>
    <w:rsid w:val="00CC07C9"/>
    <w:rsid w:val="00CC0A06"/>
    <w:rsid w:val="00CC111D"/>
    <w:rsid w:val="00CC12F2"/>
    <w:rsid w:val="00CC2315"/>
    <w:rsid w:val="00CC2C3E"/>
    <w:rsid w:val="00CC50FC"/>
    <w:rsid w:val="00CC56F9"/>
    <w:rsid w:val="00CC5DBC"/>
    <w:rsid w:val="00CC5F68"/>
    <w:rsid w:val="00CC76D9"/>
    <w:rsid w:val="00CD03FD"/>
    <w:rsid w:val="00CD068A"/>
    <w:rsid w:val="00CD08E0"/>
    <w:rsid w:val="00CD13A9"/>
    <w:rsid w:val="00CD1DB1"/>
    <w:rsid w:val="00CD3157"/>
    <w:rsid w:val="00CD31FB"/>
    <w:rsid w:val="00CD4422"/>
    <w:rsid w:val="00CD4A8C"/>
    <w:rsid w:val="00CD52FE"/>
    <w:rsid w:val="00CD65E8"/>
    <w:rsid w:val="00CD6C4F"/>
    <w:rsid w:val="00CD7517"/>
    <w:rsid w:val="00CD7727"/>
    <w:rsid w:val="00CD798C"/>
    <w:rsid w:val="00CD7CF0"/>
    <w:rsid w:val="00CE0B67"/>
    <w:rsid w:val="00CE1011"/>
    <w:rsid w:val="00CE1CBA"/>
    <w:rsid w:val="00CE2CE0"/>
    <w:rsid w:val="00CE39DF"/>
    <w:rsid w:val="00CE3DE2"/>
    <w:rsid w:val="00CE510A"/>
    <w:rsid w:val="00CE64E8"/>
    <w:rsid w:val="00CE685D"/>
    <w:rsid w:val="00CE69B7"/>
    <w:rsid w:val="00CE6D50"/>
    <w:rsid w:val="00CF035F"/>
    <w:rsid w:val="00CF06D4"/>
    <w:rsid w:val="00CF172C"/>
    <w:rsid w:val="00CF2375"/>
    <w:rsid w:val="00CF2CFC"/>
    <w:rsid w:val="00CF3058"/>
    <w:rsid w:val="00CF49F2"/>
    <w:rsid w:val="00CF651C"/>
    <w:rsid w:val="00CF711A"/>
    <w:rsid w:val="00CF7A6F"/>
    <w:rsid w:val="00D0024A"/>
    <w:rsid w:val="00D0034E"/>
    <w:rsid w:val="00D004C7"/>
    <w:rsid w:val="00D009EB"/>
    <w:rsid w:val="00D012F6"/>
    <w:rsid w:val="00D01BDD"/>
    <w:rsid w:val="00D01D07"/>
    <w:rsid w:val="00D02502"/>
    <w:rsid w:val="00D03618"/>
    <w:rsid w:val="00D03D85"/>
    <w:rsid w:val="00D04E5C"/>
    <w:rsid w:val="00D05573"/>
    <w:rsid w:val="00D05B63"/>
    <w:rsid w:val="00D0636D"/>
    <w:rsid w:val="00D0667C"/>
    <w:rsid w:val="00D0772D"/>
    <w:rsid w:val="00D07E00"/>
    <w:rsid w:val="00D100A2"/>
    <w:rsid w:val="00D100D6"/>
    <w:rsid w:val="00D10734"/>
    <w:rsid w:val="00D10C44"/>
    <w:rsid w:val="00D11111"/>
    <w:rsid w:val="00D11251"/>
    <w:rsid w:val="00D11B31"/>
    <w:rsid w:val="00D11D3E"/>
    <w:rsid w:val="00D12409"/>
    <w:rsid w:val="00D12AB1"/>
    <w:rsid w:val="00D139A0"/>
    <w:rsid w:val="00D13C44"/>
    <w:rsid w:val="00D14E4D"/>
    <w:rsid w:val="00D15072"/>
    <w:rsid w:val="00D150DA"/>
    <w:rsid w:val="00D1529C"/>
    <w:rsid w:val="00D154B2"/>
    <w:rsid w:val="00D16BC1"/>
    <w:rsid w:val="00D16E0B"/>
    <w:rsid w:val="00D16ED8"/>
    <w:rsid w:val="00D16FF3"/>
    <w:rsid w:val="00D206D8"/>
    <w:rsid w:val="00D20E76"/>
    <w:rsid w:val="00D21026"/>
    <w:rsid w:val="00D21641"/>
    <w:rsid w:val="00D216E6"/>
    <w:rsid w:val="00D22174"/>
    <w:rsid w:val="00D22257"/>
    <w:rsid w:val="00D22642"/>
    <w:rsid w:val="00D2655B"/>
    <w:rsid w:val="00D300D5"/>
    <w:rsid w:val="00D316B7"/>
    <w:rsid w:val="00D31A6F"/>
    <w:rsid w:val="00D32546"/>
    <w:rsid w:val="00D3407A"/>
    <w:rsid w:val="00D345BD"/>
    <w:rsid w:val="00D35C30"/>
    <w:rsid w:val="00D36E20"/>
    <w:rsid w:val="00D37470"/>
    <w:rsid w:val="00D37706"/>
    <w:rsid w:val="00D406B8"/>
    <w:rsid w:val="00D414DB"/>
    <w:rsid w:val="00D422C1"/>
    <w:rsid w:val="00D42784"/>
    <w:rsid w:val="00D43991"/>
    <w:rsid w:val="00D44222"/>
    <w:rsid w:val="00D46C73"/>
    <w:rsid w:val="00D47016"/>
    <w:rsid w:val="00D4744C"/>
    <w:rsid w:val="00D51B6C"/>
    <w:rsid w:val="00D52D15"/>
    <w:rsid w:val="00D52E93"/>
    <w:rsid w:val="00D538CD"/>
    <w:rsid w:val="00D54C56"/>
    <w:rsid w:val="00D55EA5"/>
    <w:rsid w:val="00D5626C"/>
    <w:rsid w:val="00D56A5E"/>
    <w:rsid w:val="00D571F9"/>
    <w:rsid w:val="00D6006E"/>
    <w:rsid w:val="00D60EFE"/>
    <w:rsid w:val="00D611F0"/>
    <w:rsid w:val="00D62B27"/>
    <w:rsid w:val="00D62BA2"/>
    <w:rsid w:val="00D62CA2"/>
    <w:rsid w:val="00D63883"/>
    <w:rsid w:val="00D63AF4"/>
    <w:rsid w:val="00D64601"/>
    <w:rsid w:val="00D66780"/>
    <w:rsid w:val="00D70F4F"/>
    <w:rsid w:val="00D7114C"/>
    <w:rsid w:val="00D71AF9"/>
    <w:rsid w:val="00D72653"/>
    <w:rsid w:val="00D72C60"/>
    <w:rsid w:val="00D73898"/>
    <w:rsid w:val="00D73F27"/>
    <w:rsid w:val="00D73FA0"/>
    <w:rsid w:val="00D74BA3"/>
    <w:rsid w:val="00D7578B"/>
    <w:rsid w:val="00D7768E"/>
    <w:rsid w:val="00D77F61"/>
    <w:rsid w:val="00D8061E"/>
    <w:rsid w:val="00D80DF0"/>
    <w:rsid w:val="00D8152C"/>
    <w:rsid w:val="00D8171A"/>
    <w:rsid w:val="00D818B9"/>
    <w:rsid w:val="00D82000"/>
    <w:rsid w:val="00D8291A"/>
    <w:rsid w:val="00D83297"/>
    <w:rsid w:val="00D83A05"/>
    <w:rsid w:val="00D8462D"/>
    <w:rsid w:val="00D84DC3"/>
    <w:rsid w:val="00D84E69"/>
    <w:rsid w:val="00D85421"/>
    <w:rsid w:val="00D85AAF"/>
    <w:rsid w:val="00D8632F"/>
    <w:rsid w:val="00D865E4"/>
    <w:rsid w:val="00D86BEF"/>
    <w:rsid w:val="00D87245"/>
    <w:rsid w:val="00D87EBC"/>
    <w:rsid w:val="00D900A1"/>
    <w:rsid w:val="00D9083A"/>
    <w:rsid w:val="00D90C35"/>
    <w:rsid w:val="00D9124D"/>
    <w:rsid w:val="00D93377"/>
    <w:rsid w:val="00D9439C"/>
    <w:rsid w:val="00D9492C"/>
    <w:rsid w:val="00D964B4"/>
    <w:rsid w:val="00D96B1C"/>
    <w:rsid w:val="00D97542"/>
    <w:rsid w:val="00DA11A3"/>
    <w:rsid w:val="00DA2512"/>
    <w:rsid w:val="00DA2554"/>
    <w:rsid w:val="00DA3B87"/>
    <w:rsid w:val="00DA41CF"/>
    <w:rsid w:val="00DA44FA"/>
    <w:rsid w:val="00DA4F49"/>
    <w:rsid w:val="00DA5021"/>
    <w:rsid w:val="00DA592C"/>
    <w:rsid w:val="00DA6156"/>
    <w:rsid w:val="00DB02A4"/>
    <w:rsid w:val="00DB110C"/>
    <w:rsid w:val="00DB14A8"/>
    <w:rsid w:val="00DB2588"/>
    <w:rsid w:val="00DB4494"/>
    <w:rsid w:val="00DB458C"/>
    <w:rsid w:val="00DB5278"/>
    <w:rsid w:val="00DB5FBF"/>
    <w:rsid w:val="00DC1C43"/>
    <w:rsid w:val="00DC3A61"/>
    <w:rsid w:val="00DC4301"/>
    <w:rsid w:val="00DC47B2"/>
    <w:rsid w:val="00DC4BA1"/>
    <w:rsid w:val="00DC5513"/>
    <w:rsid w:val="00DC58CC"/>
    <w:rsid w:val="00DC6275"/>
    <w:rsid w:val="00DC7977"/>
    <w:rsid w:val="00DD02A8"/>
    <w:rsid w:val="00DD0B2F"/>
    <w:rsid w:val="00DD137E"/>
    <w:rsid w:val="00DD1ABC"/>
    <w:rsid w:val="00DD1EE1"/>
    <w:rsid w:val="00DD305E"/>
    <w:rsid w:val="00DD32AC"/>
    <w:rsid w:val="00DD3835"/>
    <w:rsid w:val="00DD51A6"/>
    <w:rsid w:val="00DD6438"/>
    <w:rsid w:val="00DD6FB7"/>
    <w:rsid w:val="00DD70D8"/>
    <w:rsid w:val="00DD743D"/>
    <w:rsid w:val="00DE056C"/>
    <w:rsid w:val="00DE09D3"/>
    <w:rsid w:val="00DE0C98"/>
    <w:rsid w:val="00DE2663"/>
    <w:rsid w:val="00DE2B34"/>
    <w:rsid w:val="00DE34E3"/>
    <w:rsid w:val="00DE39DA"/>
    <w:rsid w:val="00DE3CAD"/>
    <w:rsid w:val="00DE4B7C"/>
    <w:rsid w:val="00DE53D8"/>
    <w:rsid w:val="00DE6A43"/>
    <w:rsid w:val="00DE7AA8"/>
    <w:rsid w:val="00DE7BF6"/>
    <w:rsid w:val="00DE7CFF"/>
    <w:rsid w:val="00DF0E43"/>
    <w:rsid w:val="00DF0EF9"/>
    <w:rsid w:val="00DF1A7E"/>
    <w:rsid w:val="00DF3371"/>
    <w:rsid w:val="00DF630B"/>
    <w:rsid w:val="00DF64DF"/>
    <w:rsid w:val="00E00AC6"/>
    <w:rsid w:val="00E00D5B"/>
    <w:rsid w:val="00E020A3"/>
    <w:rsid w:val="00E02338"/>
    <w:rsid w:val="00E0235B"/>
    <w:rsid w:val="00E0239A"/>
    <w:rsid w:val="00E02DF9"/>
    <w:rsid w:val="00E02E47"/>
    <w:rsid w:val="00E0396C"/>
    <w:rsid w:val="00E0419F"/>
    <w:rsid w:val="00E04BE3"/>
    <w:rsid w:val="00E05E56"/>
    <w:rsid w:val="00E05E63"/>
    <w:rsid w:val="00E069EF"/>
    <w:rsid w:val="00E06B02"/>
    <w:rsid w:val="00E06D4B"/>
    <w:rsid w:val="00E06E65"/>
    <w:rsid w:val="00E06F7E"/>
    <w:rsid w:val="00E10A9A"/>
    <w:rsid w:val="00E112CB"/>
    <w:rsid w:val="00E1340F"/>
    <w:rsid w:val="00E13560"/>
    <w:rsid w:val="00E14BAE"/>
    <w:rsid w:val="00E172CB"/>
    <w:rsid w:val="00E174BC"/>
    <w:rsid w:val="00E17677"/>
    <w:rsid w:val="00E200CF"/>
    <w:rsid w:val="00E21261"/>
    <w:rsid w:val="00E21D18"/>
    <w:rsid w:val="00E22357"/>
    <w:rsid w:val="00E24A9E"/>
    <w:rsid w:val="00E25526"/>
    <w:rsid w:val="00E255E1"/>
    <w:rsid w:val="00E25904"/>
    <w:rsid w:val="00E25DA4"/>
    <w:rsid w:val="00E26F74"/>
    <w:rsid w:val="00E27052"/>
    <w:rsid w:val="00E27239"/>
    <w:rsid w:val="00E275F3"/>
    <w:rsid w:val="00E27D61"/>
    <w:rsid w:val="00E30ACA"/>
    <w:rsid w:val="00E30E8D"/>
    <w:rsid w:val="00E30F85"/>
    <w:rsid w:val="00E31D05"/>
    <w:rsid w:val="00E332C5"/>
    <w:rsid w:val="00E343E3"/>
    <w:rsid w:val="00E3443B"/>
    <w:rsid w:val="00E34DA8"/>
    <w:rsid w:val="00E35598"/>
    <w:rsid w:val="00E35F87"/>
    <w:rsid w:val="00E363CA"/>
    <w:rsid w:val="00E36DFC"/>
    <w:rsid w:val="00E36E8F"/>
    <w:rsid w:val="00E36F56"/>
    <w:rsid w:val="00E40081"/>
    <w:rsid w:val="00E40823"/>
    <w:rsid w:val="00E4089E"/>
    <w:rsid w:val="00E40F64"/>
    <w:rsid w:val="00E42C21"/>
    <w:rsid w:val="00E43171"/>
    <w:rsid w:val="00E434B2"/>
    <w:rsid w:val="00E437CD"/>
    <w:rsid w:val="00E46B38"/>
    <w:rsid w:val="00E473D0"/>
    <w:rsid w:val="00E50534"/>
    <w:rsid w:val="00E5287C"/>
    <w:rsid w:val="00E5375C"/>
    <w:rsid w:val="00E5627D"/>
    <w:rsid w:val="00E600C1"/>
    <w:rsid w:val="00E6072B"/>
    <w:rsid w:val="00E60C13"/>
    <w:rsid w:val="00E614DB"/>
    <w:rsid w:val="00E62203"/>
    <w:rsid w:val="00E62FDC"/>
    <w:rsid w:val="00E631CF"/>
    <w:rsid w:val="00E63603"/>
    <w:rsid w:val="00E636D8"/>
    <w:rsid w:val="00E63A6A"/>
    <w:rsid w:val="00E63E75"/>
    <w:rsid w:val="00E6504D"/>
    <w:rsid w:val="00E659CF"/>
    <w:rsid w:val="00E65DCA"/>
    <w:rsid w:val="00E67C6C"/>
    <w:rsid w:val="00E70B50"/>
    <w:rsid w:val="00E70D56"/>
    <w:rsid w:val="00E72EA4"/>
    <w:rsid w:val="00E738BE"/>
    <w:rsid w:val="00E73BD2"/>
    <w:rsid w:val="00E7434D"/>
    <w:rsid w:val="00E74815"/>
    <w:rsid w:val="00E74F80"/>
    <w:rsid w:val="00E751E8"/>
    <w:rsid w:val="00E752E3"/>
    <w:rsid w:val="00E7536C"/>
    <w:rsid w:val="00E756F8"/>
    <w:rsid w:val="00E75A81"/>
    <w:rsid w:val="00E76045"/>
    <w:rsid w:val="00E818A1"/>
    <w:rsid w:val="00E81913"/>
    <w:rsid w:val="00E81CEB"/>
    <w:rsid w:val="00E827F4"/>
    <w:rsid w:val="00E83660"/>
    <w:rsid w:val="00E83685"/>
    <w:rsid w:val="00E84163"/>
    <w:rsid w:val="00E842E2"/>
    <w:rsid w:val="00E85189"/>
    <w:rsid w:val="00E853BD"/>
    <w:rsid w:val="00E854EF"/>
    <w:rsid w:val="00E85551"/>
    <w:rsid w:val="00E856A2"/>
    <w:rsid w:val="00E85905"/>
    <w:rsid w:val="00E85C9D"/>
    <w:rsid w:val="00E85E35"/>
    <w:rsid w:val="00E86856"/>
    <w:rsid w:val="00E87A4D"/>
    <w:rsid w:val="00E90295"/>
    <w:rsid w:val="00E91728"/>
    <w:rsid w:val="00E92215"/>
    <w:rsid w:val="00E92298"/>
    <w:rsid w:val="00E94DFF"/>
    <w:rsid w:val="00E95AAC"/>
    <w:rsid w:val="00E967C0"/>
    <w:rsid w:val="00E96C09"/>
    <w:rsid w:val="00EA008A"/>
    <w:rsid w:val="00EA0EA3"/>
    <w:rsid w:val="00EA1C52"/>
    <w:rsid w:val="00EA2535"/>
    <w:rsid w:val="00EA29EB"/>
    <w:rsid w:val="00EA31D2"/>
    <w:rsid w:val="00EA357F"/>
    <w:rsid w:val="00EA35E9"/>
    <w:rsid w:val="00EA57CC"/>
    <w:rsid w:val="00EA5AD3"/>
    <w:rsid w:val="00EA5DCC"/>
    <w:rsid w:val="00EA6475"/>
    <w:rsid w:val="00EA6739"/>
    <w:rsid w:val="00EA6E68"/>
    <w:rsid w:val="00EB1AD2"/>
    <w:rsid w:val="00EB1C74"/>
    <w:rsid w:val="00EB3A41"/>
    <w:rsid w:val="00EB3CF0"/>
    <w:rsid w:val="00EB3DA7"/>
    <w:rsid w:val="00EB457F"/>
    <w:rsid w:val="00EB4583"/>
    <w:rsid w:val="00EB6396"/>
    <w:rsid w:val="00EB664A"/>
    <w:rsid w:val="00EC0315"/>
    <w:rsid w:val="00EC1067"/>
    <w:rsid w:val="00EC1206"/>
    <w:rsid w:val="00EC1923"/>
    <w:rsid w:val="00EC1AC0"/>
    <w:rsid w:val="00EC1B5F"/>
    <w:rsid w:val="00EC1C0E"/>
    <w:rsid w:val="00EC3F4A"/>
    <w:rsid w:val="00EC4A05"/>
    <w:rsid w:val="00EC4BC8"/>
    <w:rsid w:val="00EC75B9"/>
    <w:rsid w:val="00ED0A20"/>
    <w:rsid w:val="00ED1B4C"/>
    <w:rsid w:val="00ED1E83"/>
    <w:rsid w:val="00ED20BF"/>
    <w:rsid w:val="00ED23C5"/>
    <w:rsid w:val="00ED28C8"/>
    <w:rsid w:val="00ED29EE"/>
    <w:rsid w:val="00ED35AA"/>
    <w:rsid w:val="00ED368B"/>
    <w:rsid w:val="00ED47DA"/>
    <w:rsid w:val="00ED5285"/>
    <w:rsid w:val="00ED577B"/>
    <w:rsid w:val="00ED5CAD"/>
    <w:rsid w:val="00ED6A73"/>
    <w:rsid w:val="00EE003B"/>
    <w:rsid w:val="00EE0196"/>
    <w:rsid w:val="00EE0FCF"/>
    <w:rsid w:val="00EE255A"/>
    <w:rsid w:val="00EE2B7E"/>
    <w:rsid w:val="00EE2BCF"/>
    <w:rsid w:val="00EE2D56"/>
    <w:rsid w:val="00EE3DC7"/>
    <w:rsid w:val="00EE5732"/>
    <w:rsid w:val="00EE5CE7"/>
    <w:rsid w:val="00EE5E67"/>
    <w:rsid w:val="00EE64EB"/>
    <w:rsid w:val="00EE6E5E"/>
    <w:rsid w:val="00EE7294"/>
    <w:rsid w:val="00EE7E60"/>
    <w:rsid w:val="00EF0536"/>
    <w:rsid w:val="00EF0648"/>
    <w:rsid w:val="00EF14AD"/>
    <w:rsid w:val="00EF1EAD"/>
    <w:rsid w:val="00EF2C35"/>
    <w:rsid w:val="00EF36CA"/>
    <w:rsid w:val="00EF3875"/>
    <w:rsid w:val="00EF3FA6"/>
    <w:rsid w:val="00EF4CB8"/>
    <w:rsid w:val="00EF4F3E"/>
    <w:rsid w:val="00EF5018"/>
    <w:rsid w:val="00EF5958"/>
    <w:rsid w:val="00EF6489"/>
    <w:rsid w:val="00EF68DD"/>
    <w:rsid w:val="00EF6C7D"/>
    <w:rsid w:val="00EF73DA"/>
    <w:rsid w:val="00F01415"/>
    <w:rsid w:val="00F02594"/>
    <w:rsid w:val="00F02792"/>
    <w:rsid w:val="00F03BF5"/>
    <w:rsid w:val="00F046E5"/>
    <w:rsid w:val="00F05D59"/>
    <w:rsid w:val="00F06704"/>
    <w:rsid w:val="00F06F2D"/>
    <w:rsid w:val="00F114D2"/>
    <w:rsid w:val="00F117CE"/>
    <w:rsid w:val="00F11F01"/>
    <w:rsid w:val="00F1265F"/>
    <w:rsid w:val="00F12977"/>
    <w:rsid w:val="00F133FF"/>
    <w:rsid w:val="00F134FF"/>
    <w:rsid w:val="00F13697"/>
    <w:rsid w:val="00F13BF4"/>
    <w:rsid w:val="00F13FB6"/>
    <w:rsid w:val="00F141DB"/>
    <w:rsid w:val="00F14350"/>
    <w:rsid w:val="00F14364"/>
    <w:rsid w:val="00F146B5"/>
    <w:rsid w:val="00F15D2B"/>
    <w:rsid w:val="00F15D46"/>
    <w:rsid w:val="00F16873"/>
    <w:rsid w:val="00F17574"/>
    <w:rsid w:val="00F17989"/>
    <w:rsid w:val="00F17CAD"/>
    <w:rsid w:val="00F210CD"/>
    <w:rsid w:val="00F21C6C"/>
    <w:rsid w:val="00F243C2"/>
    <w:rsid w:val="00F255C8"/>
    <w:rsid w:val="00F25A83"/>
    <w:rsid w:val="00F25AA8"/>
    <w:rsid w:val="00F26AA9"/>
    <w:rsid w:val="00F27074"/>
    <w:rsid w:val="00F27847"/>
    <w:rsid w:val="00F27C5B"/>
    <w:rsid w:val="00F30224"/>
    <w:rsid w:val="00F302D2"/>
    <w:rsid w:val="00F32A85"/>
    <w:rsid w:val="00F3327B"/>
    <w:rsid w:val="00F33B21"/>
    <w:rsid w:val="00F33B77"/>
    <w:rsid w:val="00F359B1"/>
    <w:rsid w:val="00F35AD1"/>
    <w:rsid w:val="00F35DC1"/>
    <w:rsid w:val="00F36D50"/>
    <w:rsid w:val="00F37B1F"/>
    <w:rsid w:val="00F41992"/>
    <w:rsid w:val="00F41A23"/>
    <w:rsid w:val="00F42364"/>
    <w:rsid w:val="00F42B4F"/>
    <w:rsid w:val="00F433BC"/>
    <w:rsid w:val="00F434FC"/>
    <w:rsid w:val="00F45120"/>
    <w:rsid w:val="00F4607C"/>
    <w:rsid w:val="00F46341"/>
    <w:rsid w:val="00F468B9"/>
    <w:rsid w:val="00F468E0"/>
    <w:rsid w:val="00F46931"/>
    <w:rsid w:val="00F4778B"/>
    <w:rsid w:val="00F50938"/>
    <w:rsid w:val="00F50BEB"/>
    <w:rsid w:val="00F50F6A"/>
    <w:rsid w:val="00F516AA"/>
    <w:rsid w:val="00F516D0"/>
    <w:rsid w:val="00F5224C"/>
    <w:rsid w:val="00F52256"/>
    <w:rsid w:val="00F52289"/>
    <w:rsid w:val="00F53D8A"/>
    <w:rsid w:val="00F54837"/>
    <w:rsid w:val="00F549DE"/>
    <w:rsid w:val="00F556B0"/>
    <w:rsid w:val="00F55BAC"/>
    <w:rsid w:val="00F55E7F"/>
    <w:rsid w:val="00F565A9"/>
    <w:rsid w:val="00F57E16"/>
    <w:rsid w:val="00F6018D"/>
    <w:rsid w:val="00F61588"/>
    <w:rsid w:val="00F61836"/>
    <w:rsid w:val="00F61C3B"/>
    <w:rsid w:val="00F630C5"/>
    <w:rsid w:val="00F6423B"/>
    <w:rsid w:val="00F65302"/>
    <w:rsid w:val="00F6611E"/>
    <w:rsid w:val="00F669AD"/>
    <w:rsid w:val="00F669EA"/>
    <w:rsid w:val="00F66F63"/>
    <w:rsid w:val="00F72560"/>
    <w:rsid w:val="00F72C59"/>
    <w:rsid w:val="00F736AE"/>
    <w:rsid w:val="00F747ED"/>
    <w:rsid w:val="00F75DC1"/>
    <w:rsid w:val="00F75E73"/>
    <w:rsid w:val="00F77400"/>
    <w:rsid w:val="00F77E2E"/>
    <w:rsid w:val="00F815B4"/>
    <w:rsid w:val="00F81E91"/>
    <w:rsid w:val="00F8213B"/>
    <w:rsid w:val="00F82473"/>
    <w:rsid w:val="00F8288C"/>
    <w:rsid w:val="00F82DA5"/>
    <w:rsid w:val="00F82FF9"/>
    <w:rsid w:val="00F84BA1"/>
    <w:rsid w:val="00F84FF8"/>
    <w:rsid w:val="00F8552B"/>
    <w:rsid w:val="00F86AB3"/>
    <w:rsid w:val="00F86F63"/>
    <w:rsid w:val="00F87215"/>
    <w:rsid w:val="00F87C48"/>
    <w:rsid w:val="00F90971"/>
    <w:rsid w:val="00F90D8B"/>
    <w:rsid w:val="00F90DEE"/>
    <w:rsid w:val="00F91388"/>
    <w:rsid w:val="00F919ED"/>
    <w:rsid w:val="00F92EEC"/>
    <w:rsid w:val="00F931A3"/>
    <w:rsid w:val="00F942CF"/>
    <w:rsid w:val="00F94450"/>
    <w:rsid w:val="00F94DC4"/>
    <w:rsid w:val="00F9543E"/>
    <w:rsid w:val="00F963F4"/>
    <w:rsid w:val="00F96780"/>
    <w:rsid w:val="00F96E2C"/>
    <w:rsid w:val="00F96E92"/>
    <w:rsid w:val="00F975A5"/>
    <w:rsid w:val="00F9780D"/>
    <w:rsid w:val="00FA1014"/>
    <w:rsid w:val="00FA12A1"/>
    <w:rsid w:val="00FA1594"/>
    <w:rsid w:val="00FA1E3B"/>
    <w:rsid w:val="00FA1E73"/>
    <w:rsid w:val="00FA404D"/>
    <w:rsid w:val="00FA4200"/>
    <w:rsid w:val="00FA50BD"/>
    <w:rsid w:val="00FA51ED"/>
    <w:rsid w:val="00FA7ECD"/>
    <w:rsid w:val="00FB02DF"/>
    <w:rsid w:val="00FB0F81"/>
    <w:rsid w:val="00FB20F0"/>
    <w:rsid w:val="00FB2202"/>
    <w:rsid w:val="00FB43D0"/>
    <w:rsid w:val="00FB44B8"/>
    <w:rsid w:val="00FB463E"/>
    <w:rsid w:val="00FB5320"/>
    <w:rsid w:val="00FB72CA"/>
    <w:rsid w:val="00FB7748"/>
    <w:rsid w:val="00FB7CCD"/>
    <w:rsid w:val="00FC1E0B"/>
    <w:rsid w:val="00FC1FAF"/>
    <w:rsid w:val="00FC207A"/>
    <w:rsid w:val="00FC3269"/>
    <w:rsid w:val="00FC5CF4"/>
    <w:rsid w:val="00FC5DE9"/>
    <w:rsid w:val="00FC5F9B"/>
    <w:rsid w:val="00FC63AC"/>
    <w:rsid w:val="00FC6A86"/>
    <w:rsid w:val="00FC6B6C"/>
    <w:rsid w:val="00FC6E1F"/>
    <w:rsid w:val="00FC6FD4"/>
    <w:rsid w:val="00FC72DC"/>
    <w:rsid w:val="00FD2D65"/>
    <w:rsid w:val="00FD3012"/>
    <w:rsid w:val="00FD475D"/>
    <w:rsid w:val="00FD4B42"/>
    <w:rsid w:val="00FD4F03"/>
    <w:rsid w:val="00FD5310"/>
    <w:rsid w:val="00FD5563"/>
    <w:rsid w:val="00FD5E52"/>
    <w:rsid w:val="00FD62A6"/>
    <w:rsid w:val="00FD68EC"/>
    <w:rsid w:val="00FD7D41"/>
    <w:rsid w:val="00FE0460"/>
    <w:rsid w:val="00FE2BCA"/>
    <w:rsid w:val="00FE2CB5"/>
    <w:rsid w:val="00FE3268"/>
    <w:rsid w:val="00FE3717"/>
    <w:rsid w:val="00FE3C66"/>
    <w:rsid w:val="00FE475D"/>
    <w:rsid w:val="00FE4BCD"/>
    <w:rsid w:val="00FE53A7"/>
    <w:rsid w:val="00FE58D1"/>
    <w:rsid w:val="00FE5E20"/>
    <w:rsid w:val="00FE7328"/>
    <w:rsid w:val="00FE7AAE"/>
    <w:rsid w:val="00FE7C81"/>
    <w:rsid w:val="00FE7FEA"/>
    <w:rsid w:val="00FE7FF6"/>
    <w:rsid w:val="00FF08DE"/>
    <w:rsid w:val="00FF1831"/>
    <w:rsid w:val="00FF234C"/>
    <w:rsid w:val="00FF361F"/>
    <w:rsid w:val="00FF4756"/>
    <w:rsid w:val="00FF4E49"/>
    <w:rsid w:val="00FF5A6E"/>
    <w:rsid w:val="00FF630A"/>
    <w:rsid w:val="00FF679B"/>
    <w:rsid w:val="00FF6B30"/>
    <w:rsid w:val="00FF6FD2"/>
    <w:rsid w:val="00FF7039"/>
    <w:rsid w:val="025A6FD9"/>
    <w:rsid w:val="0279852D"/>
    <w:rsid w:val="028D0F54"/>
    <w:rsid w:val="0311D669"/>
    <w:rsid w:val="066B3BFB"/>
    <w:rsid w:val="069521FF"/>
    <w:rsid w:val="076471EE"/>
    <w:rsid w:val="08490F3F"/>
    <w:rsid w:val="084CAA5A"/>
    <w:rsid w:val="08562850"/>
    <w:rsid w:val="0888FAB2"/>
    <w:rsid w:val="08F18FD1"/>
    <w:rsid w:val="0981AC2D"/>
    <w:rsid w:val="0A532016"/>
    <w:rsid w:val="0B0A5BAE"/>
    <w:rsid w:val="0B25046F"/>
    <w:rsid w:val="0B4C0DA4"/>
    <w:rsid w:val="0DBA8B15"/>
    <w:rsid w:val="0DC60665"/>
    <w:rsid w:val="0F23F793"/>
    <w:rsid w:val="0FFCE76C"/>
    <w:rsid w:val="100AE301"/>
    <w:rsid w:val="105DA16F"/>
    <w:rsid w:val="10759C76"/>
    <w:rsid w:val="11103CD2"/>
    <w:rsid w:val="11775458"/>
    <w:rsid w:val="1184D4BF"/>
    <w:rsid w:val="11E71DBA"/>
    <w:rsid w:val="12082736"/>
    <w:rsid w:val="126D8E91"/>
    <w:rsid w:val="127297B2"/>
    <w:rsid w:val="13594CD2"/>
    <w:rsid w:val="13FE6E03"/>
    <w:rsid w:val="141F7796"/>
    <w:rsid w:val="1456E6C1"/>
    <w:rsid w:val="14D5D42D"/>
    <w:rsid w:val="167AF227"/>
    <w:rsid w:val="1689B5CD"/>
    <w:rsid w:val="16F7F3EB"/>
    <w:rsid w:val="176F7390"/>
    <w:rsid w:val="181493B3"/>
    <w:rsid w:val="181CBDA7"/>
    <w:rsid w:val="1B18F7B8"/>
    <w:rsid w:val="1B490911"/>
    <w:rsid w:val="1B4EFD5E"/>
    <w:rsid w:val="1B55A348"/>
    <w:rsid w:val="1C5202EA"/>
    <w:rsid w:val="1CDA0322"/>
    <w:rsid w:val="1F5EBF46"/>
    <w:rsid w:val="22E6764D"/>
    <w:rsid w:val="23A2AC68"/>
    <w:rsid w:val="245606DB"/>
    <w:rsid w:val="245A0DFA"/>
    <w:rsid w:val="2533B356"/>
    <w:rsid w:val="256BE950"/>
    <w:rsid w:val="25D79715"/>
    <w:rsid w:val="2828770F"/>
    <w:rsid w:val="29503A65"/>
    <w:rsid w:val="29E5526D"/>
    <w:rsid w:val="2A2619CA"/>
    <w:rsid w:val="2B1DE3B1"/>
    <w:rsid w:val="2B2EF0EE"/>
    <w:rsid w:val="2CD52B9D"/>
    <w:rsid w:val="2CF8E18F"/>
    <w:rsid w:val="2D36EDF9"/>
    <w:rsid w:val="2DB83F99"/>
    <w:rsid w:val="2E2070DD"/>
    <w:rsid w:val="2EDDC100"/>
    <w:rsid w:val="3051E3BE"/>
    <w:rsid w:val="312BCB97"/>
    <w:rsid w:val="324B7DE6"/>
    <w:rsid w:val="32E92D4C"/>
    <w:rsid w:val="33224B1C"/>
    <w:rsid w:val="3429D429"/>
    <w:rsid w:val="3517061B"/>
    <w:rsid w:val="36A44D6C"/>
    <w:rsid w:val="3703558D"/>
    <w:rsid w:val="37807627"/>
    <w:rsid w:val="37F924EA"/>
    <w:rsid w:val="39C8F76D"/>
    <w:rsid w:val="3A6666B5"/>
    <w:rsid w:val="3A92473C"/>
    <w:rsid w:val="3B5EB27E"/>
    <w:rsid w:val="3B900FD4"/>
    <w:rsid w:val="3BBCE1E2"/>
    <w:rsid w:val="3D8A2044"/>
    <w:rsid w:val="401A51CE"/>
    <w:rsid w:val="408716C7"/>
    <w:rsid w:val="41129025"/>
    <w:rsid w:val="412B1C95"/>
    <w:rsid w:val="41F3C200"/>
    <w:rsid w:val="42BB08A3"/>
    <w:rsid w:val="447ED48F"/>
    <w:rsid w:val="4657B9EC"/>
    <w:rsid w:val="469AB140"/>
    <w:rsid w:val="4AE5094D"/>
    <w:rsid w:val="4AEEBC59"/>
    <w:rsid w:val="4BE74A46"/>
    <w:rsid w:val="4C17007C"/>
    <w:rsid w:val="4CDFF5A4"/>
    <w:rsid w:val="4CE82AA0"/>
    <w:rsid w:val="4D8F8A84"/>
    <w:rsid w:val="4EFE48BA"/>
    <w:rsid w:val="528B9426"/>
    <w:rsid w:val="52D94C98"/>
    <w:rsid w:val="531D1497"/>
    <w:rsid w:val="5354BD9E"/>
    <w:rsid w:val="53DCC8D9"/>
    <w:rsid w:val="53F6DE82"/>
    <w:rsid w:val="54EE852D"/>
    <w:rsid w:val="553AAC1D"/>
    <w:rsid w:val="55697007"/>
    <w:rsid w:val="55E3A550"/>
    <w:rsid w:val="55E5382E"/>
    <w:rsid w:val="5628D09C"/>
    <w:rsid w:val="5A0A8866"/>
    <w:rsid w:val="5A764CA2"/>
    <w:rsid w:val="5E22177D"/>
    <w:rsid w:val="5E66E419"/>
    <w:rsid w:val="5E997141"/>
    <w:rsid w:val="5FB2D9F4"/>
    <w:rsid w:val="5FB5DB98"/>
    <w:rsid w:val="5FD3230C"/>
    <w:rsid w:val="5FF16E68"/>
    <w:rsid w:val="60C22A3F"/>
    <w:rsid w:val="6102C078"/>
    <w:rsid w:val="620F13E5"/>
    <w:rsid w:val="62101FB1"/>
    <w:rsid w:val="63770060"/>
    <w:rsid w:val="63844EF1"/>
    <w:rsid w:val="63A8BCDD"/>
    <w:rsid w:val="63D1A1E3"/>
    <w:rsid w:val="64998290"/>
    <w:rsid w:val="64EEDC0D"/>
    <w:rsid w:val="659748FB"/>
    <w:rsid w:val="67843A21"/>
    <w:rsid w:val="68ACC2EA"/>
    <w:rsid w:val="69CB1990"/>
    <w:rsid w:val="6B1AAF69"/>
    <w:rsid w:val="6B44805B"/>
    <w:rsid w:val="6B4E9EA0"/>
    <w:rsid w:val="6B763879"/>
    <w:rsid w:val="6C7DCFD5"/>
    <w:rsid w:val="6C8676F1"/>
    <w:rsid w:val="6E4169D8"/>
    <w:rsid w:val="70008092"/>
    <w:rsid w:val="7030409B"/>
    <w:rsid w:val="70A29351"/>
    <w:rsid w:val="71A0426A"/>
    <w:rsid w:val="71F9414F"/>
    <w:rsid w:val="730FFEC4"/>
    <w:rsid w:val="735DEE06"/>
    <w:rsid w:val="73CCB6B0"/>
    <w:rsid w:val="749C386B"/>
    <w:rsid w:val="74A0351F"/>
    <w:rsid w:val="74AF42E8"/>
    <w:rsid w:val="74ECE3D5"/>
    <w:rsid w:val="76CCB272"/>
    <w:rsid w:val="77501A39"/>
    <w:rsid w:val="77F65B91"/>
    <w:rsid w:val="78014D5B"/>
    <w:rsid w:val="78BB3376"/>
    <w:rsid w:val="798607D1"/>
    <w:rsid w:val="7A1506A9"/>
    <w:rsid w:val="7A3D673F"/>
    <w:rsid w:val="7B307D95"/>
    <w:rsid w:val="7B7634D1"/>
    <w:rsid w:val="7BB4FF62"/>
    <w:rsid w:val="7CFD2F89"/>
    <w:rsid w:val="7EABDF9A"/>
    <w:rsid w:val="7F1EB6CB"/>
    <w:rsid w:val="7F6AF924"/>
    <w:rsid w:val="7FFAD7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2FFC272"/>
  <w15:chartTrackingRefBased/>
  <w15:docId w15:val="{2A35A26C-DA8D-486C-8B9E-ADC71DC5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534"/>
    <w:pPr>
      <w:spacing w:after="200"/>
      <w:jc w:val="both"/>
    </w:pPr>
    <w:rPr>
      <w:rFonts w:ascii="Verdana" w:hAnsi="Verdana"/>
      <w:lang w:eastAsia="en-US"/>
    </w:rPr>
  </w:style>
  <w:style w:type="paragraph" w:styleId="Heading1">
    <w:name w:val="heading 1"/>
    <w:basedOn w:val="Normal"/>
    <w:next w:val="Text1"/>
    <w:link w:val="Heading1Char"/>
    <w:qFormat/>
    <w:rsid w:val="00692CDE"/>
    <w:pPr>
      <w:widowControl w:val="0"/>
      <w:outlineLvl w:val="0"/>
    </w:pPr>
    <w:rPr>
      <w:b/>
      <w:color w:val="A50021"/>
    </w:rPr>
  </w:style>
  <w:style w:type="paragraph" w:styleId="Heading2">
    <w:name w:val="heading 2"/>
    <w:basedOn w:val="Normal"/>
    <w:next w:val="Text2"/>
    <w:link w:val="Heading2Char"/>
    <w:qFormat/>
    <w:rsid w:val="006E495F"/>
    <w:pPr>
      <w:widowControl w:val="0"/>
      <w:outlineLvl w:val="1"/>
    </w:pPr>
    <w:rPr>
      <w:b/>
      <w:color w:val="A50021"/>
    </w:rPr>
  </w:style>
  <w:style w:type="paragraph" w:styleId="Heading3">
    <w:name w:val="heading 3"/>
    <w:basedOn w:val="Normal"/>
    <w:next w:val="Text3"/>
    <w:link w:val="Heading3Char"/>
    <w:qFormat/>
    <w:rsid w:val="00510B7E"/>
    <w:pPr>
      <w:widowControl w:val="0"/>
      <w:outlineLvl w:val="2"/>
    </w:pPr>
    <w:rPr>
      <w:i/>
      <w:color w:val="A50021"/>
      <w:u w:val="single"/>
    </w:rPr>
  </w:style>
  <w:style w:type="paragraph" w:styleId="Heading4">
    <w:name w:val="heading 4"/>
    <w:basedOn w:val="Normal"/>
    <w:next w:val="Text4"/>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rPr>
  </w:style>
  <w:style w:type="paragraph" w:styleId="Heading8">
    <w:name w:val="heading 8"/>
    <w:basedOn w:val="Normal"/>
    <w:next w:val="Normal"/>
    <w:pPr>
      <w:tabs>
        <w:tab w:val="num" w:pos="0"/>
      </w:tabs>
      <w:spacing w:before="240" w:after="60"/>
      <w:outlineLvl w:val="7"/>
    </w:pPr>
    <w:rPr>
      <w:rFonts w:ascii="Arial" w:hAnsi="Arial"/>
      <w:i/>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tabs>
        <w:tab w:val="left" w:pos="2160"/>
      </w:tabs>
      <w:ind w:left="1440"/>
    </w:pPr>
  </w:style>
  <w:style w:type="paragraph" w:customStyle="1" w:styleId="Text2">
    <w:name w:val="Text 2"/>
    <w:basedOn w:val="Normal"/>
    <w:link w:val="Text2Car"/>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styleId="BlockText">
    <w:name w:val="Block Text"/>
    <w:basedOn w:val="Normal"/>
    <w:semiHidden/>
    <w:pPr>
      <w:spacing w:after="120"/>
      <w:ind w:left="1440" w:right="1440"/>
    </w:pPr>
  </w:style>
  <w:style w:type="paragraph" w:styleId="BodyText">
    <w:name w:val="Body Text"/>
    <w:basedOn w:val="Normal"/>
    <w:link w:val="BodyTextChar"/>
    <w:uiPriority w:val="1"/>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rPr>
  </w:style>
  <w:style w:type="paragraph" w:styleId="Closing">
    <w:name w:val="Closing"/>
    <w:basedOn w:val="Normal"/>
    <w:semiHidden/>
    <w:pPr>
      <w:ind w:left="4252"/>
    </w:pPr>
  </w:style>
  <w:style w:type="paragraph" w:styleId="CommentText">
    <w:name w:val="annotation text"/>
    <w:basedOn w:val="Normal"/>
    <w:link w:val="CommentTextChar"/>
    <w:uiPriority w:val="99"/>
  </w:style>
  <w:style w:type="paragraph" w:styleId="Date">
    <w:name w:val="Date"/>
    <w:basedOn w:val="Normal"/>
    <w:next w:val="References"/>
    <w:semiHidden/>
    <w:pPr>
      <w:spacing w:after="0"/>
      <w:ind w:left="5103" w:right="-567"/>
      <w:jc w:val="left"/>
    </w:pPr>
    <w:rPr>
      <w:sz w:val="24"/>
    </w:rPr>
  </w:style>
  <w:style w:type="paragraph" w:customStyle="1" w:styleId="References">
    <w:name w:val="References"/>
    <w:basedOn w:val="Normal"/>
    <w:next w:val="Normal"/>
    <w:pPr>
      <w:ind w:left="5103"/>
      <w:jc w:val="left"/>
    </w:p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spacing w:after="0"/>
    </w:pPr>
    <w:rPr>
      <w:sz w:val="24"/>
    </w:rPr>
  </w:style>
  <w:style w:type="paragraph" w:styleId="EnvelopeReturn">
    <w:name w:val="envelope return"/>
    <w:basedOn w:val="Normal"/>
    <w:semiHidden/>
    <w:pPr>
      <w:spacing w:after="0"/>
    </w:p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2,Footnote Text Char1 Char,Footnote Text Char2 Char Char,Footnote Text Char1 Char Char Char,Footnote Text Char2 Char Char Char Char,Footnote Text Char Char1 Char Char Char Char,Footnote Text Char1,Schriftart: 9 pt,FoodNot"/>
    <w:basedOn w:val="Normal"/>
    <w:link w:val="FootnoteTextChar"/>
    <w:pPr>
      <w:ind w:left="357" w:hanging="357"/>
    </w:p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80" w:hanging="280"/>
    </w:pPr>
  </w:style>
  <w:style w:type="paragraph" w:styleId="Index2">
    <w:name w:val="index 2"/>
    <w:basedOn w:val="Normal"/>
    <w:next w:val="Normal"/>
    <w:autoRedefine/>
    <w:semiHidden/>
    <w:pPr>
      <w:ind w:left="560" w:hanging="280"/>
    </w:pPr>
  </w:style>
  <w:style w:type="paragraph" w:styleId="Index3">
    <w:name w:val="index 3"/>
    <w:basedOn w:val="Normal"/>
    <w:next w:val="Normal"/>
    <w:autoRedefine/>
    <w:semiHidden/>
    <w:pPr>
      <w:ind w:left="840" w:hanging="280"/>
    </w:pPr>
  </w:style>
  <w:style w:type="paragraph" w:styleId="Index4">
    <w:name w:val="index 4"/>
    <w:basedOn w:val="Normal"/>
    <w:next w:val="Normal"/>
    <w:autoRedefine/>
    <w:semiHidden/>
    <w:pPr>
      <w:ind w:left="1120" w:hanging="280"/>
    </w:pPr>
  </w:style>
  <w:style w:type="paragraph" w:styleId="Index5">
    <w:name w:val="index 5"/>
    <w:basedOn w:val="Normal"/>
    <w:next w:val="Normal"/>
    <w:autoRedefine/>
    <w:semiHidden/>
    <w:pPr>
      <w:ind w:left="1400" w:hanging="280"/>
    </w:pPr>
  </w:style>
  <w:style w:type="paragraph" w:styleId="Index6">
    <w:name w:val="index 6"/>
    <w:basedOn w:val="Normal"/>
    <w:next w:val="Normal"/>
    <w:autoRedefine/>
    <w:semiHidden/>
    <w:pPr>
      <w:ind w:left="1680" w:hanging="280"/>
    </w:pPr>
  </w:style>
  <w:style w:type="paragraph" w:styleId="Index7">
    <w:name w:val="index 7"/>
    <w:basedOn w:val="Normal"/>
    <w:next w:val="Normal"/>
    <w:autoRedefine/>
    <w:semiHidden/>
    <w:pPr>
      <w:ind w:left="1960" w:hanging="280"/>
    </w:pPr>
  </w:style>
  <w:style w:type="paragraph" w:styleId="Index8">
    <w:name w:val="index 8"/>
    <w:basedOn w:val="Normal"/>
    <w:next w:val="Normal"/>
    <w:autoRedefine/>
    <w:semiHidden/>
    <w:pPr>
      <w:ind w:left="2240" w:hanging="280"/>
    </w:pPr>
  </w:style>
  <w:style w:type="paragraph" w:styleId="Index9">
    <w:name w:val="index 9"/>
    <w:basedOn w:val="Normal"/>
    <w:next w:val="Normal"/>
    <w:autoRedefine/>
    <w:semiHidden/>
    <w:pPr>
      <w:ind w:left="2520" w:hanging="28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Text2"/>
    <w:semiHidden/>
    <w:pPr>
      <w:numPr>
        <w:numId w:val="6"/>
      </w:numPr>
      <w:tabs>
        <w:tab w:val="clear" w:pos="2160"/>
      </w:tabs>
    </w:pPr>
  </w:style>
  <w:style w:type="paragraph" w:styleId="ListBullet3">
    <w:name w:val="List Bullet 3"/>
    <w:basedOn w:val="Text3"/>
    <w:semiHidden/>
    <w:pPr>
      <w:numPr>
        <w:numId w:val="7"/>
      </w:numPr>
      <w:tabs>
        <w:tab w:val="clear" w:pos="2160"/>
      </w:tabs>
    </w:pPr>
  </w:style>
  <w:style w:type="paragraph" w:styleId="ListBullet4">
    <w:name w:val="List Bullet 4"/>
    <w:basedOn w:val="Text4"/>
    <w:semiHidden/>
    <w:pPr>
      <w:numPr>
        <w:numId w:val="8"/>
      </w:numPr>
      <w:tabs>
        <w:tab w:val="clear" w:pos="2160"/>
      </w:tabs>
    </w:pPr>
  </w:style>
  <w:style w:type="paragraph" w:styleId="ListBullet5">
    <w:name w:val="List Bullet 5"/>
    <w:basedOn w:val="Normal"/>
    <w:autoRedefine/>
    <w:semiHidden/>
    <w:pPr>
      <w:numPr>
        <w:numId w:val="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pPr>
      <w:numPr>
        <w:numId w:val="15"/>
      </w:numPr>
    </w:pPr>
  </w:style>
  <w:style w:type="paragraph" w:styleId="ListNumber2">
    <w:name w:val="List Number 2"/>
    <w:basedOn w:val="Text2"/>
    <w:semiHidden/>
    <w:pPr>
      <w:numPr>
        <w:numId w:val="16"/>
      </w:numPr>
    </w:pPr>
  </w:style>
  <w:style w:type="paragraph" w:styleId="ListNumber3">
    <w:name w:val="List Number 3"/>
    <w:basedOn w:val="Text3"/>
    <w:semiHidden/>
    <w:pPr>
      <w:numPr>
        <w:numId w:val="17"/>
      </w:numPr>
    </w:pPr>
  </w:style>
  <w:style w:type="paragraph" w:styleId="ListNumber4">
    <w:name w:val="List Number 4"/>
    <w:basedOn w:val="Text4"/>
    <w:semiHidden/>
    <w:pPr>
      <w:numPr>
        <w:numId w:val="18"/>
      </w:numPr>
    </w:pPr>
  </w:style>
  <w:style w:type="paragraph" w:styleId="ListNumber5">
    <w:name w:val="List Number 5"/>
    <w:basedOn w:val="Normal"/>
    <w:semiHidden/>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umPar1">
    <w:name w:val="NumPar 1"/>
    <w:basedOn w:val="Heading1"/>
    <w:next w:val="Text1"/>
    <w:pPr>
      <w:outlineLvl w:val="9"/>
    </w:pPr>
    <w:rPr>
      <w:b w:val="0"/>
      <w:smallCaps/>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semiHidden/>
    <w:rPr>
      <w:rFonts w:ascii="Courier New" w:hAnsi="Courier New"/>
    </w:rPr>
  </w:style>
  <w:style w:type="paragraph" w:styleId="Salutation">
    <w:name w:val="Salutation"/>
    <w:basedOn w:val="Normal"/>
    <w:next w:val="Normal"/>
    <w:semiHidden/>
  </w:style>
  <w:style w:type="paragraph" w:styleId="Signature">
    <w:name w:val="Signature"/>
    <w:basedOn w:val="Normal"/>
    <w:semiHidden/>
    <w:pPr>
      <w:ind w:left="4252"/>
    </w:pPr>
  </w:style>
  <w:style w:type="paragraph" w:customStyle="1" w:styleId="Subject">
    <w:name w:val="Subject"/>
    <w:basedOn w:val="Normal"/>
    <w:next w:val="Normal"/>
    <w:pPr>
      <w:spacing w:after="480"/>
      <w:ind w:left="1191" w:hanging="1191"/>
      <w:jc w:val="left"/>
    </w:pPr>
    <w:rPr>
      <w:b/>
    </w:rPr>
  </w:style>
  <w:style w:type="paragraph" w:styleId="Subtitle">
    <w:name w:val="Subtitle"/>
    <w:basedOn w:val="Normal"/>
    <w:pPr>
      <w:spacing w:after="60"/>
      <w:jc w:val="center"/>
      <w:outlineLvl w:val="1"/>
    </w:pPr>
    <w:rPr>
      <w:rFonts w:ascii="Arial" w:hAnsi="Arial"/>
      <w:sz w:val="24"/>
    </w:rPr>
  </w:style>
  <w:style w:type="paragraph" w:styleId="TableofAuthorities">
    <w:name w:val="table of authorities"/>
    <w:basedOn w:val="Normal"/>
    <w:next w:val="Normal"/>
    <w:semiHidden/>
    <w:pPr>
      <w:ind w:left="280" w:hanging="280"/>
    </w:pPr>
  </w:style>
  <w:style w:type="paragraph" w:styleId="TableofFigures">
    <w:name w:val="table of figures"/>
    <w:basedOn w:val="Normal"/>
    <w:next w:val="Normal"/>
    <w:semiHidden/>
    <w:pPr>
      <w:ind w:left="560" w:hanging="560"/>
    </w:pPr>
  </w:style>
  <w:style w:type="paragraph" w:styleId="Title">
    <w:name w:val="Title"/>
    <w:basedOn w:val="Normal"/>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uiPriority w:val="39"/>
    <w:qFormat/>
    <w:rsid w:val="00A57D8F"/>
    <w:pPr>
      <w:tabs>
        <w:tab w:val="right" w:leader="dot" w:pos="8640"/>
      </w:tabs>
      <w:spacing w:before="60" w:after="60"/>
      <w:ind w:left="482" w:right="720" w:hanging="482"/>
    </w:pPr>
    <w:rPr>
      <w:sz w:val="16"/>
    </w:rPr>
  </w:style>
  <w:style w:type="paragraph" w:styleId="TOC2">
    <w:name w:val="toc 2"/>
    <w:basedOn w:val="Normal"/>
    <w:next w:val="Normal"/>
    <w:uiPriority w:val="39"/>
    <w:qFormat/>
    <w:rsid w:val="00A57D8F"/>
    <w:pPr>
      <w:tabs>
        <w:tab w:val="right" w:leader="dot" w:pos="8640"/>
      </w:tabs>
      <w:spacing w:before="60" w:after="60"/>
      <w:ind w:left="568" w:right="720" w:hanging="284"/>
    </w:pPr>
    <w:rPr>
      <w:noProof/>
      <w:sz w:val="16"/>
    </w:rPr>
  </w:style>
  <w:style w:type="paragraph" w:styleId="TOC3">
    <w:name w:val="toc 3"/>
    <w:basedOn w:val="TOC2"/>
    <w:next w:val="Normal"/>
    <w:uiPriority w:val="39"/>
    <w:qFormat/>
    <w:rsid w:val="00A57D8F"/>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400"/>
    </w:pPr>
  </w:style>
  <w:style w:type="paragraph" w:styleId="TOC7">
    <w:name w:val="toc 7"/>
    <w:basedOn w:val="Normal"/>
    <w:next w:val="Normal"/>
    <w:autoRedefine/>
    <w:semiHidden/>
    <w:pPr>
      <w:ind w:left="1680"/>
    </w:pPr>
  </w:style>
  <w:style w:type="paragraph" w:styleId="TOC8">
    <w:name w:val="toc 8"/>
    <w:basedOn w:val="Normal"/>
    <w:next w:val="Normal"/>
    <w:autoRedefine/>
    <w:semiHidden/>
    <w:pPr>
      <w:ind w:left="1960"/>
    </w:pPr>
  </w:style>
  <w:style w:type="paragraph" w:styleId="TOC9">
    <w:name w:val="toc 9"/>
    <w:basedOn w:val="Normal"/>
    <w:next w:val="Normal"/>
    <w:autoRedefine/>
    <w:semiHidden/>
    <w:pPr>
      <w:ind w:left="2240"/>
    </w:pPr>
  </w:style>
  <w:style w:type="paragraph" w:customStyle="1" w:styleId="ListBullet1">
    <w:name w:val="List Bullet 1"/>
    <w:basedOn w:val="Text1"/>
    <w:pPr>
      <w:numPr>
        <w:numId w:val="5"/>
      </w:numPr>
      <w:tabs>
        <w:tab w:val="clear" w:pos="2160"/>
      </w:tabs>
    </w:pPr>
  </w:style>
  <w:style w:type="paragraph" w:customStyle="1" w:styleId="ListDash">
    <w:name w:val="List Dash"/>
    <w:basedOn w:val="Normal"/>
    <w:pPr>
      <w:numPr>
        <w:numId w:val="9"/>
      </w:numPr>
    </w:pPr>
  </w:style>
  <w:style w:type="paragraph" w:customStyle="1" w:styleId="ListDash1">
    <w:name w:val="List Dash 1"/>
    <w:basedOn w:val="Text1"/>
    <w:pPr>
      <w:numPr>
        <w:numId w:val="10"/>
      </w:numPr>
      <w:tabs>
        <w:tab w:val="clear" w:pos="2160"/>
      </w:tabs>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160"/>
      </w:tabs>
    </w:pPr>
  </w:style>
  <w:style w:type="paragraph" w:customStyle="1" w:styleId="ListDash4">
    <w:name w:val="List Dash 4"/>
    <w:basedOn w:val="Text4"/>
    <w:pPr>
      <w:numPr>
        <w:numId w:val="13"/>
      </w:numPr>
      <w:tabs>
        <w:tab w:val="clear" w:pos="2160"/>
      </w:tabs>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tabs>
        <w:tab w:val="clear" w:pos="2160"/>
      </w:tabs>
    </w:pPr>
  </w:style>
  <w:style w:type="paragraph" w:customStyle="1" w:styleId="ListNumber1Level3">
    <w:name w:val="List Number 1 (Level 3)"/>
    <w:basedOn w:val="Text1"/>
    <w:pPr>
      <w:numPr>
        <w:ilvl w:val="2"/>
        <w:numId w:val="14"/>
      </w:numPr>
      <w:tabs>
        <w:tab w:val="clear" w:pos="2160"/>
      </w:tabs>
    </w:pPr>
  </w:style>
  <w:style w:type="paragraph" w:customStyle="1" w:styleId="ListNumber1Level4">
    <w:name w:val="List Number 1 (Level 4)"/>
    <w:basedOn w:val="Text1"/>
    <w:pPr>
      <w:numPr>
        <w:ilvl w:val="3"/>
        <w:numId w:val="14"/>
      </w:numPr>
      <w:tabs>
        <w:tab w:val="clear" w:pos="2160"/>
      </w:tabs>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pPr>
  </w:style>
  <w:style w:type="paragraph" w:customStyle="1" w:styleId="ListNumber3Level2">
    <w:name w:val="List Number 3 (Level 2)"/>
    <w:basedOn w:val="Text3"/>
    <w:pPr>
      <w:numPr>
        <w:ilvl w:val="1"/>
        <w:numId w:val="17"/>
      </w:numPr>
      <w:tabs>
        <w:tab w:val="clear" w:pos="2160"/>
      </w:tabs>
    </w:pPr>
  </w:style>
  <w:style w:type="paragraph" w:customStyle="1" w:styleId="ListNumber3Level3">
    <w:name w:val="List Number 3 (Level 3)"/>
    <w:basedOn w:val="Text3"/>
    <w:pPr>
      <w:numPr>
        <w:ilvl w:val="2"/>
        <w:numId w:val="17"/>
      </w:numPr>
      <w:tabs>
        <w:tab w:val="clear" w:pos="2160"/>
      </w:tabs>
    </w:pPr>
  </w:style>
  <w:style w:type="paragraph" w:customStyle="1" w:styleId="ListNumber3Level4">
    <w:name w:val="List Number 3 (Level 4)"/>
    <w:basedOn w:val="Text3"/>
    <w:pPr>
      <w:numPr>
        <w:ilvl w:val="3"/>
        <w:numId w:val="17"/>
      </w:numPr>
      <w:tabs>
        <w:tab w:val="clear" w:pos="2160"/>
      </w:tabs>
    </w:pPr>
  </w:style>
  <w:style w:type="paragraph" w:customStyle="1" w:styleId="ListNumber4Level2">
    <w:name w:val="List Number 4 (Level 2)"/>
    <w:basedOn w:val="Text4"/>
    <w:pPr>
      <w:numPr>
        <w:ilvl w:val="1"/>
        <w:numId w:val="18"/>
      </w:numPr>
      <w:tabs>
        <w:tab w:val="clear" w:pos="2160"/>
      </w:tabs>
    </w:pPr>
  </w:style>
  <w:style w:type="paragraph" w:customStyle="1" w:styleId="ListNumber4Level3">
    <w:name w:val="List Number 4 (Level 3)"/>
    <w:basedOn w:val="Text4"/>
    <w:pPr>
      <w:numPr>
        <w:ilvl w:val="2"/>
        <w:numId w:val="18"/>
      </w:numPr>
      <w:tabs>
        <w:tab w:val="clear" w:pos="2160"/>
      </w:tabs>
    </w:pPr>
  </w:style>
  <w:style w:type="paragraph" w:customStyle="1" w:styleId="ListNumber4Level4">
    <w:name w:val="List Number 4 (Level 4)"/>
    <w:basedOn w:val="Text4"/>
    <w:pPr>
      <w:numPr>
        <w:ilvl w:val="3"/>
        <w:numId w:val="18"/>
      </w:numPr>
      <w:tabs>
        <w:tab w:val="clear" w:pos="2160"/>
      </w:tabs>
    </w:pPr>
  </w:style>
  <w:style w:type="paragraph" w:styleId="TOCHeading">
    <w:name w:val="TOC Heading"/>
    <w:basedOn w:val="Normal"/>
    <w:next w:val="Normal"/>
    <w:qFormat/>
    <w:pPr>
      <w:keepNext/>
      <w:spacing w:before="240"/>
      <w:jc w:val="center"/>
    </w:pPr>
    <w:rPr>
      <w:b/>
    </w:rPr>
  </w:style>
  <w:style w:type="character" w:customStyle="1" w:styleId="FooterChar">
    <w:name w:val="Footer Char"/>
    <w:link w:val="Footer"/>
    <w:uiPriority w:val="99"/>
    <w:rsid w:val="002D3B73"/>
    <w:rPr>
      <w:rFonts w:ascii="Arial" w:hAnsi="Arial"/>
      <w:sz w:val="16"/>
      <w:lang w:eastAsia="en-US"/>
    </w:rPr>
  </w:style>
  <w:style w:type="paragraph" w:customStyle="1" w:styleId="ZCom">
    <w:name w:val="Z_Com"/>
    <w:basedOn w:val="Normal"/>
    <w:next w:val="ZDGName"/>
    <w:uiPriority w:val="99"/>
    <w:rsid w:val="002D3B73"/>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
    <w:uiPriority w:val="99"/>
    <w:rsid w:val="002D3B73"/>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2D3B73"/>
    <w:rPr>
      <w:sz w:val="28"/>
      <w:lang w:eastAsia="en-US"/>
    </w:rPr>
  </w:style>
  <w:style w:type="paragraph" w:styleId="BalloonText">
    <w:name w:val="Balloon Text"/>
    <w:basedOn w:val="Normal"/>
    <w:link w:val="BalloonTextChar"/>
    <w:uiPriority w:val="99"/>
    <w:semiHidden/>
    <w:unhideWhenUsed/>
    <w:rsid w:val="00B02821"/>
    <w:pPr>
      <w:spacing w:after="0"/>
    </w:pPr>
    <w:rPr>
      <w:rFonts w:ascii="Tahoma" w:hAnsi="Tahoma" w:cs="Tahoma"/>
      <w:sz w:val="16"/>
      <w:szCs w:val="16"/>
    </w:rPr>
  </w:style>
  <w:style w:type="character" w:customStyle="1" w:styleId="BalloonTextChar">
    <w:name w:val="Balloon Text Char"/>
    <w:link w:val="BalloonText"/>
    <w:uiPriority w:val="99"/>
    <w:semiHidden/>
    <w:rsid w:val="00B02821"/>
    <w:rPr>
      <w:rFonts w:ascii="Tahoma" w:hAnsi="Tahoma" w:cs="Tahoma"/>
      <w:sz w:val="16"/>
      <w:szCs w:val="16"/>
      <w:lang w:eastAsia="en-US"/>
    </w:rPr>
  </w:style>
  <w:style w:type="character" w:styleId="FootnoteReference">
    <w:name w:val="footnote reference"/>
    <w:aliases w:val=" BVI fnr,BVI fnr, BVI fnr Car Car,BVI fnr Car, BVI fnr Car Car Car Car, BVI fnr Car Car Car Car Char,Footnote symbol,Footnote reference number,Footnote,Times 10 Point,Exposant 3 Point,Ref,de nota al pie,note TESI,SUPERS,EN Footnote te"/>
    <w:link w:val="Char2"/>
    <w:uiPriority w:val="99"/>
    <w:unhideWhenUsed/>
    <w:qFormat/>
    <w:rsid w:val="00CC12F2"/>
    <w:rPr>
      <w:vertAlign w:val="superscript"/>
    </w:rPr>
  </w:style>
  <w:style w:type="table" w:styleId="TableGrid">
    <w:name w:val="Table Grid"/>
    <w:basedOn w:val="TableNormal"/>
    <w:rsid w:val="00415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86D0C"/>
    <w:pPr>
      <w:spacing w:after="160" w:line="240" w:lineRule="exact"/>
      <w:jc w:val="left"/>
    </w:pPr>
    <w:rPr>
      <w:rFonts w:ascii="Tahoma" w:hAnsi="Tahoma"/>
    </w:rPr>
  </w:style>
  <w:style w:type="character" w:customStyle="1" w:styleId="FootnoteTextChar">
    <w:name w:val="Footnote Text Char"/>
    <w:aliases w:val="Footnote Text Char2 Char,Footnote Text Char1 Char Char,Footnote Text Char2 Char Char Char,Footnote Text Char1 Char Char Char Char,Footnote Text Char2 Char Char Char Char Char,Footnote Text Char Char1 Char Char Char Char Char"/>
    <w:link w:val="FootnoteText"/>
    <w:locked/>
    <w:rsid w:val="00165594"/>
    <w:rPr>
      <w:lang w:eastAsia="en-US"/>
    </w:rPr>
  </w:style>
  <w:style w:type="character" w:styleId="Hyperlink">
    <w:name w:val="Hyperlink"/>
    <w:uiPriority w:val="99"/>
    <w:rsid w:val="00E04BE3"/>
    <w:rPr>
      <w:rFonts w:cs="Times New Roman"/>
      <w:color w:val="0088CC"/>
      <w:u w:val="single"/>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ormal"/>
    <w:link w:val="ListParagraphChar"/>
    <w:uiPriority w:val="34"/>
    <w:qFormat/>
    <w:rsid w:val="000B4B19"/>
    <w:pPr>
      <w:spacing w:after="0"/>
      <w:ind w:left="720"/>
      <w:contextualSpacing/>
      <w:jc w:val="left"/>
    </w:pPr>
    <w:rPr>
      <w:snapToGrid w:val="0"/>
      <w:sz w:val="24"/>
      <w:szCs w:val="24"/>
      <w:lang w:eastAsia="en-GB"/>
    </w:rPr>
  </w:style>
  <w:style w:type="character" w:styleId="FollowedHyperlink">
    <w:name w:val="FollowedHyperlink"/>
    <w:uiPriority w:val="99"/>
    <w:semiHidden/>
    <w:unhideWhenUsed/>
    <w:rsid w:val="0093325A"/>
    <w:rPr>
      <w:color w:val="800080"/>
      <w:u w:val="single"/>
    </w:rPr>
  </w:style>
  <w:style w:type="character" w:styleId="CommentReference">
    <w:name w:val="annotation reference"/>
    <w:uiPriority w:val="99"/>
    <w:unhideWhenUsed/>
    <w:rsid w:val="003961E3"/>
    <w:rPr>
      <w:sz w:val="16"/>
      <w:szCs w:val="16"/>
    </w:rPr>
  </w:style>
  <w:style w:type="paragraph" w:styleId="CommentSubject">
    <w:name w:val="annotation subject"/>
    <w:basedOn w:val="CommentText"/>
    <w:next w:val="CommentText"/>
    <w:link w:val="CommentSubjectChar"/>
    <w:uiPriority w:val="99"/>
    <w:semiHidden/>
    <w:unhideWhenUsed/>
    <w:rsid w:val="003961E3"/>
    <w:rPr>
      <w:b/>
      <w:bCs/>
    </w:rPr>
  </w:style>
  <w:style w:type="character" w:customStyle="1" w:styleId="CommentTextChar">
    <w:name w:val="Comment Text Char"/>
    <w:link w:val="CommentText"/>
    <w:uiPriority w:val="99"/>
    <w:rsid w:val="003961E3"/>
    <w:rPr>
      <w:lang w:eastAsia="en-US"/>
    </w:rPr>
  </w:style>
  <w:style w:type="character" w:customStyle="1" w:styleId="CommentSubjectChar">
    <w:name w:val="Comment Subject Char"/>
    <w:link w:val="CommentSubject"/>
    <w:uiPriority w:val="99"/>
    <w:semiHidden/>
    <w:rsid w:val="003961E3"/>
    <w:rPr>
      <w:b/>
      <w:bCs/>
      <w:lang w:eastAsia="en-US"/>
    </w:rPr>
  </w:style>
  <w:style w:type="paragraph" w:styleId="Revision">
    <w:name w:val="Revision"/>
    <w:hidden/>
    <w:uiPriority w:val="99"/>
    <w:semiHidden/>
    <w:rsid w:val="003961E3"/>
    <w:rPr>
      <w:sz w:val="28"/>
      <w:lang w:eastAsia="en-US"/>
    </w:rPr>
  </w:style>
  <w:style w:type="character" w:customStyle="1" w:styleId="Heading1Char">
    <w:name w:val="Heading 1 Char"/>
    <w:link w:val="Heading1"/>
    <w:rsid w:val="00692CDE"/>
    <w:rPr>
      <w:rFonts w:ascii="Verdana" w:hAnsi="Verdana"/>
      <w:b/>
      <w:color w:val="A50021"/>
      <w:lang w:eastAsia="en-US"/>
    </w:rPr>
  </w:style>
  <w:style w:type="character" w:customStyle="1" w:styleId="Heading2Char">
    <w:name w:val="Heading 2 Char"/>
    <w:link w:val="Heading2"/>
    <w:rsid w:val="006E495F"/>
    <w:rPr>
      <w:rFonts w:ascii="Verdana" w:hAnsi="Verdana"/>
      <w:b/>
      <w:color w:val="A50021"/>
      <w:lang w:eastAsia="en-US"/>
    </w:rPr>
  </w:style>
  <w:style w:type="paragraph" w:customStyle="1" w:styleId="Default">
    <w:name w:val="Default"/>
    <w:link w:val="DefaultChar"/>
    <w:rsid w:val="008514C7"/>
    <w:pPr>
      <w:autoSpaceDE w:val="0"/>
      <w:autoSpaceDN w:val="0"/>
      <w:adjustRightInd w:val="0"/>
    </w:pPr>
    <w:rPr>
      <w:color w:val="000000"/>
      <w:sz w:val="24"/>
      <w:szCs w:val="24"/>
      <w:lang w:eastAsia="en-GB"/>
    </w:rPr>
  </w:style>
  <w:style w:type="paragraph" w:customStyle="1" w:styleId="CM1">
    <w:name w:val="CM1"/>
    <w:basedOn w:val="Default"/>
    <w:next w:val="Default"/>
    <w:uiPriority w:val="99"/>
    <w:rsid w:val="00845575"/>
    <w:rPr>
      <w:rFonts w:ascii="EUAlbertina" w:hAnsi="EUAlbertina"/>
      <w:color w:val="auto"/>
    </w:rPr>
  </w:style>
  <w:style w:type="paragraph" w:customStyle="1" w:styleId="CM3">
    <w:name w:val="CM3"/>
    <w:basedOn w:val="Default"/>
    <w:next w:val="Default"/>
    <w:uiPriority w:val="99"/>
    <w:rsid w:val="00845575"/>
    <w:rPr>
      <w:rFonts w:ascii="EUAlbertina" w:hAnsi="EUAlbertina"/>
      <w:color w:val="auto"/>
    </w:rPr>
  </w:style>
  <w:style w:type="character" w:customStyle="1" w:styleId="DefaultChar">
    <w:name w:val="Default Char"/>
    <w:link w:val="Default"/>
    <w:rsid w:val="00C62BD4"/>
    <w:rPr>
      <w:color w:val="000000"/>
      <w:sz w:val="24"/>
      <w:szCs w:val="24"/>
    </w:rPr>
  </w:style>
  <w:style w:type="paragraph" w:customStyle="1" w:styleId="Pagedecouverture">
    <w:name w:val="Page de couverture"/>
    <w:basedOn w:val="Normal"/>
    <w:next w:val="Normal"/>
    <w:rsid w:val="00B773BB"/>
    <w:pPr>
      <w:spacing w:after="0"/>
    </w:pPr>
    <w:rPr>
      <w:rFonts w:eastAsia="Calibri"/>
      <w:sz w:val="24"/>
      <w:szCs w:val="22"/>
    </w:rPr>
  </w:style>
  <w:style w:type="paragraph" w:customStyle="1" w:styleId="Char2">
    <w:name w:val="Char2"/>
    <w:basedOn w:val="Normal"/>
    <w:link w:val="FootnoteReference"/>
    <w:uiPriority w:val="99"/>
    <w:rsid w:val="003B7331"/>
    <w:pPr>
      <w:spacing w:after="160" w:line="240" w:lineRule="exact"/>
      <w:jc w:val="left"/>
    </w:pPr>
    <w:rPr>
      <w:vertAlign w:val="superscript"/>
      <w:lang w:eastAsia="en-GB"/>
    </w:rPr>
  </w:style>
  <w:style w:type="character" w:customStyle="1" w:styleId="BodyTextChar">
    <w:name w:val="Body Text Char"/>
    <w:link w:val="BodyText"/>
    <w:uiPriority w:val="1"/>
    <w:rsid w:val="007502F1"/>
    <w:rPr>
      <w:sz w:val="28"/>
      <w:lang w:eastAsia="en-US"/>
    </w:rPr>
  </w:style>
  <w:style w:type="paragraph" w:customStyle="1" w:styleId="TableParagraph">
    <w:name w:val="Table Paragraph"/>
    <w:basedOn w:val="Normal"/>
    <w:uiPriority w:val="1"/>
    <w:rsid w:val="0044312F"/>
    <w:pPr>
      <w:widowControl w:val="0"/>
      <w:spacing w:before="79" w:after="0"/>
      <w:ind w:left="103"/>
      <w:jc w:val="left"/>
    </w:pPr>
    <w:rPr>
      <w:rFonts w:eastAsia="Verdana" w:cs="Verdana"/>
      <w:sz w:val="22"/>
      <w:szCs w:val="22"/>
    </w:rPr>
  </w:style>
  <w:style w:type="character" w:customStyle="1" w:styleId="Text1Char">
    <w:name w:val="Text 1 Char"/>
    <w:link w:val="Text1"/>
    <w:rsid w:val="004B4644"/>
    <w:rPr>
      <w:sz w:val="28"/>
      <w:lang w:eastAsia="en-US"/>
    </w:rPr>
  </w:style>
  <w:style w:type="character" w:customStyle="1" w:styleId="Bodytext20">
    <w:name w:val="Body text (2)_"/>
    <w:rsid w:val="00544DAC"/>
    <w:rPr>
      <w:b w:val="0"/>
      <w:bCs w:val="0"/>
      <w:i w:val="0"/>
      <w:iCs w:val="0"/>
      <w:smallCaps w:val="0"/>
      <w:strike w:val="0"/>
      <w:sz w:val="22"/>
      <w:szCs w:val="22"/>
      <w:u w:val="none"/>
    </w:rPr>
  </w:style>
  <w:style w:type="character" w:customStyle="1" w:styleId="Bodytext21">
    <w:name w:val="Body text (2)"/>
    <w:rsid w:val="00544DA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en-US" w:bidi="en-US"/>
    </w:rPr>
  </w:style>
  <w:style w:type="character" w:customStyle="1" w:styleId="Heading20">
    <w:name w:val="Heading #2_"/>
    <w:link w:val="Heading21"/>
    <w:rsid w:val="00544DAC"/>
    <w:rPr>
      <w:sz w:val="22"/>
      <w:szCs w:val="22"/>
      <w:shd w:val="clear" w:color="auto" w:fill="FFFFFF"/>
    </w:rPr>
  </w:style>
  <w:style w:type="paragraph" w:customStyle="1" w:styleId="Heading21">
    <w:name w:val="Heading #2"/>
    <w:basedOn w:val="Normal"/>
    <w:link w:val="Heading20"/>
    <w:rsid w:val="00544DAC"/>
    <w:pPr>
      <w:widowControl w:val="0"/>
      <w:shd w:val="clear" w:color="auto" w:fill="FFFFFF"/>
      <w:spacing w:after="0" w:line="514" w:lineRule="exact"/>
      <w:ind w:hanging="600"/>
      <w:outlineLvl w:val="1"/>
    </w:pPr>
    <w:rPr>
      <w:rFonts w:ascii="Times New Roman" w:hAnsi="Times New Roman"/>
      <w:sz w:val="22"/>
      <w:szCs w:val="22"/>
      <w:lang w:eastAsia="en-GB"/>
    </w:rPr>
  </w:style>
  <w:style w:type="character" w:customStyle="1" w:styleId="Text2Car">
    <w:name w:val="Text 2 Car"/>
    <w:link w:val="Text2"/>
    <w:rsid w:val="00BC77D2"/>
    <w:rPr>
      <w:rFonts w:ascii="Verdana" w:hAnsi="Verdana"/>
      <w:lang w:eastAsia="en-US"/>
    </w:rPr>
  </w:style>
  <w:style w:type="character" w:customStyle="1" w:styleId="Heading3Char">
    <w:name w:val="Heading 3 Char"/>
    <w:link w:val="Heading3"/>
    <w:rsid w:val="00510B7E"/>
    <w:rPr>
      <w:rFonts w:ascii="Verdana" w:hAnsi="Verdana"/>
      <w:i/>
      <w:color w:val="A50021"/>
      <w:u w:val="single"/>
      <w:lang w:eastAsia="en-US"/>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Ha Char"/>
    <w:link w:val="ListParagraph"/>
    <w:uiPriority w:val="34"/>
    <w:rsid w:val="002C50CE"/>
    <w:rPr>
      <w:rFonts w:ascii="Verdana" w:hAnsi="Verdana"/>
      <w:snapToGrid w:val="0"/>
      <w:sz w:val="24"/>
      <w:szCs w:val="24"/>
    </w:rPr>
  </w:style>
  <w:style w:type="character" w:customStyle="1" w:styleId="iceouttxt36">
    <w:name w:val="iceouttxt36"/>
    <w:rsid w:val="002D1390"/>
    <w:rPr>
      <w:rFonts w:ascii="Times New Roman" w:hAnsi="Times New Roman" w:cs="Times New Roman" w:hint="default"/>
      <w:bdr w:val="none" w:sz="0" w:space="0" w:color="auto" w:frame="1"/>
      <w:vertAlign w:val="baseline"/>
    </w:rPr>
  </w:style>
  <w:style w:type="paragraph" w:customStyle="1" w:styleId="1">
    <w:name w:val="1"/>
    <w:basedOn w:val="Normal"/>
    <w:uiPriority w:val="99"/>
    <w:qFormat/>
    <w:rsid w:val="002D1390"/>
    <w:pPr>
      <w:spacing w:after="160" w:line="240" w:lineRule="exact"/>
      <w:jc w:val="left"/>
    </w:pPr>
    <w:rPr>
      <w:rFonts w:ascii="Times New Roman" w:hAnsi="Times New Roman"/>
      <w:vertAlign w:val="superscript"/>
      <w:lang w:eastAsia="en-GB"/>
    </w:rPr>
  </w:style>
  <w:style w:type="character" w:customStyle="1" w:styleId="BodyTextIndentChar">
    <w:name w:val="Body Text Indent Char"/>
    <w:link w:val="BodyTextIndent"/>
    <w:semiHidden/>
    <w:rsid w:val="00A53E20"/>
    <w:rPr>
      <w:rFonts w:ascii="Verdana" w:hAnsi="Verdana"/>
      <w:lang w:eastAsia="en-US"/>
    </w:rPr>
  </w:style>
  <w:style w:type="paragraph" w:customStyle="1" w:styleId="Body">
    <w:name w:val="Body"/>
    <w:rsid w:val="00510B7E"/>
    <w:pPr>
      <w:pBdr>
        <w:top w:val="nil"/>
        <w:left w:val="nil"/>
        <w:bottom w:val="nil"/>
        <w:right w:val="nil"/>
        <w:between w:val="nil"/>
        <w:bar w:val="nil"/>
      </w:pBdr>
      <w:spacing w:after="200"/>
      <w:jc w:val="both"/>
    </w:pPr>
    <w:rPr>
      <w:rFonts w:ascii="Verdana" w:eastAsia="Arial Unicode MS" w:hAnsi="Verdana" w:cs="Arial Unicode MS"/>
      <w:color w:val="000000"/>
      <w:u w:color="000000"/>
      <w:bdr w:val="nil"/>
      <w:lang w:eastAsia="en-GB"/>
    </w:rPr>
  </w:style>
  <w:style w:type="character" w:customStyle="1" w:styleId="Hyperlink3">
    <w:name w:val="Hyperlink.3"/>
    <w:rsid w:val="00510B7E"/>
  </w:style>
  <w:style w:type="paragraph" w:customStyle="1" w:styleId="footnote1">
    <w:name w:val="footnote1"/>
    <w:basedOn w:val="Normal"/>
    <w:qFormat/>
    <w:rsid w:val="00C909EF"/>
    <w:pPr>
      <w:spacing w:after="0"/>
      <w:ind w:left="720" w:hanging="720"/>
    </w:pPr>
    <w:rPr>
      <w:rFonts w:ascii="Times New Roman" w:hAnsi="Times New Roman"/>
      <w:szCs w:val="22"/>
      <w:lang w:eastAsia="en-GB"/>
    </w:rPr>
  </w:style>
  <w:style w:type="paragraph" w:styleId="NormalWeb">
    <w:name w:val="Normal (Web)"/>
    <w:basedOn w:val="Normal"/>
    <w:uiPriority w:val="99"/>
    <w:semiHidden/>
    <w:unhideWhenUsed/>
    <w:rsid w:val="00832213"/>
    <w:pPr>
      <w:spacing w:before="100" w:beforeAutospacing="1" w:after="100" w:afterAutospacing="1"/>
      <w:jc w:val="left"/>
    </w:pPr>
    <w:rPr>
      <w:rFonts w:ascii="Times New Roman" w:hAnsi="Times New Roman"/>
      <w:sz w:val="24"/>
      <w:szCs w:val="24"/>
      <w:lang w:eastAsia="en-GB"/>
    </w:rPr>
  </w:style>
  <w:style w:type="paragraph" w:customStyle="1" w:styleId="paragraph">
    <w:name w:val="paragraph"/>
    <w:basedOn w:val="Normal"/>
    <w:rsid w:val="008B1F42"/>
    <w:pPr>
      <w:spacing w:before="100" w:beforeAutospacing="1" w:after="100" w:afterAutospacing="1"/>
      <w:jc w:val="left"/>
    </w:pPr>
    <w:rPr>
      <w:rFonts w:ascii="Times New Roman" w:hAnsi="Times New Roman"/>
      <w:sz w:val="24"/>
      <w:szCs w:val="24"/>
      <w:lang w:eastAsia="fr-BE"/>
    </w:rPr>
  </w:style>
  <w:style w:type="character" w:customStyle="1" w:styleId="normaltextrun">
    <w:name w:val="normaltextrun"/>
    <w:rsid w:val="008B1F42"/>
  </w:style>
  <w:style w:type="character" w:customStyle="1" w:styleId="eop">
    <w:name w:val="eop"/>
    <w:rsid w:val="008B1F42"/>
  </w:style>
  <w:style w:type="table" w:customStyle="1" w:styleId="TableLetterhead">
    <w:name w:val="Table Letterhead"/>
    <w:basedOn w:val="TableNormal"/>
    <w:semiHidden/>
    <w:rsid w:val="0062273B"/>
    <w:rPr>
      <w:sz w:val="24"/>
    </w:rPr>
    <w:tblPr>
      <w:tblCellMar>
        <w:left w:w="0" w:type="dxa"/>
        <w:bottom w:w="3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8761">
      <w:bodyDiv w:val="1"/>
      <w:marLeft w:val="0"/>
      <w:marRight w:val="0"/>
      <w:marTop w:val="0"/>
      <w:marBottom w:val="0"/>
      <w:divBdr>
        <w:top w:val="none" w:sz="0" w:space="0" w:color="auto"/>
        <w:left w:val="none" w:sz="0" w:space="0" w:color="auto"/>
        <w:bottom w:val="none" w:sz="0" w:space="0" w:color="auto"/>
        <w:right w:val="none" w:sz="0" w:space="0" w:color="auto"/>
      </w:divBdr>
      <w:divsChild>
        <w:div w:id="95683694">
          <w:marLeft w:val="0"/>
          <w:marRight w:val="0"/>
          <w:marTop w:val="0"/>
          <w:marBottom w:val="0"/>
          <w:divBdr>
            <w:top w:val="none" w:sz="0" w:space="0" w:color="auto"/>
            <w:left w:val="none" w:sz="0" w:space="0" w:color="auto"/>
            <w:bottom w:val="none" w:sz="0" w:space="0" w:color="auto"/>
            <w:right w:val="none" w:sz="0" w:space="0" w:color="auto"/>
          </w:divBdr>
        </w:div>
      </w:divsChild>
    </w:div>
    <w:div w:id="38669110">
      <w:bodyDiv w:val="1"/>
      <w:marLeft w:val="0"/>
      <w:marRight w:val="0"/>
      <w:marTop w:val="0"/>
      <w:marBottom w:val="0"/>
      <w:divBdr>
        <w:top w:val="none" w:sz="0" w:space="0" w:color="auto"/>
        <w:left w:val="none" w:sz="0" w:space="0" w:color="auto"/>
        <w:bottom w:val="none" w:sz="0" w:space="0" w:color="auto"/>
        <w:right w:val="none" w:sz="0" w:space="0" w:color="auto"/>
      </w:divBdr>
    </w:div>
    <w:div w:id="90123816">
      <w:bodyDiv w:val="1"/>
      <w:marLeft w:val="0"/>
      <w:marRight w:val="0"/>
      <w:marTop w:val="0"/>
      <w:marBottom w:val="0"/>
      <w:divBdr>
        <w:top w:val="none" w:sz="0" w:space="0" w:color="auto"/>
        <w:left w:val="none" w:sz="0" w:space="0" w:color="auto"/>
        <w:bottom w:val="none" w:sz="0" w:space="0" w:color="auto"/>
        <w:right w:val="none" w:sz="0" w:space="0" w:color="auto"/>
      </w:divBdr>
    </w:div>
    <w:div w:id="103040698">
      <w:bodyDiv w:val="1"/>
      <w:marLeft w:val="0"/>
      <w:marRight w:val="0"/>
      <w:marTop w:val="0"/>
      <w:marBottom w:val="0"/>
      <w:divBdr>
        <w:top w:val="none" w:sz="0" w:space="0" w:color="auto"/>
        <w:left w:val="none" w:sz="0" w:space="0" w:color="auto"/>
        <w:bottom w:val="none" w:sz="0" w:space="0" w:color="auto"/>
        <w:right w:val="none" w:sz="0" w:space="0" w:color="auto"/>
      </w:divBdr>
    </w:div>
    <w:div w:id="141432808">
      <w:bodyDiv w:val="1"/>
      <w:marLeft w:val="0"/>
      <w:marRight w:val="0"/>
      <w:marTop w:val="0"/>
      <w:marBottom w:val="0"/>
      <w:divBdr>
        <w:top w:val="none" w:sz="0" w:space="0" w:color="auto"/>
        <w:left w:val="none" w:sz="0" w:space="0" w:color="auto"/>
        <w:bottom w:val="none" w:sz="0" w:space="0" w:color="auto"/>
        <w:right w:val="none" w:sz="0" w:space="0" w:color="auto"/>
      </w:divBdr>
    </w:div>
    <w:div w:id="176887031">
      <w:bodyDiv w:val="1"/>
      <w:marLeft w:val="0"/>
      <w:marRight w:val="0"/>
      <w:marTop w:val="0"/>
      <w:marBottom w:val="0"/>
      <w:divBdr>
        <w:top w:val="none" w:sz="0" w:space="0" w:color="auto"/>
        <w:left w:val="none" w:sz="0" w:space="0" w:color="auto"/>
        <w:bottom w:val="none" w:sz="0" w:space="0" w:color="auto"/>
        <w:right w:val="none" w:sz="0" w:space="0" w:color="auto"/>
      </w:divBdr>
    </w:div>
    <w:div w:id="190265158">
      <w:bodyDiv w:val="1"/>
      <w:marLeft w:val="0"/>
      <w:marRight w:val="0"/>
      <w:marTop w:val="0"/>
      <w:marBottom w:val="0"/>
      <w:divBdr>
        <w:top w:val="none" w:sz="0" w:space="0" w:color="auto"/>
        <w:left w:val="none" w:sz="0" w:space="0" w:color="auto"/>
        <w:bottom w:val="none" w:sz="0" w:space="0" w:color="auto"/>
        <w:right w:val="none" w:sz="0" w:space="0" w:color="auto"/>
      </w:divBdr>
    </w:div>
    <w:div w:id="210846157">
      <w:bodyDiv w:val="1"/>
      <w:marLeft w:val="0"/>
      <w:marRight w:val="0"/>
      <w:marTop w:val="0"/>
      <w:marBottom w:val="0"/>
      <w:divBdr>
        <w:top w:val="none" w:sz="0" w:space="0" w:color="auto"/>
        <w:left w:val="none" w:sz="0" w:space="0" w:color="auto"/>
        <w:bottom w:val="none" w:sz="0" w:space="0" w:color="auto"/>
        <w:right w:val="none" w:sz="0" w:space="0" w:color="auto"/>
      </w:divBdr>
    </w:div>
    <w:div w:id="211692104">
      <w:bodyDiv w:val="1"/>
      <w:marLeft w:val="0"/>
      <w:marRight w:val="0"/>
      <w:marTop w:val="0"/>
      <w:marBottom w:val="0"/>
      <w:divBdr>
        <w:top w:val="none" w:sz="0" w:space="0" w:color="auto"/>
        <w:left w:val="none" w:sz="0" w:space="0" w:color="auto"/>
        <w:bottom w:val="none" w:sz="0" w:space="0" w:color="auto"/>
        <w:right w:val="none" w:sz="0" w:space="0" w:color="auto"/>
      </w:divBdr>
    </w:div>
    <w:div w:id="219949969">
      <w:bodyDiv w:val="1"/>
      <w:marLeft w:val="0"/>
      <w:marRight w:val="0"/>
      <w:marTop w:val="0"/>
      <w:marBottom w:val="0"/>
      <w:divBdr>
        <w:top w:val="none" w:sz="0" w:space="0" w:color="auto"/>
        <w:left w:val="none" w:sz="0" w:space="0" w:color="auto"/>
        <w:bottom w:val="none" w:sz="0" w:space="0" w:color="auto"/>
        <w:right w:val="none" w:sz="0" w:space="0" w:color="auto"/>
      </w:divBdr>
    </w:div>
    <w:div w:id="221603459">
      <w:bodyDiv w:val="1"/>
      <w:marLeft w:val="0"/>
      <w:marRight w:val="0"/>
      <w:marTop w:val="0"/>
      <w:marBottom w:val="0"/>
      <w:divBdr>
        <w:top w:val="none" w:sz="0" w:space="0" w:color="auto"/>
        <w:left w:val="none" w:sz="0" w:space="0" w:color="auto"/>
        <w:bottom w:val="none" w:sz="0" w:space="0" w:color="auto"/>
        <w:right w:val="none" w:sz="0" w:space="0" w:color="auto"/>
      </w:divBdr>
    </w:div>
    <w:div w:id="227038112">
      <w:bodyDiv w:val="1"/>
      <w:marLeft w:val="0"/>
      <w:marRight w:val="0"/>
      <w:marTop w:val="0"/>
      <w:marBottom w:val="0"/>
      <w:divBdr>
        <w:top w:val="none" w:sz="0" w:space="0" w:color="auto"/>
        <w:left w:val="none" w:sz="0" w:space="0" w:color="auto"/>
        <w:bottom w:val="none" w:sz="0" w:space="0" w:color="auto"/>
        <w:right w:val="none" w:sz="0" w:space="0" w:color="auto"/>
      </w:divBdr>
      <w:divsChild>
        <w:div w:id="1323775610">
          <w:marLeft w:val="0"/>
          <w:marRight w:val="0"/>
          <w:marTop w:val="0"/>
          <w:marBottom w:val="0"/>
          <w:divBdr>
            <w:top w:val="none" w:sz="0" w:space="0" w:color="auto"/>
            <w:left w:val="none" w:sz="0" w:space="0" w:color="auto"/>
            <w:bottom w:val="none" w:sz="0" w:space="0" w:color="auto"/>
            <w:right w:val="none" w:sz="0" w:space="0" w:color="auto"/>
          </w:divBdr>
        </w:div>
      </w:divsChild>
    </w:div>
    <w:div w:id="262030436">
      <w:bodyDiv w:val="1"/>
      <w:marLeft w:val="0"/>
      <w:marRight w:val="0"/>
      <w:marTop w:val="0"/>
      <w:marBottom w:val="0"/>
      <w:divBdr>
        <w:top w:val="none" w:sz="0" w:space="0" w:color="auto"/>
        <w:left w:val="none" w:sz="0" w:space="0" w:color="auto"/>
        <w:bottom w:val="none" w:sz="0" w:space="0" w:color="auto"/>
        <w:right w:val="none" w:sz="0" w:space="0" w:color="auto"/>
      </w:divBdr>
    </w:div>
    <w:div w:id="359743173">
      <w:bodyDiv w:val="1"/>
      <w:marLeft w:val="0"/>
      <w:marRight w:val="0"/>
      <w:marTop w:val="0"/>
      <w:marBottom w:val="0"/>
      <w:divBdr>
        <w:top w:val="none" w:sz="0" w:space="0" w:color="auto"/>
        <w:left w:val="none" w:sz="0" w:space="0" w:color="auto"/>
        <w:bottom w:val="none" w:sz="0" w:space="0" w:color="auto"/>
        <w:right w:val="none" w:sz="0" w:space="0" w:color="auto"/>
      </w:divBdr>
    </w:div>
    <w:div w:id="409469453">
      <w:bodyDiv w:val="1"/>
      <w:marLeft w:val="0"/>
      <w:marRight w:val="0"/>
      <w:marTop w:val="0"/>
      <w:marBottom w:val="0"/>
      <w:divBdr>
        <w:top w:val="none" w:sz="0" w:space="0" w:color="auto"/>
        <w:left w:val="none" w:sz="0" w:space="0" w:color="auto"/>
        <w:bottom w:val="none" w:sz="0" w:space="0" w:color="auto"/>
        <w:right w:val="none" w:sz="0" w:space="0" w:color="auto"/>
      </w:divBdr>
    </w:div>
    <w:div w:id="419571455">
      <w:bodyDiv w:val="1"/>
      <w:marLeft w:val="0"/>
      <w:marRight w:val="0"/>
      <w:marTop w:val="0"/>
      <w:marBottom w:val="0"/>
      <w:divBdr>
        <w:top w:val="none" w:sz="0" w:space="0" w:color="auto"/>
        <w:left w:val="none" w:sz="0" w:space="0" w:color="auto"/>
        <w:bottom w:val="none" w:sz="0" w:space="0" w:color="auto"/>
        <w:right w:val="none" w:sz="0" w:space="0" w:color="auto"/>
      </w:divBdr>
    </w:div>
    <w:div w:id="424419585">
      <w:bodyDiv w:val="1"/>
      <w:marLeft w:val="0"/>
      <w:marRight w:val="0"/>
      <w:marTop w:val="0"/>
      <w:marBottom w:val="0"/>
      <w:divBdr>
        <w:top w:val="none" w:sz="0" w:space="0" w:color="auto"/>
        <w:left w:val="none" w:sz="0" w:space="0" w:color="auto"/>
        <w:bottom w:val="none" w:sz="0" w:space="0" w:color="auto"/>
        <w:right w:val="none" w:sz="0" w:space="0" w:color="auto"/>
      </w:divBdr>
    </w:div>
    <w:div w:id="447773217">
      <w:bodyDiv w:val="1"/>
      <w:marLeft w:val="0"/>
      <w:marRight w:val="0"/>
      <w:marTop w:val="0"/>
      <w:marBottom w:val="0"/>
      <w:divBdr>
        <w:top w:val="none" w:sz="0" w:space="0" w:color="auto"/>
        <w:left w:val="none" w:sz="0" w:space="0" w:color="auto"/>
        <w:bottom w:val="none" w:sz="0" w:space="0" w:color="auto"/>
        <w:right w:val="none" w:sz="0" w:space="0" w:color="auto"/>
      </w:divBdr>
    </w:div>
    <w:div w:id="533690867">
      <w:bodyDiv w:val="1"/>
      <w:marLeft w:val="0"/>
      <w:marRight w:val="0"/>
      <w:marTop w:val="0"/>
      <w:marBottom w:val="0"/>
      <w:divBdr>
        <w:top w:val="none" w:sz="0" w:space="0" w:color="auto"/>
        <w:left w:val="none" w:sz="0" w:space="0" w:color="auto"/>
        <w:bottom w:val="none" w:sz="0" w:space="0" w:color="auto"/>
        <w:right w:val="none" w:sz="0" w:space="0" w:color="auto"/>
      </w:divBdr>
      <w:divsChild>
        <w:div w:id="772475555">
          <w:marLeft w:val="0"/>
          <w:marRight w:val="0"/>
          <w:marTop w:val="0"/>
          <w:marBottom w:val="0"/>
          <w:divBdr>
            <w:top w:val="none" w:sz="0" w:space="0" w:color="auto"/>
            <w:left w:val="none" w:sz="0" w:space="0" w:color="auto"/>
            <w:bottom w:val="none" w:sz="0" w:space="0" w:color="auto"/>
            <w:right w:val="none" w:sz="0" w:space="0" w:color="auto"/>
          </w:divBdr>
        </w:div>
      </w:divsChild>
    </w:div>
    <w:div w:id="570122764">
      <w:bodyDiv w:val="1"/>
      <w:marLeft w:val="0"/>
      <w:marRight w:val="0"/>
      <w:marTop w:val="0"/>
      <w:marBottom w:val="0"/>
      <w:divBdr>
        <w:top w:val="none" w:sz="0" w:space="0" w:color="auto"/>
        <w:left w:val="none" w:sz="0" w:space="0" w:color="auto"/>
        <w:bottom w:val="none" w:sz="0" w:space="0" w:color="auto"/>
        <w:right w:val="none" w:sz="0" w:space="0" w:color="auto"/>
      </w:divBdr>
    </w:div>
    <w:div w:id="611135809">
      <w:bodyDiv w:val="1"/>
      <w:marLeft w:val="0"/>
      <w:marRight w:val="0"/>
      <w:marTop w:val="0"/>
      <w:marBottom w:val="0"/>
      <w:divBdr>
        <w:top w:val="none" w:sz="0" w:space="0" w:color="auto"/>
        <w:left w:val="none" w:sz="0" w:space="0" w:color="auto"/>
        <w:bottom w:val="none" w:sz="0" w:space="0" w:color="auto"/>
        <w:right w:val="none" w:sz="0" w:space="0" w:color="auto"/>
      </w:divBdr>
    </w:div>
    <w:div w:id="616529841">
      <w:bodyDiv w:val="1"/>
      <w:marLeft w:val="0"/>
      <w:marRight w:val="0"/>
      <w:marTop w:val="0"/>
      <w:marBottom w:val="0"/>
      <w:divBdr>
        <w:top w:val="none" w:sz="0" w:space="0" w:color="auto"/>
        <w:left w:val="none" w:sz="0" w:space="0" w:color="auto"/>
        <w:bottom w:val="none" w:sz="0" w:space="0" w:color="auto"/>
        <w:right w:val="none" w:sz="0" w:space="0" w:color="auto"/>
      </w:divBdr>
    </w:div>
    <w:div w:id="630791554">
      <w:bodyDiv w:val="1"/>
      <w:marLeft w:val="0"/>
      <w:marRight w:val="0"/>
      <w:marTop w:val="0"/>
      <w:marBottom w:val="0"/>
      <w:divBdr>
        <w:top w:val="none" w:sz="0" w:space="0" w:color="auto"/>
        <w:left w:val="none" w:sz="0" w:space="0" w:color="auto"/>
        <w:bottom w:val="none" w:sz="0" w:space="0" w:color="auto"/>
        <w:right w:val="none" w:sz="0" w:space="0" w:color="auto"/>
      </w:divBdr>
    </w:div>
    <w:div w:id="631522879">
      <w:bodyDiv w:val="1"/>
      <w:marLeft w:val="0"/>
      <w:marRight w:val="0"/>
      <w:marTop w:val="0"/>
      <w:marBottom w:val="0"/>
      <w:divBdr>
        <w:top w:val="none" w:sz="0" w:space="0" w:color="auto"/>
        <w:left w:val="none" w:sz="0" w:space="0" w:color="auto"/>
        <w:bottom w:val="none" w:sz="0" w:space="0" w:color="auto"/>
        <w:right w:val="none" w:sz="0" w:space="0" w:color="auto"/>
      </w:divBdr>
    </w:div>
    <w:div w:id="666978706">
      <w:bodyDiv w:val="1"/>
      <w:marLeft w:val="0"/>
      <w:marRight w:val="0"/>
      <w:marTop w:val="0"/>
      <w:marBottom w:val="0"/>
      <w:divBdr>
        <w:top w:val="none" w:sz="0" w:space="0" w:color="auto"/>
        <w:left w:val="none" w:sz="0" w:space="0" w:color="auto"/>
        <w:bottom w:val="none" w:sz="0" w:space="0" w:color="auto"/>
        <w:right w:val="none" w:sz="0" w:space="0" w:color="auto"/>
      </w:divBdr>
    </w:div>
    <w:div w:id="668796837">
      <w:bodyDiv w:val="1"/>
      <w:marLeft w:val="0"/>
      <w:marRight w:val="0"/>
      <w:marTop w:val="0"/>
      <w:marBottom w:val="0"/>
      <w:divBdr>
        <w:top w:val="none" w:sz="0" w:space="0" w:color="auto"/>
        <w:left w:val="none" w:sz="0" w:space="0" w:color="auto"/>
        <w:bottom w:val="none" w:sz="0" w:space="0" w:color="auto"/>
        <w:right w:val="none" w:sz="0" w:space="0" w:color="auto"/>
      </w:divBdr>
    </w:div>
    <w:div w:id="672874959">
      <w:bodyDiv w:val="1"/>
      <w:marLeft w:val="0"/>
      <w:marRight w:val="0"/>
      <w:marTop w:val="0"/>
      <w:marBottom w:val="0"/>
      <w:divBdr>
        <w:top w:val="none" w:sz="0" w:space="0" w:color="auto"/>
        <w:left w:val="none" w:sz="0" w:space="0" w:color="auto"/>
        <w:bottom w:val="none" w:sz="0" w:space="0" w:color="auto"/>
        <w:right w:val="none" w:sz="0" w:space="0" w:color="auto"/>
      </w:divBdr>
    </w:div>
    <w:div w:id="724332788">
      <w:bodyDiv w:val="1"/>
      <w:marLeft w:val="0"/>
      <w:marRight w:val="0"/>
      <w:marTop w:val="0"/>
      <w:marBottom w:val="0"/>
      <w:divBdr>
        <w:top w:val="none" w:sz="0" w:space="0" w:color="auto"/>
        <w:left w:val="none" w:sz="0" w:space="0" w:color="auto"/>
        <w:bottom w:val="none" w:sz="0" w:space="0" w:color="auto"/>
        <w:right w:val="none" w:sz="0" w:space="0" w:color="auto"/>
      </w:divBdr>
    </w:div>
    <w:div w:id="724571305">
      <w:bodyDiv w:val="1"/>
      <w:marLeft w:val="0"/>
      <w:marRight w:val="0"/>
      <w:marTop w:val="0"/>
      <w:marBottom w:val="0"/>
      <w:divBdr>
        <w:top w:val="none" w:sz="0" w:space="0" w:color="auto"/>
        <w:left w:val="none" w:sz="0" w:space="0" w:color="auto"/>
        <w:bottom w:val="none" w:sz="0" w:space="0" w:color="auto"/>
        <w:right w:val="none" w:sz="0" w:space="0" w:color="auto"/>
      </w:divBdr>
    </w:div>
    <w:div w:id="726759194">
      <w:bodyDiv w:val="1"/>
      <w:marLeft w:val="0"/>
      <w:marRight w:val="0"/>
      <w:marTop w:val="0"/>
      <w:marBottom w:val="0"/>
      <w:divBdr>
        <w:top w:val="none" w:sz="0" w:space="0" w:color="auto"/>
        <w:left w:val="none" w:sz="0" w:space="0" w:color="auto"/>
        <w:bottom w:val="none" w:sz="0" w:space="0" w:color="auto"/>
        <w:right w:val="none" w:sz="0" w:space="0" w:color="auto"/>
      </w:divBdr>
    </w:div>
    <w:div w:id="788429702">
      <w:bodyDiv w:val="1"/>
      <w:marLeft w:val="0"/>
      <w:marRight w:val="0"/>
      <w:marTop w:val="0"/>
      <w:marBottom w:val="0"/>
      <w:divBdr>
        <w:top w:val="none" w:sz="0" w:space="0" w:color="auto"/>
        <w:left w:val="none" w:sz="0" w:space="0" w:color="auto"/>
        <w:bottom w:val="none" w:sz="0" w:space="0" w:color="auto"/>
        <w:right w:val="none" w:sz="0" w:space="0" w:color="auto"/>
      </w:divBdr>
    </w:div>
    <w:div w:id="796067230">
      <w:bodyDiv w:val="1"/>
      <w:marLeft w:val="0"/>
      <w:marRight w:val="0"/>
      <w:marTop w:val="0"/>
      <w:marBottom w:val="0"/>
      <w:divBdr>
        <w:top w:val="none" w:sz="0" w:space="0" w:color="auto"/>
        <w:left w:val="none" w:sz="0" w:space="0" w:color="auto"/>
        <w:bottom w:val="none" w:sz="0" w:space="0" w:color="auto"/>
        <w:right w:val="none" w:sz="0" w:space="0" w:color="auto"/>
      </w:divBdr>
    </w:div>
    <w:div w:id="821583369">
      <w:bodyDiv w:val="1"/>
      <w:marLeft w:val="0"/>
      <w:marRight w:val="0"/>
      <w:marTop w:val="0"/>
      <w:marBottom w:val="0"/>
      <w:divBdr>
        <w:top w:val="none" w:sz="0" w:space="0" w:color="auto"/>
        <w:left w:val="none" w:sz="0" w:space="0" w:color="auto"/>
        <w:bottom w:val="none" w:sz="0" w:space="0" w:color="auto"/>
        <w:right w:val="none" w:sz="0" w:space="0" w:color="auto"/>
      </w:divBdr>
    </w:div>
    <w:div w:id="854685111">
      <w:bodyDiv w:val="1"/>
      <w:marLeft w:val="0"/>
      <w:marRight w:val="0"/>
      <w:marTop w:val="0"/>
      <w:marBottom w:val="0"/>
      <w:divBdr>
        <w:top w:val="none" w:sz="0" w:space="0" w:color="auto"/>
        <w:left w:val="none" w:sz="0" w:space="0" w:color="auto"/>
        <w:bottom w:val="none" w:sz="0" w:space="0" w:color="auto"/>
        <w:right w:val="none" w:sz="0" w:space="0" w:color="auto"/>
      </w:divBdr>
    </w:div>
    <w:div w:id="894436173">
      <w:bodyDiv w:val="1"/>
      <w:marLeft w:val="0"/>
      <w:marRight w:val="0"/>
      <w:marTop w:val="0"/>
      <w:marBottom w:val="0"/>
      <w:divBdr>
        <w:top w:val="none" w:sz="0" w:space="0" w:color="auto"/>
        <w:left w:val="none" w:sz="0" w:space="0" w:color="auto"/>
        <w:bottom w:val="none" w:sz="0" w:space="0" w:color="auto"/>
        <w:right w:val="none" w:sz="0" w:space="0" w:color="auto"/>
      </w:divBdr>
    </w:div>
    <w:div w:id="895354809">
      <w:bodyDiv w:val="1"/>
      <w:marLeft w:val="0"/>
      <w:marRight w:val="0"/>
      <w:marTop w:val="0"/>
      <w:marBottom w:val="0"/>
      <w:divBdr>
        <w:top w:val="none" w:sz="0" w:space="0" w:color="auto"/>
        <w:left w:val="none" w:sz="0" w:space="0" w:color="auto"/>
        <w:bottom w:val="none" w:sz="0" w:space="0" w:color="auto"/>
        <w:right w:val="none" w:sz="0" w:space="0" w:color="auto"/>
      </w:divBdr>
    </w:div>
    <w:div w:id="997726798">
      <w:bodyDiv w:val="1"/>
      <w:marLeft w:val="0"/>
      <w:marRight w:val="0"/>
      <w:marTop w:val="0"/>
      <w:marBottom w:val="0"/>
      <w:divBdr>
        <w:top w:val="none" w:sz="0" w:space="0" w:color="auto"/>
        <w:left w:val="none" w:sz="0" w:space="0" w:color="auto"/>
        <w:bottom w:val="none" w:sz="0" w:space="0" w:color="auto"/>
        <w:right w:val="none" w:sz="0" w:space="0" w:color="auto"/>
      </w:divBdr>
    </w:div>
    <w:div w:id="1109156641">
      <w:bodyDiv w:val="1"/>
      <w:marLeft w:val="0"/>
      <w:marRight w:val="0"/>
      <w:marTop w:val="0"/>
      <w:marBottom w:val="0"/>
      <w:divBdr>
        <w:top w:val="none" w:sz="0" w:space="0" w:color="auto"/>
        <w:left w:val="none" w:sz="0" w:space="0" w:color="auto"/>
        <w:bottom w:val="none" w:sz="0" w:space="0" w:color="auto"/>
        <w:right w:val="none" w:sz="0" w:space="0" w:color="auto"/>
      </w:divBdr>
    </w:div>
    <w:div w:id="1145196951">
      <w:bodyDiv w:val="1"/>
      <w:marLeft w:val="0"/>
      <w:marRight w:val="0"/>
      <w:marTop w:val="0"/>
      <w:marBottom w:val="0"/>
      <w:divBdr>
        <w:top w:val="none" w:sz="0" w:space="0" w:color="auto"/>
        <w:left w:val="none" w:sz="0" w:space="0" w:color="auto"/>
        <w:bottom w:val="none" w:sz="0" w:space="0" w:color="auto"/>
        <w:right w:val="none" w:sz="0" w:space="0" w:color="auto"/>
      </w:divBdr>
    </w:div>
    <w:div w:id="1156262582">
      <w:bodyDiv w:val="1"/>
      <w:marLeft w:val="0"/>
      <w:marRight w:val="0"/>
      <w:marTop w:val="0"/>
      <w:marBottom w:val="0"/>
      <w:divBdr>
        <w:top w:val="none" w:sz="0" w:space="0" w:color="auto"/>
        <w:left w:val="none" w:sz="0" w:space="0" w:color="auto"/>
        <w:bottom w:val="none" w:sz="0" w:space="0" w:color="auto"/>
        <w:right w:val="none" w:sz="0" w:space="0" w:color="auto"/>
      </w:divBdr>
    </w:div>
    <w:div w:id="1173647993">
      <w:bodyDiv w:val="1"/>
      <w:marLeft w:val="0"/>
      <w:marRight w:val="0"/>
      <w:marTop w:val="0"/>
      <w:marBottom w:val="0"/>
      <w:divBdr>
        <w:top w:val="none" w:sz="0" w:space="0" w:color="auto"/>
        <w:left w:val="none" w:sz="0" w:space="0" w:color="auto"/>
        <w:bottom w:val="none" w:sz="0" w:space="0" w:color="auto"/>
        <w:right w:val="none" w:sz="0" w:space="0" w:color="auto"/>
      </w:divBdr>
    </w:div>
    <w:div w:id="1250698026">
      <w:bodyDiv w:val="1"/>
      <w:marLeft w:val="0"/>
      <w:marRight w:val="0"/>
      <w:marTop w:val="0"/>
      <w:marBottom w:val="0"/>
      <w:divBdr>
        <w:top w:val="none" w:sz="0" w:space="0" w:color="auto"/>
        <w:left w:val="none" w:sz="0" w:space="0" w:color="auto"/>
        <w:bottom w:val="none" w:sz="0" w:space="0" w:color="auto"/>
        <w:right w:val="none" w:sz="0" w:space="0" w:color="auto"/>
      </w:divBdr>
    </w:div>
    <w:div w:id="1256867543">
      <w:bodyDiv w:val="1"/>
      <w:marLeft w:val="0"/>
      <w:marRight w:val="0"/>
      <w:marTop w:val="0"/>
      <w:marBottom w:val="0"/>
      <w:divBdr>
        <w:top w:val="none" w:sz="0" w:space="0" w:color="auto"/>
        <w:left w:val="none" w:sz="0" w:space="0" w:color="auto"/>
        <w:bottom w:val="none" w:sz="0" w:space="0" w:color="auto"/>
        <w:right w:val="none" w:sz="0" w:space="0" w:color="auto"/>
      </w:divBdr>
    </w:div>
    <w:div w:id="1360471180">
      <w:bodyDiv w:val="1"/>
      <w:marLeft w:val="0"/>
      <w:marRight w:val="0"/>
      <w:marTop w:val="0"/>
      <w:marBottom w:val="0"/>
      <w:divBdr>
        <w:top w:val="none" w:sz="0" w:space="0" w:color="auto"/>
        <w:left w:val="none" w:sz="0" w:space="0" w:color="auto"/>
        <w:bottom w:val="none" w:sz="0" w:space="0" w:color="auto"/>
        <w:right w:val="none" w:sz="0" w:space="0" w:color="auto"/>
      </w:divBdr>
    </w:div>
    <w:div w:id="1384131897">
      <w:bodyDiv w:val="1"/>
      <w:marLeft w:val="0"/>
      <w:marRight w:val="0"/>
      <w:marTop w:val="0"/>
      <w:marBottom w:val="0"/>
      <w:divBdr>
        <w:top w:val="none" w:sz="0" w:space="0" w:color="auto"/>
        <w:left w:val="none" w:sz="0" w:space="0" w:color="auto"/>
        <w:bottom w:val="none" w:sz="0" w:space="0" w:color="auto"/>
        <w:right w:val="none" w:sz="0" w:space="0" w:color="auto"/>
      </w:divBdr>
    </w:div>
    <w:div w:id="1451827119">
      <w:bodyDiv w:val="1"/>
      <w:marLeft w:val="0"/>
      <w:marRight w:val="0"/>
      <w:marTop w:val="0"/>
      <w:marBottom w:val="0"/>
      <w:divBdr>
        <w:top w:val="none" w:sz="0" w:space="0" w:color="auto"/>
        <w:left w:val="none" w:sz="0" w:space="0" w:color="auto"/>
        <w:bottom w:val="none" w:sz="0" w:space="0" w:color="auto"/>
        <w:right w:val="none" w:sz="0" w:space="0" w:color="auto"/>
      </w:divBdr>
    </w:div>
    <w:div w:id="1517234381">
      <w:bodyDiv w:val="1"/>
      <w:marLeft w:val="0"/>
      <w:marRight w:val="0"/>
      <w:marTop w:val="0"/>
      <w:marBottom w:val="0"/>
      <w:divBdr>
        <w:top w:val="none" w:sz="0" w:space="0" w:color="auto"/>
        <w:left w:val="none" w:sz="0" w:space="0" w:color="auto"/>
        <w:bottom w:val="none" w:sz="0" w:space="0" w:color="auto"/>
        <w:right w:val="none" w:sz="0" w:space="0" w:color="auto"/>
      </w:divBdr>
    </w:div>
    <w:div w:id="1539776412">
      <w:bodyDiv w:val="1"/>
      <w:marLeft w:val="0"/>
      <w:marRight w:val="0"/>
      <w:marTop w:val="0"/>
      <w:marBottom w:val="0"/>
      <w:divBdr>
        <w:top w:val="none" w:sz="0" w:space="0" w:color="auto"/>
        <w:left w:val="none" w:sz="0" w:space="0" w:color="auto"/>
        <w:bottom w:val="none" w:sz="0" w:space="0" w:color="auto"/>
        <w:right w:val="none" w:sz="0" w:space="0" w:color="auto"/>
      </w:divBdr>
    </w:div>
    <w:div w:id="1541359469">
      <w:bodyDiv w:val="1"/>
      <w:marLeft w:val="0"/>
      <w:marRight w:val="0"/>
      <w:marTop w:val="0"/>
      <w:marBottom w:val="0"/>
      <w:divBdr>
        <w:top w:val="none" w:sz="0" w:space="0" w:color="auto"/>
        <w:left w:val="none" w:sz="0" w:space="0" w:color="auto"/>
        <w:bottom w:val="none" w:sz="0" w:space="0" w:color="auto"/>
        <w:right w:val="none" w:sz="0" w:space="0" w:color="auto"/>
      </w:divBdr>
    </w:div>
    <w:div w:id="163506059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87976972">
      <w:bodyDiv w:val="1"/>
      <w:marLeft w:val="0"/>
      <w:marRight w:val="0"/>
      <w:marTop w:val="0"/>
      <w:marBottom w:val="0"/>
      <w:divBdr>
        <w:top w:val="none" w:sz="0" w:space="0" w:color="auto"/>
        <w:left w:val="none" w:sz="0" w:space="0" w:color="auto"/>
        <w:bottom w:val="none" w:sz="0" w:space="0" w:color="auto"/>
        <w:right w:val="none" w:sz="0" w:space="0" w:color="auto"/>
      </w:divBdr>
    </w:div>
    <w:div w:id="1771504641">
      <w:bodyDiv w:val="1"/>
      <w:marLeft w:val="0"/>
      <w:marRight w:val="0"/>
      <w:marTop w:val="0"/>
      <w:marBottom w:val="0"/>
      <w:divBdr>
        <w:top w:val="none" w:sz="0" w:space="0" w:color="auto"/>
        <w:left w:val="none" w:sz="0" w:space="0" w:color="auto"/>
        <w:bottom w:val="none" w:sz="0" w:space="0" w:color="auto"/>
        <w:right w:val="none" w:sz="0" w:space="0" w:color="auto"/>
      </w:divBdr>
    </w:div>
    <w:div w:id="1811172023">
      <w:bodyDiv w:val="1"/>
      <w:marLeft w:val="0"/>
      <w:marRight w:val="0"/>
      <w:marTop w:val="0"/>
      <w:marBottom w:val="0"/>
      <w:divBdr>
        <w:top w:val="none" w:sz="0" w:space="0" w:color="auto"/>
        <w:left w:val="none" w:sz="0" w:space="0" w:color="auto"/>
        <w:bottom w:val="none" w:sz="0" w:space="0" w:color="auto"/>
        <w:right w:val="none" w:sz="0" w:space="0" w:color="auto"/>
      </w:divBdr>
      <w:divsChild>
        <w:div w:id="1701783708">
          <w:marLeft w:val="0"/>
          <w:marRight w:val="0"/>
          <w:marTop w:val="0"/>
          <w:marBottom w:val="0"/>
          <w:divBdr>
            <w:top w:val="none" w:sz="0" w:space="0" w:color="auto"/>
            <w:left w:val="none" w:sz="0" w:space="0" w:color="auto"/>
            <w:bottom w:val="none" w:sz="0" w:space="0" w:color="auto"/>
            <w:right w:val="none" w:sz="0" w:space="0" w:color="auto"/>
          </w:divBdr>
          <w:divsChild>
            <w:div w:id="2048604006">
              <w:marLeft w:val="0"/>
              <w:marRight w:val="0"/>
              <w:marTop w:val="0"/>
              <w:marBottom w:val="0"/>
              <w:divBdr>
                <w:top w:val="none" w:sz="0" w:space="0" w:color="auto"/>
                <w:left w:val="none" w:sz="0" w:space="0" w:color="auto"/>
                <w:bottom w:val="none" w:sz="0" w:space="0" w:color="auto"/>
                <w:right w:val="none" w:sz="0" w:space="0" w:color="auto"/>
              </w:divBdr>
              <w:divsChild>
                <w:div w:id="287513148">
                  <w:marLeft w:val="0"/>
                  <w:marRight w:val="0"/>
                  <w:marTop w:val="0"/>
                  <w:marBottom w:val="0"/>
                  <w:divBdr>
                    <w:top w:val="none" w:sz="0" w:space="0" w:color="auto"/>
                    <w:left w:val="none" w:sz="0" w:space="0" w:color="auto"/>
                    <w:bottom w:val="none" w:sz="0" w:space="0" w:color="auto"/>
                    <w:right w:val="none" w:sz="0" w:space="0" w:color="auto"/>
                  </w:divBdr>
                  <w:divsChild>
                    <w:div w:id="660088048">
                      <w:marLeft w:val="1"/>
                      <w:marRight w:val="1"/>
                      <w:marTop w:val="0"/>
                      <w:marBottom w:val="0"/>
                      <w:divBdr>
                        <w:top w:val="none" w:sz="0" w:space="0" w:color="auto"/>
                        <w:left w:val="none" w:sz="0" w:space="0" w:color="auto"/>
                        <w:bottom w:val="none" w:sz="0" w:space="0" w:color="auto"/>
                        <w:right w:val="none" w:sz="0" w:space="0" w:color="auto"/>
                      </w:divBdr>
                      <w:divsChild>
                        <w:div w:id="1348950006">
                          <w:marLeft w:val="0"/>
                          <w:marRight w:val="0"/>
                          <w:marTop w:val="0"/>
                          <w:marBottom w:val="0"/>
                          <w:divBdr>
                            <w:top w:val="none" w:sz="0" w:space="0" w:color="auto"/>
                            <w:left w:val="none" w:sz="0" w:space="0" w:color="auto"/>
                            <w:bottom w:val="none" w:sz="0" w:space="0" w:color="auto"/>
                            <w:right w:val="none" w:sz="0" w:space="0" w:color="auto"/>
                          </w:divBdr>
                          <w:divsChild>
                            <w:div w:id="1189299253">
                              <w:marLeft w:val="0"/>
                              <w:marRight w:val="0"/>
                              <w:marTop w:val="0"/>
                              <w:marBottom w:val="360"/>
                              <w:divBdr>
                                <w:top w:val="none" w:sz="0" w:space="0" w:color="auto"/>
                                <w:left w:val="none" w:sz="0" w:space="0" w:color="auto"/>
                                <w:bottom w:val="none" w:sz="0" w:space="0" w:color="auto"/>
                                <w:right w:val="none" w:sz="0" w:space="0" w:color="auto"/>
                              </w:divBdr>
                              <w:divsChild>
                                <w:div w:id="465394015">
                                  <w:marLeft w:val="0"/>
                                  <w:marRight w:val="0"/>
                                  <w:marTop w:val="0"/>
                                  <w:marBottom w:val="0"/>
                                  <w:divBdr>
                                    <w:top w:val="none" w:sz="0" w:space="0" w:color="auto"/>
                                    <w:left w:val="none" w:sz="0" w:space="0" w:color="auto"/>
                                    <w:bottom w:val="none" w:sz="0" w:space="0" w:color="auto"/>
                                    <w:right w:val="none" w:sz="0" w:space="0" w:color="auto"/>
                                  </w:divBdr>
                                  <w:divsChild>
                                    <w:div w:id="11322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326886">
      <w:bodyDiv w:val="1"/>
      <w:marLeft w:val="0"/>
      <w:marRight w:val="0"/>
      <w:marTop w:val="0"/>
      <w:marBottom w:val="0"/>
      <w:divBdr>
        <w:top w:val="none" w:sz="0" w:space="0" w:color="auto"/>
        <w:left w:val="none" w:sz="0" w:space="0" w:color="auto"/>
        <w:bottom w:val="none" w:sz="0" w:space="0" w:color="auto"/>
        <w:right w:val="none" w:sz="0" w:space="0" w:color="auto"/>
      </w:divBdr>
    </w:div>
    <w:div w:id="1823424812">
      <w:bodyDiv w:val="1"/>
      <w:marLeft w:val="0"/>
      <w:marRight w:val="0"/>
      <w:marTop w:val="0"/>
      <w:marBottom w:val="0"/>
      <w:divBdr>
        <w:top w:val="none" w:sz="0" w:space="0" w:color="auto"/>
        <w:left w:val="none" w:sz="0" w:space="0" w:color="auto"/>
        <w:bottom w:val="none" w:sz="0" w:space="0" w:color="auto"/>
        <w:right w:val="none" w:sz="0" w:space="0" w:color="auto"/>
      </w:divBdr>
    </w:div>
    <w:div w:id="1855455251">
      <w:bodyDiv w:val="1"/>
      <w:marLeft w:val="0"/>
      <w:marRight w:val="0"/>
      <w:marTop w:val="0"/>
      <w:marBottom w:val="0"/>
      <w:divBdr>
        <w:top w:val="none" w:sz="0" w:space="0" w:color="auto"/>
        <w:left w:val="none" w:sz="0" w:space="0" w:color="auto"/>
        <w:bottom w:val="none" w:sz="0" w:space="0" w:color="auto"/>
        <w:right w:val="none" w:sz="0" w:space="0" w:color="auto"/>
      </w:divBdr>
    </w:div>
    <w:div w:id="1935435643">
      <w:bodyDiv w:val="1"/>
      <w:marLeft w:val="0"/>
      <w:marRight w:val="0"/>
      <w:marTop w:val="0"/>
      <w:marBottom w:val="0"/>
      <w:divBdr>
        <w:top w:val="none" w:sz="0" w:space="0" w:color="auto"/>
        <w:left w:val="none" w:sz="0" w:space="0" w:color="auto"/>
        <w:bottom w:val="none" w:sz="0" w:space="0" w:color="auto"/>
        <w:right w:val="none" w:sz="0" w:space="0" w:color="auto"/>
      </w:divBdr>
    </w:div>
    <w:div w:id="1998458193">
      <w:bodyDiv w:val="1"/>
      <w:marLeft w:val="0"/>
      <w:marRight w:val="0"/>
      <w:marTop w:val="0"/>
      <w:marBottom w:val="0"/>
      <w:divBdr>
        <w:top w:val="none" w:sz="0" w:space="0" w:color="auto"/>
        <w:left w:val="none" w:sz="0" w:space="0" w:color="auto"/>
        <w:bottom w:val="none" w:sz="0" w:space="0" w:color="auto"/>
        <w:right w:val="none" w:sz="0" w:space="0" w:color="auto"/>
      </w:divBdr>
    </w:div>
    <w:div w:id="2075003046">
      <w:bodyDiv w:val="1"/>
      <w:marLeft w:val="0"/>
      <w:marRight w:val="0"/>
      <w:marTop w:val="0"/>
      <w:marBottom w:val="0"/>
      <w:divBdr>
        <w:top w:val="none" w:sz="0" w:space="0" w:color="auto"/>
        <w:left w:val="none" w:sz="0" w:space="0" w:color="auto"/>
        <w:bottom w:val="none" w:sz="0" w:space="0" w:color="auto"/>
        <w:right w:val="none" w:sz="0" w:space="0" w:color="auto"/>
      </w:divBdr>
      <w:divsChild>
        <w:div w:id="1712268450">
          <w:marLeft w:val="0"/>
          <w:marRight w:val="0"/>
          <w:marTop w:val="0"/>
          <w:marBottom w:val="0"/>
          <w:divBdr>
            <w:top w:val="none" w:sz="0" w:space="0" w:color="auto"/>
            <w:left w:val="none" w:sz="0" w:space="0" w:color="auto"/>
            <w:bottom w:val="none" w:sz="0" w:space="0" w:color="auto"/>
            <w:right w:val="none" w:sz="0" w:space="0" w:color="auto"/>
          </w:divBdr>
          <w:divsChild>
            <w:div w:id="180778035">
              <w:marLeft w:val="0"/>
              <w:marRight w:val="0"/>
              <w:marTop w:val="0"/>
              <w:marBottom w:val="0"/>
              <w:divBdr>
                <w:top w:val="none" w:sz="0" w:space="0" w:color="auto"/>
                <w:left w:val="none" w:sz="0" w:space="0" w:color="auto"/>
                <w:bottom w:val="none" w:sz="0" w:space="0" w:color="auto"/>
                <w:right w:val="none" w:sz="0" w:space="0" w:color="auto"/>
              </w:divBdr>
              <w:divsChild>
                <w:div w:id="1595285576">
                  <w:marLeft w:val="0"/>
                  <w:marRight w:val="0"/>
                  <w:marTop w:val="0"/>
                  <w:marBottom w:val="0"/>
                  <w:divBdr>
                    <w:top w:val="none" w:sz="0" w:space="0" w:color="auto"/>
                    <w:left w:val="none" w:sz="0" w:space="0" w:color="auto"/>
                    <w:bottom w:val="none" w:sz="0" w:space="0" w:color="auto"/>
                    <w:right w:val="none" w:sz="0" w:space="0" w:color="auto"/>
                  </w:divBdr>
                  <w:divsChild>
                    <w:div w:id="1975213155">
                      <w:marLeft w:val="1"/>
                      <w:marRight w:val="1"/>
                      <w:marTop w:val="0"/>
                      <w:marBottom w:val="0"/>
                      <w:divBdr>
                        <w:top w:val="none" w:sz="0" w:space="0" w:color="auto"/>
                        <w:left w:val="none" w:sz="0" w:space="0" w:color="auto"/>
                        <w:bottom w:val="none" w:sz="0" w:space="0" w:color="auto"/>
                        <w:right w:val="none" w:sz="0" w:space="0" w:color="auto"/>
                      </w:divBdr>
                      <w:divsChild>
                        <w:div w:id="1348167530">
                          <w:marLeft w:val="0"/>
                          <w:marRight w:val="0"/>
                          <w:marTop w:val="0"/>
                          <w:marBottom w:val="0"/>
                          <w:divBdr>
                            <w:top w:val="none" w:sz="0" w:space="0" w:color="auto"/>
                            <w:left w:val="none" w:sz="0" w:space="0" w:color="auto"/>
                            <w:bottom w:val="none" w:sz="0" w:space="0" w:color="auto"/>
                            <w:right w:val="none" w:sz="0" w:space="0" w:color="auto"/>
                          </w:divBdr>
                          <w:divsChild>
                            <w:div w:id="1717856329">
                              <w:marLeft w:val="0"/>
                              <w:marRight w:val="0"/>
                              <w:marTop w:val="0"/>
                              <w:marBottom w:val="360"/>
                              <w:divBdr>
                                <w:top w:val="none" w:sz="0" w:space="0" w:color="auto"/>
                                <w:left w:val="none" w:sz="0" w:space="0" w:color="auto"/>
                                <w:bottom w:val="none" w:sz="0" w:space="0" w:color="auto"/>
                                <w:right w:val="none" w:sz="0" w:space="0" w:color="auto"/>
                              </w:divBdr>
                              <w:divsChild>
                                <w:div w:id="1654404583">
                                  <w:marLeft w:val="0"/>
                                  <w:marRight w:val="0"/>
                                  <w:marTop w:val="0"/>
                                  <w:marBottom w:val="0"/>
                                  <w:divBdr>
                                    <w:top w:val="none" w:sz="0" w:space="0" w:color="auto"/>
                                    <w:left w:val="none" w:sz="0" w:space="0" w:color="auto"/>
                                    <w:bottom w:val="none" w:sz="0" w:space="0" w:color="auto"/>
                                    <w:right w:val="none" w:sz="0" w:space="0" w:color="auto"/>
                                  </w:divBdr>
                                  <w:divsChild>
                                    <w:div w:id="1388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655696">
      <w:bodyDiv w:val="1"/>
      <w:marLeft w:val="0"/>
      <w:marRight w:val="0"/>
      <w:marTop w:val="0"/>
      <w:marBottom w:val="0"/>
      <w:divBdr>
        <w:top w:val="none" w:sz="0" w:space="0" w:color="auto"/>
        <w:left w:val="none" w:sz="0" w:space="0" w:color="auto"/>
        <w:bottom w:val="none" w:sz="0" w:space="0" w:color="auto"/>
        <w:right w:val="none" w:sz="0" w:space="0" w:color="auto"/>
      </w:divBdr>
    </w:div>
    <w:div w:id="2113821858">
      <w:bodyDiv w:val="1"/>
      <w:marLeft w:val="0"/>
      <w:marRight w:val="0"/>
      <w:marTop w:val="0"/>
      <w:marBottom w:val="0"/>
      <w:divBdr>
        <w:top w:val="none" w:sz="0" w:space="0" w:color="auto"/>
        <w:left w:val="none" w:sz="0" w:space="0" w:color="auto"/>
        <w:bottom w:val="none" w:sz="0" w:space="0" w:color="auto"/>
        <w:right w:val="none" w:sz="0" w:space="0" w:color="auto"/>
      </w:divBdr>
    </w:div>
    <w:div w:id="2123644850">
      <w:bodyDiv w:val="1"/>
      <w:marLeft w:val="0"/>
      <w:marRight w:val="0"/>
      <w:marTop w:val="0"/>
      <w:marBottom w:val="0"/>
      <w:divBdr>
        <w:top w:val="none" w:sz="0" w:space="0" w:color="auto"/>
        <w:left w:val="none" w:sz="0" w:space="0" w:color="auto"/>
        <w:bottom w:val="none" w:sz="0" w:space="0" w:color="auto"/>
        <w:right w:val="none" w:sz="0" w:space="0" w:color="auto"/>
      </w:divBdr>
    </w:div>
    <w:div w:id="21374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hyperlink" Target="https://ec.europa.eu/info/funding-tenders/opportunities/portal/screen/opportunities/projects-results;programCode=REC" TargetMode="External"/><Relationship Id="rId39" Type="http://schemas.openxmlformats.org/officeDocument/2006/relationships/hyperlink" Target="https://eur-lex.europa.eu/legal-content/EN/ALL/?uri=CELEX:32016R0679&amp;qid=1613382053477" TargetMode="External"/><Relationship Id="rId21" Type="http://schemas.openxmlformats.org/officeDocument/2006/relationships/hyperlink" Target="https://eur-lex.europa.eu/legal-content/EN/ALL/?uri=CELEX:32018R1046&amp;qid=1535046024012" TargetMode="External"/><Relationship Id="rId34" Type="http://schemas.openxmlformats.org/officeDocument/2006/relationships/hyperlink" Target="https://ec.europa.eu/info/funding-tenders/opportunities/portal/screen/how-to-participate/participant-register" TargetMode="External"/><Relationship Id="rId42" Type="http://schemas.openxmlformats.org/officeDocument/2006/relationships/hyperlink" Target="https://eige.europa.eu/gender-mainstreaming/methods-tools/sex-disaggregated-data" TargetMode="External"/><Relationship Id="rId47" Type="http://schemas.openxmlformats.org/officeDocument/2006/relationships/hyperlink" Target="https://ec.europa.eu/info/funding-tenders/opportunities/docs/2021-2027/common/ftp/tc_en.pdf" TargetMode="External"/><Relationship Id="rId50" Type="http://schemas.openxmlformats.org/officeDocument/2006/relationships/hyperlink" Target="https://webgate.ec.europa.eu/cas/eim/external/register.cgi" TargetMode="External"/><Relationship Id="rId55" Type="http://schemas.openxmlformats.org/officeDocument/2006/relationships/hyperlink" Target="https://ec.europa.eu/info/funding-tenders/opportunities/docs/2021-2027/common/guidance/om_en.pdf" TargetMode="External"/><Relationship Id="rId63" Type="http://schemas.openxmlformats.org/officeDocument/2006/relationships/hyperlink" Target="https://ec.europa.eu/info/funding-tenders/opportunities/portal/screen/how-to-participate/participant-register" TargetMode="External"/><Relationship Id="rId68" Type="http://schemas.openxmlformats.org/officeDocument/2006/relationships/hyperlink" Target="https://ec.europa.eu/info/funding-tenders/opportunities/docs/2021-2027/common/ftp/privacy-statement_en.pdf" TargetMode="External"/><Relationship Id="rId7" Type="http://schemas.openxmlformats.org/officeDocument/2006/relationships/customXml" Target="../customXml/item7.xml"/><Relationship Id="rId71" Type="http://schemas.openxmlformats.org/officeDocument/2006/relationships/hyperlink" Target="https://ec.europa.eu/info/funding-tenders/opportunities/docs/2021-2027/common/ftp/privacy-statement_en.pdf"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4.png"/><Relationship Id="rId11" Type="http://schemas.openxmlformats.org/officeDocument/2006/relationships/settings" Target="settings.xml"/><Relationship Id="rId24" Type="http://schemas.openxmlformats.org/officeDocument/2006/relationships/hyperlink" Target="https://ec.europa.eu/info/funding-tenders/opportunities/docs/2021-2027/common/guidance/aga_en.pdf" TargetMode="External"/><Relationship Id="rId32" Type="http://schemas.openxmlformats.org/officeDocument/2006/relationships/hyperlink" Target="https://ec.europa.eu/info/funding-tenders/opportunities/docs/2021-2027/common/guidance/om_en.pdf" TargetMode="External"/><Relationship Id="rId37" Type="http://schemas.openxmlformats.org/officeDocument/2006/relationships/hyperlink" Target="http://eur-lex.europa.eu/LexUriServ/LexUriServ.do?uri=OJ:C:2013:205:FULL:EN:PDF" TargetMode="External"/><Relationship Id="rId40" Type="http://schemas.openxmlformats.org/officeDocument/2006/relationships/hyperlink" Target="https://eige.europa.eu/gender-mainstreaming/toolkits/gender-impact-assessment/guide-gender-impact-assessment" TargetMode="External"/><Relationship Id="rId45" Type="http://schemas.openxmlformats.org/officeDocument/2006/relationships/hyperlink" Target="https://ec.europa.eu/info/funding-tenders/opportunities/docs/2021-2027/common/guidance/rules-lev-lear-fca_en.pdf" TargetMode="External"/><Relationship Id="rId53" Type="http://schemas.openxmlformats.org/officeDocument/2006/relationships/hyperlink" Target="https://ec.europa.eu/info/funding-tenders/opportunities/portal/screen/support/helpdesks/contact-form" TargetMode="External"/><Relationship Id="rId58" Type="http://schemas.openxmlformats.org/officeDocument/2006/relationships/hyperlink" Target="mailto:EACEA-CERV@ec.europa.eu" TargetMode="External"/><Relationship Id="rId66" Type="http://schemas.openxmlformats.org/officeDocument/2006/relationships/hyperlink" Target="https://eur-lex.europa.eu/legal-content/EN/ALL/?uri=CELEX:32018R1046&amp;qid=1535046024012"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ec.europa.eu/info/funding-tenders/opportunities/docs/2021-2027/common/guidance/om_en.pdf" TargetMode="External"/><Relationship Id="rId28"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36" Type="http://schemas.openxmlformats.org/officeDocument/2006/relationships/hyperlink" Target="http://www.sanctionsmap.eu/" TargetMode="External"/><Relationship Id="rId49" Type="http://schemas.openxmlformats.org/officeDocument/2006/relationships/hyperlink" Target="https://ec.europa.eu/info/funding-tenders/opportunities/docs/2021-2027/common/guidance/aga_en.pdf" TargetMode="External"/><Relationship Id="rId57" Type="http://schemas.openxmlformats.org/officeDocument/2006/relationships/hyperlink" Target="https://ec.europa.eu/info/funding-tenders/opportunities/portal/screen/support/helpdesks/contact-form" TargetMode="External"/><Relationship Id="rId61" Type="http://schemas.openxmlformats.org/officeDocument/2006/relationships/image" Target="media/image60.png"/><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image" Target="media/image5.png"/><Relationship Id="rId44" Type="http://schemas.openxmlformats.org/officeDocument/2006/relationships/hyperlink" Target="https://ec.europa.eu/info/funding-tenders/opportunities/portal/screen/how-to-participate/participant-register" TargetMode="External"/><Relationship Id="rId52"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60" Type="http://schemas.openxmlformats.org/officeDocument/2006/relationships/hyperlink" Target="https://ec.europa.eu/info/funding-tenders/opportunities/portal/screen/how-to-participate/participant-register" TargetMode="External"/><Relationship Id="rId65" Type="http://schemas.openxmlformats.org/officeDocument/2006/relationships/hyperlink" Target="https://ec.europa.eu/info/funding-tenders/opportunities/docs/2021-2027/common/guidance/aga_en.pdf"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ur-lex.europa.eu/legal-content/EN/ALL/?uri=CELEX:32021R0692&amp;qid=1621199407469" TargetMode="External"/><Relationship Id="rId27" Type="http://schemas.openxmlformats.org/officeDocument/2006/relationships/hyperlink" Target="https://ec.europa.eu/justice/grants/results/daphne-toolkit/daphne-toolkit-%E2%80%93-active-resource-daphne-programme_en" TargetMode="External"/><Relationship Id="rId30" Type="http://schemas.openxmlformats.org/officeDocument/2006/relationships/hyperlink" Target="https://ec.europa.eu/info/sites/info/files/standards_child_protection_kcsc_en_1.pdf" TargetMode="External"/><Relationship Id="rId35" Type="http://schemas.openxmlformats.org/officeDocument/2006/relationships/image" Target="media/image6.png"/><Relationship Id="rId43" Type="http://schemas.openxmlformats.org/officeDocument/2006/relationships/hyperlink" Target="https://ec.europa.eu/info/sites/info/files/standards_child_protection_kcsc_en_1.pdf" TargetMode="External"/><Relationship Id="rId48" Type="http://schemas.openxmlformats.org/officeDocument/2006/relationships/hyperlink" Target="https://ec.europa.eu/info/funding-tenders/opportunities/portal/screen/how-to-participate/reference-documents" TargetMode="External"/><Relationship Id="rId56" Type="http://schemas.openxmlformats.org/officeDocument/2006/relationships/hyperlink" Target="https://ec.europa.eu/info/funding-tenders/opportunities/portal/screen/support/faq;categories=;programme=null;actions=;keyword=" TargetMode="External"/><Relationship Id="rId64" Type="http://schemas.openxmlformats.org/officeDocument/2006/relationships/hyperlink" Target="https://ec.europa.eu/info/funding-tenders/opportunities/docs/2021-2027/common/guidance/aga_en.pdf" TargetMode="External"/><Relationship Id="rId69" Type="http://schemas.openxmlformats.org/officeDocument/2006/relationships/hyperlink" Target="https://eur-lex.europa.eu/legal-content/EN/ALL/?uri=CELEX:32018R1046&amp;qid=1535046024012" TargetMode="External"/><Relationship Id="rId8" Type="http://schemas.openxmlformats.org/officeDocument/2006/relationships/customXml" Target="../customXml/item8.xml"/><Relationship Id="rId51" Type="http://schemas.openxmlformats.org/officeDocument/2006/relationships/hyperlink" Target="https://ec.europa.eu/info/funding-tenders/opportunities/portal/screen/how-to-participate/participant-register" TargetMode="Externa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ec.europa.eu/programmes/europe-for-citizens/projects/" TargetMode="External"/><Relationship Id="rId33" Type="http://schemas.openxmlformats.org/officeDocument/2006/relationships/hyperlink" Target="https://ec.europa.eu/info/funding-tenders/opportunities/docs/2021-2027/cerv/guidance/list-3rd-country-participation_cerv_en.pdf" TargetMode="External"/><Relationship Id="rId38" Type="http://schemas.openxmlformats.org/officeDocument/2006/relationships/hyperlink" Target="https://ec.europa.eu/info/funding-tenders/opportunities/docs/2021-2027/common/guidance/rules-lev-lear-fca_en.pdf" TargetMode="External"/><Relationship Id="rId46" Type="http://schemas.openxmlformats.org/officeDocument/2006/relationships/hyperlink" Target="http://eur-lex.europa.eu/legal-content/EN/ALL/?uri=CELEX:31995R2988&amp;qid=1501598622514" TargetMode="External"/><Relationship Id="rId59" Type="http://schemas.openxmlformats.org/officeDocument/2006/relationships/hyperlink" Target="https://ec.europa.eu/info/funding-tenders/opportunities/docs/2021-2027/common/ftp/tc_en.pdf" TargetMode="External"/><Relationship Id="rId67" Type="http://schemas.openxmlformats.org/officeDocument/2006/relationships/hyperlink" Target="https://ec.europa.eu/budget/fts/index_en.htm" TargetMode="External"/><Relationship Id="rId20" Type="http://schemas.openxmlformats.org/officeDocument/2006/relationships/image" Target="media/image3.png"/><Relationship Id="rId41" Type="http://schemas.openxmlformats.org/officeDocument/2006/relationships/hyperlink" Target="http://www.enil.eu/wp-content/uploads/2012/07/Non-discrimination-mainstreaming-instruments-case-studies-way-forward.pdf" TargetMode="External"/><Relationship Id="rId54" Type="http://schemas.openxmlformats.org/officeDocument/2006/relationships/hyperlink" Target="https://ec.europa.eu/info/funding-tenders/opportunities/docs/2021-2027/common/guidance/om_en.pdf" TargetMode="External"/><Relationship Id="rId62" Type="http://schemas.openxmlformats.org/officeDocument/2006/relationships/hyperlink" Target="https://ec.europa.eu/info/funding-tenders/opportunities/docs/2021-2027/common/ftp/tc_en.pdf" TargetMode="External"/><Relationship Id="rId70" Type="http://schemas.openxmlformats.org/officeDocument/2006/relationships/hyperlink" Target="https://ec.europa.eu/budget/fts/index_en.htm"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xUriServ/LexUriServ.do?uri=OJ:C:2013:205:FULL:EN:PDF" TargetMode="External"/><Relationship Id="rId3" Type="http://schemas.openxmlformats.org/officeDocument/2006/relationships/hyperlink" Target="https://ec.europa.eu/info/sites/default/files/eu_citizenship_report_2020_-_empowering_citizens_and_protecting_their_rights_en.pdf" TargetMode="External"/><Relationship Id="rId7" Type="http://schemas.openxmlformats.org/officeDocument/2006/relationships/hyperlink" Target="http://www.sanctionsmap.eu/" TargetMode="External"/><Relationship Id="rId12" Type="http://schemas.openxmlformats.org/officeDocument/2006/relationships/hyperlink" Target="https://ec.europa.eu/info/funding-tenders/opportunities/docs/2021-2027/cerv/guidance/ls-decision_cerv_en.pdf" TargetMode="External"/><Relationship Id="rId2" Type="http://schemas.openxmlformats.org/officeDocument/2006/relationships/hyperlink" Target="https://ec.europa.eu/info/aid-development-cooperation-fundamental-rights/your-rights-eu/eu-charter-fundamental-rights/application-charter/eu-strategy-strengthen-application-charter_en" TargetMode="External"/><Relationship Id="rId1" Type="http://schemas.openxmlformats.org/officeDocument/2006/relationships/hyperlink" Target="https://ec.europa.eu/info/publications/new-eu-roma-strategic-framework-equality-inclusion-and-participation-full-package_en" TargetMode="External"/><Relationship Id="rId6" Type="http://schemas.openxmlformats.org/officeDocument/2006/relationships/hyperlink" Target="https://eur-lex.europa.eu/legal-content/EN/ALL/?uri=CELEX:32018R1046&amp;qid=1535046024012" TargetMode="External"/><Relationship Id="rId11" Type="http://schemas.openxmlformats.org/officeDocument/2006/relationships/hyperlink" Target="https://eur-lex.europa.eu/legal-content/EN/ALL/?uri=CELEX:32018R1046&amp;qid=1535046024012" TargetMode="External"/><Relationship Id="rId5" Type="http://schemas.openxmlformats.org/officeDocument/2006/relationships/hyperlink" Target="https://eur-lex.europa.eu/legal-content/EN/ALL/?uri=CELEX:32018R1046&amp;qid=1535046024012" TargetMode="External"/><Relationship Id="rId10" Type="http://schemas.openxmlformats.org/officeDocument/2006/relationships/hyperlink" Target="https://eur-lex.europa.eu/legal-content/EN/ALL/?uri=CELEX:32018R1046&amp;qid=1535046024012" TargetMode="External"/><Relationship Id="rId4" Type="http://schemas.openxmlformats.org/officeDocument/2006/relationships/hyperlink" Target="https://ec.europa.eu/info/strategy/priorities-2019-2024/new-push-european-democracy/conference-future-europe_en" TargetMode="External"/><Relationship Id="rId9" Type="http://schemas.openxmlformats.org/officeDocument/2006/relationships/hyperlink" Target="http://www.enil.eu/wp-content/uploads/2012/07/Non-discrimination-mainstreaming-instruments-case-studies-way-forwar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EurolookProperties>
  <ProductCustomizationId/>
  <Created>
    <Version>4.5</Version>
    <Date>2019-04-12T14:20:34</Date>
    <Language>EN</Language>
    <Note/>
  </Created>
  <Edited>
    <Version>10.0.42447.0</Version>
    <Date>2021-11-09T09:08:35</Date>
  </Edited>
  <DocumentModel>
    <Id>758e4243-45d9-4080-b5fe-135751945526</Id>
    <Name>Speech</Name>
  </DocumentModel>
  <DocumentDate/>
  <DocumentVersion/>
  <CompatibilityMode>Eurolook4X</CompatibilityMode>
</Eurolook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Texts>
  <SecurityPersonalData>Personal data</SecurityPersonalData>
  <SecurityPharma>Pharma investigations</SecurityPharma>
  <MarkingUntilText>UNTIL</MarkingUntilText>
  <SecurityMediationServiceMatter>Mediation service</SecurityMediationServiceMatter>
  <SecurityEconomyAndFinance>Economy and finance</SecurityEconomyAndFinance>
  <FooterFax>Fax</FooterFax>
  <FooterOffice>Office:</FooterOffice>
  <SecurityOlafInvestigations>OLAF investigations</SecurityOlafInvestigations>
  <SensitiveHandling>Handling instructions for SENSITIVE information are given at https://europa.eu/!db43PX</SensitiveHandling>
  <SecurityOlafSpecialHandling>OLAF investigations</SecurityOlafSpecialHandling>
  <SecurityPersonal>Personal</SecurityPersonal>
  <CourtProceduralDocuments>Court procedural documents</CourtProceduralDocuments>
  <OrgaRoot>EUROPEAN COMMISSION</OrgaRoot>
  <SensitiveLabel>Sensitive</SensitiveLabel>
  <SpecialHandlingLabel>Special Handling</SpecialHandlingLabel>
  <SecurityInvestigationsDisciplinary>Investigations and disciplinary matters</SecurityInvestigationsDisciplinary>
  <SecurityCompOperations>COMP Operations</SecurityCompOperations>
  <SecurityEuSatellite>EU satellite navigation matters</SecurityEuSatellite>
  <SecurityReleasable>RELEASABLE TO:</SecurityReleasable>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SecurityEtsCritical>ETS Critical</SecurityEtsCritical>
  <SecurityCompSpecial>COMP</SecurityCompSpecial>
  <SecurityPharmaSpecial>Pharma investigations</SecurityPharmaSpecial>
  <TOCHeading>Table of Contents</TOCHeading>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TLPAmber>TLP: Amber</TLPAmber>
  <SecurityMedicalSecret>Medical secret</SecurityMedicalSecret>
  <SecurityEmbargo>Embargo until</SecurityEmbargo>
  <DateFormatShort>dd/MM/yyyy</DateFormatShort>
  <DateFormatLong>d MMMM yyyy</DateFormatLong>
</Texts>
</file>

<file path=customXml/item5.xml><?xml version="1.0" encoding="utf-8"?>
<Author Role="Creator">
  <Id>1d61e911-a39a-4b43-bbd8-7e4df8ddd3c8</Id>
  <Names>
    <Latin>
      <FirstName>Konstantinos</FirstName>
      <LastName>KOKOSIS</LastName>
    </Latin>
    <Greek>
      <FirstName/>
      <LastName/>
    </Greek>
    <Cyrillic>
      <FirstName/>
      <LastName/>
    </Cyrillic>
    <DocumentScript>
      <FirstName>Konstantinos</FirstName>
      <LastName>KOKOSIS</LastName>
      <FullName>Konstantinos KOKOSIS</FullName>
    </DocumentScript>
  </Names>
  <Initials>DinosK</Initials>
  <Gender>m</Gender>
  <Email>Konstantinos.KOKOSIS@ext.ec.europa.eu</Email>
  <Service>RTD.J.4.004</Service>
  <Function ShowInSignature="true"/>
  <WebAddress/>
  <InheritedWebAddress>WebAddress</InheritedWebAddress>
  <OrgaEntity1>
    <Id>201586b8-400f-4f1b-ab81-bfd045290f9b</Id>
    <LogicalLevel>1</LogicalLevel>
    <Name>RTD</Name>
    <HeadLine1>DIRECTORATE-GENERAL FOR RESEARCH &amp; INNOVATION</HeadLine1>
    <HeadLine2/>
    <PrimaryAddressId>f03b5801-04c9-4931-aa17-c6d6c70bc579</PrimaryAddressId>
    <SecondaryAddressId/>
    <WebAddress>WebAddress</WebAddress>
    <InheritedWebAddress>WebAddress</InheritedWebAddress>
    <ShowInHeader>true</ShowInHeader>
  </OrgaEntity1>
  <OrgaEntity2>
    <Id>4c8f0bf8-d9c9-47b3-8eb7-3ab9cc8e7e7c</Id>
    <LogicalLevel>2</LogicalLevel>
    <Name>RTD.J</Name>
    <HeadLine1>Common Support Centre</HeadLine1>
    <HeadLine2/>
    <PrimaryAddressId>f03b5801-04c9-4931-aa17-c6d6c70bc579</PrimaryAddressId>
    <SecondaryAddressId/>
    <WebAddress/>
    <InheritedWebAddress>WebAddress</InheritedWebAddress>
    <ShowInHeader>true</ShowInHeader>
  </OrgaEntity2>
  <OrgaEntity3>
    <Id>7d918adf-1a57-4e57-9ca2-3ad57f2888d2</Id>
    <LogicalLevel>3</LogicalLevel>
    <Name>RTD.J.4</Name>
    <HeadLine1>Common IT service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+32 229 83882</Phone>
    <Office>ORBN 05/095</Office>
  </MainWorkplace>
  <Workplaces>
    <Workplace IsMain="false">
      <AddressId>1264fb81-f6bb-475e-9f9d-a937d3be6ee2</AddressId>
      <Fax/>
      <Phone/>
      <Office/>
    </Workplace>
    <Workplace IsMain="true">
      <AddressId>f03b5801-04c9-4931-aa17-c6d6c70bc579</AddressId>
      <Fax/>
      <Phone>+32 229 83882</Phone>
      <Office>ORBN 05/095</Office>
    </Workplace>
  </Workplaces>
</Author>
</file>

<file path=customXml/item6.xml><?xml version="1.0" encoding="utf-8"?>
<ct:contentTypeSchema xmlns:ct="http://schemas.microsoft.com/office/2006/metadata/contentType" xmlns:ma="http://schemas.microsoft.com/office/2006/metadata/properties/metaAttributes" ct:_="" ma:_="" ma:contentTypeName="Document" ma:contentTypeID="0x01010043D24022E66C1540A3B1E037465E0CE3" ma:contentTypeVersion="4" ma:contentTypeDescription="Create a new document." ma:contentTypeScope="" ma:versionID="ed01af0cf8280fc8bb4fc4e81038fd21">
  <xsd:schema xmlns:xsd="http://www.w3.org/2001/XMLSchema" xmlns:xs="http://www.w3.org/2001/XMLSchema" xmlns:p="http://schemas.microsoft.com/office/2006/metadata/properties" xmlns:ns2="d07530ff-ae8d-4383-9420-67306a016191" targetNamespace="http://schemas.microsoft.com/office/2006/metadata/properties" ma:root="true" ma:fieldsID="af8d9a1147f775ca281a46cdfa936f4a" ns2:_="">
    <xsd:import namespace="d07530ff-ae8d-4383-9420-67306a0161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30ff-ae8d-4383-9420-67306a016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F4B3D-80B9-475A-93B0-1C898EC057A7}">
  <ds:schemaRefs>
    <ds:schemaRef ds:uri="http://schemas.microsoft.com/office/2006/metadata/longProperties"/>
  </ds:schemaRefs>
</ds:datastoreItem>
</file>

<file path=customXml/itemProps2.xml><?xml version="1.0" encoding="utf-8"?>
<ds:datastoreItem xmlns:ds="http://schemas.openxmlformats.org/officeDocument/2006/customXml" ds:itemID="{A64404DA-45EE-468F-9B83-25C3DBD29BC4}">
  <ds:schemaRefs/>
</ds:datastoreItem>
</file>

<file path=customXml/itemProps3.xml><?xml version="1.0" encoding="utf-8"?>
<ds:datastoreItem xmlns:ds="http://schemas.openxmlformats.org/officeDocument/2006/customXml" ds:itemID="{260DCBEA-C60B-4717-BD55-FC8385B26BE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07530ff-ae8d-4383-9420-67306a016191"/>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F1CA5B75-1EA7-4628-935C-286E27E0EEEB}">
  <ds:schemaRefs/>
</ds:datastoreItem>
</file>

<file path=customXml/itemProps5.xml><?xml version="1.0" encoding="utf-8"?>
<ds:datastoreItem xmlns:ds="http://schemas.openxmlformats.org/officeDocument/2006/customXml" ds:itemID="{9034E5F8-F5C8-4DD5-B73A-9040160523CA}">
  <ds:schemaRefs/>
</ds:datastoreItem>
</file>

<file path=customXml/itemProps6.xml><?xml version="1.0" encoding="utf-8"?>
<ds:datastoreItem xmlns:ds="http://schemas.openxmlformats.org/officeDocument/2006/customXml" ds:itemID="{1E5F6601-D36A-42D2-8B9E-CF2F7A382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30ff-ae8d-4383-9420-67306a016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861A413-90F2-4273-AA7B-403E11F13F13}">
  <ds:schemaRefs>
    <ds:schemaRef ds:uri="http://schemas.microsoft.com/sharepoint/v3/contenttype/forms"/>
  </ds:schemaRefs>
</ds:datastoreItem>
</file>

<file path=customXml/itemProps8.xml><?xml version="1.0" encoding="utf-8"?>
<ds:datastoreItem xmlns:ds="http://schemas.openxmlformats.org/officeDocument/2006/customXml" ds:itemID="{E459BEE5-18F4-4103-8F1F-CB821C6F3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130</TotalTime>
  <Pages>29</Pages>
  <Words>7203</Words>
  <Characters>56259</Characters>
  <Application>Microsoft Office Word</Application>
  <DocSecurity>0</DocSecurity>
  <PresentationFormat>Microsoft Word 14.0</PresentationFormat>
  <Lines>468</Lines>
  <Paragraphs>126</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63336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dc:description/>
  <cp:lastModifiedBy>STANCIULESCU Luminita (EACEA)</cp:lastModifiedBy>
  <cp:revision>43</cp:revision>
  <cp:lastPrinted>2017-11-06T13:30:00Z</cp:lastPrinted>
  <dcterms:created xsi:type="dcterms:W3CDTF">2021-12-09T12:20:00Z</dcterms:created>
  <dcterms:modified xsi:type="dcterms:W3CDTF">2022-01-24T14:55:00Z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4.5..01</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spe.dot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Danielle BARBIEUX</vt:lpwstr>
  </property>
  <property fmtid="{D5CDD505-2E9C-101B-9397-08002B2CF9AE}" pid="10" name="Type">
    <vt:lpwstr>Eurolook Speech</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0x01010043D24022E66C1540A3B1E037465E0CE3</vt:lpwstr>
  </property>
</Properties>
</file>