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FCDCDD" w14:textId="543EC957" w:rsidR="00F9780D" w:rsidRPr="009419CA" w:rsidRDefault="009419CA" w:rsidP="00BC77C3">
      <w:pPr>
        <w:jc w:val="center"/>
        <w:rPr>
          <w:b/>
          <w:lang w:val="en-US"/>
        </w:rPr>
      </w:pPr>
      <w:r w:rsidRPr="009419CA">
        <w:rPr>
          <w:rFonts w:ascii="EC Square Sans Pro" w:hAnsi="EC Square Sans Pro"/>
          <w:b/>
          <w:color w:val="00B0F0"/>
          <w:sz w:val="30"/>
          <w:szCs w:val="30"/>
        </w:rPr>
        <w:t>F’każ ta’ diskrepanzi bejn il-verżjonijiet l</w:t>
      </w:r>
      <w:bookmarkStart w:id="0" w:name="_GoBack"/>
      <w:bookmarkEnd w:id="0"/>
      <w:r w:rsidRPr="009419CA">
        <w:rPr>
          <w:rFonts w:ascii="EC Square Sans Pro" w:hAnsi="EC Square Sans Pro"/>
          <w:b/>
          <w:color w:val="00B0F0"/>
          <w:sz w:val="30"/>
          <w:szCs w:val="30"/>
        </w:rPr>
        <w:t>ingwistiċi differenti, għandha tipprevali l-verżjoni bl-Ingliż.</w:t>
      </w:r>
    </w:p>
    <w:p w14:paraId="0385DD63" w14:textId="77777777" w:rsidR="00BC77C3" w:rsidRPr="00BC77C3" w:rsidRDefault="00BC77C3" w:rsidP="00BC77C3">
      <w:pPr>
        <w:jc w:val="center"/>
      </w:pPr>
    </w:p>
    <w:p w14:paraId="418ADFA1" w14:textId="75C8365F" w:rsidR="00BC77C3" w:rsidRPr="00BC77C3" w:rsidRDefault="005A3754" w:rsidP="00091DCA">
      <w:pPr>
        <w:jc w:val="center"/>
        <w:rPr>
          <w:rFonts w:ascii="Arial" w:hAnsi="Arial"/>
        </w:rPr>
      </w:pPr>
      <w:r>
        <w:rPr>
          <w:noProof/>
          <w:lang w:val="en-IE" w:eastAsia="en-IE"/>
        </w:rPr>
        <w:drawing>
          <wp:inline distT="0" distB="0" distL="0" distR="0" wp14:anchorId="3A69CB9C" wp14:editId="4CD3D611">
            <wp:extent cx="3198873" cy="2175753"/>
            <wp:effectExtent l="0" t="0" r="0" b="0"/>
            <wp:docPr id="1" name="Picture 1307357487" title="Title: Title: Title: Title: flag_yellow_low"/>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07357487" name="Picture 1307357487" title="Title: Title: Title: Title: flag_yellow_low"/>
                    <pic:cNvPicPr/>
                  </pic:nvPicPr>
                  <pic:blipFill>
                    <a:blip r:embed="rId15">
                      <a:extLst>
                        <a:ext uri="{28A0092B-C50C-407E-A947-70E740481C1C}">
                          <a14:useLocalDpi xmlns:a14="http://schemas.microsoft.com/office/drawing/2010/main" val="0"/>
                        </a:ext>
                      </a:extLst>
                    </a:blip>
                    <a:srcRect r="-59" b="-115"/>
                    <a:stretch>
                      <a:fillRect/>
                    </a:stretch>
                  </pic:blipFill>
                  <pic:spPr>
                    <a:xfrm>
                      <a:off x="0" y="0"/>
                      <a:ext cx="3198495" cy="2175510"/>
                    </a:xfrm>
                    <a:prstGeom prst="rect">
                      <a:avLst/>
                    </a:prstGeom>
                  </pic:spPr>
                </pic:pic>
              </a:graphicData>
            </a:graphic>
          </wp:inline>
        </w:drawing>
      </w:r>
    </w:p>
    <w:p w14:paraId="5C568077" w14:textId="77777777" w:rsidR="00BC77C3" w:rsidRPr="00BC77C3" w:rsidRDefault="00BC77C3" w:rsidP="00F9780D">
      <w:pPr>
        <w:jc w:val="center"/>
        <w:rPr>
          <w:rFonts w:ascii="Arial" w:hAnsi="Arial"/>
        </w:rPr>
      </w:pPr>
    </w:p>
    <w:p w14:paraId="7D8B3237" w14:textId="77777777" w:rsidR="00BC77C3" w:rsidRPr="00BC77C3" w:rsidRDefault="00BC77C3" w:rsidP="00F9780D">
      <w:pPr>
        <w:jc w:val="center"/>
        <w:rPr>
          <w:rFonts w:ascii="Arial" w:hAnsi="Arial"/>
        </w:rPr>
      </w:pPr>
    </w:p>
    <w:p w14:paraId="35065F78" w14:textId="17DB65C8" w:rsidR="00877924" w:rsidRPr="00A90E6D" w:rsidRDefault="00DE39DA" w:rsidP="42BB08A3">
      <w:pPr>
        <w:jc w:val="center"/>
        <w:rPr>
          <w:rFonts w:ascii="EC Square Sans Pro Light" w:hAnsi="EC Square Sans Pro Light"/>
          <w:b/>
          <w:bCs/>
          <w:sz w:val="48"/>
          <w:szCs w:val="48"/>
        </w:rPr>
      </w:pPr>
      <w:r>
        <w:rPr>
          <w:rFonts w:ascii="EC Square Sans Pro Medium" w:hAnsi="EC Square Sans Pro Medium"/>
          <w:b/>
          <w:bCs/>
          <w:sz w:val="48"/>
          <w:szCs w:val="48"/>
        </w:rPr>
        <w:t>Programm dwar iċ-Ċittadini, l-Ugwaljanza, id-Drittijiet u l-Valuri (CERV)</w:t>
      </w:r>
    </w:p>
    <w:p w14:paraId="50894FE4" w14:textId="77777777" w:rsidR="00877924" w:rsidRPr="00877924" w:rsidRDefault="00877924" w:rsidP="00874AFD">
      <w:pPr>
        <w:jc w:val="center"/>
        <w:rPr>
          <w:rFonts w:ascii="EC Square Sans Pro Light" w:hAnsi="EC Square Sans Pro Light"/>
          <w:b/>
        </w:rPr>
      </w:pPr>
    </w:p>
    <w:p w14:paraId="3ECABABD" w14:textId="43646D72" w:rsidR="00877924" w:rsidRPr="00462AC2" w:rsidRDefault="00874AFD" w:rsidP="009E0E8F">
      <w:pPr>
        <w:spacing w:after="320"/>
        <w:jc w:val="center"/>
        <w:rPr>
          <w:rFonts w:ascii="EC Square Sans Pro Light" w:hAnsi="EC Square Sans Pro Light"/>
          <w:b/>
          <w:bCs/>
          <w:sz w:val="48"/>
          <w:szCs w:val="48"/>
        </w:rPr>
      </w:pPr>
      <w:r>
        <w:rPr>
          <w:rFonts w:ascii="EC Square Sans Pro Light" w:hAnsi="EC Square Sans Pro Light"/>
          <w:b/>
          <w:bCs/>
          <w:sz w:val="48"/>
          <w:szCs w:val="48"/>
        </w:rPr>
        <w:t xml:space="preserve">Sejħa għal proposti </w:t>
      </w:r>
    </w:p>
    <w:p w14:paraId="026AC77F" w14:textId="77777777" w:rsidR="00BA69DD" w:rsidRPr="005C3A23" w:rsidRDefault="00BA69DD" w:rsidP="00BA69DD">
      <w:pPr>
        <w:spacing w:after="320"/>
        <w:jc w:val="center"/>
        <w:rPr>
          <w:rFonts w:ascii="EC Square Sans Pro Light" w:hAnsi="EC Square Sans Pro Light"/>
          <w:b/>
          <w:bCs/>
          <w:sz w:val="48"/>
          <w:szCs w:val="48"/>
        </w:rPr>
      </w:pPr>
    </w:p>
    <w:p w14:paraId="5D3C2DA6" w14:textId="7FDDFAD8" w:rsidR="00BE4CEF" w:rsidRDefault="00BE4CEF" w:rsidP="00BE4CEF">
      <w:pPr>
        <w:jc w:val="center"/>
        <w:rPr>
          <w:rFonts w:ascii="EC Square Sans Pro" w:eastAsia="EC Square Sans Pro" w:hAnsi="EC Square Sans Pro" w:cs="EC Square Sans Pro"/>
          <w:color w:val="000000"/>
          <w:sz w:val="30"/>
          <w:szCs w:val="30"/>
        </w:rPr>
      </w:pPr>
      <w:r>
        <w:rPr>
          <w:rFonts w:ascii="EC Square Sans Pro" w:hAnsi="EC Square Sans Pro"/>
          <w:color w:val="000000"/>
          <w:sz w:val="30"/>
          <w:szCs w:val="30"/>
        </w:rPr>
        <w:t>Ġemellaġġ ta’ Bliet u Networks ta’ Bliet</w:t>
      </w:r>
    </w:p>
    <w:p w14:paraId="7A38AB7F" w14:textId="32C6C549" w:rsidR="00BE4CEF" w:rsidRDefault="00E81CEB" w:rsidP="00BE4CEF">
      <w:pPr>
        <w:jc w:val="center"/>
        <w:rPr>
          <w:rFonts w:ascii="EC Square Sans Pro" w:hAnsi="EC Square Sans Pro" w:cs="EC Square Sans Pro"/>
          <w:color w:val="000000"/>
          <w:sz w:val="30"/>
          <w:szCs w:val="30"/>
        </w:rPr>
      </w:pPr>
      <w:r>
        <w:rPr>
          <w:rFonts w:ascii="EC Square Sans Pro" w:hAnsi="EC Square Sans Pro"/>
          <w:color w:val="000000"/>
          <w:sz w:val="30"/>
          <w:szCs w:val="30"/>
        </w:rPr>
        <w:t xml:space="preserve">(CERV-2022-CITIZENS-TOWN: </w:t>
      </w:r>
    </w:p>
    <w:p w14:paraId="68B0281F" w14:textId="4C206E2A" w:rsidR="00BE4CEF" w:rsidRDefault="00E81CEB" w:rsidP="00BE4CEF">
      <w:pPr>
        <w:jc w:val="center"/>
        <w:rPr>
          <w:rFonts w:ascii="EC Square Sans Pro" w:eastAsia="EC Square Sans Pro" w:hAnsi="EC Square Sans Pro" w:cs="EC Square Sans Pro"/>
          <w:color w:val="000000"/>
          <w:sz w:val="30"/>
          <w:szCs w:val="30"/>
        </w:rPr>
      </w:pPr>
      <w:r>
        <w:rPr>
          <w:rFonts w:ascii="EC Square Sans Pro" w:hAnsi="EC Square Sans Pro"/>
          <w:color w:val="000000"/>
          <w:sz w:val="30"/>
          <w:szCs w:val="30"/>
        </w:rPr>
        <w:t>CERV-2022-TOWN-TT, CERV-2022-TOWN-NT)</w:t>
      </w:r>
    </w:p>
    <w:p w14:paraId="3EDE395E" w14:textId="77777777" w:rsidR="007A412A" w:rsidRPr="00917559" w:rsidRDefault="007A412A" w:rsidP="007A412A">
      <w:pPr>
        <w:jc w:val="center"/>
        <w:rPr>
          <w:rFonts w:ascii="EC Square Sans Pro Light" w:hAnsi="EC Square Sans Pro Light"/>
          <w:b/>
        </w:rPr>
      </w:pPr>
    </w:p>
    <w:p w14:paraId="6E4B9879" w14:textId="77777777" w:rsidR="007A412A" w:rsidRPr="00917559" w:rsidRDefault="007A412A" w:rsidP="007A412A">
      <w:pPr>
        <w:jc w:val="center"/>
        <w:rPr>
          <w:rFonts w:ascii="EC Square Sans Pro Light" w:hAnsi="EC Square Sans Pro Light"/>
          <w:b/>
        </w:rPr>
      </w:pPr>
    </w:p>
    <w:p w14:paraId="6525452D" w14:textId="77777777" w:rsidR="007A412A" w:rsidRPr="00917559" w:rsidRDefault="007A412A" w:rsidP="007A412A">
      <w:pPr>
        <w:jc w:val="center"/>
        <w:rPr>
          <w:rFonts w:ascii="EC Square Sans Pro Light" w:hAnsi="EC Square Sans Pro Light"/>
          <w:b/>
        </w:rPr>
      </w:pPr>
    </w:p>
    <w:p w14:paraId="61DBCCDA" w14:textId="77777777" w:rsidR="007A412A" w:rsidRPr="00917559" w:rsidRDefault="007A412A" w:rsidP="007A412A">
      <w:pPr>
        <w:jc w:val="center"/>
        <w:rPr>
          <w:rFonts w:ascii="EC Square Sans Pro Light" w:hAnsi="EC Square Sans Pro Light"/>
          <w:b/>
        </w:rPr>
      </w:pPr>
    </w:p>
    <w:p w14:paraId="5FB6A2F5" w14:textId="51B3A1A9" w:rsidR="00877924" w:rsidRPr="00877924" w:rsidRDefault="00877924" w:rsidP="007A412A">
      <w:pPr>
        <w:spacing w:after="0"/>
        <w:jc w:val="center"/>
        <w:rPr>
          <w:rFonts w:ascii="EC Square Sans Pro Light" w:hAnsi="EC Square Sans Pro Light"/>
          <w:b/>
        </w:rPr>
      </w:pPr>
      <w:r>
        <w:rPr>
          <w:rFonts w:ascii="EC Square Sans Pro Light" w:hAnsi="EC Square Sans Pro Light"/>
          <w:b/>
        </w:rPr>
        <w:t>Verżjoni 1.0</w:t>
      </w:r>
    </w:p>
    <w:p w14:paraId="6AA6E93A" w14:textId="5A75814B" w:rsidR="00A2572D" w:rsidRDefault="0086598B" w:rsidP="00A2572D">
      <w:pPr>
        <w:spacing w:after="0"/>
        <w:jc w:val="center"/>
        <w:rPr>
          <w:rFonts w:ascii="EC Square Sans Pro Light" w:hAnsi="EC Square Sans Pro Light"/>
          <w:b/>
        </w:rPr>
      </w:pPr>
      <w:r>
        <w:rPr>
          <w:rFonts w:ascii="EC Square Sans Pro Light" w:hAnsi="EC Square Sans Pro Light"/>
          <w:b/>
        </w:rPr>
        <w:t>16 ta’ Novembru 2021</w:t>
      </w:r>
    </w:p>
    <w:p w14:paraId="048B71E5" w14:textId="77777777" w:rsidR="00A2572D" w:rsidRDefault="00A2572D" w:rsidP="00A2572D">
      <w:pPr>
        <w:spacing w:after="0"/>
        <w:jc w:val="center"/>
        <w:rPr>
          <w:rFonts w:ascii="EC Square Sans Pro Light" w:hAnsi="EC Square Sans Pro Light"/>
          <w:bCs/>
          <w:lang w:val="en-US" w:eastAsia="en-GB"/>
        </w:rPr>
        <w:sectPr w:rsidR="00A2572D" w:rsidSect="007E6BA0">
          <w:headerReference w:type="default" r:id="rId16"/>
          <w:footerReference w:type="default" r:id="rId17"/>
          <w:headerReference w:type="first" r:id="rId18"/>
          <w:footerReference w:type="first" r:id="rId19"/>
          <w:pgSz w:w="11906" w:h="16838" w:code="9"/>
          <w:pgMar w:top="1560" w:right="1588" w:bottom="1276" w:left="1588" w:header="567" w:footer="737" w:gutter="0"/>
          <w:cols w:space="720"/>
          <w:titlePg/>
          <w:docGrid w:linePitch="381"/>
        </w:sectPr>
      </w:pPr>
    </w:p>
    <w:tbl>
      <w:tblPr>
        <w:tblW w:w="9000" w:type="dxa"/>
        <w:jc w:val="center"/>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ayout w:type="fixed"/>
        <w:tblCellMar>
          <w:left w:w="45" w:type="dxa"/>
          <w:right w:w="45" w:type="dxa"/>
        </w:tblCellMar>
        <w:tblLook w:val="04A0" w:firstRow="1" w:lastRow="0" w:firstColumn="1" w:lastColumn="0" w:noHBand="0" w:noVBand="1"/>
      </w:tblPr>
      <w:tblGrid>
        <w:gridCol w:w="975"/>
        <w:gridCol w:w="1350"/>
        <w:gridCol w:w="6000"/>
        <w:gridCol w:w="675"/>
      </w:tblGrid>
      <w:tr w:rsidR="002F6C8E" w:rsidRPr="002F6C8E" w14:paraId="366E97BE" w14:textId="77777777" w:rsidTr="002F6C8E">
        <w:trPr>
          <w:jc w:val="center"/>
        </w:trPr>
        <w:tc>
          <w:tcPr>
            <w:tcW w:w="9000" w:type="dxa"/>
            <w:gridSpan w:val="4"/>
            <w:hideMark/>
          </w:tcPr>
          <w:p w14:paraId="6DE6483F" w14:textId="77777777" w:rsidR="00877924" w:rsidRPr="002F6C8E" w:rsidRDefault="00877924" w:rsidP="00877924">
            <w:pPr>
              <w:spacing w:before="160" w:after="160"/>
              <w:jc w:val="center"/>
              <w:rPr>
                <w:b/>
                <w:color w:val="595959"/>
              </w:rPr>
            </w:pPr>
            <w:r>
              <w:lastRenderedPageBreak/>
              <w:br w:type="page"/>
            </w:r>
            <w:r>
              <w:br w:type="page"/>
            </w:r>
            <w:r>
              <w:br w:type="page"/>
            </w:r>
            <w:r>
              <w:rPr>
                <w:b/>
                <w:color w:val="595959"/>
              </w:rPr>
              <w:t>L-ISTORJA TAL-BIDLIET</w:t>
            </w:r>
          </w:p>
        </w:tc>
      </w:tr>
      <w:tr w:rsidR="002F6C8E" w:rsidRPr="002F6C8E" w14:paraId="4E3EB65A" w14:textId="77777777" w:rsidTr="002F6C8E">
        <w:trPr>
          <w:jc w:val="center"/>
        </w:trPr>
        <w:tc>
          <w:tcPr>
            <w:tcW w:w="975" w:type="dxa"/>
            <w:vAlign w:val="center"/>
            <w:hideMark/>
          </w:tcPr>
          <w:p w14:paraId="4BC01B6E" w14:textId="77777777" w:rsidR="00877924" w:rsidRPr="002F6C8E" w:rsidRDefault="00877924" w:rsidP="00877924">
            <w:pPr>
              <w:spacing w:before="60" w:after="60"/>
              <w:jc w:val="center"/>
              <w:rPr>
                <w:b/>
                <w:color w:val="595959"/>
              </w:rPr>
            </w:pPr>
            <w:r>
              <w:rPr>
                <w:b/>
                <w:color w:val="595959"/>
              </w:rPr>
              <w:t>Verżjoni</w:t>
            </w:r>
          </w:p>
        </w:tc>
        <w:tc>
          <w:tcPr>
            <w:tcW w:w="1350" w:type="dxa"/>
            <w:vAlign w:val="center"/>
            <w:hideMark/>
          </w:tcPr>
          <w:p w14:paraId="23E928C6" w14:textId="77777777" w:rsidR="00877924" w:rsidRPr="002F6C8E" w:rsidRDefault="00877924" w:rsidP="00877924">
            <w:pPr>
              <w:keepNext/>
              <w:tabs>
                <w:tab w:val="right" w:pos="9063"/>
              </w:tabs>
              <w:spacing w:before="60" w:after="60"/>
              <w:ind w:left="-54"/>
              <w:jc w:val="center"/>
              <w:outlineLvl w:val="1"/>
              <w:rPr>
                <w:b/>
                <w:bCs/>
                <w:iCs/>
                <w:color w:val="595959"/>
              </w:rPr>
            </w:pPr>
            <w:r>
              <w:rPr>
                <w:b/>
                <w:bCs/>
                <w:iCs/>
                <w:color w:val="595959"/>
              </w:rPr>
              <w:t>Data tal-Pubblikazzjoni</w:t>
            </w:r>
          </w:p>
        </w:tc>
        <w:tc>
          <w:tcPr>
            <w:tcW w:w="6000" w:type="dxa"/>
            <w:vAlign w:val="center"/>
            <w:hideMark/>
          </w:tcPr>
          <w:p w14:paraId="42CDF74A" w14:textId="77777777" w:rsidR="00877924" w:rsidRPr="002F6C8E" w:rsidRDefault="00877924" w:rsidP="00877924">
            <w:pPr>
              <w:keepNext/>
              <w:tabs>
                <w:tab w:val="right" w:pos="9063"/>
              </w:tabs>
              <w:spacing w:before="60" w:after="60"/>
              <w:jc w:val="center"/>
              <w:outlineLvl w:val="1"/>
              <w:rPr>
                <w:b/>
                <w:bCs/>
                <w:iCs/>
                <w:color w:val="595959"/>
              </w:rPr>
            </w:pPr>
            <w:r>
              <w:rPr>
                <w:b/>
                <w:bCs/>
                <w:iCs/>
                <w:color w:val="595959"/>
              </w:rPr>
              <w:t>Bidla</w:t>
            </w:r>
          </w:p>
        </w:tc>
        <w:tc>
          <w:tcPr>
            <w:tcW w:w="675" w:type="dxa"/>
            <w:vAlign w:val="center"/>
            <w:hideMark/>
          </w:tcPr>
          <w:p w14:paraId="7294B709" w14:textId="77777777" w:rsidR="00877924" w:rsidRPr="002F6C8E" w:rsidRDefault="00877924" w:rsidP="00877924">
            <w:pPr>
              <w:spacing w:before="60" w:after="60"/>
              <w:jc w:val="center"/>
              <w:rPr>
                <w:b/>
                <w:color w:val="595959"/>
              </w:rPr>
            </w:pPr>
            <w:r>
              <w:rPr>
                <w:b/>
                <w:color w:val="595959"/>
              </w:rPr>
              <w:t>Paġna</w:t>
            </w:r>
          </w:p>
        </w:tc>
      </w:tr>
      <w:tr w:rsidR="002F6C8E" w:rsidRPr="002F6C8E" w14:paraId="6AD94C27" w14:textId="77777777" w:rsidTr="002F6C8E">
        <w:trPr>
          <w:jc w:val="center"/>
          <w:hidden/>
        </w:trPr>
        <w:tc>
          <w:tcPr>
            <w:tcW w:w="975" w:type="dxa"/>
            <w:hideMark/>
          </w:tcPr>
          <w:p w14:paraId="56E66BB1" w14:textId="77777777" w:rsidR="007C1E0D" w:rsidRPr="00623078" w:rsidRDefault="007C1E0D" w:rsidP="0084666C">
            <w:pPr>
              <w:spacing w:before="60" w:after="60"/>
              <w:jc w:val="center"/>
              <w:rPr>
                <w:vanish/>
                <w:color w:val="595959"/>
                <w:sz w:val="18"/>
                <w:szCs w:val="18"/>
              </w:rPr>
            </w:pPr>
            <w:r>
              <w:rPr>
                <w:vanish/>
                <w:color w:val="595959"/>
                <w:sz w:val="18"/>
                <w:szCs w:val="18"/>
              </w:rPr>
              <w:t>1.0</w:t>
            </w:r>
          </w:p>
        </w:tc>
        <w:tc>
          <w:tcPr>
            <w:tcW w:w="1350" w:type="dxa"/>
            <w:hideMark/>
          </w:tcPr>
          <w:p w14:paraId="60BE4CB3" w14:textId="30249BF1" w:rsidR="007C1E0D" w:rsidRPr="002F6C8E" w:rsidRDefault="00BE4CEF" w:rsidP="00F52256">
            <w:pPr>
              <w:keepNext/>
              <w:tabs>
                <w:tab w:val="right" w:pos="9063"/>
              </w:tabs>
              <w:spacing w:before="60" w:after="60"/>
              <w:jc w:val="center"/>
              <w:outlineLvl w:val="1"/>
              <w:rPr>
                <w:color w:val="595959"/>
                <w:sz w:val="18"/>
                <w:szCs w:val="18"/>
              </w:rPr>
            </w:pPr>
            <w:r>
              <w:rPr>
                <w:color w:val="595959"/>
                <w:sz w:val="18"/>
                <w:szCs w:val="18"/>
              </w:rPr>
              <w:t>16.11.2021</w:t>
            </w:r>
          </w:p>
        </w:tc>
        <w:tc>
          <w:tcPr>
            <w:tcW w:w="6000" w:type="dxa"/>
            <w:hideMark/>
          </w:tcPr>
          <w:p w14:paraId="7F916257" w14:textId="077F49C4" w:rsidR="007C1E0D" w:rsidRPr="002F6C8E" w:rsidRDefault="009E1814" w:rsidP="00584316">
            <w:pPr>
              <w:keepNext/>
              <w:numPr>
                <w:ilvl w:val="0"/>
                <w:numId w:val="23"/>
              </w:numPr>
              <w:tabs>
                <w:tab w:val="left" w:pos="318"/>
                <w:tab w:val="right" w:pos="9063"/>
              </w:tabs>
              <w:spacing w:before="60" w:after="60"/>
              <w:ind w:left="318" w:hanging="284"/>
              <w:outlineLvl w:val="1"/>
              <w:rPr>
                <w:color w:val="595959"/>
                <w:sz w:val="18"/>
                <w:szCs w:val="18"/>
              </w:rPr>
            </w:pPr>
            <w:r>
              <w:rPr>
                <w:color w:val="595959"/>
                <w:sz w:val="18"/>
                <w:szCs w:val="18"/>
              </w:rPr>
              <w:t>Verżjoni inizjali (MFF 2021-2022)</w:t>
            </w:r>
          </w:p>
        </w:tc>
        <w:tc>
          <w:tcPr>
            <w:tcW w:w="675" w:type="dxa"/>
            <w:hideMark/>
          </w:tcPr>
          <w:p w14:paraId="0776925A" w14:textId="77777777" w:rsidR="007C1E0D" w:rsidRPr="002F6C8E" w:rsidRDefault="007C1E0D" w:rsidP="00877924">
            <w:pPr>
              <w:keepNext/>
              <w:tabs>
                <w:tab w:val="right" w:pos="9063"/>
              </w:tabs>
              <w:spacing w:before="60" w:after="60"/>
              <w:jc w:val="center"/>
              <w:outlineLvl w:val="1"/>
              <w:rPr>
                <w:color w:val="595959"/>
                <w:sz w:val="18"/>
                <w:szCs w:val="18"/>
                <w:lang w:val="en-US"/>
              </w:rPr>
            </w:pPr>
          </w:p>
        </w:tc>
      </w:tr>
      <w:tr w:rsidR="002F6C8E" w:rsidRPr="002F6C8E" w14:paraId="6B8E79B0" w14:textId="77777777" w:rsidTr="002F6C8E">
        <w:trPr>
          <w:jc w:val="center"/>
        </w:trPr>
        <w:tc>
          <w:tcPr>
            <w:tcW w:w="975" w:type="dxa"/>
          </w:tcPr>
          <w:p w14:paraId="2D4B5C9F" w14:textId="77777777" w:rsidR="007C1E0D" w:rsidRPr="002F6C8E" w:rsidRDefault="007C1E0D" w:rsidP="0084666C">
            <w:pPr>
              <w:spacing w:before="60" w:after="60"/>
              <w:jc w:val="center"/>
              <w:rPr>
                <w:color w:val="595959"/>
                <w:sz w:val="18"/>
                <w:szCs w:val="18"/>
              </w:rPr>
            </w:pPr>
          </w:p>
        </w:tc>
        <w:tc>
          <w:tcPr>
            <w:tcW w:w="1350" w:type="dxa"/>
          </w:tcPr>
          <w:p w14:paraId="3F2CFB55" w14:textId="77777777" w:rsidR="007C1E0D" w:rsidRPr="002F6C8E" w:rsidRDefault="007C1E0D" w:rsidP="0084666C">
            <w:pPr>
              <w:keepNext/>
              <w:tabs>
                <w:tab w:val="right" w:pos="9063"/>
              </w:tabs>
              <w:spacing w:before="60" w:after="60"/>
              <w:jc w:val="center"/>
              <w:outlineLvl w:val="1"/>
              <w:rPr>
                <w:color w:val="595959"/>
                <w:sz w:val="18"/>
                <w:szCs w:val="18"/>
              </w:rPr>
            </w:pPr>
          </w:p>
        </w:tc>
        <w:tc>
          <w:tcPr>
            <w:tcW w:w="6000" w:type="dxa"/>
            <w:hideMark/>
          </w:tcPr>
          <w:p w14:paraId="3BB2AEDE" w14:textId="77777777" w:rsidR="007C1E0D" w:rsidRPr="002F6C8E" w:rsidRDefault="007C1E0D" w:rsidP="00584316">
            <w:pPr>
              <w:keepNext/>
              <w:numPr>
                <w:ilvl w:val="0"/>
                <w:numId w:val="23"/>
              </w:numPr>
              <w:tabs>
                <w:tab w:val="left" w:pos="318"/>
                <w:tab w:val="right" w:pos="9063"/>
              </w:tabs>
              <w:spacing w:before="60" w:after="60"/>
              <w:ind w:left="318" w:hanging="284"/>
              <w:outlineLvl w:val="1"/>
              <w:rPr>
                <w:rFonts w:ascii="Arial" w:eastAsia="Calibri" w:hAnsi="Arial" w:cs="Arial"/>
                <w:color w:val="595959"/>
                <w:sz w:val="18"/>
                <w:szCs w:val="18"/>
              </w:rPr>
            </w:pPr>
          </w:p>
        </w:tc>
        <w:tc>
          <w:tcPr>
            <w:tcW w:w="675" w:type="dxa"/>
            <w:vAlign w:val="center"/>
          </w:tcPr>
          <w:p w14:paraId="50EB3CF6" w14:textId="77777777" w:rsidR="007C1E0D" w:rsidRPr="002F6C8E" w:rsidRDefault="007C1E0D" w:rsidP="00877924">
            <w:pPr>
              <w:keepNext/>
              <w:tabs>
                <w:tab w:val="right" w:pos="9063"/>
              </w:tabs>
              <w:spacing w:before="60" w:after="60"/>
              <w:jc w:val="center"/>
              <w:outlineLvl w:val="1"/>
              <w:rPr>
                <w:color w:val="595959"/>
                <w:sz w:val="18"/>
                <w:szCs w:val="18"/>
                <w:lang w:val="en-US"/>
              </w:rPr>
            </w:pPr>
          </w:p>
        </w:tc>
      </w:tr>
      <w:tr w:rsidR="002F6C8E" w:rsidRPr="002F6C8E" w14:paraId="543D7828" w14:textId="77777777" w:rsidTr="002F6C8E">
        <w:trPr>
          <w:jc w:val="center"/>
        </w:trPr>
        <w:tc>
          <w:tcPr>
            <w:tcW w:w="975" w:type="dxa"/>
          </w:tcPr>
          <w:p w14:paraId="53DF4A59" w14:textId="77777777" w:rsidR="007C1E0D" w:rsidRPr="002F6C8E" w:rsidRDefault="007C1E0D" w:rsidP="0084666C">
            <w:pPr>
              <w:spacing w:before="60" w:after="60"/>
              <w:jc w:val="center"/>
              <w:rPr>
                <w:color w:val="595959"/>
                <w:sz w:val="18"/>
                <w:szCs w:val="18"/>
              </w:rPr>
            </w:pPr>
          </w:p>
        </w:tc>
        <w:tc>
          <w:tcPr>
            <w:tcW w:w="1350" w:type="dxa"/>
          </w:tcPr>
          <w:p w14:paraId="38342A73" w14:textId="77777777" w:rsidR="007C1E0D" w:rsidRPr="002F6C8E" w:rsidRDefault="007C1E0D" w:rsidP="0084666C">
            <w:pPr>
              <w:keepNext/>
              <w:tabs>
                <w:tab w:val="right" w:pos="9063"/>
              </w:tabs>
              <w:spacing w:before="60" w:after="60"/>
              <w:jc w:val="center"/>
              <w:outlineLvl w:val="1"/>
              <w:rPr>
                <w:color w:val="595959"/>
                <w:sz w:val="18"/>
                <w:szCs w:val="18"/>
              </w:rPr>
            </w:pPr>
          </w:p>
        </w:tc>
        <w:tc>
          <w:tcPr>
            <w:tcW w:w="6000" w:type="dxa"/>
          </w:tcPr>
          <w:p w14:paraId="444D49C1" w14:textId="77777777" w:rsidR="007C1E0D" w:rsidRPr="002F6C8E" w:rsidRDefault="007C1E0D" w:rsidP="00584316">
            <w:pPr>
              <w:keepNext/>
              <w:numPr>
                <w:ilvl w:val="0"/>
                <w:numId w:val="23"/>
              </w:numPr>
              <w:tabs>
                <w:tab w:val="left" w:pos="318"/>
                <w:tab w:val="right" w:pos="9063"/>
              </w:tabs>
              <w:spacing w:before="60" w:after="60"/>
              <w:ind w:left="318" w:hanging="284"/>
              <w:outlineLvl w:val="1"/>
              <w:rPr>
                <w:rFonts w:ascii="Arial" w:eastAsia="Calibri" w:hAnsi="Arial" w:cs="Arial"/>
                <w:color w:val="595959"/>
                <w:sz w:val="18"/>
                <w:szCs w:val="18"/>
              </w:rPr>
            </w:pPr>
          </w:p>
        </w:tc>
        <w:tc>
          <w:tcPr>
            <w:tcW w:w="675" w:type="dxa"/>
            <w:vAlign w:val="center"/>
          </w:tcPr>
          <w:p w14:paraId="641351FE" w14:textId="77777777" w:rsidR="007C1E0D" w:rsidRPr="002F6C8E" w:rsidRDefault="007C1E0D" w:rsidP="00877924">
            <w:pPr>
              <w:keepNext/>
              <w:tabs>
                <w:tab w:val="right" w:pos="9063"/>
              </w:tabs>
              <w:spacing w:before="60" w:after="60"/>
              <w:jc w:val="center"/>
              <w:outlineLvl w:val="1"/>
              <w:rPr>
                <w:color w:val="595959"/>
                <w:sz w:val="18"/>
                <w:szCs w:val="18"/>
                <w:lang w:val="en-US"/>
              </w:rPr>
            </w:pPr>
          </w:p>
        </w:tc>
      </w:tr>
      <w:tr w:rsidR="002F6C8E" w:rsidRPr="002F6C8E" w14:paraId="30FE2898" w14:textId="77777777" w:rsidTr="002F6C8E">
        <w:trPr>
          <w:jc w:val="center"/>
        </w:trPr>
        <w:tc>
          <w:tcPr>
            <w:tcW w:w="975" w:type="dxa"/>
          </w:tcPr>
          <w:p w14:paraId="55376C2C" w14:textId="77777777" w:rsidR="007C1E0D" w:rsidRPr="002F6C8E" w:rsidRDefault="007C1E0D" w:rsidP="0084666C">
            <w:pPr>
              <w:spacing w:before="60" w:after="60"/>
              <w:jc w:val="center"/>
              <w:rPr>
                <w:color w:val="595959"/>
                <w:sz w:val="18"/>
                <w:szCs w:val="18"/>
              </w:rPr>
            </w:pPr>
          </w:p>
        </w:tc>
        <w:tc>
          <w:tcPr>
            <w:tcW w:w="1350" w:type="dxa"/>
          </w:tcPr>
          <w:p w14:paraId="4A3DC56D" w14:textId="77777777" w:rsidR="007C1E0D" w:rsidRPr="002F6C8E" w:rsidRDefault="007C1E0D" w:rsidP="0084666C">
            <w:pPr>
              <w:keepNext/>
              <w:tabs>
                <w:tab w:val="right" w:pos="9063"/>
              </w:tabs>
              <w:spacing w:before="60" w:after="60"/>
              <w:jc w:val="center"/>
              <w:outlineLvl w:val="1"/>
              <w:rPr>
                <w:color w:val="595959"/>
                <w:sz w:val="18"/>
                <w:szCs w:val="18"/>
              </w:rPr>
            </w:pPr>
          </w:p>
        </w:tc>
        <w:tc>
          <w:tcPr>
            <w:tcW w:w="6000" w:type="dxa"/>
          </w:tcPr>
          <w:p w14:paraId="3ECBC096" w14:textId="77777777" w:rsidR="007C1E0D" w:rsidRPr="002F6C8E" w:rsidRDefault="007C1E0D" w:rsidP="00584316">
            <w:pPr>
              <w:keepNext/>
              <w:numPr>
                <w:ilvl w:val="0"/>
                <w:numId w:val="23"/>
              </w:numPr>
              <w:tabs>
                <w:tab w:val="left" w:pos="318"/>
                <w:tab w:val="right" w:pos="9063"/>
              </w:tabs>
              <w:spacing w:before="60" w:after="60"/>
              <w:ind w:left="318" w:hanging="284"/>
              <w:outlineLvl w:val="1"/>
              <w:rPr>
                <w:rFonts w:ascii="Arial" w:eastAsia="Calibri" w:hAnsi="Arial" w:cs="Arial"/>
                <w:color w:val="595959"/>
                <w:sz w:val="18"/>
                <w:szCs w:val="18"/>
              </w:rPr>
            </w:pPr>
          </w:p>
        </w:tc>
        <w:tc>
          <w:tcPr>
            <w:tcW w:w="675" w:type="dxa"/>
            <w:vAlign w:val="center"/>
          </w:tcPr>
          <w:p w14:paraId="29A81A1A" w14:textId="77777777" w:rsidR="007C1E0D" w:rsidRPr="002F6C8E" w:rsidRDefault="007C1E0D" w:rsidP="00877924">
            <w:pPr>
              <w:keepNext/>
              <w:tabs>
                <w:tab w:val="right" w:pos="9063"/>
              </w:tabs>
              <w:spacing w:before="60" w:after="60"/>
              <w:jc w:val="center"/>
              <w:outlineLvl w:val="1"/>
              <w:rPr>
                <w:color w:val="595959"/>
                <w:sz w:val="18"/>
                <w:szCs w:val="18"/>
                <w:lang w:val="en-US"/>
              </w:rPr>
            </w:pPr>
          </w:p>
        </w:tc>
      </w:tr>
    </w:tbl>
    <w:p w14:paraId="21681E32" w14:textId="77777777" w:rsidR="00877924" w:rsidRPr="00877924" w:rsidRDefault="00877924" w:rsidP="00877924">
      <w:pPr>
        <w:spacing w:after="0"/>
        <w:rPr>
          <w:sz w:val="22"/>
          <w:szCs w:val="22"/>
          <w:lang w:val="en-US"/>
        </w:rPr>
      </w:pPr>
    </w:p>
    <w:p w14:paraId="129A5496" w14:textId="77777777" w:rsidR="0062273B" w:rsidRDefault="00877924" w:rsidP="00771274">
      <w:pPr>
        <w:spacing w:after="0"/>
        <w:jc w:val="center"/>
        <w:rPr>
          <w:sz w:val="22"/>
          <w:szCs w:val="22"/>
        </w:rPr>
      </w:pPr>
      <w:r>
        <w:br w:type="page"/>
      </w:r>
    </w:p>
    <w:tbl>
      <w:tblPr>
        <w:tblStyle w:val="TableLetterhead"/>
        <w:tblW w:w="9480" w:type="dxa"/>
        <w:tblLook w:val="04A0" w:firstRow="1" w:lastRow="0" w:firstColumn="1" w:lastColumn="0" w:noHBand="0" w:noVBand="1"/>
      </w:tblPr>
      <w:tblGrid>
        <w:gridCol w:w="2400"/>
        <w:gridCol w:w="7080"/>
      </w:tblGrid>
      <w:tr w:rsidR="0062273B" w:rsidRPr="0062273B" w14:paraId="63C3AADA" w14:textId="77777777" w:rsidTr="000579AF">
        <w:tc>
          <w:tcPr>
            <w:tcW w:w="2400" w:type="dxa"/>
          </w:tcPr>
          <w:p w14:paraId="45ABB2A4" w14:textId="1231702F" w:rsidR="0062273B" w:rsidRPr="0062273B" w:rsidRDefault="005A3754" w:rsidP="0062273B">
            <w:pPr>
              <w:widowControl w:val="0"/>
              <w:spacing w:after="0"/>
              <w:ind w:right="85"/>
              <w:rPr>
                <w:rFonts w:ascii="Times New Roman" w:hAnsi="Times New Roman"/>
              </w:rPr>
            </w:pPr>
            <w:r>
              <w:rPr>
                <w:rFonts w:ascii="Times New Roman" w:hAnsi="Times New Roman"/>
                <w:noProof/>
                <w:lang w:val="en-IE" w:eastAsia="en-IE"/>
              </w:rPr>
              <w:lastRenderedPageBreak/>
              <w:drawing>
                <wp:inline distT="0" distB="0" distL="0" distR="0" wp14:anchorId="09CA6CCD" wp14:editId="2A0B6514">
                  <wp:extent cx="1371600" cy="672465"/>
                  <wp:effectExtent l="0" t="0" r="0" b="0"/>
                  <wp:docPr id="3" name="Picture 3"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of the European Commission, 12 yellow stars on a blue background arranged in a circle and framed by two light grey graphic elements representing the Berlaymont building, which is the headquarter of the European Commission."/>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371600" cy="672465"/>
                          </a:xfrm>
                          <a:prstGeom prst="rect">
                            <a:avLst/>
                          </a:prstGeom>
                          <a:noFill/>
                          <a:ln>
                            <a:noFill/>
                          </a:ln>
                        </pic:spPr>
                      </pic:pic>
                    </a:graphicData>
                  </a:graphic>
                </wp:inline>
              </w:drawing>
            </w:r>
          </w:p>
        </w:tc>
        <w:tc>
          <w:tcPr>
            <w:tcW w:w="7080" w:type="dxa"/>
          </w:tcPr>
          <w:p w14:paraId="66F12799" w14:textId="408A0EF9" w:rsidR="0062273B" w:rsidRPr="0062273B" w:rsidRDefault="0062273B" w:rsidP="0062273B">
            <w:pPr>
              <w:widowControl w:val="0"/>
              <w:spacing w:before="90" w:after="0"/>
              <w:ind w:right="85"/>
              <w:jc w:val="left"/>
              <w:rPr>
                <w:rFonts w:ascii="Times New Roman" w:hAnsi="Times New Roman"/>
                <w:caps/>
              </w:rPr>
            </w:pPr>
            <w:r>
              <w:rPr>
                <w:rFonts w:ascii="Times New Roman" w:hAnsi="Times New Roman"/>
                <w:caps/>
              </w:rPr>
              <w:t>L-EDUKAZZJONI U L-KULTURA EWROPEA</w:t>
            </w:r>
          </w:p>
          <w:p w14:paraId="4C89199C" w14:textId="44C382F9" w:rsidR="0062273B" w:rsidRPr="0062273B" w:rsidRDefault="0062273B" w:rsidP="0062273B">
            <w:pPr>
              <w:widowControl w:val="0"/>
              <w:spacing w:after="0"/>
              <w:ind w:right="85"/>
              <w:jc w:val="left"/>
              <w:rPr>
                <w:rFonts w:ascii="Times New Roman" w:hAnsi="Times New Roman"/>
                <w:caps/>
              </w:rPr>
            </w:pPr>
            <w:r>
              <w:rPr>
                <w:rFonts w:ascii="Times New Roman" w:hAnsi="Times New Roman"/>
                <w:caps/>
              </w:rPr>
              <w:t>AĠENZIJA EŻEKUTTIVA (EACEA)</w:t>
            </w:r>
          </w:p>
          <w:p w14:paraId="42A84745" w14:textId="77777777" w:rsidR="0062273B" w:rsidRPr="0062273B" w:rsidRDefault="0062273B" w:rsidP="0062273B">
            <w:pPr>
              <w:widowControl w:val="0"/>
              <w:spacing w:after="0"/>
              <w:ind w:right="85"/>
              <w:jc w:val="left"/>
              <w:rPr>
                <w:rFonts w:ascii="Times New Roman" w:hAnsi="Times New Roman"/>
                <w:sz w:val="16"/>
                <w:lang w:eastAsia="fr-BE"/>
              </w:rPr>
            </w:pPr>
          </w:p>
          <w:p w14:paraId="4CC2F47D" w14:textId="09BE9929" w:rsidR="0062273B" w:rsidRPr="0062273B" w:rsidRDefault="0062273B" w:rsidP="0062273B">
            <w:pPr>
              <w:widowControl w:val="0"/>
              <w:spacing w:after="0"/>
              <w:ind w:right="85"/>
              <w:jc w:val="left"/>
              <w:rPr>
                <w:rFonts w:ascii="Times New Roman" w:hAnsi="Times New Roman"/>
                <w:sz w:val="16"/>
              </w:rPr>
            </w:pPr>
            <w:r>
              <w:rPr>
                <w:rFonts w:ascii="Times New Roman" w:hAnsi="Times New Roman"/>
                <w:sz w:val="16"/>
              </w:rPr>
              <w:t>EACEA.B - Kreattività, Ċittadinanza u Operazzjonijiet Konġunti</w:t>
            </w:r>
          </w:p>
          <w:p w14:paraId="6E2A31C1" w14:textId="0B6D355C" w:rsidR="0062273B" w:rsidRPr="0062273B" w:rsidRDefault="0062273B" w:rsidP="0062273B">
            <w:pPr>
              <w:widowControl w:val="0"/>
              <w:spacing w:after="0"/>
              <w:ind w:right="85"/>
              <w:jc w:val="left"/>
              <w:rPr>
                <w:rFonts w:ascii="Times New Roman" w:hAnsi="Times New Roman"/>
                <w:b/>
                <w:sz w:val="16"/>
              </w:rPr>
            </w:pPr>
            <w:r>
              <w:rPr>
                <w:rFonts w:ascii="Times New Roman" w:hAnsi="Times New Roman"/>
                <w:b/>
                <w:sz w:val="16"/>
              </w:rPr>
              <w:t>EACEA.B.3 - L-Ewropa għaċ-Ċittadini</w:t>
            </w:r>
          </w:p>
        </w:tc>
      </w:tr>
    </w:tbl>
    <w:p w14:paraId="60377700" w14:textId="77777777" w:rsidR="00233324" w:rsidRDefault="00233324" w:rsidP="007502F1">
      <w:pPr>
        <w:pStyle w:val="BodyText"/>
        <w:spacing w:before="8"/>
        <w:jc w:val="center"/>
        <w:rPr>
          <w:sz w:val="22"/>
          <w:szCs w:val="22"/>
        </w:rPr>
      </w:pPr>
    </w:p>
    <w:p w14:paraId="4ADD2FD0" w14:textId="77777777" w:rsidR="007502F1" w:rsidRPr="003445B7" w:rsidRDefault="00233324" w:rsidP="007502F1">
      <w:pPr>
        <w:pStyle w:val="BodyText"/>
        <w:spacing w:before="8"/>
        <w:jc w:val="center"/>
        <w:rPr>
          <w:b/>
          <w:sz w:val="22"/>
          <w:szCs w:val="22"/>
        </w:rPr>
      </w:pPr>
      <w:r>
        <w:rPr>
          <w:b/>
          <w:sz w:val="22"/>
          <w:szCs w:val="22"/>
        </w:rPr>
        <w:t xml:space="preserve">SEJĦA GĦAL PROPOSTI </w:t>
      </w:r>
    </w:p>
    <w:p w14:paraId="22801F39" w14:textId="77777777" w:rsidR="00004B82" w:rsidRDefault="00004B82" w:rsidP="00B57534">
      <w:pPr>
        <w:widowControl w:val="0"/>
      </w:pPr>
    </w:p>
    <w:p w14:paraId="694C64CB" w14:textId="77777777" w:rsidR="0084666C" w:rsidRPr="00BE632C" w:rsidRDefault="0084666C" w:rsidP="005A543F">
      <w:pPr>
        <w:autoSpaceDE w:val="0"/>
        <w:autoSpaceDN w:val="0"/>
        <w:adjustRightInd w:val="0"/>
        <w:jc w:val="left"/>
        <w:rPr>
          <w:rFonts w:eastAsia="Calibri" w:cs="Verdana"/>
          <w:b/>
          <w:color w:val="A50021"/>
          <w:sz w:val="18"/>
        </w:rPr>
      </w:pPr>
      <w:r>
        <w:rPr>
          <w:b/>
          <w:color w:val="A50021"/>
          <w:sz w:val="18"/>
        </w:rPr>
        <w:t>WERREJ</w:t>
      </w:r>
    </w:p>
    <w:p w14:paraId="75BB0AFA" w14:textId="65811715" w:rsidR="00340A6F" w:rsidRDefault="00340A6F">
      <w:pPr>
        <w:pStyle w:val="TOC1"/>
        <w:rPr>
          <w:rFonts w:asciiTheme="minorHAnsi" w:eastAsiaTheme="minorEastAsia" w:hAnsiTheme="minorHAnsi" w:cstheme="minorBidi"/>
          <w:noProof/>
          <w:sz w:val="22"/>
          <w:szCs w:val="22"/>
        </w:rPr>
      </w:pPr>
      <w:r>
        <w:fldChar w:fldCharType="begin"/>
      </w:r>
      <w:r>
        <w:instrText xml:space="preserve"> TOC \o "1-1" \h \z \t "Heading 2,2,Heading 3,3,Subtitle,2" </w:instrText>
      </w:r>
      <w:r>
        <w:fldChar w:fldCharType="separate"/>
      </w:r>
      <w:hyperlink w:anchor="_Toc89950946" w:history="1">
        <w:r w:rsidRPr="00294D0F">
          <w:rPr>
            <w:rStyle w:val="Hyperlink"/>
            <w:noProof/>
          </w:rPr>
          <w:t>0.</w:t>
        </w:r>
        <w:r>
          <w:rPr>
            <w:rFonts w:asciiTheme="minorHAnsi" w:eastAsiaTheme="minorEastAsia" w:hAnsiTheme="minorHAnsi" w:cstheme="minorBidi"/>
            <w:noProof/>
            <w:sz w:val="22"/>
            <w:szCs w:val="22"/>
          </w:rPr>
          <w:tab/>
        </w:r>
        <w:r w:rsidRPr="00294D0F">
          <w:rPr>
            <w:rStyle w:val="Hyperlink"/>
            <w:noProof/>
          </w:rPr>
          <w:t>Introduction</w:t>
        </w:r>
        <w:r>
          <w:rPr>
            <w:noProof/>
            <w:webHidden/>
          </w:rPr>
          <w:tab/>
        </w:r>
        <w:r>
          <w:rPr>
            <w:noProof/>
            <w:webHidden/>
          </w:rPr>
          <w:fldChar w:fldCharType="begin"/>
        </w:r>
        <w:r>
          <w:rPr>
            <w:noProof/>
            <w:webHidden/>
          </w:rPr>
          <w:instrText xml:space="preserve"> PAGEREF _Toc89950946 \h </w:instrText>
        </w:r>
        <w:r>
          <w:rPr>
            <w:noProof/>
            <w:webHidden/>
          </w:rPr>
        </w:r>
        <w:r>
          <w:rPr>
            <w:noProof/>
            <w:webHidden/>
          </w:rPr>
          <w:fldChar w:fldCharType="separate"/>
        </w:r>
        <w:r w:rsidR="002944ED">
          <w:rPr>
            <w:noProof/>
            <w:webHidden/>
          </w:rPr>
          <w:t>5</w:t>
        </w:r>
        <w:r>
          <w:rPr>
            <w:noProof/>
            <w:webHidden/>
          </w:rPr>
          <w:fldChar w:fldCharType="end"/>
        </w:r>
      </w:hyperlink>
    </w:p>
    <w:p w14:paraId="23A11222" w14:textId="6443F1A7" w:rsidR="00340A6F" w:rsidRDefault="009419CA">
      <w:pPr>
        <w:pStyle w:val="TOC1"/>
        <w:rPr>
          <w:rFonts w:asciiTheme="minorHAnsi" w:eastAsiaTheme="minorEastAsia" w:hAnsiTheme="minorHAnsi" w:cstheme="minorBidi"/>
          <w:noProof/>
          <w:sz w:val="22"/>
          <w:szCs w:val="22"/>
        </w:rPr>
      </w:pPr>
      <w:hyperlink w:anchor="_Toc89950947" w:history="1">
        <w:r w:rsidR="00340A6F" w:rsidRPr="00294D0F">
          <w:rPr>
            <w:rStyle w:val="Hyperlink"/>
            <w:noProof/>
          </w:rPr>
          <w:t>1.</w:t>
        </w:r>
        <w:r w:rsidR="00340A6F">
          <w:rPr>
            <w:rFonts w:asciiTheme="minorHAnsi" w:eastAsiaTheme="minorEastAsia" w:hAnsiTheme="minorHAnsi" w:cstheme="minorBidi"/>
            <w:noProof/>
            <w:sz w:val="22"/>
            <w:szCs w:val="22"/>
          </w:rPr>
          <w:tab/>
        </w:r>
        <w:r w:rsidR="00340A6F" w:rsidRPr="00294D0F">
          <w:rPr>
            <w:rStyle w:val="Hyperlink"/>
            <w:noProof/>
          </w:rPr>
          <w:t>Background</w:t>
        </w:r>
        <w:r w:rsidR="00340A6F">
          <w:rPr>
            <w:noProof/>
            <w:webHidden/>
          </w:rPr>
          <w:tab/>
        </w:r>
        <w:r w:rsidR="00340A6F">
          <w:rPr>
            <w:noProof/>
            <w:webHidden/>
          </w:rPr>
          <w:fldChar w:fldCharType="begin"/>
        </w:r>
        <w:r w:rsidR="00340A6F">
          <w:rPr>
            <w:noProof/>
            <w:webHidden/>
          </w:rPr>
          <w:instrText xml:space="preserve"> PAGEREF _Toc89950947 \h </w:instrText>
        </w:r>
        <w:r w:rsidR="00340A6F">
          <w:rPr>
            <w:noProof/>
            <w:webHidden/>
          </w:rPr>
        </w:r>
        <w:r w:rsidR="00340A6F">
          <w:rPr>
            <w:noProof/>
            <w:webHidden/>
          </w:rPr>
          <w:fldChar w:fldCharType="separate"/>
        </w:r>
        <w:r w:rsidR="002944ED">
          <w:rPr>
            <w:noProof/>
            <w:webHidden/>
          </w:rPr>
          <w:t>6</w:t>
        </w:r>
        <w:r w:rsidR="00340A6F">
          <w:rPr>
            <w:noProof/>
            <w:webHidden/>
          </w:rPr>
          <w:fldChar w:fldCharType="end"/>
        </w:r>
      </w:hyperlink>
    </w:p>
    <w:p w14:paraId="754158D2" w14:textId="3507E3A4" w:rsidR="00340A6F" w:rsidRDefault="009419CA">
      <w:pPr>
        <w:pStyle w:val="TOC1"/>
        <w:rPr>
          <w:rFonts w:asciiTheme="minorHAnsi" w:eastAsiaTheme="minorEastAsia" w:hAnsiTheme="minorHAnsi" w:cstheme="minorBidi"/>
          <w:noProof/>
          <w:sz w:val="22"/>
          <w:szCs w:val="22"/>
        </w:rPr>
      </w:pPr>
      <w:hyperlink w:anchor="_Toc89950948" w:history="1">
        <w:r w:rsidR="00340A6F" w:rsidRPr="00294D0F">
          <w:rPr>
            <w:rStyle w:val="Hyperlink"/>
            <w:noProof/>
          </w:rPr>
          <w:t>2.</w:t>
        </w:r>
        <w:r w:rsidR="00340A6F">
          <w:rPr>
            <w:rFonts w:asciiTheme="minorHAnsi" w:eastAsiaTheme="minorEastAsia" w:hAnsiTheme="minorHAnsi" w:cstheme="minorBidi"/>
            <w:noProof/>
            <w:sz w:val="22"/>
            <w:szCs w:val="22"/>
          </w:rPr>
          <w:tab/>
        </w:r>
        <w:r w:rsidR="00340A6F" w:rsidRPr="00294D0F">
          <w:rPr>
            <w:rStyle w:val="Hyperlink"/>
            <w:noProof/>
          </w:rPr>
          <w:t>Objectives — Themes and priorities — Activities that can be funded — Expected impact</w:t>
        </w:r>
        <w:r w:rsidR="00340A6F">
          <w:rPr>
            <w:noProof/>
            <w:webHidden/>
          </w:rPr>
          <w:tab/>
        </w:r>
        <w:r w:rsidR="00340A6F">
          <w:rPr>
            <w:noProof/>
            <w:webHidden/>
          </w:rPr>
          <w:fldChar w:fldCharType="begin"/>
        </w:r>
        <w:r w:rsidR="00340A6F">
          <w:rPr>
            <w:noProof/>
            <w:webHidden/>
          </w:rPr>
          <w:instrText xml:space="preserve"> PAGEREF _Toc89950948 \h </w:instrText>
        </w:r>
        <w:r w:rsidR="00340A6F">
          <w:rPr>
            <w:noProof/>
            <w:webHidden/>
          </w:rPr>
        </w:r>
        <w:r w:rsidR="00340A6F">
          <w:rPr>
            <w:noProof/>
            <w:webHidden/>
          </w:rPr>
          <w:fldChar w:fldCharType="separate"/>
        </w:r>
        <w:r w:rsidR="002944ED">
          <w:rPr>
            <w:noProof/>
            <w:webHidden/>
          </w:rPr>
          <w:t>6</w:t>
        </w:r>
        <w:r w:rsidR="00340A6F">
          <w:rPr>
            <w:noProof/>
            <w:webHidden/>
          </w:rPr>
          <w:fldChar w:fldCharType="end"/>
        </w:r>
      </w:hyperlink>
    </w:p>
    <w:p w14:paraId="66F97283" w14:textId="4F981F45" w:rsidR="00340A6F" w:rsidRDefault="009419CA">
      <w:pPr>
        <w:pStyle w:val="TOC3"/>
        <w:rPr>
          <w:rFonts w:asciiTheme="minorHAnsi" w:eastAsiaTheme="minorEastAsia" w:hAnsiTheme="minorHAnsi" w:cstheme="minorBidi"/>
          <w:sz w:val="22"/>
          <w:szCs w:val="22"/>
        </w:rPr>
      </w:pPr>
      <w:hyperlink w:anchor="_Toc89950949" w:history="1">
        <w:r w:rsidR="00340A6F" w:rsidRPr="00294D0F">
          <w:rPr>
            <w:rStyle w:val="Hyperlink"/>
          </w:rPr>
          <w:t>Objectives</w:t>
        </w:r>
        <w:r w:rsidR="00340A6F">
          <w:rPr>
            <w:webHidden/>
          </w:rPr>
          <w:tab/>
        </w:r>
        <w:r w:rsidR="00340A6F">
          <w:rPr>
            <w:webHidden/>
          </w:rPr>
          <w:fldChar w:fldCharType="begin"/>
        </w:r>
        <w:r w:rsidR="00340A6F">
          <w:rPr>
            <w:webHidden/>
          </w:rPr>
          <w:instrText xml:space="preserve"> PAGEREF _Toc89950949 \h </w:instrText>
        </w:r>
        <w:r w:rsidR="00340A6F">
          <w:rPr>
            <w:webHidden/>
          </w:rPr>
        </w:r>
        <w:r w:rsidR="00340A6F">
          <w:rPr>
            <w:webHidden/>
          </w:rPr>
          <w:fldChar w:fldCharType="separate"/>
        </w:r>
        <w:r w:rsidR="002944ED">
          <w:rPr>
            <w:webHidden/>
          </w:rPr>
          <w:t>6</w:t>
        </w:r>
        <w:r w:rsidR="00340A6F">
          <w:rPr>
            <w:webHidden/>
          </w:rPr>
          <w:fldChar w:fldCharType="end"/>
        </w:r>
      </w:hyperlink>
    </w:p>
    <w:p w14:paraId="0AAB001B" w14:textId="12C871F1" w:rsidR="00340A6F" w:rsidRDefault="009419CA">
      <w:pPr>
        <w:pStyle w:val="TOC3"/>
        <w:rPr>
          <w:rFonts w:asciiTheme="minorHAnsi" w:eastAsiaTheme="minorEastAsia" w:hAnsiTheme="minorHAnsi" w:cstheme="minorBidi"/>
          <w:sz w:val="22"/>
          <w:szCs w:val="22"/>
        </w:rPr>
      </w:pPr>
      <w:hyperlink w:anchor="_Toc89950950" w:history="1">
        <w:r w:rsidR="00340A6F" w:rsidRPr="00294D0F">
          <w:rPr>
            <w:rStyle w:val="Hyperlink"/>
          </w:rPr>
          <w:t>Themes and priorities (scope)</w:t>
        </w:r>
        <w:r w:rsidR="00340A6F">
          <w:rPr>
            <w:webHidden/>
          </w:rPr>
          <w:tab/>
        </w:r>
        <w:r w:rsidR="00340A6F">
          <w:rPr>
            <w:webHidden/>
          </w:rPr>
          <w:fldChar w:fldCharType="begin"/>
        </w:r>
        <w:r w:rsidR="00340A6F">
          <w:rPr>
            <w:webHidden/>
          </w:rPr>
          <w:instrText xml:space="preserve"> PAGEREF _Toc89950950 \h </w:instrText>
        </w:r>
        <w:r w:rsidR="00340A6F">
          <w:rPr>
            <w:webHidden/>
          </w:rPr>
        </w:r>
        <w:r w:rsidR="00340A6F">
          <w:rPr>
            <w:webHidden/>
          </w:rPr>
          <w:fldChar w:fldCharType="separate"/>
        </w:r>
        <w:r w:rsidR="002944ED">
          <w:rPr>
            <w:webHidden/>
          </w:rPr>
          <w:t>7</w:t>
        </w:r>
        <w:r w:rsidR="00340A6F">
          <w:rPr>
            <w:webHidden/>
          </w:rPr>
          <w:fldChar w:fldCharType="end"/>
        </w:r>
      </w:hyperlink>
    </w:p>
    <w:p w14:paraId="5D2FD097" w14:textId="0708F9DE" w:rsidR="00340A6F" w:rsidRDefault="009419CA">
      <w:pPr>
        <w:pStyle w:val="TOC3"/>
        <w:rPr>
          <w:rFonts w:asciiTheme="minorHAnsi" w:eastAsiaTheme="minorEastAsia" w:hAnsiTheme="minorHAnsi" w:cstheme="minorBidi"/>
          <w:sz w:val="22"/>
          <w:szCs w:val="22"/>
        </w:rPr>
      </w:pPr>
      <w:hyperlink w:anchor="_Toc89950951" w:history="1">
        <w:r w:rsidR="00340A6F" w:rsidRPr="00294D0F">
          <w:rPr>
            <w:rStyle w:val="Hyperlink"/>
          </w:rPr>
          <w:t>Objectives</w:t>
        </w:r>
        <w:r w:rsidR="00340A6F">
          <w:rPr>
            <w:webHidden/>
          </w:rPr>
          <w:tab/>
        </w:r>
        <w:r w:rsidR="00340A6F">
          <w:rPr>
            <w:webHidden/>
          </w:rPr>
          <w:fldChar w:fldCharType="begin"/>
        </w:r>
        <w:r w:rsidR="00340A6F">
          <w:rPr>
            <w:webHidden/>
          </w:rPr>
          <w:instrText xml:space="preserve"> PAGEREF _Toc89950951 \h </w:instrText>
        </w:r>
        <w:r w:rsidR="00340A6F">
          <w:rPr>
            <w:webHidden/>
          </w:rPr>
        </w:r>
        <w:r w:rsidR="00340A6F">
          <w:rPr>
            <w:webHidden/>
          </w:rPr>
          <w:fldChar w:fldCharType="separate"/>
        </w:r>
        <w:r w:rsidR="002944ED">
          <w:rPr>
            <w:webHidden/>
          </w:rPr>
          <w:t>8</w:t>
        </w:r>
        <w:r w:rsidR="00340A6F">
          <w:rPr>
            <w:webHidden/>
          </w:rPr>
          <w:fldChar w:fldCharType="end"/>
        </w:r>
      </w:hyperlink>
    </w:p>
    <w:p w14:paraId="0E622752" w14:textId="7115D684" w:rsidR="00340A6F" w:rsidRDefault="009419CA">
      <w:pPr>
        <w:pStyle w:val="TOC3"/>
        <w:rPr>
          <w:rFonts w:asciiTheme="minorHAnsi" w:eastAsiaTheme="minorEastAsia" w:hAnsiTheme="minorHAnsi" w:cstheme="minorBidi"/>
          <w:sz w:val="22"/>
          <w:szCs w:val="22"/>
        </w:rPr>
      </w:pPr>
      <w:hyperlink w:anchor="_Toc89950952" w:history="1">
        <w:r w:rsidR="00340A6F" w:rsidRPr="00294D0F">
          <w:rPr>
            <w:rStyle w:val="Hyperlink"/>
          </w:rPr>
          <w:t>Themes and priorities (scope)</w:t>
        </w:r>
        <w:r w:rsidR="00340A6F">
          <w:rPr>
            <w:webHidden/>
          </w:rPr>
          <w:tab/>
        </w:r>
        <w:r w:rsidR="00340A6F">
          <w:rPr>
            <w:webHidden/>
          </w:rPr>
          <w:fldChar w:fldCharType="begin"/>
        </w:r>
        <w:r w:rsidR="00340A6F">
          <w:rPr>
            <w:webHidden/>
          </w:rPr>
          <w:instrText xml:space="preserve"> PAGEREF _Toc89950952 \h </w:instrText>
        </w:r>
        <w:r w:rsidR="00340A6F">
          <w:rPr>
            <w:webHidden/>
          </w:rPr>
        </w:r>
        <w:r w:rsidR="00340A6F">
          <w:rPr>
            <w:webHidden/>
          </w:rPr>
          <w:fldChar w:fldCharType="separate"/>
        </w:r>
        <w:r w:rsidR="002944ED">
          <w:rPr>
            <w:webHidden/>
          </w:rPr>
          <w:t>9</w:t>
        </w:r>
        <w:r w:rsidR="00340A6F">
          <w:rPr>
            <w:webHidden/>
          </w:rPr>
          <w:fldChar w:fldCharType="end"/>
        </w:r>
      </w:hyperlink>
    </w:p>
    <w:p w14:paraId="668B2EEE" w14:textId="0325AD96" w:rsidR="00340A6F" w:rsidRDefault="009419CA">
      <w:pPr>
        <w:pStyle w:val="TOC3"/>
        <w:rPr>
          <w:rFonts w:asciiTheme="minorHAnsi" w:eastAsiaTheme="minorEastAsia" w:hAnsiTheme="minorHAnsi" w:cstheme="minorBidi"/>
          <w:sz w:val="22"/>
          <w:szCs w:val="22"/>
        </w:rPr>
      </w:pPr>
      <w:hyperlink w:anchor="_Toc89950953" w:history="1">
        <w:r w:rsidR="00340A6F" w:rsidRPr="00294D0F">
          <w:rPr>
            <w:rStyle w:val="Hyperlink"/>
          </w:rPr>
          <w:t>Activities that can be funded (scope)</w:t>
        </w:r>
        <w:r w:rsidR="00340A6F">
          <w:rPr>
            <w:webHidden/>
          </w:rPr>
          <w:tab/>
        </w:r>
        <w:r w:rsidR="00340A6F">
          <w:rPr>
            <w:webHidden/>
          </w:rPr>
          <w:fldChar w:fldCharType="begin"/>
        </w:r>
        <w:r w:rsidR="00340A6F">
          <w:rPr>
            <w:webHidden/>
          </w:rPr>
          <w:instrText xml:space="preserve"> PAGEREF _Toc89950953 \h </w:instrText>
        </w:r>
        <w:r w:rsidR="00340A6F">
          <w:rPr>
            <w:webHidden/>
          </w:rPr>
        </w:r>
        <w:r w:rsidR="00340A6F">
          <w:rPr>
            <w:webHidden/>
          </w:rPr>
          <w:fldChar w:fldCharType="separate"/>
        </w:r>
        <w:r w:rsidR="002944ED">
          <w:rPr>
            <w:webHidden/>
          </w:rPr>
          <w:t>9</w:t>
        </w:r>
        <w:r w:rsidR="00340A6F">
          <w:rPr>
            <w:webHidden/>
          </w:rPr>
          <w:fldChar w:fldCharType="end"/>
        </w:r>
      </w:hyperlink>
    </w:p>
    <w:p w14:paraId="04945EDE" w14:textId="49A2A0D4" w:rsidR="00340A6F" w:rsidRDefault="009419CA">
      <w:pPr>
        <w:pStyle w:val="TOC3"/>
        <w:rPr>
          <w:rFonts w:asciiTheme="minorHAnsi" w:eastAsiaTheme="minorEastAsia" w:hAnsiTheme="minorHAnsi" w:cstheme="minorBidi"/>
          <w:sz w:val="22"/>
          <w:szCs w:val="22"/>
        </w:rPr>
      </w:pPr>
      <w:hyperlink w:anchor="_Toc89950954" w:history="1">
        <w:r w:rsidR="00340A6F" w:rsidRPr="00294D0F">
          <w:rPr>
            <w:rStyle w:val="Hyperlink"/>
          </w:rPr>
          <w:t>Expected impact</w:t>
        </w:r>
        <w:r w:rsidR="00340A6F">
          <w:rPr>
            <w:webHidden/>
          </w:rPr>
          <w:tab/>
        </w:r>
        <w:r w:rsidR="00340A6F">
          <w:rPr>
            <w:webHidden/>
          </w:rPr>
          <w:fldChar w:fldCharType="begin"/>
        </w:r>
        <w:r w:rsidR="00340A6F">
          <w:rPr>
            <w:webHidden/>
          </w:rPr>
          <w:instrText xml:space="preserve"> PAGEREF _Toc89950954 \h </w:instrText>
        </w:r>
        <w:r w:rsidR="00340A6F">
          <w:rPr>
            <w:webHidden/>
          </w:rPr>
        </w:r>
        <w:r w:rsidR="00340A6F">
          <w:rPr>
            <w:webHidden/>
          </w:rPr>
          <w:fldChar w:fldCharType="separate"/>
        </w:r>
        <w:r w:rsidR="002944ED">
          <w:rPr>
            <w:webHidden/>
          </w:rPr>
          <w:t>10</w:t>
        </w:r>
        <w:r w:rsidR="00340A6F">
          <w:rPr>
            <w:webHidden/>
          </w:rPr>
          <w:fldChar w:fldCharType="end"/>
        </w:r>
      </w:hyperlink>
    </w:p>
    <w:p w14:paraId="4B082E88" w14:textId="2B3CD142" w:rsidR="00340A6F" w:rsidRDefault="009419CA">
      <w:pPr>
        <w:pStyle w:val="TOC1"/>
        <w:rPr>
          <w:rFonts w:asciiTheme="minorHAnsi" w:eastAsiaTheme="minorEastAsia" w:hAnsiTheme="minorHAnsi" w:cstheme="minorBidi"/>
          <w:noProof/>
          <w:sz w:val="22"/>
          <w:szCs w:val="22"/>
        </w:rPr>
      </w:pPr>
      <w:hyperlink w:anchor="_Toc89950955" w:history="1">
        <w:r w:rsidR="00340A6F" w:rsidRPr="00294D0F">
          <w:rPr>
            <w:rStyle w:val="Hyperlink"/>
            <w:noProof/>
          </w:rPr>
          <w:t>3.</w:t>
        </w:r>
        <w:r w:rsidR="00340A6F">
          <w:rPr>
            <w:rFonts w:asciiTheme="minorHAnsi" w:eastAsiaTheme="minorEastAsia" w:hAnsiTheme="minorHAnsi" w:cstheme="minorBidi"/>
            <w:noProof/>
            <w:sz w:val="22"/>
            <w:szCs w:val="22"/>
          </w:rPr>
          <w:tab/>
        </w:r>
        <w:r w:rsidR="00340A6F" w:rsidRPr="00294D0F">
          <w:rPr>
            <w:rStyle w:val="Hyperlink"/>
            <w:noProof/>
          </w:rPr>
          <w:t>Available budget</w:t>
        </w:r>
        <w:r w:rsidR="00340A6F">
          <w:rPr>
            <w:noProof/>
            <w:webHidden/>
          </w:rPr>
          <w:tab/>
        </w:r>
        <w:r w:rsidR="00340A6F">
          <w:rPr>
            <w:noProof/>
            <w:webHidden/>
          </w:rPr>
          <w:fldChar w:fldCharType="begin"/>
        </w:r>
        <w:r w:rsidR="00340A6F">
          <w:rPr>
            <w:noProof/>
            <w:webHidden/>
          </w:rPr>
          <w:instrText xml:space="preserve"> PAGEREF _Toc89950955 \h </w:instrText>
        </w:r>
        <w:r w:rsidR="00340A6F">
          <w:rPr>
            <w:noProof/>
            <w:webHidden/>
          </w:rPr>
        </w:r>
        <w:r w:rsidR="00340A6F">
          <w:rPr>
            <w:noProof/>
            <w:webHidden/>
          </w:rPr>
          <w:fldChar w:fldCharType="separate"/>
        </w:r>
        <w:r w:rsidR="002944ED">
          <w:rPr>
            <w:noProof/>
            <w:webHidden/>
          </w:rPr>
          <w:t>10</w:t>
        </w:r>
        <w:r w:rsidR="00340A6F">
          <w:rPr>
            <w:noProof/>
            <w:webHidden/>
          </w:rPr>
          <w:fldChar w:fldCharType="end"/>
        </w:r>
      </w:hyperlink>
    </w:p>
    <w:p w14:paraId="13EE06FA" w14:textId="78C8FB89" w:rsidR="00340A6F" w:rsidRDefault="009419CA">
      <w:pPr>
        <w:pStyle w:val="TOC1"/>
        <w:rPr>
          <w:rFonts w:asciiTheme="minorHAnsi" w:eastAsiaTheme="minorEastAsia" w:hAnsiTheme="minorHAnsi" w:cstheme="minorBidi"/>
          <w:noProof/>
          <w:sz w:val="22"/>
          <w:szCs w:val="22"/>
        </w:rPr>
      </w:pPr>
      <w:hyperlink w:anchor="_Toc89950956" w:history="1">
        <w:r w:rsidR="00340A6F" w:rsidRPr="00294D0F">
          <w:rPr>
            <w:rStyle w:val="Hyperlink"/>
            <w:noProof/>
          </w:rPr>
          <w:t>4.</w:t>
        </w:r>
        <w:r w:rsidR="00340A6F">
          <w:rPr>
            <w:rFonts w:asciiTheme="minorHAnsi" w:eastAsiaTheme="minorEastAsia" w:hAnsiTheme="minorHAnsi" w:cstheme="minorBidi"/>
            <w:noProof/>
            <w:sz w:val="22"/>
            <w:szCs w:val="22"/>
          </w:rPr>
          <w:tab/>
        </w:r>
        <w:r w:rsidR="00340A6F" w:rsidRPr="00294D0F">
          <w:rPr>
            <w:rStyle w:val="Hyperlink"/>
            <w:noProof/>
          </w:rPr>
          <w:t>Timetable and deadlines</w:t>
        </w:r>
        <w:r w:rsidR="00340A6F">
          <w:rPr>
            <w:noProof/>
            <w:webHidden/>
          </w:rPr>
          <w:tab/>
        </w:r>
        <w:r w:rsidR="00340A6F">
          <w:rPr>
            <w:noProof/>
            <w:webHidden/>
          </w:rPr>
          <w:fldChar w:fldCharType="begin"/>
        </w:r>
        <w:r w:rsidR="00340A6F">
          <w:rPr>
            <w:noProof/>
            <w:webHidden/>
          </w:rPr>
          <w:instrText xml:space="preserve"> PAGEREF _Toc89950956 \h </w:instrText>
        </w:r>
        <w:r w:rsidR="00340A6F">
          <w:rPr>
            <w:noProof/>
            <w:webHidden/>
          </w:rPr>
        </w:r>
        <w:r w:rsidR="00340A6F">
          <w:rPr>
            <w:noProof/>
            <w:webHidden/>
          </w:rPr>
          <w:fldChar w:fldCharType="separate"/>
        </w:r>
        <w:r w:rsidR="002944ED">
          <w:rPr>
            <w:noProof/>
            <w:webHidden/>
          </w:rPr>
          <w:t>11</w:t>
        </w:r>
        <w:r w:rsidR="00340A6F">
          <w:rPr>
            <w:noProof/>
            <w:webHidden/>
          </w:rPr>
          <w:fldChar w:fldCharType="end"/>
        </w:r>
      </w:hyperlink>
    </w:p>
    <w:p w14:paraId="2D8E6A0E" w14:textId="1EFE3817" w:rsidR="00340A6F" w:rsidRDefault="009419CA">
      <w:pPr>
        <w:pStyle w:val="TOC1"/>
        <w:rPr>
          <w:rFonts w:asciiTheme="minorHAnsi" w:eastAsiaTheme="minorEastAsia" w:hAnsiTheme="minorHAnsi" w:cstheme="minorBidi"/>
          <w:noProof/>
          <w:sz w:val="22"/>
          <w:szCs w:val="22"/>
        </w:rPr>
      </w:pPr>
      <w:hyperlink w:anchor="_Toc89950957" w:history="1">
        <w:r w:rsidR="00340A6F" w:rsidRPr="00294D0F">
          <w:rPr>
            <w:rStyle w:val="Hyperlink"/>
            <w:noProof/>
          </w:rPr>
          <w:t>5.</w:t>
        </w:r>
        <w:r w:rsidR="00340A6F">
          <w:rPr>
            <w:rFonts w:asciiTheme="minorHAnsi" w:eastAsiaTheme="minorEastAsia" w:hAnsiTheme="minorHAnsi" w:cstheme="minorBidi"/>
            <w:noProof/>
            <w:sz w:val="22"/>
            <w:szCs w:val="22"/>
          </w:rPr>
          <w:tab/>
        </w:r>
        <w:r w:rsidR="00340A6F" w:rsidRPr="00294D0F">
          <w:rPr>
            <w:rStyle w:val="Hyperlink"/>
            <w:noProof/>
          </w:rPr>
          <w:t>Admissibility and documents</w:t>
        </w:r>
        <w:r w:rsidR="00340A6F">
          <w:rPr>
            <w:noProof/>
            <w:webHidden/>
          </w:rPr>
          <w:tab/>
        </w:r>
        <w:r w:rsidR="00340A6F">
          <w:rPr>
            <w:noProof/>
            <w:webHidden/>
          </w:rPr>
          <w:fldChar w:fldCharType="begin"/>
        </w:r>
        <w:r w:rsidR="00340A6F">
          <w:rPr>
            <w:noProof/>
            <w:webHidden/>
          </w:rPr>
          <w:instrText xml:space="preserve"> PAGEREF _Toc89950957 \h </w:instrText>
        </w:r>
        <w:r w:rsidR="00340A6F">
          <w:rPr>
            <w:noProof/>
            <w:webHidden/>
          </w:rPr>
        </w:r>
        <w:r w:rsidR="00340A6F">
          <w:rPr>
            <w:noProof/>
            <w:webHidden/>
          </w:rPr>
          <w:fldChar w:fldCharType="separate"/>
        </w:r>
        <w:r w:rsidR="002944ED">
          <w:rPr>
            <w:noProof/>
            <w:webHidden/>
          </w:rPr>
          <w:t>11</w:t>
        </w:r>
        <w:r w:rsidR="00340A6F">
          <w:rPr>
            <w:noProof/>
            <w:webHidden/>
          </w:rPr>
          <w:fldChar w:fldCharType="end"/>
        </w:r>
      </w:hyperlink>
    </w:p>
    <w:p w14:paraId="4B876EA1" w14:textId="372CCD4D" w:rsidR="00340A6F" w:rsidRDefault="009419CA">
      <w:pPr>
        <w:pStyle w:val="TOC1"/>
        <w:rPr>
          <w:rFonts w:asciiTheme="minorHAnsi" w:eastAsiaTheme="minorEastAsia" w:hAnsiTheme="minorHAnsi" w:cstheme="minorBidi"/>
          <w:noProof/>
          <w:sz w:val="22"/>
          <w:szCs w:val="22"/>
        </w:rPr>
      </w:pPr>
      <w:hyperlink w:anchor="_Toc89950958" w:history="1">
        <w:r w:rsidR="00340A6F" w:rsidRPr="00294D0F">
          <w:rPr>
            <w:rStyle w:val="Hyperlink"/>
            <w:noProof/>
          </w:rPr>
          <w:t>6.</w:t>
        </w:r>
        <w:r w:rsidR="00340A6F">
          <w:rPr>
            <w:rFonts w:asciiTheme="minorHAnsi" w:eastAsiaTheme="minorEastAsia" w:hAnsiTheme="minorHAnsi" w:cstheme="minorBidi"/>
            <w:noProof/>
            <w:sz w:val="22"/>
            <w:szCs w:val="22"/>
          </w:rPr>
          <w:tab/>
        </w:r>
        <w:r w:rsidR="00340A6F" w:rsidRPr="00294D0F">
          <w:rPr>
            <w:rStyle w:val="Hyperlink"/>
            <w:noProof/>
          </w:rPr>
          <w:t>Eligibility</w:t>
        </w:r>
        <w:r w:rsidR="00340A6F">
          <w:rPr>
            <w:noProof/>
            <w:webHidden/>
          </w:rPr>
          <w:tab/>
        </w:r>
        <w:r w:rsidR="00340A6F">
          <w:rPr>
            <w:noProof/>
            <w:webHidden/>
          </w:rPr>
          <w:fldChar w:fldCharType="begin"/>
        </w:r>
        <w:r w:rsidR="00340A6F">
          <w:rPr>
            <w:noProof/>
            <w:webHidden/>
          </w:rPr>
          <w:instrText xml:space="preserve"> PAGEREF _Toc89950958 \h </w:instrText>
        </w:r>
        <w:r w:rsidR="00340A6F">
          <w:rPr>
            <w:noProof/>
            <w:webHidden/>
          </w:rPr>
        </w:r>
        <w:r w:rsidR="00340A6F">
          <w:rPr>
            <w:noProof/>
            <w:webHidden/>
          </w:rPr>
          <w:fldChar w:fldCharType="separate"/>
        </w:r>
        <w:r w:rsidR="002944ED">
          <w:rPr>
            <w:noProof/>
            <w:webHidden/>
          </w:rPr>
          <w:t>12</w:t>
        </w:r>
        <w:r w:rsidR="00340A6F">
          <w:rPr>
            <w:noProof/>
            <w:webHidden/>
          </w:rPr>
          <w:fldChar w:fldCharType="end"/>
        </w:r>
      </w:hyperlink>
    </w:p>
    <w:p w14:paraId="25AC04A3" w14:textId="30C45F15" w:rsidR="00340A6F" w:rsidRDefault="009419CA">
      <w:pPr>
        <w:pStyle w:val="TOC3"/>
        <w:rPr>
          <w:rFonts w:asciiTheme="minorHAnsi" w:eastAsiaTheme="minorEastAsia" w:hAnsiTheme="minorHAnsi" w:cstheme="minorBidi"/>
          <w:sz w:val="22"/>
          <w:szCs w:val="22"/>
        </w:rPr>
      </w:pPr>
      <w:hyperlink w:anchor="_Toc89950959" w:history="1">
        <w:r w:rsidR="00340A6F" w:rsidRPr="00294D0F">
          <w:rPr>
            <w:rStyle w:val="Hyperlink"/>
          </w:rPr>
          <w:t>Eligible participants (eligible countries)</w:t>
        </w:r>
        <w:r w:rsidR="00340A6F">
          <w:rPr>
            <w:webHidden/>
          </w:rPr>
          <w:tab/>
        </w:r>
        <w:r w:rsidR="00340A6F">
          <w:rPr>
            <w:webHidden/>
          </w:rPr>
          <w:fldChar w:fldCharType="begin"/>
        </w:r>
        <w:r w:rsidR="00340A6F">
          <w:rPr>
            <w:webHidden/>
          </w:rPr>
          <w:instrText xml:space="preserve"> PAGEREF _Toc89950959 \h </w:instrText>
        </w:r>
        <w:r w:rsidR="00340A6F">
          <w:rPr>
            <w:webHidden/>
          </w:rPr>
        </w:r>
        <w:r w:rsidR="00340A6F">
          <w:rPr>
            <w:webHidden/>
          </w:rPr>
          <w:fldChar w:fldCharType="separate"/>
        </w:r>
        <w:r w:rsidR="002944ED">
          <w:rPr>
            <w:webHidden/>
          </w:rPr>
          <w:t>12</w:t>
        </w:r>
        <w:r w:rsidR="00340A6F">
          <w:rPr>
            <w:webHidden/>
          </w:rPr>
          <w:fldChar w:fldCharType="end"/>
        </w:r>
      </w:hyperlink>
    </w:p>
    <w:p w14:paraId="533A9524" w14:textId="0D10F26C" w:rsidR="00340A6F" w:rsidRDefault="009419CA">
      <w:pPr>
        <w:pStyle w:val="TOC3"/>
        <w:rPr>
          <w:rFonts w:asciiTheme="minorHAnsi" w:eastAsiaTheme="minorEastAsia" w:hAnsiTheme="minorHAnsi" w:cstheme="minorBidi"/>
          <w:sz w:val="22"/>
          <w:szCs w:val="22"/>
        </w:rPr>
      </w:pPr>
      <w:hyperlink w:anchor="_Toc89950960" w:history="1">
        <w:r w:rsidR="00340A6F" w:rsidRPr="00294D0F">
          <w:rPr>
            <w:rStyle w:val="Hyperlink"/>
          </w:rPr>
          <w:t>Consortium composition</w:t>
        </w:r>
        <w:r w:rsidR="00340A6F">
          <w:rPr>
            <w:webHidden/>
          </w:rPr>
          <w:tab/>
        </w:r>
        <w:r w:rsidR="00340A6F">
          <w:rPr>
            <w:webHidden/>
          </w:rPr>
          <w:fldChar w:fldCharType="begin"/>
        </w:r>
        <w:r w:rsidR="00340A6F">
          <w:rPr>
            <w:webHidden/>
          </w:rPr>
          <w:instrText xml:space="preserve"> PAGEREF _Toc89950960 \h </w:instrText>
        </w:r>
        <w:r w:rsidR="00340A6F">
          <w:rPr>
            <w:webHidden/>
          </w:rPr>
        </w:r>
        <w:r w:rsidR="00340A6F">
          <w:rPr>
            <w:webHidden/>
          </w:rPr>
          <w:fldChar w:fldCharType="separate"/>
        </w:r>
        <w:r w:rsidR="002944ED">
          <w:rPr>
            <w:webHidden/>
          </w:rPr>
          <w:t>14</w:t>
        </w:r>
        <w:r w:rsidR="00340A6F">
          <w:rPr>
            <w:webHidden/>
          </w:rPr>
          <w:fldChar w:fldCharType="end"/>
        </w:r>
      </w:hyperlink>
    </w:p>
    <w:p w14:paraId="09785B33" w14:textId="3EC30C35" w:rsidR="00340A6F" w:rsidRDefault="009419CA">
      <w:pPr>
        <w:pStyle w:val="TOC3"/>
        <w:rPr>
          <w:rFonts w:asciiTheme="minorHAnsi" w:eastAsiaTheme="minorEastAsia" w:hAnsiTheme="minorHAnsi" w:cstheme="minorBidi"/>
          <w:sz w:val="22"/>
          <w:szCs w:val="22"/>
        </w:rPr>
      </w:pPr>
      <w:hyperlink w:anchor="_Toc89950961" w:history="1">
        <w:r w:rsidR="00340A6F" w:rsidRPr="00294D0F">
          <w:rPr>
            <w:rStyle w:val="Hyperlink"/>
          </w:rPr>
          <w:t>Eligible activities</w:t>
        </w:r>
        <w:r w:rsidR="00340A6F">
          <w:rPr>
            <w:webHidden/>
          </w:rPr>
          <w:tab/>
        </w:r>
        <w:r w:rsidR="00340A6F">
          <w:rPr>
            <w:webHidden/>
          </w:rPr>
          <w:fldChar w:fldCharType="begin"/>
        </w:r>
        <w:r w:rsidR="00340A6F">
          <w:rPr>
            <w:webHidden/>
          </w:rPr>
          <w:instrText xml:space="preserve"> PAGEREF _Toc89950961 \h </w:instrText>
        </w:r>
        <w:r w:rsidR="00340A6F">
          <w:rPr>
            <w:webHidden/>
          </w:rPr>
        </w:r>
        <w:r w:rsidR="00340A6F">
          <w:rPr>
            <w:webHidden/>
          </w:rPr>
          <w:fldChar w:fldCharType="separate"/>
        </w:r>
        <w:r w:rsidR="002944ED">
          <w:rPr>
            <w:webHidden/>
          </w:rPr>
          <w:t>14</w:t>
        </w:r>
        <w:r w:rsidR="00340A6F">
          <w:rPr>
            <w:webHidden/>
          </w:rPr>
          <w:fldChar w:fldCharType="end"/>
        </w:r>
      </w:hyperlink>
    </w:p>
    <w:p w14:paraId="694F7430" w14:textId="6BD8A1D8" w:rsidR="00340A6F" w:rsidRDefault="009419CA">
      <w:pPr>
        <w:pStyle w:val="TOC3"/>
        <w:rPr>
          <w:rFonts w:asciiTheme="minorHAnsi" w:eastAsiaTheme="minorEastAsia" w:hAnsiTheme="minorHAnsi" w:cstheme="minorBidi"/>
          <w:sz w:val="22"/>
          <w:szCs w:val="22"/>
        </w:rPr>
      </w:pPr>
      <w:hyperlink w:anchor="_Toc89950962" w:history="1">
        <w:r w:rsidR="00340A6F" w:rsidRPr="00294D0F">
          <w:rPr>
            <w:rStyle w:val="Hyperlink"/>
          </w:rPr>
          <w:t>Geographic location (target countries)</w:t>
        </w:r>
        <w:r w:rsidR="00340A6F">
          <w:rPr>
            <w:webHidden/>
          </w:rPr>
          <w:tab/>
        </w:r>
        <w:r w:rsidR="00340A6F">
          <w:rPr>
            <w:webHidden/>
          </w:rPr>
          <w:fldChar w:fldCharType="begin"/>
        </w:r>
        <w:r w:rsidR="00340A6F">
          <w:rPr>
            <w:webHidden/>
          </w:rPr>
          <w:instrText xml:space="preserve"> PAGEREF _Toc89950962 \h </w:instrText>
        </w:r>
        <w:r w:rsidR="00340A6F">
          <w:rPr>
            <w:webHidden/>
          </w:rPr>
        </w:r>
        <w:r w:rsidR="00340A6F">
          <w:rPr>
            <w:webHidden/>
          </w:rPr>
          <w:fldChar w:fldCharType="separate"/>
        </w:r>
        <w:r w:rsidR="002944ED">
          <w:rPr>
            <w:webHidden/>
          </w:rPr>
          <w:t>15</w:t>
        </w:r>
        <w:r w:rsidR="00340A6F">
          <w:rPr>
            <w:webHidden/>
          </w:rPr>
          <w:fldChar w:fldCharType="end"/>
        </w:r>
      </w:hyperlink>
    </w:p>
    <w:p w14:paraId="28294C47" w14:textId="7CD77584" w:rsidR="00340A6F" w:rsidRDefault="009419CA">
      <w:pPr>
        <w:pStyle w:val="TOC3"/>
        <w:rPr>
          <w:rFonts w:asciiTheme="minorHAnsi" w:eastAsiaTheme="minorEastAsia" w:hAnsiTheme="minorHAnsi" w:cstheme="minorBidi"/>
          <w:sz w:val="22"/>
          <w:szCs w:val="22"/>
        </w:rPr>
      </w:pPr>
      <w:hyperlink w:anchor="_Toc89950963" w:history="1">
        <w:r w:rsidR="00340A6F" w:rsidRPr="00294D0F">
          <w:rPr>
            <w:rStyle w:val="Hyperlink"/>
          </w:rPr>
          <w:t>Duration</w:t>
        </w:r>
        <w:r w:rsidR="00340A6F">
          <w:rPr>
            <w:webHidden/>
          </w:rPr>
          <w:tab/>
        </w:r>
        <w:r w:rsidR="00340A6F">
          <w:rPr>
            <w:webHidden/>
          </w:rPr>
          <w:fldChar w:fldCharType="begin"/>
        </w:r>
        <w:r w:rsidR="00340A6F">
          <w:rPr>
            <w:webHidden/>
          </w:rPr>
          <w:instrText xml:space="preserve"> PAGEREF _Toc89950963 \h </w:instrText>
        </w:r>
        <w:r w:rsidR="00340A6F">
          <w:rPr>
            <w:webHidden/>
          </w:rPr>
        </w:r>
        <w:r w:rsidR="00340A6F">
          <w:rPr>
            <w:webHidden/>
          </w:rPr>
          <w:fldChar w:fldCharType="separate"/>
        </w:r>
        <w:r w:rsidR="002944ED">
          <w:rPr>
            <w:webHidden/>
          </w:rPr>
          <w:t>15</w:t>
        </w:r>
        <w:r w:rsidR="00340A6F">
          <w:rPr>
            <w:webHidden/>
          </w:rPr>
          <w:fldChar w:fldCharType="end"/>
        </w:r>
      </w:hyperlink>
    </w:p>
    <w:p w14:paraId="535FF66A" w14:textId="1F720F30" w:rsidR="00340A6F" w:rsidRDefault="009419CA">
      <w:pPr>
        <w:pStyle w:val="TOC3"/>
        <w:rPr>
          <w:rFonts w:asciiTheme="minorHAnsi" w:eastAsiaTheme="minorEastAsia" w:hAnsiTheme="minorHAnsi" w:cstheme="minorBidi"/>
          <w:sz w:val="22"/>
          <w:szCs w:val="22"/>
        </w:rPr>
      </w:pPr>
      <w:hyperlink w:anchor="_Toc89950964" w:history="1">
        <w:r w:rsidR="00340A6F" w:rsidRPr="00294D0F">
          <w:rPr>
            <w:rStyle w:val="Hyperlink"/>
          </w:rPr>
          <w:t>Ethics and EU values</w:t>
        </w:r>
        <w:r w:rsidR="00340A6F">
          <w:rPr>
            <w:webHidden/>
          </w:rPr>
          <w:tab/>
        </w:r>
        <w:r w:rsidR="00340A6F">
          <w:rPr>
            <w:webHidden/>
          </w:rPr>
          <w:fldChar w:fldCharType="begin"/>
        </w:r>
        <w:r w:rsidR="00340A6F">
          <w:rPr>
            <w:webHidden/>
          </w:rPr>
          <w:instrText xml:space="preserve"> PAGEREF _Toc89950964 \h </w:instrText>
        </w:r>
        <w:r w:rsidR="00340A6F">
          <w:rPr>
            <w:webHidden/>
          </w:rPr>
        </w:r>
        <w:r w:rsidR="00340A6F">
          <w:rPr>
            <w:webHidden/>
          </w:rPr>
          <w:fldChar w:fldCharType="separate"/>
        </w:r>
        <w:r w:rsidR="002944ED">
          <w:rPr>
            <w:webHidden/>
          </w:rPr>
          <w:t>15</w:t>
        </w:r>
        <w:r w:rsidR="00340A6F">
          <w:rPr>
            <w:webHidden/>
          </w:rPr>
          <w:fldChar w:fldCharType="end"/>
        </w:r>
      </w:hyperlink>
    </w:p>
    <w:p w14:paraId="237D2A4F" w14:textId="56769A51" w:rsidR="00340A6F" w:rsidRDefault="009419CA">
      <w:pPr>
        <w:pStyle w:val="TOC1"/>
        <w:rPr>
          <w:rFonts w:asciiTheme="minorHAnsi" w:eastAsiaTheme="minorEastAsia" w:hAnsiTheme="minorHAnsi" w:cstheme="minorBidi"/>
          <w:noProof/>
          <w:sz w:val="22"/>
          <w:szCs w:val="22"/>
        </w:rPr>
      </w:pPr>
      <w:hyperlink w:anchor="_Toc89950965" w:history="1">
        <w:r w:rsidR="00340A6F" w:rsidRPr="00294D0F">
          <w:rPr>
            <w:rStyle w:val="Hyperlink"/>
            <w:noProof/>
          </w:rPr>
          <w:t>7.</w:t>
        </w:r>
        <w:r w:rsidR="00340A6F">
          <w:rPr>
            <w:rFonts w:asciiTheme="minorHAnsi" w:eastAsiaTheme="minorEastAsia" w:hAnsiTheme="minorHAnsi" w:cstheme="minorBidi"/>
            <w:noProof/>
            <w:sz w:val="22"/>
            <w:szCs w:val="22"/>
          </w:rPr>
          <w:tab/>
        </w:r>
        <w:r w:rsidR="00340A6F" w:rsidRPr="00294D0F">
          <w:rPr>
            <w:rStyle w:val="Hyperlink"/>
            <w:noProof/>
          </w:rPr>
          <w:t>Financial and operational capacity and exclusion</w:t>
        </w:r>
        <w:r w:rsidR="00340A6F">
          <w:rPr>
            <w:noProof/>
            <w:webHidden/>
          </w:rPr>
          <w:tab/>
        </w:r>
        <w:r w:rsidR="00340A6F">
          <w:rPr>
            <w:noProof/>
            <w:webHidden/>
          </w:rPr>
          <w:fldChar w:fldCharType="begin"/>
        </w:r>
        <w:r w:rsidR="00340A6F">
          <w:rPr>
            <w:noProof/>
            <w:webHidden/>
          </w:rPr>
          <w:instrText xml:space="preserve"> PAGEREF _Toc89950965 \h </w:instrText>
        </w:r>
        <w:r w:rsidR="00340A6F">
          <w:rPr>
            <w:noProof/>
            <w:webHidden/>
          </w:rPr>
        </w:r>
        <w:r w:rsidR="00340A6F">
          <w:rPr>
            <w:noProof/>
            <w:webHidden/>
          </w:rPr>
          <w:fldChar w:fldCharType="separate"/>
        </w:r>
        <w:r w:rsidR="002944ED">
          <w:rPr>
            <w:noProof/>
            <w:webHidden/>
          </w:rPr>
          <w:t>16</w:t>
        </w:r>
        <w:r w:rsidR="00340A6F">
          <w:rPr>
            <w:noProof/>
            <w:webHidden/>
          </w:rPr>
          <w:fldChar w:fldCharType="end"/>
        </w:r>
      </w:hyperlink>
    </w:p>
    <w:p w14:paraId="13CCDE76" w14:textId="6267B925" w:rsidR="00340A6F" w:rsidRDefault="009419CA">
      <w:pPr>
        <w:pStyle w:val="TOC3"/>
        <w:rPr>
          <w:rFonts w:asciiTheme="minorHAnsi" w:eastAsiaTheme="minorEastAsia" w:hAnsiTheme="minorHAnsi" w:cstheme="minorBidi"/>
          <w:sz w:val="22"/>
          <w:szCs w:val="22"/>
        </w:rPr>
      </w:pPr>
      <w:hyperlink w:anchor="_Toc89950966" w:history="1">
        <w:r w:rsidR="00340A6F" w:rsidRPr="00294D0F">
          <w:rPr>
            <w:rStyle w:val="Hyperlink"/>
          </w:rPr>
          <w:t>Financial capacity</w:t>
        </w:r>
        <w:r w:rsidR="00340A6F">
          <w:rPr>
            <w:webHidden/>
          </w:rPr>
          <w:tab/>
        </w:r>
        <w:r w:rsidR="00340A6F">
          <w:rPr>
            <w:webHidden/>
          </w:rPr>
          <w:fldChar w:fldCharType="begin"/>
        </w:r>
        <w:r w:rsidR="00340A6F">
          <w:rPr>
            <w:webHidden/>
          </w:rPr>
          <w:instrText xml:space="preserve"> PAGEREF _Toc89950966 \h </w:instrText>
        </w:r>
        <w:r w:rsidR="00340A6F">
          <w:rPr>
            <w:webHidden/>
          </w:rPr>
        </w:r>
        <w:r w:rsidR="00340A6F">
          <w:rPr>
            <w:webHidden/>
          </w:rPr>
          <w:fldChar w:fldCharType="separate"/>
        </w:r>
        <w:r w:rsidR="002944ED">
          <w:rPr>
            <w:webHidden/>
          </w:rPr>
          <w:t>16</w:t>
        </w:r>
        <w:r w:rsidR="00340A6F">
          <w:rPr>
            <w:webHidden/>
          </w:rPr>
          <w:fldChar w:fldCharType="end"/>
        </w:r>
      </w:hyperlink>
    </w:p>
    <w:p w14:paraId="357F0C77" w14:textId="0FE97DBF" w:rsidR="00340A6F" w:rsidRDefault="009419CA">
      <w:pPr>
        <w:pStyle w:val="TOC3"/>
        <w:rPr>
          <w:rFonts w:asciiTheme="minorHAnsi" w:eastAsiaTheme="minorEastAsia" w:hAnsiTheme="minorHAnsi" w:cstheme="minorBidi"/>
          <w:sz w:val="22"/>
          <w:szCs w:val="22"/>
        </w:rPr>
      </w:pPr>
      <w:hyperlink w:anchor="_Toc89950967" w:history="1">
        <w:r w:rsidR="00340A6F" w:rsidRPr="00294D0F">
          <w:rPr>
            <w:rStyle w:val="Hyperlink"/>
          </w:rPr>
          <w:t>Operational capacity</w:t>
        </w:r>
        <w:r w:rsidR="00340A6F">
          <w:rPr>
            <w:webHidden/>
          </w:rPr>
          <w:tab/>
        </w:r>
        <w:r w:rsidR="00340A6F">
          <w:rPr>
            <w:webHidden/>
          </w:rPr>
          <w:fldChar w:fldCharType="begin"/>
        </w:r>
        <w:r w:rsidR="00340A6F">
          <w:rPr>
            <w:webHidden/>
          </w:rPr>
          <w:instrText xml:space="preserve"> PAGEREF _Toc89950967 \h </w:instrText>
        </w:r>
        <w:r w:rsidR="00340A6F">
          <w:rPr>
            <w:webHidden/>
          </w:rPr>
        </w:r>
        <w:r w:rsidR="00340A6F">
          <w:rPr>
            <w:webHidden/>
          </w:rPr>
          <w:fldChar w:fldCharType="separate"/>
        </w:r>
        <w:r w:rsidR="002944ED">
          <w:rPr>
            <w:webHidden/>
          </w:rPr>
          <w:t>17</w:t>
        </w:r>
        <w:r w:rsidR="00340A6F">
          <w:rPr>
            <w:webHidden/>
          </w:rPr>
          <w:fldChar w:fldCharType="end"/>
        </w:r>
      </w:hyperlink>
    </w:p>
    <w:p w14:paraId="660E0287" w14:textId="1B35C8FE" w:rsidR="00340A6F" w:rsidRDefault="009419CA">
      <w:pPr>
        <w:pStyle w:val="TOC3"/>
        <w:rPr>
          <w:rFonts w:asciiTheme="minorHAnsi" w:eastAsiaTheme="minorEastAsia" w:hAnsiTheme="minorHAnsi" w:cstheme="minorBidi"/>
          <w:sz w:val="22"/>
          <w:szCs w:val="22"/>
        </w:rPr>
      </w:pPr>
      <w:hyperlink w:anchor="_Toc89950968" w:history="1">
        <w:r w:rsidR="00340A6F" w:rsidRPr="00294D0F">
          <w:rPr>
            <w:rStyle w:val="Hyperlink"/>
          </w:rPr>
          <w:t>Exclusion</w:t>
        </w:r>
        <w:r w:rsidR="00340A6F">
          <w:rPr>
            <w:webHidden/>
          </w:rPr>
          <w:tab/>
        </w:r>
        <w:r w:rsidR="00340A6F">
          <w:rPr>
            <w:webHidden/>
          </w:rPr>
          <w:fldChar w:fldCharType="begin"/>
        </w:r>
        <w:r w:rsidR="00340A6F">
          <w:rPr>
            <w:webHidden/>
          </w:rPr>
          <w:instrText xml:space="preserve"> PAGEREF _Toc89950968 \h </w:instrText>
        </w:r>
        <w:r w:rsidR="00340A6F">
          <w:rPr>
            <w:webHidden/>
          </w:rPr>
        </w:r>
        <w:r w:rsidR="00340A6F">
          <w:rPr>
            <w:webHidden/>
          </w:rPr>
          <w:fldChar w:fldCharType="separate"/>
        </w:r>
        <w:r w:rsidR="002944ED">
          <w:rPr>
            <w:webHidden/>
          </w:rPr>
          <w:t>17</w:t>
        </w:r>
        <w:r w:rsidR="00340A6F">
          <w:rPr>
            <w:webHidden/>
          </w:rPr>
          <w:fldChar w:fldCharType="end"/>
        </w:r>
      </w:hyperlink>
    </w:p>
    <w:p w14:paraId="4283D1F4" w14:textId="5165A6A1" w:rsidR="00340A6F" w:rsidRDefault="009419CA">
      <w:pPr>
        <w:pStyle w:val="TOC1"/>
        <w:rPr>
          <w:rFonts w:asciiTheme="minorHAnsi" w:eastAsiaTheme="minorEastAsia" w:hAnsiTheme="minorHAnsi" w:cstheme="minorBidi"/>
          <w:noProof/>
          <w:sz w:val="22"/>
          <w:szCs w:val="22"/>
        </w:rPr>
      </w:pPr>
      <w:hyperlink w:anchor="_Toc89950969" w:history="1">
        <w:r w:rsidR="00340A6F" w:rsidRPr="00294D0F">
          <w:rPr>
            <w:rStyle w:val="Hyperlink"/>
            <w:noProof/>
          </w:rPr>
          <w:t>8.</w:t>
        </w:r>
        <w:r w:rsidR="00340A6F">
          <w:rPr>
            <w:rFonts w:asciiTheme="minorHAnsi" w:eastAsiaTheme="minorEastAsia" w:hAnsiTheme="minorHAnsi" w:cstheme="minorBidi"/>
            <w:noProof/>
            <w:sz w:val="22"/>
            <w:szCs w:val="22"/>
          </w:rPr>
          <w:tab/>
        </w:r>
        <w:r w:rsidR="00340A6F" w:rsidRPr="00294D0F">
          <w:rPr>
            <w:rStyle w:val="Hyperlink"/>
            <w:noProof/>
          </w:rPr>
          <w:t>Evaluation and award procedure</w:t>
        </w:r>
        <w:r w:rsidR="00340A6F">
          <w:rPr>
            <w:noProof/>
            <w:webHidden/>
          </w:rPr>
          <w:tab/>
        </w:r>
        <w:r w:rsidR="00340A6F">
          <w:rPr>
            <w:noProof/>
            <w:webHidden/>
          </w:rPr>
          <w:fldChar w:fldCharType="begin"/>
        </w:r>
        <w:r w:rsidR="00340A6F">
          <w:rPr>
            <w:noProof/>
            <w:webHidden/>
          </w:rPr>
          <w:instrText xml:space="preserve"> PAGEREF _Toc89950969 \h </w:instrText>
        </w:r>
        <w:r w:rsidR="00340A6F">
          <w:rPr>
            <w:noProof/>
            <w:webHidden/>
          </w:rPr>
        </w:r>
        <w:r w:rsidR="00340A6F">
          <w:rPr>
            <w:noProof/>
            <w:webHidden/>
          </w:rPr>
          <w:fldChar w:fldCharType="separate"/>
        </w:r>
        <w:r w:rsidR="002944ED">
          <w:rPr>
            <w:noProof/>
            <w:webHidden/>
          </w:rPr>
          <w:t>18</w:t>
        </w:r>
        <w:r w:rsidR="00340A6F">
          <w:rPr>
            <w:noProof/>
            <w:webHidden/>
          </w:rPr>
          <w:fldChar w:fldCharType="end"/>
        </w:r>
      </w:hyperlink>
    </w:p>
    <w:p w14:paraId="561A6078" w14:textId="2B82E53B" w:rsidR="00340A6F" w:rsidRDefault="009419CA">
      <w:pPr>
        <w:pStyle w:val="TOC1"/>
        <w:rPr>
          <w:rFonts w:asciiTheme="minorHAnsi" w:eastAsiaTheme="minorEastAsia" w:hAnsiTheme="minorHAnsi" w:cstheme="minorBidi"/>
          <w:noProof/>
          <w:sz w:val="22"/>
          <w:szCs w:val="22"/>
        </w:rPr>
      </w:pPr>
      <w:hyperlink w:anchor="_Toc89950970" w:history="1">
        <w:r w:rsidR="00340A6F" w:rsidRPr="00294D0F">
          <w:rPr>
            <w:rStyle w:val="Hyperlink"/>
            <w:noProof/>
          </w:rPr>
          <w:t>9.</w:t>
        </w:r>
        <w:r w:rsidR="00340A6F">
          <w:rPr>
            <w:rFonts w:asciiTheme="minorHAnsi" w:eastAsiaTheme="minorEastAsia" w:hAnsiTheme="minorHAnsi" w:cstheme="minorBidi"/>
            <w:noProof/>
            <w:sz w:val="22"/>
            <w:szCs w:val="22"/>
          </w:rPr>
          <w:tab/>
        </w:r>
        <w:r w:rsidR="00340A6F" w:rsidRPr="00294D0F">
          <w:rPr>
            <w:rStyle w:val="Hyperlink"/>
            <w:noProof/>
          </w:rPr>
          <w:t>Award criteria</w:t>
        </w:r>
        <w:r w:rsidR="00340A6F">
          <w:rPr>
            <w:noProof/>
            <w:webHidden/>
          </w:rPr>
          <w:tab/>
        </w:r>
        <w:r w:rsidR="00340A6F">
          <w:rPr>
            <w:noProof/>
            <w:webHidden/>
          </w:rPr>
          <w:fldChar w:fldCharType="begin"/>
        </w:r>
        <w:r w:rsidR="00340A6F">
          <w:rPr>
            <w:noProof/>
            <w:webHidden/>
          </w:rPr>
          <w:instrText xml:space="preserve"> PAGEREF _Toc89950970 \h </w:instrText>
        </w:r>
        <w:r w:rsidR="00340A6F">
          <w:rPr>
            <w:noProof/>
            <w:webHidden/>
          </w:rPr>
        </w:r>
        <w:r w:rsidR="00340A6F">
          <w:rPr>
            <w:noProof/>
            <w:webHidden/>
          </w:rPr>
          <w:fldChar w:fldCharType="separate"/>
        </w:r>
        <w:r w:rsidR="002944ED">
          <w:rPr>
            <w:noProof/>
            <w:webHidden/>
          </w:rPr>
          <w:t>19</w:t>
        </w:r>
        <w:r w:rsidR="00340A6F">
          <w:rPr>
            <w:noProof/>
            <w:webHidden/>
          </w:rPr>
          <w:fldChar w:fldCharType="end"/>
        </w:r>
      </w:hyperlink>
    </w:p>
    <w:p w14:paraId="4CF3CBD6" w14:textId="22C422BC" w:rsidR="00340A6F" w:rsidRDefault="009419CA">
      <w:pPr>
        <w:pStyle w:val="TOC1"/>
        <w:rPr>
          <w:rFonts w:asciiTheme="minorHAnsi" w:eastAsiaTheme="minorEastAsia" w:hAnsiTheme="minorHAnsi" w:cstheme="minorBidi"/>
          <w:noProof/>
          <w:sz w:val="22"/>
          <w:szCs w:val="22"/>
        </w:rPr>
      </w:pPr>
      <w:hyperlink w:anchor="_Toc89950971" w:history="1">
        <w:r w:rsidR="00340A6F" w:rsidRPr="00294D0F">
          <w:rPr>
            <w:rStyle w:val="Hyperlink"/>
            <w:noProof/>
          </w:rPr>
          <w:t>10.</w:t>
        </w:r>
        <w:r w:rsidR="00340A6F">
          <w:rPr>
            <w:rFonts w:asciiTheme="minorHAnsi" w:eastAsiaTheme="minorEastAsia" w:hAnsiTheme="minorHAnsi" w:cstheme="minorBidi"/>
            <w:noProof/>
            <w:sz w:val="22"/>
            <w:szCs w:val="22"/>
          </w:rPr>
          <w:tab/>
        </w:r>
        <w:r w:rsidR="00340A6F" w:rsidRPr="00294D0F">
          <w:rPr>
            <w:rStyle w:val="Hyperlink"/>
            <w:noProof/>
          </w:rPr>
          <w:t>Legal and financial set-up of the Grant Agreements</w:t>
        </w:r>
        <w:r w:rsidR="00340A6F">
          <w:rPr>
            <w:noProof/>
            <w:webHidden/>
          </w:rPr>
          <w:tab/>
        </w:r>
        <w:r w:rsidR="00340A6F">
          <w:rPr>
            <w:noProof/>
            <w:webHidden/>
          </w:rPr>
          <w:fldChar w:fldCharType="begin"/>
        </w:r>
        <w:r w:rsidR="00340A6F">
          <w:rPr>
            <w:noProof/>
            <w:webHidden/>
          </w:rPr>
          <w:instrText xml:space="preserve"> PAGEREF _Toc89950971 \h </w:instrText>
        </w:r>
        <w:r w:rsidR="00340A6F">
          <w:rPr>
            <w:noProof/>
            <w:webHidden/>
          </w:rPr>
        </w:r>
        <w:r w:rsidR="00340A6F">
          <w:rPr>
            <w:noProof/>
            <w:webHidden/>
          </w:rPr>
          <w:fldChar w:fldCharType="separate"/>
        </w:r>
        <w:r w:rsidR="002944ED">
          <w:rPr>
            <w:noProof/>
            <w:webHidden/>
          </w:rPr>
          <w:t>20</w:t>
        </w:r>
        <w:r w:rsidR="00340A6F">
          <w:rPr>
            <w:noProof/>
            <w:webHidden/>
          </w:rPr>
          <w:fldChar w:fldCharType="end"/>
        </w:r>
      </w:hyperlink>
    </w:p>
    <w:p w14:paraId="3FDFAE54" w14:textId="22C88CD4" w:rsidR="00340A6F" w:rsidRDefault="009419CA">
      <w:pPr>
        <w:pStyle w:val="TOC3"/>
        <w:rPr>
          <w:rFonts w:asciiTheme="minorHAnsi" w:eastAsiaTheme="minorEastAsia" w:hAnsiTheme="minorHAnsi" w:cstheme="minorBidi"/>
          <w:sz w:val="22"/>
          <w:szCs w:val="22"/>
        </w:rPr>
      </w:pPr>
      <w:hyperlink w:anchor="_Toc89950972" w:history="1">
        <w:r w:rsidR="00340A6F" w:rsidRPr="00294D0F">
          <w:rPr>
            <w:rStyle w:val="Hyperlink"/>
          </w:rPr>
          <w:t>Starting date and project duration</w:t>
        </w:r>
        <w:r w:rsidR="00340A6F">
          <w:rPr>
            <w:webHidden/>
          </w:rPr>
          <w:tab/>
        </w:r>
        <w:r w:rsidR="00340A6F">
          <w:rPr>
            <w:webHidden/>
          </w:rPr>
          <w:fldChar w:fldCharType="begin"/>
        </w:r>
        <w:r w:rsidR="00340A6F">
          <w:rPr>
            <w:webHidden/>
          </w:rPr>
          <w:instrText xml:space="preserve"> PAGEREF _Toc89950972 \h </w:instrText>
        </w:r>
        <w:r w:rsidR="00340A6F">
          <w:rPr>
            <w:webHidden/>
          </w:rPr>
        </w:r>
        <w:r w:rsidR="00340A6F">
          <w:rPr>
            <w:webHidden/>
          </w:rPr>
          <w:fldChar w:fldCharType="separate"/>
        </w:r>
        <w:r w:rsidR="002944ED">
          <w:rPr>
            <w:webHidden/>
          </w:rPr>
          <w:t>20</w:t>
        </w:r>
        <w:r w:rsidR="00340A6F">
          <w:rPr>
            <w:webHidden/>
          </w:rPr>
          <w:fldChar w:fldCharType="end"/>
        </w:r>
      </w:hyperlink>
    </w:p>
    <w:p w14:paraId="032FA157" w14:textId="07A7C87C" w:rsidR="00340A6F" w:rsidRDefault="009419CA">
      <w:pPr>
        <w:pStyle w:val="TOC3"/>
        <w:rPr>
          <w:rFonts w:asciiTheme="minorHAnsi" w:eastAsiaTheme="minorEastAsia" w:hAnsiTheme="minorHAnsi" w:cstheme="minorBidi"/>
          <w:sz w:val="22"/>
          <w:szCs w:val="22"/>
        </w:rPr>
      </w:pPr>
      <w:hyperlink w:anchor="_Toc89950973" w:history="1">
        <w:r w:rsidR="00340A6F" w:rsidRPr="00294D0F">
          <w:rPr>
            <w:rStyle w:val="Hyperlink"/>
          </w:rPr>
          <w:t>Milestones and deliverables</w:t>
        </w:r>
        <w:r w:rsidR="00340A6F">
          <w:rPr>
            <w:webHidden/>
          </w:rPr>
          <w:tab/>
        </w:r>
        <w:r w:rsidR="00340A6F">
          <w:rPr>
            <w:webHidden/>
          </w:rPr>
          <w:fldChar w:fldCharType="begin"/>
        </w:r>
        <w:r w:rsidR="00340A6F">
          <w:rPr>
            <w:webHidden/>
          </w:rPr>
          <w:instrText xml:space="preserve"> PAGEREF _Toc89950973 \h </w:instrText>
        </w:r>
        <w:r w:rsidR="00340A6F">
          <w:rPr>
            <w:webHidden/>
          </w:rPr>
        </w:r>
        <w:r w:rsidR="00340A6F">
          <w:rPr>
            <w:webHidden/>
          </w:rPr>
          <w:fldChar w:fldCharType="separate"/>
        </w:r>
        <w:r w:rsidR="002944ED">
          <w:rPr>
            <w:webHidden/>
          </w:rPr>
          <w:t>20</w:t>
        </w:r>
        <w:r w:rsidR="00340A6F">
          <w:rPr>
            <w:webHidden/>
          </w:rPr>
          <w:fldChar w:fldCharType="end"/>
        </w:r>
      </w:hyperlink>
    </w:p>
    <w:p w14:paraId="554D2B65" w14:textId="3977F823" w:rsidR="00340A6F" w:rsidRDefault="009419CA">
      <w:pPr>
        <w:pStyle w:val="TOC3"/>
        <w:rPr>
          <w:rFonts w:asciiTheme="minorHAnsi" w:eastAsiaTheme="minorEastAsia" w:hAnsiTheme="minorHAnsi" w:cstheme="minorBidi"/>
          <w:sz w:val="22"/>
          <w:szCs w:val="22"/>
        </w:rPr>
      </w:pPr>
      <w:hyperlink w:anchor="_Toc89950974" w:history="1">
        <w:r w:rsidR="00340A6F" w:rsidRPr="00294D0F">
          <w:rPr>
            <w:rStyle w:val="Hyperlink"/>
          </w:rPr>
          <w:t>Form of grant, funding rate and maximum grant amount</w:t>
        </w:r>
        <w:r w:rsidR="00340A6F">
          <w:rPr>
            <w:webHidden/>
          </w:rPr>
          <w:tab/>
        </w:r>
        <w:r w:rsidR="00340A6F">
          <w:rPr>
            <w:webHidden/>
          </w:rPr>
          <w:fldChar w:fldCharType="begin"/>
        </w:r>
        <w:r w:rsidR="00340A6F">
          <w:rPr>
            <w:webHidden/>
          </w:rPr>
          <w:instrText xml:space="preserve"> PAGEREF _Toc89950974 \h </w:instrText>
        </w:r>
        <w:r w:rsidR="00340A6F">
          <w:rPr>
            <w:webHidden/>
          </w:rPr>
        </w:r>
        <w:r w:rsidR="00340A6F">
          <w:rPr>
            <w:webHidden/>
          </w:rPr>
          <w:fldChar w:fldCharType="separate"/>
        </w:r>
        <w:r w:rsidR="002944ED">
          <w:rPr>
            <w:webHidden/>
          </w:rPr>
          <w:t>20</w:t>
        </w:r>
        <w:r w:rsidR="00340A6F">
          <w:rPr>
            <w:webHidden/>
          </w:rPr>
          <w:fldChar w:fldCharType="end"/>
        </w:r>
      </w:hyperlink>
    </w:p>
    <w:p w14:paraId="0C86A2A8" w14:textId="79E4D18B" w:rsidR="00340A6F" w:rsidRDefault="009419CA">
      <w:pPr>
        <w:pStyle w:val="TOC3"/>
        <w:rPr>
          <w:rFonts w:asciiTheme="minorHAnsi" w:eastAsiaTheme="minorEastAsia" w:hAnsiTheme="minorHAnsi" w:cstheme="minorBidi"/>
          <w:sz w:val="22"/>
          <w:szCs w:val="22"/>
        </w:rPr>
      </w:pPr>
      <w:hyperlink w:anchor="_Toc89950975" w:history="1">
        <w:r w:rsidR="00340A6F" w:rsidRPr="00294D0F">
          <w:rPr>
            <w:rStyle w:val="Hyperlink"/>
          </w:rPr>
          <w:t>Budget categories and cost eligibility rules</w:t>
        </w:r>
        <w:r w:rsidR="00340A6F">
          <w:rPr>
            <w:webHidden/>
          </w:rPr>
          <w:tab/>
        </w:r>
        <w:r w:rsidR="00340A6F">
          <w:rPr>
            <w:webHidden/>
          </w:rPr>
          <w:fldChar w:fldCharType="begin"/>
        </w:r>
        <w:r w:rsidR="00340A6F">
          <w:rPr>
            <w:webHidden/>
          </w:rPr>
          <w:instrText xml:space="preserve"> PAGEREF _Toc89950975 \h </w:instrText>
        </w:r>
        <w:r w:rsidR="00340A6F">
          <w:rPr>
            <w:webHidden/>
          </w:rPr>
        </w:r>
        <w:r w:rsidR="00340A6F">
          <w:rPr>
            <w:webHidden/>
          </w:rPr>
          <w:fldChar w:fldCharType="separate"/>
        </w:r>
        <w:r w:rsidR="002944ED">
          <w:rPr>
            <w:webHidden/>
          </w:rPr>
          <w:t>21</w:t>
        </w:r>
        <w:r w:rsidR="00340A6F">
          <w:rPr>
            <w:webHidden/>
          </w:rPr>
          <w:fldChar w:fldCharType="end"/>
        </w:r>
      </w:hyperlink>
    </w:p>
    <w:p w14:paraId="241AACCC" w14:textId="6F30C84C" w:rsidR="00340A6F" w:rsidRDefault="009419CA">
      <w:pPr>
        <w:pStyle w:val="TOC3"/>
        <w:rPr>
          <w:rFonts w:asciiTheme="minorHAnsi" w:eastAsiaTheme="minorEastAsia" w:hAnsiTheme="minorHAnsi" w:cstheme="minorBidi"/>
          <w:sz w:val="22"/>
          <w:szCs w:val="22"/>
        </w:rPr>
      </w:pPr>
      <w:hyperlink w:anchor="_Toc89950976" w:history="1">
        <w:r w:rsidR="00340A6F" w:rsidRPr="00294D0F">
          <w:rPr>
            <w:rStyle w:val="Hyperlink"/>
          </w:rPr>
          <w:t>Reporting and payment arrangements</w:t>
        </w:r>
        <w:r w:rsidR="00340A6F">
          <w:rPr>
            <w:webHidden/>
          </w:rPr>
          <w:tab/>
        </w:r>
        <w:r w:rsidR="00340A6F">
          <w:rPr>
            <w:webHidden/>
          </w:rPr>
          <w:fldChar w:fldCharType="begin"/>
        </w:r>
        <w:r w:rsidR="00340A6F">
          <w:rPr>
            <w:webHidden/>
          </w:rPr>
          <w:instrText xml:space="preserve"> PAGEREF _Toc89950976 \h </w:instrText>
        </w:r>
        <w:r w:rsidR="00340A6F">
          <w:rPr>
            <w:webHidden/>
          </w:rPr>
        </w:r>
        <w:r w:rsidR="00340A6F">
          <w:rPr>
            <w:webHidden/>
          </w:rPr>
          <w:fldChar w:fldCharType="separate"/>
        </w:r>
        <w:r w:rsidR="002944ED">
          <w:rPr>
            <w:webHidden/>
          </w:rPr>
          <w:t>21</w:t>
        </w:r>
        <w:r w:rsidR="00340A6F">
          <w:rPr>
            <w:webHidden/>
          </w:rPr>
          <w:fldChar w:fldCharType="end"/>
        </w:r>
      </w:hyperlink>
    </w:p>
    <w:p w14:paraId="2E63D691" w14:textId="3A6AB076" w:rsidR="00340A6F" w:rsidRDefault="009419CA">
      <w:pPr>
        <w:pStyle w:val="TOC3"/>
        <w:rPr>
          <w:rFonts w:asciiTheme="minorHAnsi" w:eastAsiaTheme="minorEastAsia" w:hAnsiTheme="minorHAnsi" w:cstheme="minorBidi"/>
          <w:sz w:val="22"/>
          <w:szCs w:val="22"/>
        </w:rPr>
      </w:pPr>
      <w:hyperlink w:anchor="_Toc89950977" w:history="1">
        <w:r w:rsidR="00340A6F" w:rsidRPr="00294D0F">
          <w:rPr>
            <w:rStyle w:val="Hyperlink"/>
          </w:rPr>
          <w:t>Prefinancing guarantees</w:t>
        </w:r>
        <w:r w:rsidR="00340A6F">
          <w:rPr>
            <w:webHidden/>
          </w:rPr>
          <w:tab/>
        </w:r>
        <w:r w:rsidR="00340A6F">
          <w:rPr>
            <w:webHidden/>
          </w:rPr>
          <w:fldChar w:fldCharType="begin"/>
        </w:r>
        <w:r w:rsidR="00340A6F">
          <w:rPr>
            <w:webHidden/>
          </w:rPr>
          <w:instrText xml:space="preserve"> PAGEREF _Toc89950977 \h </w:instrText>
        </w:r>
        <w:r w:rsidR="00340A6F">
          <w:rPr>
            <w:webHidden/>
          </w:rPr>
        </w:r>
        <w:r w:rsidR="00340A6F">
          <w:rPr>
            <w:webHidden/>
          </w:rPr>
          <w:fldChar w:fldCharType="separate"/>
        </w:r>
        <w:r w:rsidR="002944ED">
          <w:rPr>
            <w:webHidden/>
          </w:rPr>
          <w:t>22</w:t>
        </w:r>
        <w:r w:rsidR="00340A6F">
          <w:rPr>
            <w:webHidden/>
          </w:rPr>
          <w:fldChar w:fldCharType="end"/>
        </w:r>
      </w:hyperlink>
    </w:p>
    <w:p w14:paraId="472B44F4" w14:textId="1E2701FC" w:rsidR="00340A6F" w:rsidRDefault="009419CA">
      <w:pPr>
        <w:pStyle w:val="TOC3"/>
        <w:rPr>
          <w:rFonts w:asciiTheme="minorHAnsi" w:eastAsiaTheme="minorEastAsia" w:hAnsiTheme="minorHAnsi" w:cstheme="minorBidi"/>
          <w:sz w:val="22"/>
          <w:szCs w:val="22"/>
        </w:rPr>
      </w:pPr>
      <w:hyperlink w:anchor="_Toc89950978" w:history="1">
        <w:r w:rsidR="00340A6F" w:rsidRPr="00294D0F">
          <w:rPr>
            <w:rStyle w:val="Hyperlink"/>
          </w:rPr>
          <w:t>Certificates</w:t>
        </w:r>
        <w:r w:rsidR="00340A6F">
          <w:rPr>
            <w:webHidden/>
          </w:rPr>
          <w:tab/>
        </w:r>
        <w:r w:rsidR="00340A6F">
          <w:rPr>
            <w:webHidden/>
          </w:rPr>
          <w:fldChar w:fldCharType="begin"/>
        </w:r>
        <w:r w:rsidR="00340A6F">
          <w:rPr>
            <w:webHidden/>
          </w:rPr>
          <w:instrText xml:space="preserve"> PAGEREF _Toc89950978 \h </w:instrText>
        </w:r>
        <w:r w:rsidR="00340A6F">
          <w:rPr>
            <w:webHidden/>
          </w:rPr>
        </w:r>
        <w:r w:rsidR="00340A6F">
          <w:rPr>
            <w:webHidden/>
          </w:rPr>
          <w:fldChar w:fldCharType="separate"/>
        </w:r>
        <w:r w:rsidR="002944ED">
          <w:rPr>
            <w:webHidden/>
          </w:rPr>
          <w:t>22</w:t>
        </w:r>
        <w:r w:rsidR="00340A6F">
          <w:rPr>
            <w:webHidden/>
          </w:rPr>
          <w:fldChar w:fldCharType="end"/>
        </w:r>
      </w:hyperlink>
    </w:p>
    <w:p w14:paraId="62011B08" w14:textId="539B9670" w:rsidR="00340A6F" w:rsidRDefault="009419CA">
      <w:pPr>
        <w:pStyle w:val="TOC3"/>
        <w:rPr>
          <w:rFonts w:asciiTheme="minorHAnsi" w:eastAsiaTheme="minorEastAsia" w:hAnsiTheme="minorHAnsi" w:cstheme="minorBidi"/>
          <w:sz w:val="22"/>
          <w:szCs w:val="22"/>
        </w:rPr>
      </w:pPr>
      <w:hyperlink w:anchor="_Toc89950979" w:history="1">
        <w:r w:rsidR="00340A6F" w:rsidRPr="00294D0F">
          <w:rPr>
            <w:rStyle w:val="Hyperlink"/>
          </w:rPr>
          <w:t>Liability regime for recoveries</w:t>
        </w:r>
        <w:r w:rsidR="00340A6F">
          <w:rPr>
            <w:webHidden/>
          </w:rPr>
          <w:tab/>
        </w:r>
        <w:r w:rsidR="00340A6F">
          <w:rPr>
            <w:webHidden/>
          </w:rPr>
          <w:fldChar w:fldCharType="begin"/>
        </w:r>
        <w:r w:rsidR="00340A6F">
          <w:rPr>
            <w:webHidden/>
          </w:rPr>
          <w:instrText xml:space="preserve"> PAGEREF _Toc89950979 \h </w:instrText>
        </w:r>
        <w:r w:rsidR="00340A6F">
          <w:rPr>
            <w:webHidden/>
          </w:rPr>
        </w:r>
        <w:r w:rsidR="00340A6F">
          <w:rPr>
            <w:webHidden/>
          </w:rPr>
          <w:fldChar w:fldCharType="separate"/>
        </w:r>
        <w:r w:rsidR="002944ED">
          <w:rPr>
            <w:webHidden/>
          </w:rPr>
          <w:t>22</w:t>
        </w:r>
        <w:r w:rsidR="00340A6F">
          <w:rPr>
            <w:webHidden/>
          </w:rPr>
          <w:fldChar w:fldCharType="end"/>
        </w:r>
      </w:hyperlink>
    </w:p>
    <w:p w14:paraId="5F76EC4E" w14:textId="3A0FC30B" w:rsidR="00340A6F" w:rsidRDefault="009419CA">
      <w:pPr>
        <w:pStyle w:val="TOC3"/>
        <w:rPr>
          <w:rFonts w:asciiTheme="minorHAnsi" w:eastAsiaTheme="minorEastAsia" w:hAnsiTheme="minorHAnsi" w:cstheme="minorBidi"/>
          <w:sz w:val="22"/>
          <w:szCs w:val="22"/>
        </w:rPr>
      </w:pPr>
      <w:hyperlink w:anchor="_Toc89950980" w:history="1">
        <w:r w:rsidR="00340A6F" w:rsidRPr="00294D0F">
          <w:rPr>
            <w:rStyle w:val="Hyperlink"/>
          </w:rPr>
          <w:t>Provisions concerning the project implementation</w:t>
        </w:r>
        <w:r w:rsidR="00340A6F">
          <w:rPr>
            <w:webHidden/>
          </w:rPr>
          <w:tab/>
        </w:r>
        <w:r w:rsidR="00340A6F">
          <w:rPr>
            <w:webHidden/>
          </w:rPr>
          <w:fldChar w:fldCharType="begin"/>
        </w:r>
        <w:r w:rsidR="00340A6F">
          <w:rPr>
            <w:webHidden/>
          </w:rPr>
          <w:instrText xml:space="preserve"> PAGEREF _Toc89950980 \h </w:instrText>
        </w:r>
        <w:r w:rsidR="00340A6F">
          <w:rPr>
            <w:webHidden/>
          </w:rPr>
        </w:r>
        <w:r w:rsidR="00340A6F">
          <w:rPr>
            <w:webHidden/>
          </w:rPr>
          <w:fldChar w:fldCharType="separate"/>
        </w:r>
        <w:r w:rsidR="002944ED">
          <w:rPr>
            <w:webHidden/>
          </w:rPr>
          <w:t>23</w:t>
        </w:r>
        <w:r w:rsidR="00340A6F">
          <w:rPr>
            <w:webHidden/>
          </w:rPr>
          <w:fldChar w:fldCharType="end"/>
        </w:r>
      </w:hyperlink>
    </w:p>
    <w:p w14:paraId="7054437A" w14:textId="4864A1B3" w:rsidR="00340A6F" w:rsidRDefault="009419CA">
      <w:pPr>
        <w:pStyle w:val="TOC3"/>
        <w:rPr>
          <w:rFonts w:asciiTheme="minorHAnsi" w:eastAsiaTheme="minorEastAsia" w:hAnsiTheme="minorHAnsi" w:cstheme="minorBidi"/>
          <w:sz w:val="22"/>
          <w:szCs w:val="22"/>
        </w:rPr>
      </w:pPr>
      <w:hyperlink w:anchor="_Toc89950981" w:history="1">
        <w:r w:rsidR="00340A6F" w:rsidRPr="00294D0F">
          <w:rPr>
            <w:rStyle w:val="Hyperlink"/>
          </w:rPr>
          <w:t>Other specificities</w:t>
        </w:r>
        <w:r w:rsidR="00340A6F">
          <w:rPr>
            <w:webHidden/>
          </w:rPr>
          <w:tab/>
        </w:r>
        <w:r w:rsidR="00340A6F">
          <w:rPr>
            <w:webHidden/>
          </w:rPr>
          <w:fldChar w:fldCharType="begin"/>
        </w:r>
        <w:r w:rsidR="00340A6F">
          <w:rPr>
            <w:webHidden/>
          </w:rPr>
          <w:instrText xml:space="preserve"> PAGEREF _Toc89950981 \h </w:instrText>
        </w:r>
        <w:r w:rsidR="00340A6F">
          <w:rPr>
            <w:webHidden/>
          </w:rPr>
        </w:r>
        <w:r w:rsidR="00340A6F">
          <w:rPr>
            <w:webHidden/>
          </w:rPr>
          <w:fldChar w:fldCharType="separate"/>
        </w:r>
        <w:r w:rsidR="002944ED">
          <w:rPr>
            <w:webHidden/>
          </w:rPr>
          <w:t>23</w:t>
        </w:r>
        <w:r w:rsidR="00340A6F">
          <w:rPr>
            <w:webHidden/>
          </w:rPr>
          <w:fldChar w:fldCharType="end"/>
        </w:r>
      </w:hyperlink>
    </w:p>
    <w:p w14:paraId="6BAD82AC" w14:textId="3A411931" w:rsidR="00340A6F" w:rsidRDefault="009419CA">
      <w:pPr>
        <w:pStyle w:val="TOC3"/>
        <w:rPr>
          <w:rFonts w:asciiTheme="minorHAnsi" w:eastAsiaTheme="minorEastAsia" w:hAnsiTheme="minorHAnsi" w:cstheme="minorBidi"/>
          <w:sz w:val="22"/>
          <w:szCs w:val="22"/>
        </w:rPr>
      </w:pPr>
      <w:hyperlink w:anchor="_Toc89950982" w:history="1">
        <w:r w:rsidR="00340A6F" w:rsidRPr="00294D0F">
          <w:rPr>
            <w:rStyle w:val="Hyperlink"/>
          </w:rPr>
          <w:t>Non-compliance and breach of contract</w:t>
        </w:r>
        <w:r w:rsidR="00340A6F">
          <w:rPr>
            <w:webHidden/>
          </w:rPr>
          <w:tab/>
        </w:r>
        <w:r w:rsidR="00340A6F">
          <w:rPr>
            <w:webHidden/>
          </w:rPr>
          <w:fldChar w:fldCharType="begin"/>
        </w:r>
        <w:r w:rsidR="00340A6F">
          <w:rPr>
            <w:webHidden/>
          </w:rPr>
          <w:instrText xml:space="preserve"> PAGEREF _Toc89950982 \h </w:instrText>
        </w:r>
        <w:r w:rsidR="00340A6F">
          <w:rPr>
            <w:webHidden/>
          </w:rPr>
        </w:r>
        <w:r w:rsidR="00340A6F">
          <w:rPr>
            <w:webHidden/>
          </w:rPr>
          <w:fldChar w:fldCharType="separate"/>
        </w:r>
        <w:r w:rsidR="002944ED">
          <w:rPr>
            <w:webHidden/>
          </w:rPr>
          <w:t>23</w:t>
        </w:r>
        <w:r w:rsidR="00340A6F">
          <w:rPr>
            <w:webHidden/>
          </w:rPr>
          <w:fldChar w:fldCharType="end"/>
        </w:r>
      </w:hyperlink>
    </w:p>
    <w:p w14:paraId="7A7AFB4A" w14:textId="5308A5A9" w:rsidR="00340A6F" w:rsidRDefault="009419CA">
      <w:pPr>
        <w:pStyle w:val="TOC1"/>
        <w:rPr>
          <w:rFonts w:asciiTheme="minorHAnsi" w:eastAsiaTheme="minorEastAsia" w:hAnsiTheme="minorHAnsi" w:cstheme="minorBidi"/>
          <w:noProof/>
          <w:sz w:val="22"/>
          <w:szCs w:val="22"/>
        </w:rPr>
      </w:pPr>
      <w:hyperlink w:anchor="_Toc89950983" w:history="1">
        <w:r w:rsidR="00340A6F" w:rsidRPr="00294D0F">
          <w:rPr>
            <w:rStyle w:val="Hyperlink"/>
            <w:noProof/>
          </w:rPr>
          <w:t>11.</w:t>
        </w:r>
        <w:r w:rsidR="00340A6F">
          <w:rPr>
            <w:rFonts w:asciiTheme="minorHAnsi" w:eastAsiaTheme="minorEastAsia" w:hAnsiTheme="minorHAnsi" w:cstheme="minorBidi"/>
            <w:noProof/>
            <w:sz w:val="22"/>
            <w:szCs w:val="22"/>
          </w:rPr>
          <w:tab/>
        </w:r>
        <w:r w:rsidR="00340A6F" w:rsidRPr="00294D0F">
          <w:rPr>
            <w:rStyle w:val="Hyperlink"/>
            <w:noProof/>
          </w:rPr>
          <w:t>How to submit an application</w:t>
        </w:r>
        <w:r w:rsidR="00340A6F">
          <w:rPr>
            <w:noProof/>
            <w:webHidden/>
          </w:rPr>
          <w:tab/>
        </w:r>
        <w:r w:rsidR="00340A6F">
          <w:rPr>
            <w:noProof/>
            <w:webHidden/>
          </w:rPr>
          <w:fldChar w:fldCharType="begin"/>
        </w:r>
        <w:r w:rsidR="00340A6F">
          <w:rPr>
            <w:noProof/>
            <w:webHidden/>
          </w:rPr>
          <w:instrText xml:space="preserve"> PAGEREF _Toc89950983 \h </w:instrText>
        </w:r>
        <w:r w:rsidR="00340A6F">
          <w:rPr>
            <w:noProof/>
            <w:webHidden/>
          </w:rPr>
        </w:r>
        <w:r w:rsidR="00340A6F">
          <w:rPr>
            <w:noProof/>
            <w:webHidden/>
          </w:rPr>
          <w:fldChar w:fldCharType="separate"/>
        </w:r>
        <w:r w:rsidR="002944ED">
          <w:rPr>
            <w:noProof/>
            <w:webHidden/>
          </w:rPr>
          <w:t>23</w:t>
        </w:r>
        <w:r w:rsidR="00340A6F">
          <w:rPr>
            <w:noProof/>
            <w:webHidden/>
          </w:rPr>
          <w:fldChar w:fldCharType="end"/>
        </w:r>
      </w:hyperlink>
    </w:p>
    <w:p w14:paraId="5B073AFF" w14:textId="67939719" w:rsidR="00340A6F" w:rsidRDefault="009419CA">
      <w:pPr>
        <w:pStyle w:val="TOC1"/>
        <w:rPr>
          <w:rFonts w:asciiTheme="minorHAnsi" w:eastAsiaTheme="minorEastAsia" w:hAnsiTheme="minorHAnsi" w:cstheme="minorBidi"/>
          <w:noProof/>
          <w:sz w:val="22"/>
          <w:szCs w:val="22"/>
        </w:rPr>
      </w:pPr>
      <w:hyperlink w:anchor="_Toc89950984" w:history="1">
        <w:r w:rsidR="00340A6F" w:rsidRPr="00294D0F">
          <w:rPr>
            <w:rStyle w:val="Hyperlink"/>
            <w:noProof/>
          </w:rPr>
          <w:t>12.</w:t>
        </w:r>
        <w:r w:rsidR="00340A6F">
          <w:rPr>
            <w:rFonts w:asciiTheme="minorHAnsi" w:eastAsiaTheme="minorEastAsia" w:hAnsiTheme="minorHAnsi" w:cstheme="minorBidi"/>
            <w:noProof/>
            <w:sz w:val="22"/>
            <w:szCs w:val="22"/>
          </w:rPr>
          <w:tab/>
        </w:r>
        <w:r w:rsidR="00340A6F" w:rsidRPr="00294D0F">
          <w:rPr>
            <w:rStyle w:val="Hyperlink"/>
            <w:noProof/>
          </w:rPr>
          <w:t>Help</w:t>
        </w:r>
        <w:r w:rsidR="00340A6F">
          <w:rPr>
            <w:noProof/>
            <w:webHidden/>
          </w:rPr>
          <w:tab/>
        </w:r>
        <w:r w:rsidR="00340A6F">
          <w:rPr>
            <w:noProof/>
            <w:webHidden/>
          </w:rPr>
          <w:fldChar w:fldCharType="begin"/>
        </w:r>
        <w:r w:rsidR="00340A6F">
          <w:rPr>
            <w:noProof/>
            <w:webHidden/>
          </w:rPr>
          <w:instrText xml:space="preserve"> PAGEREF _Toc89950984 \h </w:instrText>
        </w:r>
        <w:r w:rsidR="00340A6F">
          <w:rPr>
            <w:noProof/>
            <w:webHidden/>
          </w:rPr>
        </w:r>
        <w:r w:rsidR="00340A6F">
          <w:rPr>
            <w:noProof/>
            <w:webHidden/>
          </w:rPr>
          <w:fldChar w:fldCharType="separate"/>
        </w:r>
        <w:r w:rsidR="002944ED">
          <w:rPr>
            <w:noProof/>
            <w:webHidden/>
          </w:rPr>
          <w:t>24</w:t>
        </w:r>
        <w:r w:rsidR="00340A6F">
          <w:rPr>
            <w:noProof/>
            <w:webHidden/>
          </w:rPr>
          <w:fldChar w:fldCharType="end"/>
        </w:r>
      </w:hyperlink>
    </w:p>
    <w:p w14:paraId="3F6F1EE1" w14:textId="62E7EDAE" w:rsidR="00340A6F" w:rsidRDefault="009419CA">
      <w:pPr>
        <w:pStyle w:val="TOC1"/>
        <w:rPr>
          <w:rFonts w:asciiTheme="minorHAnsi" w:eastAsiaTheme="minorEastAsia" w:hAnsiTheme="minorHAnsi" w:cstheme="minorBidi"/>
          <w:noProof/>
          <w:sz w:val="22"/>
          <w:szCs w:val="22"/>
        </w:rPr>
      </w:pPr>
      <w:hyperlink w:anchor="_Toc89950985" w:history="1">
        <w:r w:rsidR="00340A6F" w:rsidRPr="00294D0F">
          <w:rPr>
            <w:rStyle w:val="Hyperlink"/>
            <w:noProof/>
          </w:rPr>
          <w:t>13.</w:t>
        </w:r>
        <w:r w:rsidR="00340A6F">
          <w:rPr>
            <w:rFonts w:asciiTheme="minorHAnsi" w:eastAsiaTheme="minorEastAsia" w:hAnsiTheme="minorHAnsi" w:cstheme="minorBidi"/>
            <w:noProof/>
            <w:sz w:val="22"/>
            <w:szCs w:val="22"/>
          </w:rPr>
          <w:tab/>
        </w:r>
        <w:r w:rsidR="00340A6F" w:rsidRPr="00294D0F">
          <w:rPr>
            <w:rStyle w:val="Hyperlink"/>
            <w:noProof/>
          </w:rPr>
          <w:t>Important</w:t>
        </w:r>
        <w:r w:rsidR="00340A6F">
          <w:rPr>
            <w:noProof/>
            <w:webHidden/>
          </w:rPr>
          <w:tab/>
        </w:r>
        <w:r w:rsidR="00340A6F">
          <w:rPr>
            <w:noProof/>
            <w:webHidden/>
          </w:rPr>
          <w:fldChar w:fldCharType="begin"/>
        </w:r>
        <w:r w:rsidR="00340A6F">
          <w:rPr>
            <w:noProof/>
            <w:webHidden/>
          </w:rPr>
          <w:instrText xml:space="preserve"> PAGEREF _Toc89950985 \h </w:instrText>
        </w:r>
        <w:r w:rsidR="00340A6F">
          <w:rPr>
            <w:noProof/>
            <w:webHidden/>
          </w:rPr>
        </w:r>
        <w:r w:rsidR="00340A6F">
          <w:rPr>
            <w:noProof/>
            <w:webHidden/>
          </w:rPr>
          <w:fldChar w:fldCharType="separate"/>
        </w:r>
        <w:r w:rsidR="002944ED">
          <w:rPr>
            <w:noProof/>
            <w:webHidden/>
          </w:rPr>
          <w:t>25</w:t>
        </w:r>
        <w:r w:rsidR="00340A6F">
          <w:rPr>
            <w:noProof/>
            <w:webHidden/>
          </w:rPr>
          <w:fldChar w:fldCharType="end"/>
        </w:r>
      </w:hyperlink>
    </w:p>
    <w:p w14:paraId="4D152A2B" w14:textId="2C32B403" w:rsidR="0084666C" w:rsidRDefault="00340A6F" w:rsidP="00B57534">
      <w:pPr>
        <w:widowControl w:val="0"/>
      </w:pPr>
      <w:r>
        <w:rPr>
          <w:sz w:val="16"/>
        </w:rPr>
        <w:fldChar w:fldCharType="end"/>
      </w:r>
    </w:p>
    <w:p w14:paraId="62C1CABA" w14:textId="6C15280B" w:rsidR="0062273B" w:rsidRPr="00EC2EA5" w:rsidRDefault="0062273B" w:rsidP="00623078">
      <w:pPr>
        <w:pStyle w:val="Heading1"/>
        <w:numPr>
          <w:ilvl w:val="0"/>
          <w:numId w:val="54"/>
        </w:numPr>
        <w:tabs>
          <w:tab w:val="left" w:pos="284"/>
        </w:tabs>
        <w:ind w:left="0" w:firstLine="0"/>
      </w:pPr>
      <w:r>
        <w:br w:type="page"/>
      </w:r>
      <w:bookmarkStart w:id="1" w:name="_Toc89950946"/>
      <w:r>
        <w:lastRenderedPageBreak/>
        <w:t>Introduzzjoni</w:t>
      </w:r>
      <w:bookmarkEnd w:id="1"/>
    </w:p>
    <w:p w14:paraId="1281A2B9" w14:textId="4F8BAA46" w:rsidR="00526CED" w:rsidRPr="00B7199D" w:rsidRDefault="00494E0C" w:rsidP="00AD584E">
      <w:pPr>
        <w:widowControl w:val="0"/>
      </w:pPr>
      <w:r>
        <w:t xml:space="preserve">Din hija sejħa għal proposti għal </w:t>
      </w:r>
      <w:r>
        <w:rPr>
          <w:b/>
          <w:bCs/>
        </w:rPr>
        <w:t>għotjiet għal azzjoni</w:t>
      </w:r>
      <w:r>
        <w:t xml:space="preserve"> tal-UE fil-qasam tal-Involviment u l-parteċipazzjoni taċ-ċittadini taħt il-</w:t>
      </w:r>
      <w:r>
        <w:rPr>
          <w:b/>
          <w:bCs/>
        </w:rPr>
        <w:t>Programm dwar iċ-Ċittadini, l-Ugwaljanza, id-Drittijiet u l-Valuri (CERV)</w:t>
      </w:r>
      <w:r>
        <w:t>. Il-qafas regolatorju għal dan il-Programm ta’ Finanzjament tal-UE huwa stabbilit:</w:t>
      </w:r>
    </w:p>
    <w:p w14:paraId="124C55BF" w14:textId="77777777" w:rsidR="00526CED" w:rsidRPr="00666B16" w:rsidRDefault="00526CED" w:rsidP="00584316">
      <w:pPr>
        <w:numPr>
          <w:ilvl w:val="0"/>
          <w:numId w:val="32"/>
        </w:numPr>
        <w:spacing w:after="120"/>
        <w:ind w:left="568" w:hanging="284"/>
      </w:pPr>
      <w:r>
        <w:t>fir-Regolament 2018/1046 (ir-</w:t>
      </w:r>
      <w:hyperlink r:id="rId21" w:history="1">
        <w:r>
          <w:rPr>
            <w:rStyle w:val="Hyperlink"/>
          </w:rPr>
          <w:t>Regolament Finanzjarju tal-UE</w:t>
        </w:r>
      </w:hyperlink>
      <w:r>
        <w:t>)</w:t>
      </w:r>
    </w:p>
    <w:p w14:paraId="15823F41" w14:textId="7B4B942A" w:rsidR="00526CED" w:rsidRPr="008814FB" w:rsidRDefault="00526CED" w:rsidP="42BB08A3">
      <w:pPr>
        <w:numPr>
          <w:ilvl w:val="0"/>
          <w:numId w:val="32"/>
        </w:numPr>
        <w:ind w:left="568" w:hanging="284"/>
        <w:rPr>
          <w:u w:val="single"/>
        </w:rPr>
      </w:pPr>
      <w:r>
        <w:t xml:space="preserve">fl-att bażiku (ir-Regolament CERV </w:t>
      </w:r>
      <w:hyperlink r:id="rId22" w:history="1">
        <w:r>
          <w:rPr>
            <w:rStyle w:val="Hyperlink"/>
          </w:rPr>
          <w:t>2021/692</w:t>
        </w:r>
      </w:hyperlink>
      <w:r w:rsidR="000D6EA6" w:rsidRPr="00541B01">
        <w:rPr>
          <w:rStyle w:val="FootnoteReference"/>
        </w:rPr>
        <w:footnoteReference w:id="2"/>
      </w:r>
      <w:r>
        <w:t>).</w:t>
      </w:r>
    </w:p>
    <w:p w14:paraId="12AD4BB0" w14:textId="464B2AA2" w:rsidR="0000139E" w:rsidRPr="000807A9" w:rsidRDefault="00526CED" w:rsidP="0000139E">
      <w:pPr>
        <w:autoSpaceDE w:val="0"/>
        <w:autoSpaceDN w:val="0"/>
        <w:adjustRightInd w:val="0"/>
        <w:rPr>
          <w:bCs/>
          <w:color w:val="000000"/>
        </w:rPr>
      </w:pPr>
      <w:r>
        <w:t>Is-sejħa titnieda f’konformità mal-Programm ta’ Ħidma għall-2021-2022</w:t>
      </w:r>
      <w:r w:rsidR="00494E0C" w:rsidRPr="00EC2EA5">
        <w:rPr>
          <w:vertAlign w:val="superscript"/>
        </w:rPr>
        <w:footnoteReference w:id="3"/>
      </w:r>
      <w:r>
        <w:t xml:space="preserve"> u se tiġi mmaniġġjata mill-</w:t>
      </w:r>
      <w:r>
        <w:rPr>
          <w:b/>
        </w:rPr>
        <w:t>Aġenzija Eżekuttiva Ewropea għall-Edukazzjoni u l-Kultura (EACEA)</w:t>
      </w:r>
      <w:r>
        <w:t xml:space="preserve"> (“Aġenzija”).</w:t>
      </w:r>
    </w:p>
    <w:p w14:paraId="03C747D1" w14:textId="54C3BAAB" w:rsidR="00494E0C" w:rsidRPr="006F58BD" w:rsidRDefault="00330493" w:rsidP="00CC2315">
      <w:pPr>
        <w:spacing w:after="120"/>
      </w:pPr>
      <w:r>
        <w:t>Is-sejħa tkopri s-</w:t>
      </w:r>
      <w:r>
        <w:rPr>
          <w:b/>
        </w:rPr>
        <w:t>suġġetti</w:t>
      </w:r>
      <w:r>
        <w:t xml:space="preserve"> li ġejjin:</w:t>
      </w:r>
    </w:p>
    <w:p w14:paraId="0F1AE17D" w14:textId="55D45AD3" w:rsidR="00AD584E" w:rsidRPr="006F58BD" w:rsidRDefault="00AD584E" w:rsidP="42BB08A3">
      <w:pPr>
        <w:numPr>
          <w:ilvl w:val="0"/>
          <w:numId w:val="29"/>
        </w:numPr>
        <w:rPr>
          <w:b/>
          <w:bCs/>
        </w:rPr>
      </w:pPr>
      <w:r>
        <w:rPr>
          <w:b/>
          <w:bCs/>
          <w:color w:val="A50021"/>
        </w:rPr>
        <w:t>CERV-2022-CITIZENS-TOWN-TT (Suġġett 1)</w:t>
      </w:r>
      <w:r>
        <w:rPr>
          <w:b/>
          <w:bCs/>
        </w:rPr>
        <w:t xml:space="preserve"> — Ġemellaġġ ta’ Bliet</w:t>
      </w:r>
    </w:p>
    <w:p w14:paraId="1549339B" w14:textId="4EAD4397" w:rsidR="00AD584E" w:rsidRPr="006F58BD" w:rsidRDefault="00AD584E" w:rsidP="42BB08A3">
      <w:pPr>
        <w:numPr>
          <w:ilvl w:val="0"/>
          <w:numId w:val="29"/>
        </w:numPr>
      </w:pPr>
      <w:r>
        <w:rPr>
          <w:b/>
          <w:bCs/>
          <w:color w:val="A50021"/>
        </w:rPr>
        <w:t>CERV-2022-CITIZENS-TOWN-NT (Suġġett 2)</w:t>
      </w:r>
      <w:r>
        <w:rPr>
          <w:b/>
          <w:bCs/>
        </w:rPr>
        <w:t xml:space="preserve"> — Networks ta’ Bliet</w:t>
      </w:r>
    </w:p>
    <w:p w14:paraId="52501F07" w14:textId="77777777" w:rsidR="00743E49" w:rsidRDefault="00743E49" w:rsidP="00743E49">
      <w:pPr>
        <w:autoSpaceDE w:val="0"/>
        <w:autoSpaceDN w:val="0"/>
        <w:adjustRightInd w:val="0"/>
        <w:rPr>
          <w:rFonts w:cs="Verdana"/>
          <w:color w:val="000000"/>
        </w:rPr>
      </w:pPr>
      <w:r>
        <w:t>Kull applikazzjoni għal proġett taħt is-sejħa trid tindirizza biss wieħed minn dawn is-suġġetti. L-applikanti li jixtiequ japplikaw għal aktar minn suġġett wieħed iridu jissottomettu proposta separata taħt kull suġġett.</w:t>
      </w:r>
    </w:p>
    <w:p w14:paraId="043E9BF0" w14:textId="361D296B" w:rsidR="004D29DC" w:rsidRDefault="004D29DC" w:rsidP="004D29DC">
      <w:pPr>
        <w:autoSpaceDE w:val="0"/>
        <w:autoSpaceDN w:val="0"/>
        <w:adjustRightInd w:val="0"/>
        <w:rPr>
          <w:rFonts w:cs="Verdana"/>
          <w:color w:val="000000"/>
        </w:rPr>
      </w:pPr>
      <w:r>
        <w:t>Nistednuk taqra bir-reqqa d-</w:t>
      </w:r>
      <w:r>
        <w:rPr>
          <w:color w:val="000000"/>
        </w:rPr>
        <w:t>dokumentazzjoni tas-sejħa</w:t>
      </w:r>
      <w:r>
        <w:t>, u b’mod partikolari dan id-Dokument tas-Sejħa, il-Mudell tal-Ftehim tal-Għotja, il-</w:t>
      </w:r>
      <w:hyperlink r:id="rId23" w:history="1">
        <w:r>
          <w:rPr>
            <w:rStyle w:val="Hyperlink"/>
          </w:rPr>
          <w:t>Manwal Online tal-Portal tal-UE għall-Finanzjament u l-Offerti</w:t>
        </w:r>
      </w:hyperlink>
      <w:r>
        <w:t xml:space="preserve"> u l-</w:t>
      </w:r>
      <w:hyperlink r:id="rId24" w:history="1">
        <w:r>
          <w:rPr>
            <w:rStyle w:val="Hyperlink"/>
          </w:rPr>
          <w:t>Ftehim dwar l-Għotja Annotat tal-Għotjiet tal-UE AGA</w:t>
        </w:r>
      </w:hyperlink>
      <w:r>
        <w:t>.</w:t>
      </w:r>
    </w:p>
    <w:p w14:paraId="69E91152" w14:textId="77777777" w:rsidR="00494E0C" w:rsidRPr="004A6E2E" w:rsidRDefault="00494E0C" w:rsidP="00494E0C">
      <w:pPr>
        <w:autoSpaceDE w:val="0"/>
        <w:autoSpaceDN w:val="0"/>
        <w:adjustRightInd w:val="0"/>
        <w:rPr>
          <w:rFonts w:cs="Verdana"/>
          <w:color w:val="000000"/>
        </w:rPr>
      </w:pPr>
      <w:r>
        <w:rPr>
          <w:color w:val="000000"/>
        </w:rPr>
        <w:t xml:space="preserve">Dawn id-dokumenti jipprovdu kjarifiki u tweġibiet għall-mistoqsijiet li jista’ jkollok meta tkun qed tħejji l-applikazzjoni tiegħek: </w:t>
      </w:r>
    </w:p>
    <w:p w14:paraId="2D4A671C" w14:textId="77777777" w:rsidR="00494E0C" w:rsidRPr="004A6E2E" w:rsidRDefault="00E06F7E" w:rsidP="00584316">
      <w:pPr>
        <w:numPr>
          <w:ilvl w:val="0"/>
          <w:numId w:val="29"/>
        </w:numPr>
        <w:autoSpaceDE w:val="0"/>
        <w:autoSpaceDN w:val="0"/>
        <w:adjustRightInd w:val="0"/>
        <w:jc w:val="left"/>
        <w:rPr>
          <w:rFonts w:cs="Verdana"/>
          <w:color w:val="000000"/>
        </w:rPr>
      </w:pPr>
      <w:r>
        <w:rPr>
          <w:color w:val="000000"/>
        </w:rPr>
        <w:t>id-</w:t>
      </w:r>
      <w:r>
        <w:rPr>
          <w:color w:val="000000"/>
          <w:u w:val="single"/>
        </w:rPr>
        <w:t>Dokument tas-Sejħa</w:t>
      </w:r>
      <w:r>
        <w:rPr>
          <w:color w:val="000000"/>
        </w:rPr>
        <w:t xml:space="preserve"> jiddeskrivi: </w:t>
      </w:r>
    </w:p>
    <w:p w14:paraId="1A625B5D" w14:textId="77777777" w:rsidR="00E06F7E" w:rsidRPr="00E4089E" w:rsidRDefault="00E06F7E" w:rsidP="008B1F42">
      <w:pPr>
        <w:numPr>
          <w:ilvl w:val="1"/>
          <w:numId w:val="41"/>
        </w:numPr>
        <w:autoSpaceDE w:val="0"/>
        <w:autoSpaceDN w:val="0"/>
        <w:adjustRightInd w:val="0"/>
        <w:rPr>
          <w:rFonts w:cs="Verdana"/>
          <w:color w:val="000000"/>
        </w:rPr>
      </w:pPr>
      <w:r>
        <w:rPr>
          <w:color w:val="000000"/>
        </w:rPr>
        <w:t>l-isfond, l-objettivi, il-kamp ta’ applikazzjoni, l-attivitajiet li jistgħu jiġu ffinanzjati u r-riżultati mistennija (it-taqsimiet 1 u 2)</w:t>
      </w:r>
    </w:p>
    <w:p w14:paraId="4A57CF7C" w14:textId="77777777" w:rsidR="00E06F7E" w:rsidRPr="00E4089E" w:rsidRDefault="00E06F7E" w:rsidP="008B1F42">
      <w:pPr>
        <w:numPr>
          <w:ilvl w:val="1"/>
          <w:numId w:val="41"/>
        </w:numPr>
        <w:autoSpaceDE w:val="0"/>
        <w:autoSpaceDN w:val="0"/>
        <w:adjustRightInd w:val="0"/>
        <w:rPr>
          <w:rFonts w:cs="Verdana"/>
          <w:color w:val="000000"/>
        </w:rPr>
      </w:pPr>
      <w:r>
        <w:rPr>
          <w:color w:val="000000"/>
        </w:rPr>
        <w:t xml:space="preserve">l-iskeda ta’ żmien u l-baġit disponibbli (it-taqsimiet 3 u 4) </w:t>
      </w:r>
    </w:p>
    <w:p w14:paraId="789651DB" w14:textId="77777777" w:rsidR="00F114D2" w:rsidRPr="00F114D2" w:rsidRDefault="00F114D2" w:rsidP="008B1F42">
      <w:pPr>
        <w:numPr>
          <w:ilvl w:val="1"/>
          <w:numId w:val="41"/>
        </w:numPr>
        <w:autoSpaceDE w:val="0"/>
        <w:autoSpaceDN w:val="0"/>
        <w:adjustRightInd w:val="0"/>
        <w:rPr>
          <w:rFonts w:cs="Verdana"/>
          <w:color w:val="000000"/>
        </w:rPr>
      </w:pPr>
      <w:r>
        <w:rPr>
          <w:color w:val="000000"/>
        </w:rPr>
        <w:t>il-kundizzjonijiet ta’ ammissibbiltà u eliġibbiltà (inklużi dokumenti obbligatorji; it-taqsimiet 5 u 6)</w:t>
      </w:r>
    </w:p>
    <w:p w14:paraId="39CF2DC1" w14:textId="77777777" w:rsidR="00F114D2" w:rsidRPr="00F114D2" w:rsidRDefault="00F114D2" w:rsidP="008B1F42">
      <w:pPr>
        <w:numPr>
          <w:ilvl w:val="1"/>
          <w:numId w:val="41"/>
        </w:numPr>
        <w:autoSpaceDE w:val="0"/>
        <w:autoSpaceDN w:val="0"/>
        <w:adjustRightInd w:val="0"/>
        <w:rPr>
          <w:rFonts w:cs="Verdana"/>
          <w:color w:val="000000"/>
        </w:rPr>
      </w:pPr>
      <w:r>
        <w:rPr>
          <w:color w:val="000000"/>
        </w:rPr>
        <w:t>il-kriterji għall-kapaċità finanzjarja u operazzjonali u l-esklużjoni (it-taqsima 7)</w:t>
      </w:r>
    </w:p>
    <w:p w14:paraId="418D4BD7" w14:textId="77777777" w:rsidR="00E06F7E" w:rsidRPr="00F114D2" w:rsidRDefault="00E06F7E" w:rsidP="008B1F42">
      <w:pPr>
        <w:numPr>
          <w:ilvl w:val="1"/>
          <w:numId w:val="41"/>
        </w:numPr>
        <w:autoSpaceDE w:val="0"/>
        <w:autoSpaceDN w:val="0"/>
        <w:adjustRightInd w:val="0"/>
        <w:rPr>
          <w:rFonts w:cs="Verdana"/>
          <w:color w:val="000000"/>
        </w:rPr>
      </w:pPr>
      <w:r>
        <w:rPr>
          <w:color w:val="000000"/>
        </w:rPr>
        <w:t>il-proċedura ta’ evalwazzjoni u għoti (it-taqsima 8)</w:t>
      </w:r>
    </w:p>
    <w:p w14:paraId="64A33DFC" w14:textId="77777777" w:rsidR="00510B7E" w:rsidRPr="00F114D2" w:rsidRDefault="00510B7E" w:rsidP="008B1F42">
      <w:pPr>
        <w:numPr>
          <w:ilvl w:val="1"/>
          <w:numId w:val="41"/>
        </w:numPr>
        <w:autoSpaceDE w:val="0"/>
        <w:autoSpaceDN w:val="0"/>
        <w:adjustRightInd w:val="0"/>
        <w:rPr>
          <w:rFonts w:cs="Verdana"/>
          <w:color w:val="000000"/>
        </w:rPr>
      </w:pPr>
      <w:r>
        <w:rPr>
          <w:color w:val="000000"/>
        </w:rPr>
        <w:t xml:space="preserve">il-kriterji għall-għoti (it-taqsima 9) </w:t>
      </w:r>
    </w:p>
    <w:p w14:paraId="658DE64E" w14:textId="77777777" w:rsidR="00736C6F" w:rsidRPr="00F114D2" w:rsidRDefault="00E06F7E" w:rsidP="008B1F42">
      <w:pPr>
        <w:numPr>
          <w:ilvl w:val="1"/>
          <w:numId w:val="41"/>
        </w:numPr>
        <w:autoSpaceDE w:val="0"/>
        <w:autoSpaceDN w:val="0"/>
        <w:adjustRightInd w:val="0"/>
        <w:rPr>
          <w:rFonts w:cs="Verdana"/>
          <w:color w:val="000000"/>
        </w:rPr>
      </w:pPr>
      <w:r>
        <w:rPr>
          <w:color w:val="000000"/>
        </w:rPr>
        <w:t>l-istabbiliment legali u finanzjarju tal-Ftehimiet ta’ Għotja (it-taqsima 10)</w:t>
      </w:r>
    </w:p>
    <w:p w14:paraId="0FC91E8C" w14:textId="77777777" w:rsidR="00604FA0" w:rsidRPr="00F114D2" w:rsidRDefault="00604FA0" w:rsidP="008B1F42">
      <w:pPr>
        <w:numPr>
          <w:ilvl w:val="1"/>
          <w:numId w:val="41"/>
        </w:numPr>
        <w:autoSpaceDE w:val="0"/>
        <w:autoSpaceDN w:val="0"/>
        <w:adjustRightInd w:val="0"/>
        <w:rPr>
          <w:rFonts w:cs="Verdana"/>
          <w:color w:val="000000"/>
        </w:rPr>
      </w:pPr>
      <w:r>
        <w:t>kif tissottometti applikazzjoni (it-taqsima 11)</w:t>
      </w:r>
    </w:p>
    <w:p w14:paraId="31A59D07" w14:textId="77777777" w:rsidR="00494E0C" w:rsidRDefault="00E06F7E" w:rsidP="00584316">
      <w:pPr>
        <w:numPr>
          <w:ilvl w:val="0"/>
          <w:numId w:val="29"/>
        </w:numPr>
        <w:autoSpaceDE w:val="0"/>
        <w:autoSpaceDN w:val="0"/>
        <w:adjustRightInd w:val="0"/>
        <w:jc w:val="left"/>
        <w:rPr>
          <w:rFonts w:cs="Verdana"/>
          <w:color w:val="000000"/>
        </w:rPr>
      </w:pPr>
      <w:r>
        <w:rPr>
          <w:color w:val="000000"/>
        </w:rPr>
        <w:t>il-</w:t>
      </w:r>
      <w:r>
        <w:rPr>
          <w:color w:val="000000"/>
          <w:u w:val="single"/>
        </w:rPr>
        <w:t>Manwal Online</w:t>
      </w:r>
      <w:r>
        <w:rPr>
          <w:color w:val="000000"/>
        </w:rPr>
        <w:t xml:space="preserve"> jiddeskrivi: </w:t>
      </w:r>
    </w:p>
    <w:p w14:paraId="3985E9EA" w14:textId="77777777" w:rsidR="00494E0C" w:rsidRPr="00524F18" w:rsidRDefault="00494E0C" w:rsidP="008B1F42">
      <w:pPr>
        <w:numPr>
          <w:ilvl w:val="1"/>
          <w:numId w:val="41"/>
        </w:numPr>
        <w:autoSpaceDE w:val="0"/>
        <w:autoSpaceDN w:val="0"/>
        <w:adjustRightInd w:val="0"/>
        <w:rPr>
          <w:rFonts w:cs="Verdana"/>
        </w:rPr>
      </w:pPr>
      <w:r>
        <w:lastRenderedPageBreak/>
        <w:t xml:space="preserve">il-proċeduri għar-reġistrazzjoni u għas-sottomissjoni ta’ proposti online permezz tal-Portal tal-UE għall-Finanzjament u l-Offerti (“Portal”) </w:t>
      </w:r>
    </w:p>
    <w:p w14:paraId="616B7DB6" w14:textId="77777777" w:rsidR="00494E0C" w:rsidRPr="00330493" w:rsidRDefault="00494E0C" w:rsidP="008B1F42">
      <w:pPr>
        <w:numPr>
          <w:ilvl w:val="1"/>
          <w:numId w:val="41"/>
        </w:numPr>
        <w:autoSpaceDE w:val="0"/>
        <w:autoSpaceDN w:val="0"/>
        <w:adjustRightInd w:val="0"/>
        <w:rPr>
          <w:rFonts w:cs="Verdana"/>
          <w:color w:val="000000"/>
        </w:rPr>
      </w:pPr>
      <w:r>
        <w:rPr>
          <w:color w:val="000000"/>
        </w:rPr>
        <w:t>ir-rakkomandazzjonijiet għat-tħejjija tal-applikazzjoni</w:t>
      </w:r>
    </w:p>
    <w:p w14:paraId="73C2A8CC" w14:textId="79977971" w:rsidR="00494E0C" w:rsidRPr="004A6E2E" w:rsidRDefault="00524F18" w:rsidP="00584316">
      <w:pPr>
        <w:numPr>
          <w:ilvl w:val="0"/>
          <w:numId w:val="29"/>
        </w:numPr>
        <w:autoSpaceDE w:val="0"/>
        <w:autoSpaceDN w:val="0"/>
        <w:adjustRightInd w:val="0"/>
        <w:jc w:val="left"/>
        <w:rPr>
          <w:rFonts w:cs="Verdana"/>
          <w:color w:val="000000"/>
        </w:rPr>
      </w:pPr>
      <w:r>
        <w:rPr>
          <w:color w:val="000000"/>
        </w:rPr>
        <w:t>l-</w:t>
      </w:r>
      <w:r>
        <w:rPr>
          <w:color w:val="000000"/>
          <w:u w:val="single"/>
        </w:rPr>
        <w:t>AGA — il-Ftehim ta’ Għotja Annotat</w:t>
      </w:r>
      <w:r>
        <w:rPr>
          <w:color w:val="000000"/>
        </w:rPr>
        <w:t xml:space="preserve"> jinkludi:</w:t>
      </w:r>
    </w:p>
    <w:p w14:paraId="0DD299B7" w14:textId="77777777" w:rsidR="00494E0C" w:rsidRDefault="00736C6F" w:rsidP="008B1F42">
      <w:pPr>
        <w:numPr>
          <w:ilvl w:val="1"/>
          <w:numId w:val="41"/>
        </w:numPr>
        <w:autoSpaceDE w:val="0"/>
        <w:autoSpaceDN w:val="0"/>
        <w:adjustRightInd w:val="0"/>
        <w:rPr>
          <w:rFonts w:cs="Verdana"/>
          <w:color w:val="000000"/>
        </w:rPr>
      </w:pPr>
      <w:r>
        <w:rPr>
          <w:color w:val="000000"/>
        </w:rPr>
        <w:t xml:space="preserve">annotazzjonijiet dettaljati fuq id-dispożizzjonijiet kollha fil-Ftehim ta’ Għotja li trid tiffirma sabiex tikseb l-għotja </w:t>
      </w:r>
      <w:r>
        <w:rPr>
          <w:i/>
          <w:color w:val="000000"/>
        </w:rPr>
        <w:t>(inkluż l-eliġibbiltà tal-ispejjeż, l-iskeda tal-ħlas, l-obbligi tal-aċċessorji, eċċ.)</w:t>
      </w:r>
      <w:r>
        <w:rPr>
          <w:color w:val="000000"/>
        </w:rPr>
        <w:t xml:space="preserve">. </w:t>
      </w:r>
    </w:p>
    <w:p w14:paraId="635FC1D8" w14:textId="285C54B8" w:rsidR="00774448" w:rsidRPr="00A32077" w:rsidRDefault="00526CED" w:rsidP="42BB08A3">
      <w:pPr>
        <w:autoSpaceDE w:val="0"/>
        <w:autoSpaceDN w:val="0"/>
        <w:adjustRightInd w:val="0"/>
        <w:rPr>
          <w:rFonts w:cs="Verdana"/>
          <w:color w:val="000000"/>
        </w:rPr>
      </w:pPr>
      <w:r>
        <w:rPr>
          <w:color w:val="000000"/>
        </w:rPr>
        <w:t>Inti mħeġġeġ ukoll iżżur is-</w:t>
      </w:r>
      <w:hyperlink r:id="rId25" w:history="1">
        <w:r>
          <w:rPr>
            <w:rStyle w:val="Hyperlink"/>
          </w:rPr>
          <w:t>sit web tar-Riżultati tal-Proġett tal-Programm Ewropa għaċ-Ċittadini</w:t>
        </w:r>
      </w:hyperlink>
      <w:r>
        <w:rPr>
          <w:color w:val="000000"/>
        </w:rPr>
        <w:t>, is-</w:t>
      </w:r>
      <w:hyperlink r:id="rId26" w:history="1">
        <w:r>
          <w:rPr>
            <w:rStyle w:val="Hyperlink"/>
          </w:rPr>
          <w:t>sit web tar-riżultati tal-Programm REC</w:t>
        </w:r>
      </w:hyperlink>
      <w:r>
        <w:rPr>
          <w:color w:val="000000"/>
        </w:rPr>
        <w:t xml:space="preserve"> u s-</w:t>
      </w:r>
      <w:hyperlink r:id="rId27" w:history="1">
        <w:r>
          <w:rPr>
            <w:rStyle w:val="Hyperlink"/>
          </w:rPr>
          <w:t>Sett ta’ Għodod tal-Programm Daphne</w:t>
        </w:r>
      </w:hyperlink>
      <w:r>
        <w:rPr>
          <w:color w:val="000000"/>
        </w:rPr>
        <w:t xml:space="preserve"> biex tikkonsulta l-lista ta’ proġetti li ġew iffinanzjati qabel. </w:t>
      </w:r>
    </w:p>
    <w:p w14:paraId="6B9C566E" w14:textId="6F44641E" w:rsidR="00B57534" w:rsidRPr="00494E0C" w:rsidRDefault="00B57534" w:rsidP="00623078">
      <w:pPr>
        <w:pStyle w:val="Heading1"/>
        <w:numPr>
          <w:ilvl w:val="0"/>
          <w:numId w:val="54"/>
        </w:numPr>
        <w:tabs>
          <w:tab w:val="left" w:pos="284"/>
        </w:tabs>
        <w:ind w:left="0" w:firstLine="0"/>
      </w:pPr>
      <w:bookmarkStart w:id="2" w:name="_Toc89950947"/>
      <w:r>
        <w:t>Sfond</w:t>
      </w:r>
      <w:bookmarkEnd w:id="2"/>
    </w:p>
    <w:p w14:paraId="369A6579" w14:textId="3C1F1087" w:rsidR="0062273B" w:rsidRDefault="008B1F42" w:rsidP="00623078">
      <w:pPr>
        <w:pStyle w:val="paragraph"/>
        <w:spacing w:before="0" w:beforeAutospacing="0" w:after="200" w:afterAutospacing="0"/>
        <w:jc w:val="both"/>
        <w:textAlignment w:val="baseline"/>
        <w:rPr>
          <w:rStyle w:val="normaltextrun"/>
          <w:rFonts w:ascii="Verdana" w:hAnsi="Verdana"/>
          <w:sz w:val="20"/>
          <w:szCs w:val="20"/>
        </w:rPr>
      </w:pPr>
      <w:r>
        <w:rPr>
          <w:rFonts w:ascii="Verdana" w:hAnsi="Verdana"/>
          <w:sz w:val="20"/>
          <w:szCs w:val="20"/>
        </w:rPr>
        <w:t>Il-programm dwar iċ-Ċittadini, l-Ugwaljanza, id-Drittijiet u l-Valuri jipprovdi finanzjament għall-involviment taċ-ċittadini, l-ugwaljanza għal kulħadd u l-implimentazzjoni tad-drittijiet u l-valuri tal-UE. Il-programm dwar iċ-Ċittadini, l-Ugwaljanza, id-Drittijiet u l-Valuri (minn hawn ’il quddiem “il-programm”) jiġbor flimkien il-programm preċedenti tad-Drittijiet, Ugwaljanza u Ċittadinanza</w:t>
      </w:r>
      <w:r>
        <w:rPr>
          <w:rFonts w:ascii="Verdana" w:hAnsi="Verdana"/>
          <w:sz w:val="20"/>
          <w:szCs w:val="20"/>
          <w:lang w:val="en-GB"/>
        </w:rPr>
        <w:footnoteReference w:id="4"/>
      </w:r>
      <w:r>
        <w:rPr>
          <w:rFonts w:ascii="Verdana" w:hAnsi="Verdana"/>
          <w:sz w:val="20"/>
          <w:szCs w:val="20"/>
        </w:rPr>
        <w:t xml:space="preserve"> u l-programm preċedenti L-Ewropa għaċ-Ċittadini</w:t>
      </w:r>
      <w:r>
        <w:rPr>
          <w:rStyle w:val="FootnoteReference"/>
          <w:rFonts w:ascii="Verdana" w:hAnsi="Verdana"/>
          <w:sz w:val="20"/>
          <w:szCs w:val="20"/>
          <w:lang w:val="en-GB"/>
        </w:rPr>
        <w:footnoteReference w:id="5"/>
      </w:r>
      <w:r>
        <w:rPr>
          <w:rFonts w:ascii="Verdana" w:hAnsi="Verdana"/>
          <w:sz w:val="20"/>
          <w:szCs w:val="20"/>
        </w:rPr>
        <w:t>.</w:t>
      </w:r>
    </w:p>
    <w:p w14:paraId="516FC889" w14:textId="77777777" w:rsidR="008B1F42" w:rsidRPr="00F46931" w:rsidRDefault="008B1F42" w:rsidP="008B1F42">
      <w:pPr>
        <w:rPr>
          <w:rFonts w:eastAsia="Verdana" w:cs="Verdana"/>
        </w:rPr>
      </w:pPr>
      <w:r>
        <w:t>Il-programm jippromwovi skambji bejn nies ta’ pajjiżi differenti, isaħħaħ il-fehim reċiproku u t-tolleranza u jagħtihom l-opportunità li jwessgħu l-perspettiva tagħhom u jiżviluppaw sens ta’ appartenenza u identità Ewropea permezz tal-ġemellaġġ u n-networks ta’ bliet. Filwaqt li jżomm approċċ minn isfel għal fuq, il-programm jipprovdi wkoll, b’mod partikolari għal networks ta’ bliet, opportunità biex wieħed jiffoka fuq il-prijoritajiet tal-UE. Dan għandu l-għan, pereżempju, li jtejjeb l-għarfien taċ-ċittadini dwar il-Karta tad-Drittijiet Fundamentali tal-UE, li jikkontribwixxi għal parteċipazzjoni ogħla u kandidatura inklużiva fl-elezzjonijiet tal-Parlament Ewropew, u li jżid l-għarfien dwar id-diskriminazzjoni, ir-razziżmu u l-konsegwenzi tagħhom.</w:t>
      </w:r>
    </w:p>
    <w:p w14:paraId="65A00F56" w14:textId="4DA47FF4" w:rsidR="009A57EA" w:rsidRDefault="008B1F42" w:rsidP="0062273B">
      <w:pPr>
        <w:spacing w:after="0"/>
        <w:rPr>
          <w:rFonts w:eastAsia="Verdana" w:cs="Verdana"/>
        </w:rPr>
      </w:pPr>
      <w:r>
        <w:t>Din is-Sejħa għal proposti għandha l-għan li tappoġġa l-inizjattivi ta’ politika li ġejjin: il-pjan ta’ azzjoni għad-demokrazija Ewropea</w:t>
      </w:r>
      <w:r>
        <w:rPr>
          <w:rStyle w:val="FootnoteReference"/>
          <w:rFonts w:eastAsia="Verdana" w:cs="Verdana"/>
        </w:rPr>
        <w:footnoteReference w:id="6"/>
      </w:r>
      <w:r>
        <w:t>, il-qafas strateġiku tal-UE għar-Rom għall-ugwaljanza, għall-inklużjoni u għall-parteċipazzjoni</w:t>
      </w:r>
      <w:r>
        <w:rPr>
          <w:rStyle w:val="FootnoteReference"/>
          <w:rFonts w:eastAsia="Verdana" w:cs="Verdana"/>
        </w:rPr>
        <w:footnoteReference w:id="7"/>
      </w:r>
      <w:r>
        <w:t>, l-istrateġija biex tissaħħaħ l-applikazzjoni tal-Karta tad-Drittijiet Fundamentali fl-UE</w:t>
      </w:r>
      <w:r>
        <w:rPr>
          <w:rStyle w:val="FootnoteReference"/>
          <w:rFonts w:eastAsia="Verdana" w:cs="Verdana"/>
        </w:rPr>
        <w:footnoteReference w:id="8"/>
      </w:r>
      <w:r>
        <w:t>, ir-Rapport tal-2020 dwar iċ-Ċittadinanza tal-UE</w:t>
      </w:r>
      <w:r>
        <w:rPr>
          <w:rStyle w:val="FootnoteReference"/>
          <w:rFonts w:eastAsia="Verdana" w:cs="Verdana"/>
        </w:rPr>
        <w:footnoteReference w:id="9"/>
      </w:r>
      <w:r>
        <w:t xml:space="preserve">. </w:t>
      </w:r>
    </w:p>
    <w:p w14:paraId="3ACDA2AF" w14:textId="77777777" w:rsidR="0062273B" w:rsidRDefault="0062273B" w:rsidP="0062273B">
      <w:pPr>
        <w:spacing w:after="0"/>
      </w:pPr>
    </w:p>
    <w:p w14:paraId="2B0ABE9D" w14:textId="5A8C4B79" w:rsidR="00CC2315" w:rsidRDefault="00276AD7" w:rsidP="00623078">
      <w:pPr>
        <w:pStyle w:val="Heading1"/>
        <w:numPr>
          <w:ilvl w:val="0"/>
          <w:numId w:val="54"/>
        </w:numPr>
        <w:tabs>
          <w:tab w:val="left" w:pos="284"/>
        </w:tabs>
        <w:ind w:left="0" w:firstLine="0"/>
      </w:pPr>
      <w:bookmarkStart w:id="3" w:name="_Toc89950948"/>
      <w:r>
        <w:t>Objettivi — Temi u prijoritajiet — Attivitajiet li jistgħu jiġu ffinanzjati — Impatt mistenni</w:t>
      </w:r>
      <w:bookmarkEnd w:id="3"/>
    </w:p>
    <w:p w14:paraId="10C94222" w14:textId="3D5C2B6B" w:rsidR="008B1F42" w:rsidRDefault="00BF7239" w:rsidP="008B1F42">
      <w:pPr>
        <w:widowControl w:val="0"/>
        <w:outlineLvl w:val="1"/>
        <w:rPr>
          <w:b/>
          <w:bCs/>
          <w:color w:val="A50021"/>
          <w:u w:val="single"/>
        </w:rPr>
      </w:pPr>
      <w:r>
        <w:rPr>
          <w:b/>
          <w:bCs/>
          <w:color w:val="A50021"/>
          <w:u w:val="single"/>
        </w:rPr>
        <w:t>CERV-2022-CITIZENS-TOWN-TT – Ġemellaġġ ta’ Bliet</w:t>
      </w:r>
    </w:p>
    <w:p w14:paraId="13FAC18F" w14:textId="77777777" w:rsidR="008B1F42" w:rsidRDefault="008B1F42" w:rsidP="008B1F42">
      <w:pPr>
        <w:pStyle w:val="Heading3"/>
      </w:pPr>
      <w:bookmarkStart w:id="4" w:name="_Toc89950949"/>
      <w:r>
        <w:t>Objettivi</w:t>
      </w:r>
      <w:bookmarkEnd w:id="4"/>
      <w:r>
        <w:t xml:space="preserve"> </w:t>
      </w:r>
    </w:p>
    <w:p w14:paraId="15E04F10" w14:textId="77777777" w:rsidR="008B1F42" w:rsidRDefault="008B1F42" w:rsidP="008B1F42">
      <w:pPr>
        <w:pStyle w:val="ListParagraph"/>
        <w:numPr>
          <w:ilvl w:val="0"/>
          <w:numId w:val="47"/>
        </w:numPr>
        <w:snapToGrid w:val="0"/>
        <w:spacing w:after="200"/>
        <w:jc w:val="both"/>
        <w:rPr>
          <w:rFonts w:eastAsia="Verdana" w:cs="Verdana"/>
        </w:rPr>
      </w:pPr>
      <w:r>
        <w:rPr>
          <w:sz w:val="20"/>
          <w:szCs w:val="20"/>
        </w:rPr>
        <w:t>Li jiġu promossi skambji bejn iċ-ċittadini ta’ pajjiżi differenti;</w:t>
      </w:r>
    </w:p>
    <w:p w14:paraId="5945D08F" w14:textId="77777777" w:rsidR="008B1F42" w:rsidRDefault="008B1F42" w:rsidP="008B1F42">
      <w:pPr>
        <w:pStyle w:val="ListParagraph"/>
        <w:numPr>
          <w:ilvl w:val="0"/>
          <w:numId w:val="47"/>
        </w:numPr>
        <w:snapToGrid w:val="0"/>
        <w:spacing w:after="200"/>
        <w:jc w:val="both"/>
        <w:rPr>
          <w:rFonts w:eastAsia="Verdana" w:cs="Verdana"/>
        </w:rPr>
      </w:pPr>
      <w:r>
        <w:rPr>
          <w:sz w:val="20"/>
          <w:szCs w:val="20"/>
        </w:rPr>
        <w:t>Li ċ-ċittadini jingħataw l-opportunità li jiskopru d-diversità kulturali tal-Unjoni Ewropea u li jsiru konxji li l-valuri u l-wirt kulturali Ewropej jikkostitwixxu l-pedament għal futur komuni;</w:t>
      </w:r>
      <w:r>
        <w:rPr>
          <w:iCs/>
          <w:sz w:val="20"/>
          <w:szCs w:val="20"/>
        </w:rPr>
        <w:t xml:space="preserve"> </w:t>
      </w:r>
    </w:p>
    <w:p w14:paraId="665EDD2E" w14:textId="77777777" w:rsidR="008B1F42" w:rsidRDefault="008B1F42" w:rsidP="008B1F42">
      <w:pPr>
        <w:pStyle w:val="ListParagraph"/>
        <w:numPr>
          <w:ilvl w:val="0"/>
          <w:numId w:val="47"/>
        </w:numPr>
        <w:snapToGrid w:val="0"/>
        <w:spacing w:after="200"/>
        <w:jc w:val="both"/>
        <w:rPr>
          <w:rFonts w:eastAsia="Verdana" w:cs="Verdana"/>
        </w:rPr>
      </w:pPr>
      <w:r>
        <w:rPr>
          <w:sz w:val="20"/>
          <w:szCs w:val="20"/>
        </w:rPr>
        <w:lastRenderedPageBreak/>
        <w:t>Li jiġu garantiti relazzjonijiet paċifiċi bejn l-Ewropej u li tiġi żgurata l-parteċipazzjoni attiva tagħhom fil-livell lokali;</w:t>
      </w:r>
    </w:p>
    <w:p w14:paraId="605828BE" w14:textId="77777777" w:rsidR="008B1F42" w:rsidRDefault="008B1F42" w:rsidP="008B1F42">
      <w:pPr>
        <w:pStyle w:val="ListParagraph"/>
        <w:numPr>
          <w:ilvl w:val="0"/>
          <w:numId w:val="47"/>
        </w:numPr>
        <w:snapToGrid w:val="0"/>
        <w:spacing w:after="200"/>
        <w:jc w:val="both"/>
        <w:rPr>
          <w:rFonts w:eastAsia="Verdana" w:cs="Verdana"/>
        </w:rPr>
      </w:pPr>
      <w:r>
        <w:rPr>
          <w:sz w:val="20"/>
          <w:szCs w:val="20"/>
        </w:rPr>
        <w:t>Li jissaħħu l-fehim reċiproku u l-ħbiberija bejn iċ-ċittadini Ewropej;</w:t>
      </w:r>
    </w:p>
    <w:p w14:paraId="311FE49B" w14:textId="77777777" w:rsidR="008B1F42" w:rsidRPr="00623078" w:rsidRDefault="008B1F42" w:rsidP="008B1F42">
      <w:pPr>
        <w:pStyle w:val="ListParagraph"/>
        <w:numPr>
          <w:ilvl w:val="0"/>
          <w:numId w:val="47"/>
        </w:numPr>
        <w:snapToGrid w:val="0"/>
        <w:spacing w:after="200"/>
        <w:jc w:val="both"/>
        <w:rPr>
          <w:rFonts w:eastAsia="Verdana" w:cs="Verdana"/>
          <w:sz w:val="20"/>
          <w:szCs w:val="20"/>
        </w:rPr>
      </w:pPr>
      <w:r>
        <w:rPr>
          <w:sz w:val="20"/>
          <w:szCs w:val="20"/>
        </w:rPr>
        <w:t>Li jitħeġġu l-kooperazzjoni bejn il-muniċipalitajiet u l-iskambju tal-aħjar prattiki;</w:t>
      </w:r>
    </w:p>
    <w:p w14:paraId="2F91D125" w14:textId="77777777" w:rsidR="008B1F42" w:rsidRPr="00623078" w:rsidRDefault="008B1F42" w:rsidP="008B1F42">
      <w:pPr>
        <w:pStyle w:val="ListParagraph"/>
        <w:numPr>
          <w:ilvl w:val="0"/>
          <w:numId w:val="47"/>
        </w:numPr>
        <w:snapToGrid w:val="0"/>
        <w:spacing w:after="200"/>
        <w:jc w:val="both"/>
        <w:rPr>
          <w:rFonts w:eastAsia="Verdana" w:cs="Verdana"/>
          <w:sz w:val="20"/>
          <w:szCs w:val="20"/>
        </w:rPr>
      </w:pPr>
      <w:r>
        <w:rPr>
          <w:sz w:val="20"/>
          <w:szCs w:val="20"/>
        </w:rPr>
        <w:t>Li tiġi appoġġata governanza lokali tajba u jiġi rinforzat ir-rwol tal-awtoritajiet lokali u reġjonali fil-proċess ta’ integrazzjoni Ewropea.</w:t>
      </w:r>
    </w:p>
    <w:p w14:paraId="0811532F" w14:textId="77777777" w:rsidR="008B1F42" w:rsidRDefault="008B1F42" w:rsidP="008B1F42">
      <w:pPr>
        <w:pStyle w:val="ListParagraph"/>
        <w:spacing w:after="200"/>
        <w:ind w:left="0"/>
        <w:jc w:val="both"/>
        <w:rPr>
          <w:rFonts w:eastAsia="Verdana" w:cs="Verdana"/>
          <w:sz w:val="20"/>
          <w:szCs w:val="20"/>
        </w:rPr>
      </w:pPr>
    </w:p>
    <w:p w14:paraId="18B8EBBE" w14:textId="2BAD98CB" w:rsidR="008B1F42" w:rsidRPr="00CC2315" w:rsidRDefault="008B1F42" w:rsidP="00CC2315">
      <w:pPr>
        <w:pStyle w:val="ListParagraph"/>
        <w:spacing w:after="200"/>
        <w:ind w:left="0"/>
        <w:jc w:val="both"/>
        <w:rPr>
          <w:rFonts w:eastAsia="Verdana" w:cs="Verdana"/>
          <w:sz w:val="20"/>
          <w:szCs w:val="20"/>
        </w:rPr>
      </w:pPr>
      <w:r>
        <w:rPr>
          <w:sz w:val="20"/>
          <w:szCs w:val="20"/>
        </w:rPr>
        <w:t>Huwa mistenni li l-proġetti ta’ Ġemellaġġ ta’ Bliet jirriflettu fuq narrattiva ġdida għall-Ewropa, orjentata lejn iċ-ċittadini, li tippromwovi l-ugwaljanza, li tħares ’il quddiem u tkun kostruttiva u li tqanqal aktar il-ġenerazzjoni żagħżugħa b’mod partikolari. Il-proġetti jistgħu jkunu bbażati fuq l-eżitu ta’ konsultazzjonijiet maċ-ċittadini u jistgħu jwasslu għal dibattiti dwar modi konkreti kif tista’ tinħoloq Unjoni aktar demokratika, biex iċ-ċittadini jkunu jistgħu jinvolvu lilhom infushom mill-ġdid mal-UE u jiġi żviluppat sens aktar b’saħħtu ta’ sjieda tal-proġett Ewropew.</w:t>
      </w:r>
    </w:p>
    <w:p w14:paraId="6C324617" w14:textId="7DEA1873" w:rsidR="008B1F42" w:rsidRDefault="008B1F42" w:rsidP="008B1F42">
      <w:pPr>
        <w:pStyle w:val="Heading3"/>
      </w:pPr>
      <w:bookmarkStart w:id="5" w:name="_Toc89950950"/>
      <w:r>
        <w:t>Temi u prijoritajiet (kamp ta’ applikazzjoni)</w:t>
      </w:r>
      <w:bookmarkEnd w:id="5"/>
    </w:p>
    <w:p w14:paraId="5FB7D970" w14:textId="77777777" w:rsidR="008B1F42" w:rsidRDefault="008B1F42" w:rsidP="008B1F42">
      <w:pPr>
        <w:numPr>
          <w:ilvl w:val="0"/>
          <w:numId w:val="48"/>
        </w:numPr>
        <w:rPr>
          <w:rFonts w:eastAsia="Verdana" w:cs="Verdana"/>
        </w:rPr>
      </w:pPr>
      <w:r>
        <w:rPr>
          <w:b/>
          <w:bCs/>
        </w:rPr>
        <w:t>Sensibilizzazzjoni dwar ir-rikkezza tal-ambjent kulturali u lingwistiku fl-Ewropa</w:t>
      </w:r>
    </w:p>
    <w:p w14:paraId="2B1D8BE9" w14:textId="77777777" w:rsidR="008B1F42" w:rsidRPr="008F0D17" w:rsidRDefault="008B1F42" w:rsidP="008B1F42">
      <w:pPr>
        <w:rPr>
          <w:rFonts w:eastAsia="Verdana" w:cs="Verdana"/>
        </w:rPr>
      </w:pPr>
      <w:r>
        <w:t xml:space="preserve">Il-programm jikkontribwixxi għall-promozzjoni tad-djalogu interkulturali billi jġib flimkien nies ta’ nazzjonalitajiet differenti u lingwi differenti u billi jagħtihom l-opportunità li jipparteċipaw f’attivitajiet komuni. F’dan il-kuntest, il-proġetti ta’ Ġemellaġġ ta’ Bliet għandhom iqajmu sensibilizzazzjoni dwar ir-rikkezza tal-ambjent kulturali u lingwistiku fl-Ewropa u jippromwovu fehim reċiproku u tolleranza, u b’hekk jikkontribwixxu għall-iżvilupp ta’ identità Ewropea rispettuża, dinamika u multidimensjonali u r-rispett tal-valuri komuni, id-demokrazija u d-drittijiet fundamentali. </w:t>
      </w:r>
    </w:p>
    <w:p w14:paraId="278D248A" w14:textId="77777777" w:rsidR="008B1F42" w:rsidRDefault="008B1F42" w:rsidP="008B1F42">
      <w:pPr>
        <w:numPr>
          <w:ilvl w:val="0"/>
          <w:numId w:val="48"/>
        </w:numPr>
        <w:rPr>
          <w:rFonts w:eastAsia="Verdana" w:cs="Verdana"/>
        </w:rPr>
      </w:pPr>
      <w:r>
        <w:rPr>
          <w:b/>
          <w:bCs/>
        </w:rPr>
        <w:t>Sensibilizzazzjoni dwar l-importanza tat-tisħiħ tal-proċess ta’ integrazzjoni Ewropea bbażat fuq is-solidarjetà</w:t>
      </w:r>
    </w:p>
    <w:p w14:paraId="6CBF9321" w14:textId="77777777" w:rsidR="008B1F42" w:rsidRDefault="008B1F42" w:rsidP="008B1F42">
      <w:pPr>
        <w:rPr>
          <w:rFonts w:eastAsia="Verdana" w:cs="Verdana"/>
        </w:rPr>
      </w:pPr>
      <w:r>
        <w:t>L-Unjoni Ewropea hija mibnija fuq is-solidarjetà: solidarjetà bejn iċ-ċittadini tagħha, solidarjetà bejn il-fruntieri bejn l-Istati Membri tagħha, u solidarjetà permezz ta’ azzjonijiet ta’ appoġġ ġewwa u barra l-Unjoni. Is-solidarjetà hija valur komuni li joħloq il-koeżjoni u jwieġeb għall-isfidi tas-soċjetà. Il-proġetti ta’ Ġemellaġġ ta’ Bliet għandhom jikkontribwixxu biex jingħelbu l-perċezzjonijiet nazzjonali billi jitrawwem fehim reċiproku u billi jinħolqu fora fejn soluzzjonijiet komuni jistgħu jiġu diskussi b’mod kostruttiv. L-għan tagħhom għandu jkun li jqajmu sensibilizzazzjoni dwar l-importanza tat-tisħiħ tal-proċess ta’ integrazzjoni Ewropea bbażat fuq is-solidarjetà u l-valuri komuni.</w:t>
      </w:r>
    </w:p>
    <w:p w14:paraId="0C7C4065" w14:textId="77777777" w:rsidR="008B1F42" w:rsidRDefault="008B1F42" w:rsidP="008B1F42">
      <w:pPr>
        <w:numPr>
          <w:ilvl w:val="0"/>
          <w:numId w:val="48"/>
        </w:numPr>
        <w:rPr>
          <w:rFonts w:eastAsia="Verdana" w:cs="Verdana"/>
        </w:rPr>
      </w:pPr>
      <w:r>
        <w:rPr>
          <w:b/>
          <w:bCs/>
        </w:rPr>
        <w:t xml:space="preserve">It-trawwim ta’ sens ta’ appartenenza għall-Ewropa permezz tal-promozzjoni tad-dibattitu dwar il-futur tal-Ewropa </w:t>
      </w:r>
    </w:p>
    <w:p w14:paraId="1B7C766D" w14:textId="77777777" w:rsidR="008B1F42" w:rsidRDefault="008B1F42" w:rsidP="008B1F42">
      <w:pPr>
        <w:rPr>
          <w:rFonts w:eastAsia="Verdana" w:cs="Verdana"/>
        </w:rPr>
      </w:pPr>
      <w:r>
        <w:t xml:space="preserve">Il-proġetti ta’ Ġemellaġġ ta’ Bliet għandhom jagħtu liċ-ċittadini l-opportunità li jesprimu x’tip ta’ Ewropa jixtiequ. Id-dibattiti appoġġati taħt il-Ġemellaġġ ta’ Bliet għandhom ikunu bbażati fuq il-kisbiet konkreti tal-Unjoni Ewropea u fuq it-tagħlimiet meħuda mill-istorja. Dawn id-dibattiti għandhom jirriflettu wkoll fuq ix-xejriet attwali u jippermettu lill-parteċipanti jisfidaw l-Ewroxettiċiżmu billi jissuġġerixxu azzjonijiet possibbli li l-Unjoni Ewropea tista’ tieħu biex trawwem sens ta’ appartenenza għall-Ewropa, tifhem il-benefiċċji tal-Unjoni Ewropea u ssaħħaħ il-koeżjoni soċjali u politika tal-UE. Muniċipalitajiet b’ġemellaġġ huma mħeġġa jwieġbu għall-objettivi tal-Konferenza dwar </w:t>
      </w:r>
      <w:r>
        <w:lastRenderedPageBreak/>
        <w:t>il-Futur tal-Ewropa</w:t>
      </w:r>
      <w:r>
        <w:rPr>
          <w:rStyle w:val="FootnoteReference"/>
          <w:rFonts w:eastAsia="Verdana" w:cs="Verdana"/>
        </w:rPr>
        <w:footnoteReference w:id="10"/>
      </w:r>
      <w:r>
        <w:t>. Barra minn hekk, id-dibattiti għandhom jippromwovu kultura ta’ skambju demokratiku, li fiha l-fehmiet tal-parteċipanti kollha jiġu ugwalment apprezzati irrispettivament mill-ġeneru, l-età jew l-isfond etniku tagħhom.</w:t>
      </w:r>
    </w:p>
    <w:p w14:paraId="10D7F696" w14:textId="77777777" w:rsidR="008B1F42" w:rsidRDefault="008B1F42" w:rsidP="008B1F42">
      <w:pPr>
        <w:numPr>
          <w:ilvl w:val="0"/>
          <w:numId w:val="48"/>
        </w:numPr>
        <w:rPr>
          <w:rFonts w:eastAsia="Verdana" w:cs="Verdana"/>
          <w:b/>
          <w:bCs/>
        </w:rPr>
      </w:pPr>
      <w:r>
        <w:rPr>
          <w:b/>
          <w:bCs/>
        </w:rPr>
        <w:t>Riflessjoni dwar l-impatt tal-pandemija tal-COVID-19 fuq il-komunitajiet lokali</w:t>
      </w:r>
    </w:p>
    <w:p w14:paraId="481B9ACE" w14:textId="77777777" w:rsidR="008B1F42" w:rsidRDefault="008B1F42" w:rsidP="008B1F42">
      <w:pPr>
        <w:rPr>
          <w:rFonts w:eastAsia="Verdana" w:cs="Verdana"/>
        </w:rPr>
      </w:pPr>
      <w:r>
        <w:t>Il-pandemija tal-COVID-19 influwenzat il-modi li bihom jiffunzjonaw id-demokraziji tagħna u l-parteċipazzjoni ċivika. Il-ħtieġa li jiġi evitat it-tixrid tal-kontaġju wasslet għall-impożizzjoni ta’ restrizzjonijiet qawwija fuq il-libertà individwali u kollettiva. Il-proġetti ta’ Ġemellaġġ ta’ Bliet huma mħeġġa jirriflettu dwar l-impatt tal-pandemija tal-COVID-19 fuq il-ħajja fi ħdan il-komunitajiet lokali u l-funzjonament tagħhom, kif ukoll fuq il-forom li l-parteċipazzjoni ċivika tieħu taħt il-kriżi tal-COVID-19.</w:t>
      </w:r>
    </w:p>
    <w:p w14:paraId="36719A73" w14:textId="77777777" w:rsidR="008B1F42" w:rsidRDefault="008B1F42" w:rsidP="008B1F42">
      <w:pPr>
        <w:widowControl w:val="0"/>
        <w:outlineLvl w:val="1"/>
        <w:rPr>
          <w:i/>
          <w:color w:val="A50021"/>
          <w:u w:val="single"/>
        </w:rPr>
      </w:pPr>
      <w:r>
        <w:rPr>
          <w:i/>
          <w:color w:val="A50021"/>
          <w:u w:val="single"/>
        </w:rPr>
        <w:t>Attivitajiet li jistgħu jiġu ffinanzjati (kamp ta’ applikazzjoni)</w:t>
      </w:r>
    </w:p>
    <w:p w14:paraId="3F3EFBB4" w14:textId="77777777" w:rsidR="008B1F42" w:rsidRDefault="008B1F42" w:rsidP="008B1F42">
      <w:pPr>
        <w:widowControl w:val="0"/>
        <w:outlineLvl w:val="1"/>
      </w:pPr>
      <w:r>
        <w:t>L-attivitajiet jistgħu jinkludu, fost oħrajn:</w:t>
      </w:r>
    </w:p>
    <w:p w14:paraId="6E4AFEA1" w14:textId="2D94E985" w:rsidR="008B1F42" w:rsidRPr="00BF5947" w:rsidRDefault="008B1F42" w:rsidP="008B1F42">
      <w:pPr>
        <w:pStyle w:val="Text3"/>
        <w:numPr>
          <w:ilvl w:val="0"/>
          <w:numId w:val="48"/>
        </w:numPr>
        <w:tabs>
          <w:tab w:val="left" w:pos="567"/>
        </w:tabs>
        <w:ind w:left="567" w:hanging="207"/>
      </w:pPr>
      <w:r>
        <w:t xml:space="preserve">sessjonijiet ta’ ħidma, seminars, konferenzi, attivitajiet ta’ taħriġ, laqgħat tal-esperti, webinars, attivitajiet ta’ sensibilizzazzjoni, ġbir ta’ </w:t>
      </w:r>
      <w:r>
        <w:rPr>
          <w:i/>
        </w:rPr>
        <w:t>data</w:t>
      </w:r>
      <w:r>
        <w:t xml:space="preserve"> u konsultazzjoni, żvilupp, skambji u tixrid ta’ prattiki tajba fost l-awtoritajiet pubbliċi u l-organizzazzjonijiet tas-soċjetà ċivili, żvilupp ta’ għodod ta’ komunikazzjoni u l-użu tal-media soċjali.</w:t>
      </w:r>
    </w:p>
    <w:p w14:paraId="44CF613E" w14:textId="055AEA4F" w:rsidR="00BF5947" w:rsidRDefault="00BF5947" w:rsidP="00CC2315">
      <w:pPr>
        <w:widowControl w:val="0"/>
      </w:pPr>
      <w:r>
        <w:t xml:space="preserve">Il-perspettiva tal-ugwaljanza bejn il-ġeneri għandha titqies meta jitfassal il-“format” tal-attivitajiet, biex jiġi żgurat li din tkun aċċessibbli għan-nisa u għall-irġiel fuq termini ugwali, u kemm in-nisa kif ukoll l-irġiel ikunu jistgħu jipparteċipaw fl-attivitajiet. </w:t>
      </w:r>
    </w:p>
    <w:p w14:paraId="4E176950" w14:textId="7F1D3AA0" w:rsidR="008B1F42" w:rsidRPr="00CC2315" w:rsidRDefault="008B1F42" w:rsidP="008B1F42">
      <w:pPr>
        <w:widowControl w:val="0"/>
        <w:outlineLvl w:val="1"/>
        <w:rPr>
          <w:i/>
          <w:color w:val="A50021"/>
          <w:u w:val="single"/>
        </w:rPr>
      </w:pPr>
      <w:r>
        <w:rPr>
          <w:i/>
          <w:color w:val="A50021"/>
          <w:u w:val="single"/>
        </w:rPr>
        <w:t>L-impatt mistenni</w:t>
      </w:r>
    </w:p>
    <w:p w14:paraId="73300198" w14:textId="7369E399" w:rsidR="008B1F42" w:rsidRPr="00623078" w:rsidRDefault="008B1F42" w:rsidP="008B1F42">
      <w:pPr>
        <w:pStyle w:val="ListParagraph"/>
        <w:numPr>
          <w:ilvl w:val="0"/>
          <w:numId w:val="49"/>
        </w:numPr>
        <w:snapToGrid w:val="0"/>
        <w:rPr>
          <w:rFonts w:eastAsia="Verdana" w:cs="Verdana"/>
          <w:sz w:val="20"/>
          <w:szCs w:val="20"/>
        </w:rPr>
      </w:pPr>
      <w:r>
        <w:rPr>
          <w:sz w:val="20"/>
          <w:szCs w:val="20"/>
        </w:rPr>
        <w:t>Li jiżdiedu u jitħeġġu l-fehim reċiproku u l-ħbiberija bejn firxa wiesgħa ta’ ċittadini fil-livell lokali;</w:t>
      </w:r>
    </w:p>
    <w:p w14:paraId="13BA14C4" w14:textId="77777777" w:rsidR="008B1F42" w:rsidRPr="00623078" w:rsidRDefault="008B1F42" w:rsidP="008B1F42">
      <w:pPr>
        <w:pStyle w:val="ListParagraph"/>
        <w:numPr>
          <w:ilvl w:val="0"/>
          <w:numId w:val="49"/>
        </w:numPr>
        <w:snapToGrid w:val="0"/>
        <w:rPr>
          <w:rFonts w:eastAsia="Verdana" w:cs="Verdana"/>
          <w:sz w:val="20"/>
          <w:szCs w:val="20"/>
        </w:rPr>
      </w:pPr>
      <w:r>
        <w:rPr>
          <w:sz w:val="20"/>
          <w:szCs w:val="20"/>
        </w:rPr>
        <w:t>Li tiġi involuta firxa wiesgħa ta’ ċittadini mill-esperjenza tal-komunitajiet lokali u li jiġi rikonoxxut il-valur miżjud li l-UE tipprovdi permezz ta’ approċċ fil-livell taċ-ċittadini;</w:t>
      </w:r>
    </w:p>
    <w:p w14:paraId="64BB5015" w14:textId="77777777" w:rsidR="008B1F42" w:rsidRPr="00623078" w:rsidRDefault="008B1F42" w:rsidP="009C148E">
      <w:pPr>
        <w:pStyle w:val="ListParagraph"/>
        <w:numPr>
          <w:ilvl w:val="0"/>
          <w:numId w:val="49"/>
        </w:numPr>
        <w:snapToGrid w:val="0"/>
        <w:spacing w:after="200"/>
        <w:rPr>
          <w:rFonts w:eastAsia="Verdana" w:cs="Verdana"/>
          <w:sz w:val="20"/>
          <w:szCs w:val="20"/>
        </w:rPr>
      </w:pPr>
      <w:r>
        <w:rPr>
          <w:sz w:val="20"/>
          <w:szCs w:val="20"/>
        </w:rPr>
        <w:t>Li jitrawwem sens akbar ta’ appartenenza għall-UE.</w:t>
      </w:r>
    </w:p>
    <w:p w14:paraId="3816CD76" w14:textId="7A8224D0" w:rsidR="008B1F42" w:rsidRDefault="00BF7239" w:rsidP="008B1F42">
      <w:pPr>
        <w:widowControl w:val="0"/>
        <w:outlineLvl w:val="1"/>
        <w:rPr>
          <w:b/>
          <w:bCs/>
          <w:color w:val="A50021"/>
        </w:rPr>
      </w:pPr>
      <w:r>
        <w:rPr>
          <w:b/>
          <w:bCs/>
          <w:color w:val="A50021"/>
          <w:u w:val="single"/>
        </w:rPr>
        <w:t>CERV-2022-CITIZENS-TOWN-NT – Networks ta’ Bliet</w:t>
      </w:r>
      <w:r>
        <w:rPr>
          <w:b/>
          <w:bCs/>
          <w:color w:val="A50021"/>
        </w:rPr>
        <w:t xml:space="preserve"> </w:t>
      </w:r>
    </w:p>
    <w:p w14:paraId="5DD50407" w14:textId="77777777" w:rsidR="008B1F42" w:rsidRDefault="008B1F42" w:rsidP="008B1F42">
      <w:pPr>
        <w:pStyle w:val="Heading3"/>
      </w:pPr>
      <w:bookmarkStart w:id="6" w:name="_Toc89950951"/>
      <w:r>
        <w:t>Objettivi</w:t>
      </w:r>
      <w:bookmarkEnd w:id="6"/>
      <w:r>
        <w:t xml:space="preserve"> </w:t>
      </w:r>
    </w:p>
    <w:p w14:paraId="50086A6A" w14:textId="77777777" w:rsidR="008B1F42" w:rsidRPr="00623078" w:rsidRDefault="008B1F42" w:rsidP="008B1F42">
      <w:pPr>
        <w:pStyle w:val="ListParagraph"/>
        <w:numPr>
          <w:ilvl w:val="0"/>
          <w:numId w:val="47"/>
        </w:numPr>
        <w:snapToGrid w:val="0"/>
        <w:spacing w:after="200"/>
        <w:jc w:val="both"/>
        <w:rPr>
          <w:rFonts w:eastAsia="Verdana" w:cs="Verdana"/>
          <w:sz w:val="20"/>
          <w:szCs w:val="20"/>
        </w:rPr>
      </w:pPr>
      <w:r>
        <w:rPr>
          <w:sz w:val="20"/>
          <w:szCs w:val="20"/>
        </w:rPr>
        <w:t>Li jiġu promossi skambji bejn iċ-ċittadini ta’ pajjiżi differenti;</w:t>
      </w:r>
    </w:p>
    <w:p w14:paraId="4930950B" w14:textId="58DB2063" w:rsidR="008B1F42" w:rsidRPr="00623078" w:rsidRDefault="008B1F42" w:rsidP="008B1F42">
      <w:pPr>
        <w:pStyle w:val="ListParagraph"/>
        <w:numPr>
          <w:ilvl w:val="0"/>
          <w:numId w:val="47"/>
        </w:numPr>
        <w:snapToGrid w:val="0"/>
        <w:spacing w:after="200"/>
        <w:jc w:val="both"/>
        <w:rPr>
          <w:rFonts w:eastAsia="Verdana" w:cs="Verdana"/>
          <w:sz w:val="20"/>
          <w:szCs w:val="20"/>
        </w:rPr>
      </w:pPr>
      <w:r>
        <w:rPr>
          <w:sz w:val="20"/>
          <w:szCs w:val="20"/>
        </w:rPr>
        <w:t>Li ċ-ċittadini jingħataw l-opportunità li jiskopru d-diversità kulturali tal-Unjoni Ewropea u li jsiru konxji li l-valuri u l-wirt kulturali Ewropej jikkostitwixxu l-pedament għal futur komuni</w:t>
      </w:r>
      <w:r>
        <w:rPr>
          <w:iCs/>
          <w:sz w:val="20"/>
          <w:szCs w:val="20"/>
        </w:rPr>
        <w:t>;</w:t>
      </w:r>
    </w:p>
    <w:p w14:paraId="67D2B464" w14:textId="77777777" w:rsidR="008B1F42" w:rsidRPr="00623078" w:rsidRDefault="008B1F42" w:rsidP="008B1F42">
      <w:pPr>
        <w:pStyle w:val="ListParagraph"/>
        <w:numPr>
          <w:ilvl w:val="0"/>
          <w:numId w:val="47"/>
        </w:numPr>
        <w:snapToGrid w:val="0"/>
        <w:spacing w:after="200"/>
        <w:jc w:val="both"/>
        <w:rPr>
          <w:rFonts w:eastAsia="Verdana" w:cs="Verdana"/>
          <w:sz w:val="20"/>
          <w:szCs w:val="20"/>
        </w:rPr>
      </w:pPr>
      <w:r>
        <w:rPr>
          <w:sz w:val="20"/>
          <w:szCs w:val="20"/>
        </w:rPr>
        <w:t>Li jiġu garantiti relazzjonijiet paċifiċi bejn l-Ewropej u li tiġi żgurata l-parteċipazzjoni attiva tagħhom fil-livell lokali;</w:t>
      </w:r>
    </w:p>
    <w:p w14:paraId="195F41AA" w14:textId="77777777" w:rsidR="008B1F42" w:rsidRPr="00623078" w:rsidRDefault="008B1F42" w:rsidP="008B1F42">
      <w:pPr>
        <w:pStyle w:val="ListParagraph"/>
        <w:numPr>
          <w:ilvl w:val="0"/>
          <w:numId w:val="47"/>
        </w:numPr>
        <w:snapToGrid w:val="0"/>
        <w:spacing w:after="200"/>
        <w:jc w:val="both"/>
        <w:rPr>
          <w:rFonts w:eastAsia="Verdana" w:cs="Verdana"/>
          <w:sz w:val="20"/>
          <w:szCs w:val="20"/>
        </w:rPr>
      </w:pPr>
      <w:r>
        <w:rPr>
          <w:sz w:val="20"/>
          <w:szCs w:val="20"/>
        </w:rPr>
        <w:t>Li jissaħħu l-fehim reċiproku u l-ħbiberija bejn iċ-ċittadini Ewropej;</w:t>
      </w:r>
    </w:p>
    <w:p w14:paraId="7666C85B" w14:textId="77777777" w:rsidR="008B1F42" w:rsidRPr="00623078" w:rsidRDefault="008B1F42" w:rsidP="008B1F42">
      <w:pPr>
        <w:pStyle w:val="ListParagraph"/>
        <w:numPr>
          <w:ilvl w:val="0"/>
          <w:numId w:val="47"/>
        </w:numPr>
        <w:snapToGrid w:val="0"/>
        <w:spacing w:after="200"/>
        <w:jc w:val="both"/>
        <w:rPr>
          <w:rFonts w:eastAsia="Verdana" w:cs="Verdana"/>
          <w:sz w:val="20"/>
          <w:szCs w:val="20"/>
        </w:rPr>
      </w:pPr>
      <w:r>
        <w:rPr>
          <w:sz w:val="20"/>
          <w:szCs w:val="20"/>
        </w:rPr>
        <w:t>Li jitħeġġu l-kooperazzjoni bejn il-muniċipalitajiet u l-iskambju tal-aħjar prattiki;</w:t>
      </w:r>
    </w:p>
    <w:p w14:paraId="602154B3" w14:textId="77777777" w:rsidR="008B1F42" w:rsidRPr="00623078" w:rsidRDefault="008B1F42" w:rsidP="008B1F42">
      <w:pPr>
        <w:pStyle w:val="ListParagraph"/>
        <w:numPr>
          <w:ilvl w:val="0"/>
          <w:numId w:val="47"/>
        </w:numPr>
        <w:snapToGrid w:val="0"/>
        <w:spacing w:after="200"/>
        <w:jc w:val="both"/>
        <w:rPr>
          <w:rFonts w:eastAsia="Verdana" w:cs="Verdana"/>
          <w:sz w:val="20"/>
          <w:szCs w:val="20"/>
        </w:rPr>
      </w:pPr>
      <w:r>
        <w:rPr>
          <w:sz w:val="20"/>
          <w:szCs w:val="20"/>
        </w:rPr>
        <w:t>Li tiġi appoġġata governanza lokali tajba u jiġi rinforzat ir-rwol tal-awtoritajiet lokali u reġjonali fil-proċess ta’ integrazzjoni Ewropea.</w:t>
      </w:r>
    </w:p>
    <w:p w14:paraId="79BB4ACA" w14:textId="77777777" w:rsidR="008B1F42" w:rsidRDefault="008B1F42" w:rsidP="008B1F42">
      <w:pPr>
        <w:rPr>
          <w:rFonts w:eastAsia="Verdana" w:cs="Verdana"/>
        </w:rPr>
      </w:pPr>
      <w:r>
        <w:lastRenderedPageBreak/>
        <w:t>Huwa mistenni li l-proġetti Networks ta’ Bliet jirriflettu fuq narrattiva ġdida għall-Ewropa, orjentata lejn iċ-ċittadini, li tippromwovi l-ugwaljanza, li tħares ’il quddiem u tkun kostruttiva u li tqanqal aktar lill-ġenerazzjoni żagħżugħa b’mod partikolari. Il-proġetti jistgħu jkunu bbażati fuq l-eżitu ta’ konsultazzjonijiet maċ-ċittadini u jistgħu jwasslu għal dibattiti dwar modi konkreti kif tista’ tinħoloq Unjoni aktar demokratika, biex iċ-ċittadini jkunu jistgħu jinvolvu lilhom infushom mill-ġdid mal-UE u jiġi żviluppat sens aktar b’saħħtu ta’ sjieda tal-proġett Ewropew.</w:t>
      </w:r>
    </w:p>
    <w:p w14:paraId="21311993" w14:textId="77777777" w:rsidR="008B1F42" w:rsidRDefault="008B1F42" w:rsidP="008B1F42">
      <w:pPr>
        <w:rPr>
          <w:rFonts w:eastAsia="Verdana" w:cs="Verdana"/>
        </w:rPr>
      </w:pPr>
      <w:r>
        <w:t>In-Networks ta’ Bliet għandhom jipprovdu lill-bliet u l-muniċipalitajiet il-possibbiltà li japprofondixxu u jintensifikaw il-kooperazzjoni u d-dibattitu tagħhom f’perspettiva fit-tul, li jiżviluppaw networks sostenibbli u li jiddeskrivu l-viżjoni fit-tul tagħhom għall-futur tal-integrazzjoni Ewropea.</w:t>
      </w:r>
    </w:p>
    <w:p w14:paraId="73AEEF58" w14:textId="77777777" w:rsidR="008B1F42" w:rsidRDefault="008B1F42" w:rsidP="008B1F42">
      <w:pPr>
        <w:pStyle w:val="Heading3"/>
      </w:pPr>
      <w:bookmarkStart w:id="7" w:name="_Toc89950952"/>
      <w:r>
        <w:t>Temi u prijoritajiet (kamp ta’ applikazzjoni)</w:t>
      </w:r>
      <w:bookmarkEnd w:id="7"/>
    </w:p>
    <w:p w14:paraId="19210619" w14:textId="5F6CD73A" w:rsidR="008B1F42" w:rsidRDefault="008B1F42" w:rsidP="008B1F42">
      <w:pPr>
        <w:pStyle w:val="Text3"/>
        <w:ind w:left="0"/>
        <w:rPr>
          <w:rFonts w:eastAsia="Verdana" w:cs="Verdana"/>
        </w:rPr>
      </w:pPr>
      <w:r>
        <w:t>Filwaqt li jinżamm approċċ minn isfel għal fuq, tista’ tkun hemm enfasi speċifika fuq:</w:t>
      </w:r>
    </w:p>
    <w:p w14:paraId="0114D3C8" w14:textId="77777777" w:rsidR="00DF1A7E" w:rsidRPr="007472BE" w:rsidRDefault="00DF1A7E" w:rsidP="00DF1A7E">
      <w:pPr>
        <w:numPr>
          <w:ilvl w:val="0"/>
          <w:numId w:val="48"/>
        </w:numPr>
        <w:rPr>
          <w:rFonts w:eastAsia="Verdana" w:cs="Verdana"/>
        </w:rPr>
      </w:pPr>
      <w:r>
        <w:rPr>
          <w:b/>
        </w:rPr>
        <w:t>It-tisħiħ tad-dimensjoni Ewropea u demokratika tal-proċess tat-teħid tad-deċiżjonijiet tal-UE</w:t>
      </w:r>
    </w:p>
    <w:p w14:paraId="170D5575" w14:textId="591CBCC7" w:rsidR="00DF1A7E" w:rsidRDefault="00DF1A7E" w:rsidP="00DF1A7E">
      <w:r>
        <w:t>In-Networks ta’ Bliet huma mistiedna jiżviluppaw proġetti li jsaħħu l-governanza demokratika billi jappoġġaw l-involviment attiv taċ-ċittadini fil-ħajja politika Ewropea u l-eżerċizzju tad-drittijiet elettorali tagħhom. Dawn il-proġetti jgħinu fil-ġlieda kontra n-nuqqas ta’ parteċipazzjoni fl-elezzjonijiet, il-populiżmu, id-diżinformazzjoni u l-isfidi li qed tiffaċċja s-soċjetà ċivili;</w:t>
      </w:r>
    </w:p>
    <w:p w14:paraId="75942D03" w14:textId="57AAA631" w:rsidR="00DF1A7E" w:rsidRPr="00732A4F" w:rsidRDefault="00DF1A7E" w:rsidP="00DF1A7E">
      <w:pPr>
        <w:numPr>
          <w:ilvl w:val="0"/>
          <w:numId w:val="48"/>
        </w:numPr>
        <w:rPr>
          <w:rFonts w:eastAsia="Verdana" w:cs="Verdana"/>
          <w:b/>
        </w:rPr>
      </w:pPr>
      <w:r>
        <w:rPr>
          <w:b/>
        </w:rPr>
        <w:t>L-appoġġ għal elezzjonijiet ħielsa u ġusti fl-Ewropa,</w:t>
      </w:r>
    </w:p>
    <w:p w14:paraId="508FCAAE" w14:textId="13093283" w:rsidR="00DF1A7E" w:rsidRPr="00623078" w:rsidRDefault="00DF1A7E" w:rsidP="00DF1A7E">
      <w:pPr>
        <w:rPr>
          <w:rFonts w:eastAsia="Verdana" w:cs="Verdana"/>
        </w:rPr>
      </w:pPr>
      <w:r>
        <w:t>Fid-dawl tal-elezzjonijiet Ewropej tal-2024, in-Networks ta’ Bliet huma mistiedna jaħdmu fuq il-preservazzjoni tal-istituzzjonijiet demokratiċi tal-UE u fuq il-parteċipazzjoni taċ-ċittadini fihom. Il-koordinazzjoni fi ħdan u fost in-networks rilevanti tista’ twassal b’mod partikolari għall-istabbiliment ta’ metodi ta’ ħidma komuni, il-bini tal-kapaċitajiet biex jiġu identifikati u indirizzati t-theddidiet għall-elezzjonijiet, l-elaborazzjoni ta’ mudelli ta’ prattika tajba u linji gwida.</w:t>
      </w:r>
    </w:p>
    <w:p w14:paraId="609BDE0C" w14:textId="77777777" w:rsidR="00DF1A7E" w:rsidRPr="009109D5" w:rsidRDefault="00DF1A7E" w:rsidP="00DF1A7E">
      <w:pPr>
        <w:numPr>
          <w:ilvl w:val="0"/>
          <w:numId w:val="48"/>
        </w:numPr>
        <w:rPr>
          <w:rFonts w:eastAsia="Verdana" w:cs="Verdana"/>
        </w:rPr>
      </w:pPr>
      <w:r>
        <w:rPr>
          <w:b/>
          <w:bCs/>
        </w:rPr>
        <w:t xml:space="preserve">It-trawwim ta’ sens ta’ appartenenza għall-Ewropa permezz tal-promozzjoni tad-dibattitu dwar il-futur tal-Ewropa </w:t>
      </w:r>
    </w:p>
    <w:p w14:paraId="56A249A6" w14:textId="404D5832" w:rsidR="00DF1A7E" w:rsidRDefault="00DF1A7E" w:rsidP="00DF1A7E">
      <w:pPr>
        <w:rPr>
          <w:rFonts w:eastAsia="Verdana" w:cs="Verdana"/>
        </w:rPr>
      </w:pPr>
      <w:r>
        <w:t>In-Networks ta’ Bliet għandhom jagħtu liċ-ċittadini l-opportunità li jesprimu x’tip ta’ Ewropa jixtiequ. Id-dibattiti għandhom ikunu bbażati fuq il-kisbiet konkreti tal-Unjoni Ewropea u fuq it-tagħlimiet miksuba mill-istorja. Dawn id-dibattiti jistgħu wkoll jissuġġerixxu azzjonijiet li l-Unjoni Ewropea tista’ tieħu biex trawwem sens ta’ appartenenza għall-Ewropa, biex tifhem il-benefiċċji tal-Unjoni Ewropea u biex issaħħaħ il-koeżjoni soċjali u politika tal-UE. In-Networks ta’ Bliet huma mħeġġa jwieġbu għall-objettivi tal-Konferenza dwar il-Futur tal-Ewropa.</w:t>
      </w:r>
    </w:p>
    <w:p w14:paraId="2AF05699" w14:textId="77777777" w:rsidR="00DF1A7E" w:rsidRPr="000A6611" w:rsidRDefault="00DF1A7E" w:rsidP="00DF1A7E">
      <w:pPr>
        <w:numPr>
          <w:ilvl w:val="0"/>
          <w:numId w:val="48"/>
        </w:numPr>
        <w:rPr>
          <w:rFonts w:eastAsia="Verdana" w:cs="Verdana"/>
          <w:b/>
          <w:bCs/>
        </w:rPr>
      </w:pPr>
      <w:r>
        <w:rPr>
          <w:b/>
          <w:bCs/>
        </w:rPr>
        <w:t>Riflessjoni dwar l-impatt tal-pandemija tal-COVID-19 fuq il-komunitajiet lokali</w:t>
      </w:r>
    </w:p>
    <w:p w14:paraId="4F1B2504" w14:textId="23705276" w:rsidR="00DF1A7E" w:rsidRPr="006F58BD" w:rsidRDefault="00DF1A7E" w:rsidP="006F58BD">
      <w:pPr>
        <w:pStyle w:val="Text3"/>
        <w:ind w:left="0"/>
        <w:rPr>
          <w:rFonts w:eastAsia="Verdana" w:cs="Verdana"/>
        </w:rPr>
      </w:pPr>
      <w:r>
        <w:t>Il-pandemija tal-COVID-19 influwenzat il-modi li bihom jiffunzjonaw id-demokraziji tagħna u l-parteċipazzjoni ċivika. Il-ħtieġa li jiġi evitat it-tixrid tal-kontaġju wasslet għall-impożizzjoni ta’ restrizzjonijiet qawwija fuq il-libertà individwali u kollettiva. In-Networks ta’ Bliet huma mħeġġa jirriflettu dwar l-impatt tal-pandemija tal-COVID-19 fuq il-ħajja fi ħdan il-komunitajiet lokali u l-funzjonament tagħhom, kif ukoll fuq il-forom li l-parteċipazzjoni ċivika tieħu taħt il-kriżi tal-COVID-19.</w:t>
      </w:r>
    </w:p>
    <w:p w14:paraId="67B84D45" w14:textId="5CF8C7F0" w:rsidR="008B1F42" w:rsidRDefault="008B1F42" w:rsidP="008B1F42">
      <w:pPr>
        <w:pStyle w:val="Heading3"/>
      </w:pPr>
      <w:bookmarkStart w:id="8" w:name="_Toc89950953"/>
      <w:r>
        <w:t>Attivitajiet li jistgħu jiġu ffinanzjati (kamp ta’ applikazzjoni)</w:t>
      </w:r>
      <w:bookmarkEnd w:id="8"/>
    </w:p>
    <w:p w14:paraId="24792C88" w14:textId="77777777" w:rsidR="008B1F42" w:rsidRDefault="008B1F42" w:rsidP="008B1F42">
      <w:pPr>
        <w:widowControl w:val="0"/>
        <w:outlineLvl w:val="1"/>
      </w:pPr>
      <w:r>
        <w:t>L-attivitajiet jistgħu jinkludu, fost oħrajn:</w:t>
      </w:r>
    </w:p>
    <w:p w14:paraId="31F23C7A" w14:textId="77777777" w:rsidR="008B1F42" w:rsidRDefault="008B1F42" w:rsidP="008B1F42">
      <w:pPr>
        <w:pStyle w:val="Text3"/>
        <w:numPr>
          <w:ilvl w:val="0"/>
          <w:numId w:val="48"/>
        </w:numPr>
        <w:tabs>
          <w:tab w:val="left" w:pos="567"/>
        </w:tabs>
        <w:ind w:left="567" w:hanging="207"/>
      </w:pPr>
      <w:r>
        <w:lastRenderedPageBreak/>
        <w:t xml:space="preserve">sessjonijiet ta’ ħidma, seminars, konferenzi, attivitajiet ta’ taħriġ, laqgħat tal-esperti, webinars, attivitajiet ta’ sensibilizzazzjoni, ġbir ta’ </w:t>
      </w:r>
      <w:r>
        <w:rPr>
          <w:i/>
        </w:rPr>
        <w:t>data</w:t>
      </w:r>
      <w:r>
        <w:t xml:space="preserve"> u konsultazzjoni, żvilupp, skambji u tixrid ta’ prattiki tajba fost l-awtoritajiet pubbliċi u l-organizzazzjonijiet tas-soċjetà ċivili, żvilupp ta’ għodod ta’ komunikazzjoni u l-użu tal-media soċjali.</w:t>
      </w:r>
    </w:p>
    <w:p w14:paraId="4FBCD5D4" w14:textId="58457A61" w:rsidR="00E83685" w:rsidRPr="006F58BD" w:rsidRDefault="00E83685" w:rsidP="00E83685">
      <w:pPr>
        <w:widowControl w:val="0"/>
      </w:pPr>
      <w:r>
        <w:t xml:space="preserve">Il-perspettiva tal-ugwaljanza bejn il-ġeneri għandha titqies meta jitfassal il-“format” tal-attivitajiet, biex jiġi żgurat li din tkun aċċessibbli għan-nisa u għall-irġiel fuq termini ugwali, u kemm in-nisa kif ukoll l-irġiel ikunu jistgħu jipparteċipaw fl-attivitajiet. </w:t>
      </w:r>
    </w:p>
    <w:p w14:paraId="60B4B3FC" w14:textId="77777777" w:rsidR="00BF5947" w:rsidRPr="00732A4F" w:rsidRDefault="00BF5947" w:rsidP="00BF5947">
      <w:pPr>
        <w:widowControl w:val="0"/>
      </w:pPr>
      <w:r>
        <w:t>It-tfassil u l-implimentazzjoni tal-proġetti huma mistennija li jippromwovu l-ugwaljanza bejn il-ġeneri u l-integrazzjoni tan-nondiskriminazzjoni. Pereżempju, l-applikanti jistgħu jwettqu u jinkludu fil-proposta tagħhom analiżi tal-ġeneru, li tidentifika l-impatt differenti potenzjali tal-proġett u l-attivitajiet tiegħu fuq in-nisa u l-irġiel kif ukoll il-bniet u s-subien fid-diversità kollha tagħhom. B’hekk, l-effetti negattivi mhux intenzjonati tal-intervent fuq kwalunkwe ġeneru jistgħu jiġu evitati (approċċ ta’ la tagħmilx ħsara).</w:t>
      </w:r>
      <w:r w:rsidRPr="00732A4F">
        <w:rPr>
          <w:rStyle w:val="FootnoteReference"/>
        </w:rPr>
        <w:footnoteReference w:id="11"/>
      </w:r>
    </w:p>
    <w:p w14:paraId="363A4BA3" w14:textId="77777777" w:rsidR="008B1F42" w:rsidRDefault="008B1F42" w:rsidP="008B1F42">
      <w:pPr>
        <w:pStyle w:val="Heading3"/>
      </w:pPr>
      <w:bookmarkStart w:id="9" w:name="_Toc89950954"/>
      <w:r>
        <w:t>L-impatt mistenni</w:t>
      </w:r>
      <w:bookmarkEnd w:id="9"/>
    </w:p>
    <w:p w14:paraId="757470EC" w14:textId="77777777" w:rsidR="008B1F42" w:rsidRPr="00623078" w:rsidRDefault="008B1F42" w:rsidP="008B1F42">
      <w:pPr>
        <w:pStyle w:val="ListParagraph"/>
        <w:numPr>
          <w:ilvl w:val="0"/>
          <w:numId w:val="50"/>
        </w:numPr>
        <w:snapToGrid w:val="0"/>
        <w:rPr>
          <w:rFonts w:eastAsia="Verdana" w:cs="Verdana"/>
          <w:sz w:val="20"/>
          <w:szCs w:val="20"/>
        </w:rPr>
      </w:pPr>
      <w:r>
        <w:rPr>
          <w:sz w:val="20"/>
          <w:szCs w:val="20"/>
        </w:rPr>
        <w:t xml:space="preserve">Li l-bliet u l-muniċipalitajiet jingħataw l-opportunità li jiżviluppaw proġetti fuq skala akbar bl-għan li jżidu l-impatt u s-sostenibbiltà tal-proġetti tagħhom; </w:t>
      </w:r>
    </w:p>
    <w:p w14:paraId="0F1CFD3B" w14:textId="77777777" w:rsidR="008B1F42" w:rsidRPr="00623078" w:rsidRDefault="008B1F42" w:rsidP="008B1F42">
      <w:pPr>
        <w:pStyle w:val="ListParagraph"/>
        <w:numPr>
          <w:ilvl w:val="0"/>
          <w:numId w:val="50"/>
        </w:numPr>
        <w:snapToGrid w:val="0"/>
        <w:rPr>
          <w:rFonts w:eastAsia="Verdana" w:cs="Verdana"/>
          <w:sz w:val="20"/>
          <w:szCs w:val="20"/>
        </w:rPr>
      </w:pPr>
      <w:r>
        <w:rPr>
          <w:sz w:val="20"/>
          <w:szCs w:val="20"/>
        </w:rPr>
        <w:t xml:space="preserve">Li l-benefiċjarji jkunu jistgħu jiżviluppaw proġetti aktar tematiċi u relatati mal-politika; </w:t>
      </w:r>
    </w:p>
    <w:p w14:paraId="662B7EB2" w14:textId="77777777" w:rsidR="008B1F42" w:rsidRPr="00623078" w:rsidRDefault="008B1F42" w:rsidP="008B1F42">
      <w:pPr>
        <w:pStyle w:val="ListParagraph"/>
        <w:numPr>
          <w:ilvl w:val="0"/>
          <w:numId w:val="50"/>
        </w:numPr>
        <w:snapToGrid w:val="0"/>
        <w:rPr>
          <w:rFonts w:eastAsia="Verdana" w:cs="Verdana"/>
          <w:sz w:val="20"/>
          <w:szCs w:val="20"/>
        </w:rPr>
      </w:pPr>
      <w:r>
        <w:rPr>
          <w:sz w:val="20"/>
          <w:szCs w:val="20"/>
        </w:rPr>
        <w:t xml:space="preserve">Li jissawru rabtiet dejjiema ma’ organizzazzjonijiet sħab; </w:t>
      </w:r>
    </w:p>
    <w:p w14:paraId="2DA870B2" w14:textId="77777777" w:rsidR="008B1F42" w:rsidRPr="00623078" w:rsidRDefault="008B1F42" w:rsidP="008B1F42">
      <w:pPr>
        <w:pStyle w:val="ListParagraph"/>
        <w:numPr>
          <w:ilvl w:val="0"/>
          <w:numId w:val="50"/>
        </w:numPr>
        <w:snapToGrid w:val="0"/>
        <w:rPr>
          <w:rFonts w:eastAsia="Verdana" w:cs="Verdana"/>
          <w:sz w:val="20"/>
          <w:szCs w:val="20"/>
        </w:rPr>
      </w:pPr>
      <w:r>
        <w:rPr>
          <w:sz w:val="20"/>
          <w:szCs w:val="20"/>
        </w:rPr>
        <w:t xml:space="preserve">Li jiżdied l-għarfien dwar il-benefiċċji tad-diversità u li jiġu indirizzati d-diskriminazzjoni u r-razziżmu; </w:t>
      </w:r>
    </w:p>
    <w:p w14:paraId="31F82412" w14:textId="77777777" w:rsidR="008B1F42" w:rsidRPr="00623078" w:rsidRDefault="008B1F42" w:rsidP="008B1F42">
      <w:pPr>
        <w:pStyle w:val="ListParagraph"/>
        <w:numPr>
          <w:ilvl w:val="0"/>
          <w:numId w:val="50"/>
        </w:numPr>
        <w:snapToGrid w:val="0"/>
        <w:rPr>
          <w:rFonts w:eastAsia="Verdana" w:cs="Verdana"/>
          <w:sz w:val="20"/>
          <w:szCs w:val="20"/>
        </w:rPr>
      </w:pPr>
      <w:r>
        <w:rPr>
          <w:sz w:val="20"/>
          <w:szCs w:val="20"/>
        </w:rPr>
        <w:t xml:space="preserve">Li jiżdiedu u jitħeġġu l-fehim reċiproku u l-aċċettazzjoni fil-konfront tal-minoranzi Ewropej, bħar-Rom; </w:t>
      </w:r>
    </w:p>
    <w:p w14:paraId="178CA45A" w14:textId="77777777" w:rsidR="008B1F42" w:rsidRPr="00623078" w:rsidRDefault="008B1F42" w:rsidP="008B1F42">
      <w:pPr>
        <w:pStyle w:val="ListParagraph"/>
        <w:numPr>
          <w:ilvl w:val="0"/>
          <w:numId w:val="50"/>
        </w:numPr>
        <w:snapToGrid w:val="0"/>
        <w:rPr>
          <w:rFonts w:eastAsia="Verdana" w:cs="Verdana"/>
          <w:sz w:val="20"/>
          <w:szCs w:val="20"/>
        </w:rPr>
      </w:pPr>
      <w:r>
        <w:rPr>
          <w:sz w:val="20"/>
          <w:szCs w:val="20"/>
        </w:rPr>
        <w:t xml:space="preserve">Li jiżdied l-għarfien dwar il-Karta tad-Drittijiet Fundamentali tal-UE u l-applikazzjoni tagħha u tiġi promossa kultura ta’ drittijiet fundamentali; </w:t>
      </w:r>
    </w:p>
    <w:p w14:paraId="0989D40F" w14:textId="77777777" w:rsidR="008B1F42" w:rsidRPr="00623078" w:rsidRDefault="008B1F42" w:rsidP="008B1F42">
      <w:pPr>
        <w:pStyle w:val="ListParagraph"/>
        <w:numPr>
          <w:ilvl w:val="0"/>
          <w:numId w:val="50"/>
        </w:numPr>
        <w:snapToGrid w:val="0"/>
        <w:rPr>
          <w:rFonts w:eastAsia="Verdana" w:cs="Verdana"/>
          <w:sz w:val="20"/>
          <w:szCs w:val="20"/>
        </w:rPr>
      </w:pPr>
      <w:r>
        <w:rPr>
          <w:sz w:val="20"/>
          <w:szCs w:val="20"/>
        </w:rPr>
        <w:t>Li tittejjeb l-informazzjoni dwar id-drittijiet mogħtija miċ-ċittadinanza tal-UE u li tittejjeb l-implimentazzjoni tagħhom fl-Istati Membri;</w:t>
      </w:r>
    </w:p>
    <w:p w14:paraId="0799023E" w14:textId="0EEC0001" w:rsidR="008B1F42" w:rsidRPr="00623078" w:rsidRDefault="008B1F42" w:rsidP="001E6C28">
      <w:pPr>
        <w:pStyle w:val="ListParagraph"/>
        <w:numPr>
          <w:ilvl w:val="0"/>
          <w:numId w:val="50"/>
        </w:numPr>
        <w:snapToGrid w:val="0"/>
        <w:rPr>
          <w:rFonts w:eastAsia="Verdana" w:cs="Verdana"/>
          <w:sz w:val="20"/>
          <w:szCs w:val="20"/>
        </w:rPr>
      </w:pPr>
      <w:r>
        <w:rPr>
          <w:sz w:val="20"/>
          <w:szCs w:val="20"/>
        </w:rPr>
        <w:t>Li jiżdied l-għarfien u titwassal informazzjoni aħjar liċ-ċittadini mobbli tal-UE u lill-membri tal-familja tagħhom dwar id-drittijiet taċ-ċittadinanza tal-UE tagħhom.</w:t>
      </w:r>
    </w:p>
    <w:p w14:paraId="0EC8E6E1" w14:textId="77777777" w:rsidR="001E6C28" w:rsidRPr="005C3A23" w:rsidRDefault="001E6C28" w:rsidP="001E6C28">
      <w:pPr>
        <w:pStyle w:val="ListParagraph"/>
        <w:snapToGrid w:val="0"/>
        <w:rPr>
          <w:rFonts w:eastAsia="Verdana" w:cs="Verdana"/>
          <w:sz w:val="20"/>
          <w:szCs w:val="20"/>
        </w:rPr>
      </w:pPr>
    </w:p>
    <w:p w14:paraId="0B640087" w14:textId="37226C81" w:rsidR="007926FA" w:rsidRPr="00975A34" w:rsidRDefault="007926FA" w:rsidP="00623078">
      <w:pPr>
        <w:pStyle w:val="Heading1"/>
        <w:numPr>
          <w:ilvl w:val="0"/>
          <w:numId w:val="54"/>
        </w:numPr>
        <w:tabs>
          <w:tab w:val="left" w:pos="284"/>
        </w:tabs>
        <w:ind w:left="0" w:firstLine="0"/>
      </w:pPr>
      <w:bookmarkStart w:id="10" w:name="_Toc89950955"/>
      <w:r>
        <w:t>Baġit disponibbli</w:t>
      </w:r>
      <w:bookmarkEnd w:id="10"/>
    </w:p>
    <w:p w14:paraId="0930E03A" w14:textId="36C575EE" w:rsidR="003D5D72" w:rsidRPr="00884C69" w:rsidRDefault="008246AA" w:rsidP="00F114D2">
      <w:r>
        <w:t xml:space="preserve">Il-baġit disponibbli għas-sejħa huwa ta’ </w:t>
      </w:r>
      <w:r>
        <w:rPr>
          <w:b/>
        </w:rPr>
        <w:t>EUR 11 000 000</w:t>
      </w:r>
      <w:r>
        <w:t>.</w:t>
      </w:r>
    </w:p>
    <w:p w14:paraId="0AD2884B" w14:textId="156487E9" w:rsidR="003D5D72" w:rsidRPr="00F114D2" w:rsidRDefault="003D5D72" w:rsidP="003D5D72">
      <w:pPr>
        <w:spacing w:after="240"/>
      </w:pPr>
      <w:r>
        <w:t>Informazzjoni speċifika dwar il-baġit għal kull suġġett tista’ tinstab fit-tabella ta’ hawn taħt.</w:t>
      </w:r>
    </w:p>
    <w:tbl>
      <w:tblPr>
        <w:tblW w:w="4032" w:type="dxa"/>
        <w:jc w:val="center"/>
        <w:tblBorders>
          <w:top w:val="single" w:sz="12" w:space="0" w:color="BFBFBF"/>
          <w:left w:val="single" w:sz="12" w:space="0" w:color="BFBFBF"/>
          <w:bottom w:val="single" w:sz="12" w:space="0" w:color="BFBFBF"/>
          <w:right w:val="single" w:sz="12" w:space="0" w:color="BFBFBF"/>
          <w:insideH w:val="single" w:sz="12" w:space="0" w:color="BFBFBF"/>
          <w:insideV w:val="single" w:sz="12" w:space="0" w:color="BFBFBF"/>
        </w:tblBorders>
        <w:tblLook w:val="01E0" w:firstRow="1" w:lastRow="1" w:firstColumn="1" w:lastColumn="1" w:noHBand="0" w:noVBand="0"/>
      </w:tblPr>
      <w:tblGrid>
        <w:gridCol w:w="2044"/>
        <w:gridCol w:w="1988"/>
      </w:tblGrid>
      <w:tr w:rsidR="00F96E2C" w14:paraId="2BC8F981" w14:textId="77777777" w:rsidTr="0062273B">
        <w:trPr>
          <w:trHeight w:val="416"/>
          <w:jc w:val="center"/>
        </w:trPr>
        <w:tc>
          <w:tcPr>
            <w:tcW w:w="2044" w:type="dxa"/>
            <w:tcBorders>
              <w:top w:val="single" w:sz="12" w:space="0" w:color="BFBFBF"/>
              <w:left w:val="single" w:sz="12" w:space="0" w:color="BFBFBF"/>
              <w:bottom w:val="single" w:sz="12" w:space="0" w:color="BFBFBF"/>
              <w:right w:val="single" w:sz="12" w:space="0" w:color="BFBFBF"/>
            </w:tcBorders>
            <w:shd w:val="clear" w:color="auto" w:fill="F2F2F2"/>
            <w:hideMark/>
          </w:tcPr>
          <w:p w14:paraId="68ADA62B" w14:textId="77777777" w:rsidR="00F96E2C" w:rsidRPr="009E49B4" w:rsidRDefault="00F96E2C">
            <w:pPr>
              <w:spacing w:before="120" w:after="120"/>
              <w:jc w:val="left"/>
              <w:rPr>
                <w:rFonts w:cs="Arial"/>
                <w:b/>
                <w:color w:val="595959"/>
                <w:sz w:val="16"/>
                <w:szCs w:val="16"/>
                <w:highlight w:val="lightGray"/>
              </w:rPr>
            </w:pPr>
            <w:r>
              <w:rPr>
                <w:b/>
                <w:color w:val="595959"/>
                <w:sz w:val="16"/>
                <w:szCs w:val="16"/>
                <w:highlight w:val="lightGray"/>
              </w:rPr>
              <w:t>Suġġett</w:t>
            </w:r>
          </w:p>
        </w:tc>
        <w:tc>
          <w:tcPr>
            <w:tcW w:w="1988" w:type="dxa"/>
            <w:tcBorders>
              <w:top w:val="single" w:sz="12" w:space="0" w:color="BFBFBF"/>
              <w:left w:val="single" w:sz="12" w:space="0" w:color="BFBFBF"/>
              <w:bottom w:val="single" w:sz="12" w:space="0" w:color="BFBFBF"/>
              <w:right w:val="single" w:sz="12" w:space="0" w:color="BFBFBF"/>
            </w:tcBorders>
            <w:shd w:val="clear" w:color="auto" w:fill="F2F2F2"/>
            <w:hideMark/>
          </w:tcPr>
          <w:p w14:paraId="68CC9EDA" w14:textId="77777777" w:rsidR="00F96E2C" w:rsidRPr="009E49B4" w:rsidRDefault="00F96E2C">
            <w:pPr>
              <w:spacing w:before="120" w:after="120"/>
              <w:jc w:val="center"/>
              <w:rPr>
                <w:rFonts w:cs="Arial"/>
                <w:b/>
                <w:color w:val="595959"/>
                <w:sz w:val="16"/>
                <w:szCs w:val="16"/>
                <w:highlight w:val="lightGray"/>
              </w:rPr>
            </w:pPr>
            <w:r>
              <w:rPr>
                <w:b/>
                <w:color w:val="595959"/>
                <w:sz w:val="16"/>
                <w:szCs w:val="16"/>
                <w:highlight w:val="lightGray"/>
              </w:rPr>
              <w:t>Baġit għas-suġġett</w:t>
            </w:r>
          </w:p>
        </w:tc>
      </w:tr>
      <w:tr w:rsidR="00F96E2C" w14:paraId="76597913" w14:textId="77777777" w:rsidTr="0062273B">
        <w:trPr>
          <w:trHeight w:val="677"/>
          <w:jc w:val="center"/>
        </w:trPr>
        <w:tc>
          <w:tcPr>
            <w:tcW w:w="2044" w:type="dxa"/>
            <w:tcBorders>
              <w:top w:val="single" w:sz="12" w:space="0" w:color="BFBFBF"/>
              <w:left w:val="single" w:sz="12" w:space="0" w:color="BFBFBF"/>
              <w:bottom w:val="single" w:sz="12" w:space="0" w:color="BFBFBF"/>
              <w:right w:val="single" w:sz="12" w:space="0" w:color="BFBFBF"/>
            </w:tcBorders>
            <w:hideMark/>
          </w:tcPr>
          <w:p w14:paraId="5818A49A" w14:textId="5F8ACD0B" w:rsidR="00F96E2C" w:rsidRPr="00732A4F" w:rsidRDefault="00732A4F" w:rsidP="00982C03">
            <w:pPr>
              <w:pStyle w:val="Default"/>
              <w:spacing w:before="120" w:after="120"/>
              <w:rPr>
                <w:rFonts w:ascii="Calibri" w:hAnsi="Calibri" w:cs="Calibri"/>
                <w:color w:val="595959"/>
                <w:sz w:val="18"/>
                <w:szCs w:val="18"/>
              </w:rPr>
            </w:pPr>
            <w:r>
              <w:rPr>
                <w:rFonts w:ascii="Calibri" w:hAnsi="Calibri"/>
                <w:color w:val="595959"/>
                <w:sz w:val="18"/>
                <w:szCs w:val="18"/>
              </w:rPr>
              <w:t>1 — Ġemellaġġ ta’ Bliet</w:t>
            </w:r>
          </w:p>
        </w:tc>
        <w:tc>
          <w:tcPr>
            <w:tcW w:w="1988" w:type="dxa"/>
            <w:tcBorders>
              <w:top w:val="single" w:sz="12" w:space="0" w:color="BFBFBF"/>
              <w:left w:val="single" w:sz="12" w:space="0" w:color="BFBFBF"/>
              <w:bottom w:val="single" w:sz="12" w:space="0" w:color="BFBFBF"/>
              <w:right w:val="single" w:sz="12" w:space="0" w:color="BFBFBF"/>
            </w:tcBorders>
            <w:hideMark/>
          </w:tcPr>
          <w:p w14:paraId="446F8083" w14:textId="7AA8B48E" w:rsidR="00F96E2C" w:rsidRPr="006F58BD" w:rsidRDefault="00F96E2C" w:rsidP="00BF7239">
            <w:pPr>
              <w:tabs>
                <w:tab w:val="left" w:pos="2160"/>
              </w:tabs>
              <w:spacing w:before="120" w:after="120"/>
              <w:jc w:val="center"/>
              <w:rPr>
                <w:b/>
                <w:color w:val="595959"/>
                <w:sz w:val="16"/>
              </w:rPr>
            </w:pPr>
            <w:r>
              <w:rPr>
                <w:b/>
                <w:color w:val="595959"/>
                <w:sz w:val="16"/>
              </w:rPr>
              <w:t xml:space="preserve">EUR 4 500 000 </w:t>
            </w:r>
          </w:p>
        </w:tc>
      </w:tr>
      <w:tr w:rsidR="00F96E2C" w14:paraId="6BFB59AD" w14:textId="77777777" w:rsidTr="0062273B">
        <w:trPr>
          <w:trHeight w:val="586"/>
          <w:jc w:val="center"/>
        </w:trPr>
        <w:tc>
          <w:tcPr>
            <w:tcW w:w="2044" w:type="dxa"/>
            <w:tcBorders>
              <w:top w:val="single" w:sz="12" w:space="0" w:color="BFBFBF"/>
              <w:left w:val="single" w:sz="12" w:space="0" w:color="BFBFBF"/>
              <w:bottom w:val="single" w:sz="12" w:space="0" w:color="BFBFBF"/>
              <w:right w:val="single" w:sz="12" w:space="0" w:color="BFBFBF"/>
            </w:tcBorders>
            <w:hideMark/>
          </w:tcPr>
          <w:p w14:paraId="6186D585" w14:textId="6DBBF70D" w:rsidR="00F96E2C" w:rsidRPr="006F58BD" w:rsidRDefault="00732A4F" w:rsidP="00F86AB3">
            <w:pPr>
              <w:pStyle w:val="Default"/>
              <w:spacing w:before="120" w:after="120"/>
              <w:rPr>
                <w:rFonts w:ascii="Calibri" w:hAnsi="Calibri" w:cs="Calibri"/>
              </w:rPr>
            </w:pPr>
            <w:r>
              <w:rPr>
                <w:rFonts w:ascii="Calibri" w:hAnsi="Calibri"/>
                <w:color w:val="595959"/>
                <w:sz w:val="18"/>
                <w:szCs w:val="18"/>
              </w:rPr>
              <w:t>2 — Networks ta’ Bliet</w:t>
            </w:r>
          </w:p>
        </w:tc>
        <w:tc>
          <w:tcPr>
            <w:tcW w:w="1988" w:type="dxa"/>
            <w:tcBorders>
              <w:top w:val="single" w:sz="12" w:space="0" w:color="BFBFBF"/>
              <w:left w:val="single" w:sz="12" w:space="0" w:color="BFBFBF"/>
              <w:bottom w:val="single" w:sz="12" w:space="0" w:color="BFBFBF"/>
              <w:right w:val="single" w:sz="12" w:space="0" w:color="BFBFBF"/>
            </w:tcBorders>
            <w:hideMark/>
          </w:tcPr>
          <w:p w14:paraId="0CBA46D5" w14:textId="364B41A5" w:rsidR="00F96E2C" w:rsidRPr="006F58BD" w:rsidRDefault="00F96E2C" w:rsidP="00BF7239">
            <w:pPr>
              <w:tabs>
                <w:tab w:val="left" w:pos="2160"/>
              </w:tabs>
              <w:spacing w:before="120" w:after="120"/>
              <w:jc w:val="center"/>
              <w:rPr>
                <w:b/>
                <w:color w:val="595959"/>
                <w:sz w:val="16"/>
              </w:rPr>
            </w:pPr>
            <w:r>
              <w:rPr>
                <w:b/>
                <w:color w:val="595959"/>
                <w:sz w:val="16"/>
              </w:rPr>
              <w:t xml:space="preserve">EUR 6 500 000 </w:t>
            </w:r>
          </w:p>
        </w:tc>
      </w:tr>
    </w:tbl>
    <w:p w14:paraId="24AC267A" w14:textId="77777777" w:rsidR="003D5D72" w:rsidRDefault="003D5D72" w:rsidP="000579AF">
      <w:pPr>
        <w:spacing w:after="0"/>
      </w:pPr>
    </w:p>
    <w:p w14:paraId="5155AA30" w14:textId="193C0ACA" w:rsidR="008246AA" w:rsidRDefault="005764E8" w:rsidP="000579AF">
      <w:pPr>
        <w:spacing w:after="0"/>
      </w:pPr>
      <w:r>
        <w:t xml:space="preserve">Aħna nirriżervaw id-dritt li ma nagħtux il-fondi disponibbli kollha jew li nqassmuhom mill-ġdid bejn is-suġġetti tas-sejħa, skont il-proposti riċevuti u r-riżultati tal-evalwazzjoni. </w:t>
      </w:r>
    </w:p>
    <w:p w14:paraId="2F76B7EF" w14:textId="77777777" w:rsidR="00E17677" w:rsidRPr="005C3A23" w:rsidRDefault="00E17677" w:rsidP="00623078">
      <w:pPr>
        <w:pStyle w:val="ListParagraph"/>
        <w:snapToGrid w:val="0"/>
        <w:rPr>
          <w:rFonts w:eastAsia="Verdana" w:cs="Verdana"/>
          <w:sz w:val="20"/>
          <w:szCs w:val="20"/>
        </w:rPr>
      </w:pPr>
    </w:p>
    <w:p w14:paraId="443BB5FD" w14:textId="3369C3E2" w:rsidR="0081075D" w:rsidRPr="00975A34" w:rsidRDefault="0081075D" w:rsidP="00623078">
      <w:pPr>
        <w:pStyle w:val="Heading1"/>
        <w:numPr>
          <w:ilvl w:val="0"/>
          <w:numId w:val="54"/>
        </w:numPr>
        <w:tabs>
          <w:tab w:val="left" w:pos="284"/>
        </w:tabs>
        <w:ind w:left="0" w:firstLine="0"/>
      </w:pPr>
      <w:bookmarkStart w:id="11" w:name="_Toc89950956"/>
      <w:r>
        <w:lastRenderedPageBreak/>
        <w:t>Skeda ta’ żmien u skadenzi</w:t>
      </w:r>
      <w:bookmarkEnd w:id="11"/>
      <w:r>
        <w:t xml:space="preserve"> </w:t>
      </w:r>
    </w:p>
    <w:tbl>
      <w:tblPr>
        <w:tblW w:w="0" w:type="auto"/>
        <w:tblInd w:w="588" w:type="dxa"/>
        <w:tblBorders>
          <w:top w:val="single" w:sz="12" w:space="0" w:color="BFBFBF"/>
          <w:left w:val="single" w:sz="12" w:space="0" w:color="BFBFBF"/>
          <w:bottom w:val="single" w:sz="12" w:space="0" w:color="BFBFBF"/>
          <w:right w:val="single" w:sz="12" w:space="0" w:color="BFBFBF"/>
          <w:insideH w:val="single" w:sz="12" w:space="0" w:color="BFBFBF"/>
          <w:insideV w:val="single" w:sz="12" w:space="0" w:color="BFBFBF"/>
        </w:tblBorders>
        <w:tblLook w:val="01E0" w:firstRow="1" w:lastRow="1" w:firstColumn="1" w:lastColumn="1" w:noHBand="0" w:noVBand="0"/>
      </w:tblPr>
      <w:tblGrid>
        <w:gridCol w:w="3631"/>
        <w:gridCol w:w="3402"/>
      </w:tblGrid>
      <w:tr w:rsidR="0081075D" w:rsidRPr="00B57534" w14:paraId="2551C42E" w14:textId="77777777" w:rsidTr="0081075D">
        <w:tc>
          <w:tcPr>
            <w:tcW w:w="7033" w:type="dxa"/>
            <w:gridSpan w:val="2"/>
            <w:shd w:val="clear" w:color="auto" w:fill="F2F2F2"/>
          </w:tcPr>
          <w:p w14:paraId="35F223BC" w14:textId="77777777" w:rsidR="0081075D" w:rsidRPr="00F96E2C" w:rsidRDefault="0081075D" w:rsidP="008138D1">
            <w:pPr>
              <w:spacing w:before="120" w:after="120"/>
              <w:jc w:val="left"/>
              <w:rPr>
                <w:rFonts w:cs="Arial"/>
                <w:b/>
                <w:color w:val="595959"/>
                <w:sz w:val="16"/>
                <w:szCs w:val="16"/>
              </w:rPr>
            </w:pPr>
            <w:r>
              <w:rPr>
                <w:b/>
                <w:color w:val="595959"/>
                <w:sz w:val="16"/>
                <w:szCs w:val="16"/>
              </w:rPr>
              <w:t>Skeda ta’ żmien u skadenzi (indikattivi)</w:t>
            </w:r>
          </w:p>
        </w:tc>
      </w:tr>
      <w:tr w:rsidR="00D51B6C" w:rsidRPr="00B57534" w14:paraId="2A67B858" w14:textId="77777777" w:rsidTr="0081075D">
        <w:tc>
          <w:tcPr>
            <w:tcW w:w="3631" w:type="dxa"/>
            <w:shd w:val="clear" w:color="auto" w:fill="F2F2F2"/>
          </w:tcPr>
          <w:p w14:paraId="4CDFED3B" w14:textId="77777777" w:rsidR="00D51B6C" w:rsidRPr="00F96E2C" w:rsidRDefault="00D51B6C" w:rsidP="00D51B6C">
            <w:pPr>
              <w:spacing w:before="120" w:after="120"/>
              <w:jc w:val="left"/>
              <w:rPr>
                <w:rFonts w:cs="Arial"/>
                <w:color w:val="595959"/>
                <w:sz w:val="16"/>
                <w:szCs w:val="16"/>
              </w:rPr>
            </w:pPr>
            <w:r>
              <w:rPr>
                <w:color w:val="595959"/>
                <w:sz w:val="16"/>
                <w:szCs w:val="16"/>
              </w:rPr>
              <w:t>Ftuħ tas-sejħa:</w:t>
            </w:r>
          </w:p>
        </w:tc>
        <w:tc>
          <w:tcPr>
            <w:tcW w:w="3402" w:type="dxa"/>
            <w:shd w:val="clear" w:color="auto" w:fill="auto"/>
          </w:tcPr>
          <w:p w14:paraId="459CC614" w14:textId="1A965A82" w:rsidR="00D51B6C" w:rsidRPr="006F58BD" w:rsidRDefault="00FB7748" w:rsidP="00D51B6C">
            <w:pPr>
              <w:spacing w:before="120" w:after="120"/>
              <w:jc w:val="center"/>
              <w:rPr>
                <w:rFonts w:cs="Arial"/>
                <w:color w:val="595959"/>
                <w:sz w:val="16"/>
                <w:szCs w:val="16"/>
              </w:rPr>
            </w:pPr>
            <w:r>
              <w:rPr>
                <w:color w:val="595959"/>
                <w:sz w:val="16"/>
                <w:szCs w:val="16"/>
              </w:rPr>
              <w:t>16 ta’ Novembru 2021</w:t>
            </w:r>
          </w:p>
        </w:tc>
      </w:tr>
      <w:tr w:rsidR="00D51B6C" w:rsidRPr="00B57534" w14:paraId="13487F30" w14:textId="77777777" w:rsidTr="0081075D">
        <w:tc>
          <w:tcPr>
            <w:tcW w:w="3631" w:type="dxa"/>
            <w:shd w:val="clear" w:color="auto" w:fill="F2F2F2"/>
          </w:tcPr>
          <w:p w14:paraId="6817E1F5" w14:textId="77777777" w:rsidR="00D51B6C" w:rsidRPr="00FE4BCD" w:rsidRDefault="00D51B6C" w:rsidP="00D51B6C">
            <w:pPr>
              <w:spacing w:before="120" w:after="120"/>
              <w:jc w:val="left"/>
              <w:rPr>
                <w:rFonts w:cs="Arial"/>
                <w:color w:val="595959"/>
                <w:sz w:val="16"/>
                <w:szCs w:val="16"/>
                <w:u w:val="single"/>
              </w:rPr>
            </w:pPr>
            <w:r>
              <w:rPr>
                <w:color w:val="595959"/>
                <w:sz w:val="16"/>
                <w:szCs w:val="16"/>
                <w:u w:val="single"/>
              </w:rPr>
              <w:t>Data ta’ skadenza għas-sottomissjoni:</w:t>
            </w:r>
          </w:p>
        </w:tc>
        <w:tc>
          <w:tcPr>
            <w:tcW w:w="3402" w:type="dxa"/>
            <w:shd w:val="clear" w:color="auto" w:fill="auto"/>
          </w:tcPr>
          <w:p w14:paraId="7744539C" w14:textId="65D0B910" w:rsidR="00D51B6C" w:rsidRPr="006F58BD" w:rsidRDefault="00FB7748" w:rsidP="00D51B6C">
            <w:pPr>
              <w:spacing w:before="120" w:after="120"/>
              <w:jc w:val="center"/>
              <w:rPr>
                <w:rFonts w:cs="Arial"/>
                <w:color w:val="595959"/>
                <w:sz w:val="16"/>
                <w:szCs w:val="16"/>
                <w:u w:val="single"/>
              </w:rPr>
            </w:pPr>
            <w:r>
              <w:rPr>
                <w:color w:val="595959"/>
                <w:sz w:val="16"/>
                <w:szCs w:val="16"/>
                <w:u w:val="single"/>
              </w:rPr>
              <w:t>24 ta’ Marzu 2021 – 17:00:00 CET (Brussell)</w:t>
            </w:r>
          </w:p>
        </w:tc>
      </w:tr>
      <w:tr w:rsidR="00D51B6C" w:rsidRPr="00B57534" w14:paraId="4E10F558" w14:textId="77777777" w:rsidTr="0081075D">
        <w:tc>
          <w:tcPr>
            <w:tcW w:w="3631" w:type="dxa"/>
            <w:shd w:val="clear" w:color="auto" w:fill="F2F2F2"/>
          </w:tcPr>
          <w:p w14:paraId="5F43FD1F" w14:textId="77777777" w:rsidR="00D51B6C" w:rsidRPr="00AB3FE1" w:rsidRDefault="00D51B6C" w:rsidP="00D51B6C">
            <w:pPr>
              <w:spacing w:before="120" w:after="120"/>
              <w:jc w:val="left"/>
              <w:rPr>
                <w:rFonts w:cs="Arial"/>
                <w:color w:val="595959"/>
                <w:sz w:val="16"/>
                <w:szCs w:val="16"/>
              </w:rPr>
            </w:pPr>
            <w:r>
              <w:rPr>
                <w:color w:val="595959"/>
                <w:sz w:val="16"/>
                <w:szCs w:val="16"/>
              </w:rPr>
              <w:t>Evalwazzjoni:</w:t>
            </w:r>
          </w:p>
        </w:tc>
        <w:tc>
          <w:tcPr>
            <w:tcW w:w="3402" w:type="dxa"/>
            <w:shd w:val="clear" w:color="auto" w:fill="auto"/>
          </w:tcPr>
          <w:p w14:paraId="4E52804D" w14:textId="53BEE602" w:rsidR="00D51B6C" w:rsidRPr="006F58BD" w:rsidRDefault="006F58BD" w:rsidP="00D51B6C">
            <w:pPr>
              <w:spacing w:before="120" w:after="120"/>
              <w:jc w:val="center"/>
              <w:rPr>
                <w:rFonts w:cs="Arial"/>
                <w:color w:val="595959"/>
                <w:sz w:val="16"/>
                <w:szCs w:val="16"/>
              </w:rPr>
            </w:pPr>
            <w:r>
              <w:rPr>
                <w:color w:val="595959"/>
                <w:sz w:val="16"/>
                <w:szCs w:val="16"/>
              </w:rPr>
              <w:t>Marzu-Ġunju 2022</w:t>
            </w:r>
          </w:p>
        </w:tc>
      </w:tr>
      <w:tr w:rsidR="00D51B6C" w:rsidRPr="00B57534" w14:paraId="16AD7E30" w14:textId="77777777" w:rsidTr="0081075D">
        <w:tc>
          <w:tcPr>
            <w:tcW w:w="3631" w:type="dxa"/>
            <w:shd w:val="clear" w:color="auto" w:fill="F2F2F2"/>
          </w:tcPr>
          <w:p w14:paraId="7BA115F8" w14:textId="77777777" w:rsidR="00D51B6C" w:rsidRPr="00AB3FE1" w:rsidRDefault="00D51B6C" w:rsidP="00D51B6C">
            <w:pPr>
              <w:spacing w:before="120" w:after="120"/>
              <w:jc w:val="left"/>
              <w:rPr>
                <w:rFonts w:cs="Arial"/>
                <w:color w:val="595959"/>
                <w:sz w:val="16"/>
                <w:szCs w:val="16"/>
              </w:rPr>
            </w:pPr>
            <w:r>
              <w:rPr>
                <w:color w:val="595959"/>
                <w:sz w:val="16"/>
                <w:szCs w:val="16"/>
              </w:rPr>
              <w:t>Informazzjoni dwar ir-riżultati tal-evalwazzjoni:</w:t>
            </w:r>
          </w:p>
        </w:tc>
        <w:tc>
          <w:tcPr>
            <w:tcW w:w="3402" w:type="dxa"/>
            <w:shd w:val="clear" w:color="auto" w:fill="auto"/>
          </w:tcPr>
          <w:p w14:paraId="6DD4C599" w14:textId="302F0E77" w:rsidR="00D51B6C" w:rsidRPr="006F58BD" w:rsidRDefault="00FB7748" w:rsidP="00D51B6C">
            <w:pPr>
              <w:spacing w:before="120" w:after="120"/>
              <w:jc w:val="center"/>
              <w:rPr>
                <w:rFonts w:cs="Arial"/>
                <w:color w:val="595959"/>
                <w:sz w:val="16"/>
                <w:szCs w:val="16"/>
              </w:rPr>
            </w:pPr>
            <w:r>
              <w:rPr>
                <w:color w:val="595959"/>
                <w:sz w:val="16"/>
                <w:szCs w:val="16"/>
              </w:rPr>
              <w:t>Ġunju-Lulju 2022</w:t>
            </w:r>
          </w:p>
        </w:tc>
      </w:tr>
      <w:tr w:rsidR="00D51B6C" w:rsidRPr="00B57534" w14:paraId="122CA5CC" w14:textId="77777777" w:rsidTr="0081075D">
        <w:tc>
          <w:tcPr>
            <w:tcW w:w="3631" w:type="dxa"/>
            <w:shd w:val="clear" w:color="auto" w:fill="F2F2F2"/>
          </w:tcPr>
          <w:p w14:paraId="18CEB7CE" w14:textId="77777777" w:rsidR="00D51B6C" w:rsidRPr="00AB3FE1" w:rsidRDefault="00D51B6C" w:rsidP="00D51B6C">
            <w:pPr>
              <w:spacing w:before="120" w:after="120"/>
              <w:jc w:val="left"/>
              <w:rPr>
                <w:rFonts w:cs="Arial"/>
                <w:color w:val="595959"/>
                <w:sz w:val="16"/>
                <w:szCs w:val="16"/>
              </w:rPr>
            </w:pPr>
            <w:r>
              <w:rPr>
                <w:color w:val="595959"/>
                <w:sz w:val="16"/>
                <w:szCs w:val="16"/>
              </w:rPr>
              <w:t>Firma tal-GA:</w:t>
            </w:r>
          </w:p>
        </w:tc>
        <w:tc>
          <w:tcPr>
            <w:tcW w:w="3402" w:type="dxa"/>
            <w:shd w:val="clear" w:color="auto" w:fill="auto"/>
          </w:tcPr>
          <w:p w14:paraId="4D6E0E6F" w14:textId="06911F90" w:rsidR="00D51B6C" w:rsidRPr="006F58BD" w:rsidRDefault="0086598B" w:rsidP="00D51B6C">
            <w:pPr>
              <w:spacing w:before="120" w:after="120"/>
              <w:jc w:val="center"/>
              <w:rPr>
                <w:rFonts w:cs="Arial"/>
                <w:color w:val="595959"/>
                <w:sz w:val="16"/>
                <w:szCs w:val="16"/>
              </w:rPr>
            </w:pPr>
            <w:r>
              <w:rPr>
                <w:color w:val="595959"/>
                <w:sz w:val="16"/>
                <w:szCs w:val="16"/>
              </w:rPr>
              <w:t>Awwissu-Novembru 2022</w:t>
            </w:r>
          </w:p>
        </w:tc>
      </w:tr>
    </w:tbl>
    <w:p w14:paraId="55E1450C" w14:textId="77777777" w:rsidR="00C50DC1" w:rsidRPr="00A2572D" w:rsidRDefault="00C50DC1" w:rsidP="00A2572D">
      <w:pPr>
        <w:widowControl w:val="0"/>
        <w:jc w:val="left"/>
        <w:rPr>
          <w:color w:val="595959"/>
          <w:highlight w:val="yellow"/>
        </w:rPr>
      </w:pPr>
    </w:p>
    <w:p w14:paraId="0915A488" w14:textId="055C12B6" w:rsidR="00B57534" w:rsidRPr="00975A34" w:rsidRDefault="00276AD7" w:rsidP="000579AF">
      <w:pPr>
        <w:pStyle w:val="Heading1"/>
        <w:numPr>
          <w:ilvl w:val="0"/>
          <w:numId w:val="54"/>
        </w:numPr>
        <w:tabs>
          <w:tab w:val="left" w:pos="284"/>
        </w:tabs>
        <w:ind w:left="0" w:firstLine="0"/>
      </w:pPr>
      <w:bookmarkStart w:id="12" w:name="_Toc89950957"/>
      <w:r>
        <w:t>Ammissibilità u dokumenti</w:t>
      </w:r>
      <w:bookmarkEnd w:id="12"/>
    </w:p>
    <w:p w14:paraId="1E55A5E3" w14:textId="4F37B5A9" w:rsidR="00C41E84" w:rsidRPr="00B57534" w:rsidRDefault="000A7529" w:rsidP="00C41E84">
      <w:pPr>
        <w:pStyle w:val="Text1"/>
        <w:tabs>
          <w:tab w:val="clear" w:pos="2160"/>
        </w:tabs>
        <w:ind w:left="0"/>
        <w:rPr>
          <w:rFonts w:cs="Arial"/>
          <w:iCs/>
        </w:rPr>
      </w:pPr>
      <w:r>
        <w:t>Il-proposti jridu jiġu sottomessi qabel l-</w:t>
      </w:r>
      <w:r>
        <w:rPr>
          <w:b/>
          <w:iCs/>
        </w:rPr>
        <w:t>iskadenza tas-sejħa</w:t>
      </w:r>
      <w:r>
        <w:t xml:space="preserve"> </w:t>
      </w:r>
      <w:r>
        <w:rPr>
          <w:i/>
          <w:iCs/>
        </w:rPr>
        <w:t>(ara t-taqsima 4 tal-iskeda ta’ żmien)</w:t>
      </w:r>
      <w:r>
        <w:t>.</w:t>
      </w:r>
    </w:p>
    <w:p w14:paraId="56C9BCF2" w14:textId="69382FEF" w:rsidR="00C41E84" w:rsidRPr="00B57534" w:rsidRDefault="000A7529" w:rsidP="00C41E84">
      <w:pPr>
        <w:rPr>
          <w:rFonts w:cs="Arial"/>
        </w:rPr>
      </w:pPr>
      <w:r>
        <w:t xml:space="preserve">Il-proposti jridu jiġu sottomessi </w:t>
      </w:r>
      <w:r>
        <w:rPr>
          <w:b/>
          <w:iCs/>
        </w:rPr>
        <w:t>b’mod elettroniku</w:t>
      </w:r>
      <w:r>
        <w:t xml:space="preserve"> permezz tas-Sistema ta’ Sottomissjoni Elettronika tal-Portal għall-Finanzjament u għall-Offerti (aċċessibbli permezz tal-paġna tas-Suġġett fit-taqsima </w:t>
      </w:r>
      <w:hyperlink r:id="rId28" w:history="1">
        <w:r>
          <w:rPr>
            <w:rStyle w:val="Hyperlink"/>
          </w:rPr>
          <w:t>Fittex Finanzjament u Offerti</w:t>
        </w:r>
      </w:hyperlink>
      <w:r>
        <w:t>). MHUX possibbli li s-sottomissjonijiet isiru fuq karta.</w:t>
      </w:r>
    </w:p>
    <w:p w14:paraId="146274B2" w14:textId="31716E89" w:rsidR="004A47F3" w:rsidRDefault="000A7529" w:rsidP="004A47F3">
      <w:pPr>
        <w:pStyle w:val="Text1"/>
        <w:tabs>
          <w:tab w:val="clear" w:pos="2160"/>
        </w:tabs>
        <w:ind w:left="0"/>
        <w:rPr>
          <w:rFonts w:cs="Arial"/>
          <w:iCs/>
        </w:rPr>
      </w:pPr>
      <w:r>
        <w:t xml:space="preserve">Il-proposti (inklużi l-annessi u d-dokumenti ta’ sostenn) iridu jiġu ppreżentati billi jintużaw il-formoli pprovduti </w:t>
      </w:r>
      <w:r>
        <w:rPr>
          <w:i/>
          <w:iCs/>
        </w:rPr>
        <w:t xml:space="preserve">ġewwa </w:t>
      </w:r>
      <w:r>
        <w:t>s</w:t>
      </w:r>
      <w:r>
        <w:rPr>
          <w:i/>
        </w:rPr>
        <w:t>-</w:t>
      </w:r>
      <w:r>
        <w:t>Sistema ta’ Sottomissjoni (</w:t>
      </w:r>
      <w:r>
        <w:rPr>
          <w:noProof/>
          <w:lang w:val="en-IE" w:eastAsia="en-IE"/>
        </w:rPr>
        <w:drawing>
          <wp:inline distT="0" distB="0" distL="0" distR="0" wp14:anchorId="53E97A52" wp14:editId="1DC5343B">
            <wp:extent cx="187960" cy="187960"/>
            <wp:effectExtent l="0" t="0" r="0" b="0"/>
            <wp:docPr id="4" name="Picture 14186836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18683680"/>
                    <pic:cNvPicPr>
                      <a:picLocks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87960" cy="187960"/>
                    </a:xfrm>
                    <a:prstGeom prst="rect">
                      <a:avLst/>
                    </a:prstGeom>
                    <a:noFill/>
                    <a:ln>
                      <a:noFill/>
                    </a:ln>
                  </pic:spPr>
                </pic:pic>
              </a:graphicData>
            </a:graphic>
          </wp:inline>
        </w:drawing>
      </w:r>
      <w:r>
        <w:t xml:space="preserve"> MHUX id-dokumenti disponibbli fuq il-paġna tas-Suġġett — dawk qegħdin hemm biss għall-informazzjoni).</w:t>
      </w:r>
    </w:p>
    <w:p w14:paraId="2EA1C106" w14:textId="77777777" w:rsidR="00615B82" w:rsidRPr="00F96E2C" w:rsidRDefault="00615B82" w:rsidP="00615B82">
      <w:pPr>
        <w:pStyle w:val="Body"/>
      </w:pPr>
      <w:r>
        <w:t xml:space="preserve">Il-proposti jridu jkunu </w:t>
      </w:r>
      <w:r>
        <w:rPr>
          <w:b/>
        </w:rPr>
        <w:t>kompluti</w:t>
      </w:r>
      <w:r>
        <w:t xml:space="preserve"> u jkun fihom l-informazzjoni kollha mitluba u l-annessi u d-dokumenti ta’ sostenn kollha meħtieġa: </w:t>
      </w:r>
    </w:p>
    <w:p w14:paraId="0E76C2A6" w14:textId="77777777" w:rsidR="00615B82" w:rsidRPr="005D03E4" w:rsidRDefault="00615B82" w:rsidP="008B1F42">
      <w:pPr>
        <w:pStyle w:val="ListParagraph"/>
        <w:numPr>
          <w:ilvl w:val="0"/>
          <w:numId w:val="42"/>
        </w:numPr>
        <w:autoSpaceDE w:val="0"/>
        <w:autoSpaceDN w:val="0"/>
        <w:adjustRightInd w:val="0"/>
        <w:spacing w:after="200"/>
        <w:contextualSpacing w:val="0"/>
        <w:jc w:val="both"/>
        <w:rPr>
          <w:rFonts w:eastAsia="SimSun"/>
          <w:sz w:val="20"/>
          <w:szCs w:val="20"/>
        </w:rPr>
      </w:pPr>
      <w:r>
        <w:rPr>
          <w:sz w:val="20"/>
          <w:szCs w:val="20"/>
        </w:rPr>
        <w:t xml:space="preserve">Formola ta’ Applikazzjoni Parti A — fiha informazzjoni amministrattiva dwar il-parteċipanti (koordinatur futur, benefiċjarji u entitajiet affiljati) u l-baġit fil-qosor għall-proġett </w:t>
      </w:r>
      <w:r>
        <w:rPr>
          <w:i/>
          <w:sz w:val="20"/>
          <w:szCs w:val="20"/>
        </w:rPr>
        <w:t>(għandha timtela direttament online)</w:t>
      </w:r>
    </w:p>
    <w:p w14:paraId="1DD9CE56" w14:textId="32209A5E" w:rsidR="00F255C8" w:rsidRDefault="00F255C8" w:rsidP="008B1F42">
      <w:pPr>
        <w:pStyle w:val="ListParagraph"/>
        <w:numPr>
          <w:ilvl w:val="0"/>
          <w:numId w:val="42"/>
        </w:numPr>
        <w:autoSpaceDE w:val="0"/>
        <w:autoSpaceDN w:val="0"/>
        <w:adjustRightInd w:val="0"/>
        <w:spacing w:after="200"/>
        <w:contextualSpacing w:val="0"/>
        <w:jc w:val="both"/>
        <w:rPr>
          <w:rFonts w:eastAsia="SimSun"/>
          <w:sz w:val="20"/>
          <w:szCs w:val="20"/>
        </w:rPr>
      </w:pPr>
      <w:r>
        <w:rPr>
          <w:sz w:val="20"/>
          <w:szCs w:val="20"/>
        </w:rPr>
        <w:t xml:space="preserve">Formola ta’ Applikazzjoni Parti B — fiha d-deskrizzjoni teknika tal-proġett </w:t>
      </w:r>
      <w:r>
        <w:rPr>
          <w:i/>
          <w:sz w:val="20"/>
          <w:szCs w:val="20"/>
        </w:rPr>
        <w:t>(għandha titniżżel mis-Sistema ta’ Sottomissjoni tal-Portal, timtela u mbagħad tinġabar flimkien u terġa’ tittella’)</w:t>
      </w:r>
    </w:p>
    <w:p w14:paraId="513E2D49" w14:textId="29EB43E2" w:rsidR="00615B82" w:rsidRPr="00DE4B7C" w:rsidRDefault="00615B82" w:rsidP="008B1F42">
      <w:pPr>
        <w:pStyle w:val="ListParagraph"/>
        <w:numPr>
          <w:ilvl w:val="0"/>
          <w:numId w:val="42"/>
        </w:numPr>
        <w:autoSpaceDE w:val="0"/>
        <w:autoSpaceDN w:val="0"/>
        <w:adjustRightInd w:val="0"/>
        <w:snapToGrid w:val="0"/>
        <w:spacing w:after="200"/>
        <w:ind w:left="714" w:hanging="357"/>
        <w:contextualSpacing w:val="0"/>
        <w:jc w:val="both"/>
        <w:rPr>
          <w:rFonts w:eastAsia="SimSun"/>
          <w:sz w:val="20"/>
          <w:szCs w:val="20"/>
        </w:rPr>
      </w:pPr>
      <w:r>
        <w:rPr>
          <w:sz w:val="20"/>
          <w:szCs w:val="20"/>
        </w:rPr>
        <w:t xml:space="preserve">Parti C </w:t>
      </w:r>
      <w:r>
        <w:rPr>
          <w:i/>
          <w:sz w:val="20"/>
          <w:szCs w:val="20"/>
        </w:rPr>
        <w:t>(għandha timtela direttament online)</w:t>
      </w:r>
      <w:r>
        <w:rPr>
          <w:sz w:val="20"/>
          <w:szCs w:val="20"/>
        </w:rPr>
        <w:t xml:space="preserve"> li fiha </w:t>
      </w:r>
      <w:r>
        <w:rPr>
          <w:i/>
          <w:sz w:val="20"/>
          <w:szCs w:val="20"/>
        </w:rPr>
        <w:t>data</w:t>
      </w:r>
      <w:r>
        <w:rPr>
          <w:sz w:val="20"/>
          <w:szCs w:val="20"/>
        </w:rPr>
        <w:t xml:space="preserve"> addizzjonali dwar il-proġett, inklużi indikaturi obbligatorji</w:t>
      </w:r>
    </w:p>
    <w:p w14:paraId="595C2D66" w14:textId="17D26FBA" w:rsidR="00615B82" w:rsidRPr="005E363C" w:rsidRDefault="00615B82" w:rsidP="008B1F42">
      <w:pPr>
        <w:pStyle w:val="ListParagraph"/>
        <w:numPr>
          <w:ilvl w:val="0"/>
          <w:numId w:val="42"/>
        </w:numPr>
        <w:autoSpaceDE w:val="0"/>
        <w:autoSpaceDN w:val="0"/>
        <w:adjustRightInd w:val="0"/>
        <w:snapToGrid w:val="0"/>
        <w:spacing w:after="200"/>
        <w:contextualSpacing w:val="0"/>
        <w:jc w:val="both"/>
        <w:rPr>
          <w:sz w:val="20"/>
          <w:szCs w:val="20"/>
        </w:rPr>
      </w:pPr>
      <w:r>
        <w:rPr>
          <w:b/>
          <w:sz w:val="20"/>
          <w:szCs w:val="20"/>
        </w:rPr>
        <w:t>annessi obbligatorji u dokumenti ta’ sostenn</w:t>
      </w:r>
      <w:r>
        <w:rPr>
          <w:sz w:val="20"/>
          <w:szCs w:val="20"/>
        </w:rPr>
        <w:t xml:space="preserve"> </w:t>
      </w:r>
      <w:r>
        <w:rPr>
          <w:i/>
          <w:sz w:val="20"/>
          <w:szCs w:val="20"/>
        </w:rPr>
        <w:t>(li għandhom jittellgħu)</w:t>
      </w:r>
      <w:r>
        <w:rPr>
          <w:sz w:val="20"/>
          <w:szCs w:val="20"/>
        </w:rPr>
        <w:t>:</w:t>
      </w:r>
    </w:p>
    <w:p w14:paraId="6BC6A974" w14:textId="24D51A6E" w:rsidR="00615B82" w:rsidRPr="00DE4B7C" w:rsidRDefault="005E363C" w:rsidP="008B1F42">
      <w:pPr>
        <w:pStyle w:val="Default"/>
        <w:numPr>
          <w:ilvl w:val="1"/>
          <w:numId w:val="42"/>
        </w:numPr>
        <w:spacing w:after="120"/>
        <w:jc w:val="both"/>
        <w:rPr>
          <w:rFonts w:ascii="Verdana" w:hAnsi="Verdana" w:cs="Arial"/>
          <w:i/>
          <w:color w:val="auto"/>
          <w:sz w:val="20"/>
          <w:szCs w:val="20"/>
        </w:rPr>
      </w:pPr>
      <w:r>
        <w:rPr>
          <w:rFonts w:ascii="Verdana" w:hAnsi="Verdana"/>
          <w:sz w:val="20"/>
          <w:szCs w:val="20"/>
        </w:rPr>
        <w:t xml:space="preserve">tabella baġitarja dettaljata: </w:t>
      </w:r>
      <w:r>
        <w:rPr>
          <w:rFonts w:ascii="Verdana" w:hAnsi="Verdana"/>
          <w:i/>
          <w:sz w:val="20"/>
          <w:szCs w:val="20"/>
        </w:rPr>
        <w:t>mhux applikabbli</w:t>
      </w:r>
    </w:p>
    <w:p w14:paraId="0BB50662" w14:textId="4785DDDB" w:rsidR="00615B82" w:rsidRPr="008341B3" w:rsidRDefault="00615B82" w:rsidP="008B1F42">
      <w:pPr>
        <w:pStyle w:val="Default"/>
        <w:numPr>
          <w:ilvl w:val="1"/>
          <w:numId w:val="42"/>
        </w:numPr>
        <w:spacing w:after="120"/>
        <w:jc w:val="both"/>
        <w:rPr>
          <w:rFonts w:ascii="Verdana" w:hAnsi="Verdana" w:cs="Arial"/>
          <w:color w:val="auto"/>
          <w:sz w:val="20"/>
          <w:szCs w:val="20"/>
        </w:rPr>
      </w:pPr>
      <w:r>
        <w:rPr>
          <w:rFonts w:ascii="Verdana" w:hAnsi="Verdana"/>
          <w:color w:val="auto"/>
          <w:sz w:val="20"/>
          <w:szCs w:val="20"/>
        </w:rPr>
        <w:t xml:space="preserve">CVs tat-tim ewlieni tal-proġett: </w:t>
      </w:r>
      <w:r>
        <w:rPr>
          <w:rFonts w:ascii="Verdana" w:hAnsi="Verdana"/>
          <w:i/>
          <w:color w:val="auto"/>
          <w:sz w:val="20"/>
          <w:szCs w:val="20"/>
        </w:rPr>
        <w:t>mhux applikabbli</w:t>
      </w:r>
    </w:p>
    <w:p w14:paraId="0DB52E74" w14:textId="77777777" w:rsidR="0062273B" w:rsidRPr="0062273B" w:rsidRDefault="009F0186" w:rsidP="000579AF">
      <w:pPr>
        <w:pStyle w:val="Default"/>
        <w:numPr>
          <w:ilvl w:val="1"/>
          <w:numId w:val="42"/>
        </w:numPr>
        <w:spacing w:after="120"/>
        <w:jc w:val="both"/>
        <w:rPr>
          <w:rFonts w:ascii="Verdana" w:hAnsi="Verdana" w:cs="Arial"/>
          <w:color w:val="auto"/>
          <w:sz w:val="20"/>
          <w:szCs w:val="20"/>
        </w:rPr>
      </w:pPr>
      <w:r>
        <w:rPr>
          <w:rFonts w:ascii="Verdana" w:hAnsi="Verdana"/>
          <w:color w:val="auto"/>
          <w:sz w:val="20"/>
          <w:szCs w:val="20"/>
        </w:rPr>
        <w:t xml:space="preserve">rapporti tal-attività tas-sena preċedenti: </w:t>
      </w:r>
      <w:r>
        <w:rPr>
          <w:rFonts w:ascii="Verdana" w:hAnsi="Verdana"/>
          <w:i/>
          <w:color w:val="auto"/>
          <w:sz w:val="20"/>
          <w:szCs w:val="20"/>
        </w:rPr>
        <w:t>mhux applikabbli</w:t>
      </w:r>
    </w:p>
    <w:p w14:paraId="14276D93" w14:textId="5EFB3A3D" w:rsidR="0046713C" w:rsidRPr="00EA1493" w:rsidRDefault="0046713C" w:rsidP="000579AF">
      <w:pPr>
        <w:pStyle w:val="Default"/>
        <w:numPr>
          <w:ilvl w:val="1"/>
          <w:numId w:val="42"/>
        </w:numPr>
        <w:spacing w:after="120"/>
        <w:jc w:val="both"/>
        <w:rPr>
          <w:rFonts w:ascii="Verdana" w:hAnsi="Verdana" w:cs="Arial"/>
          <w:color w:val="auto"/>
          <w:sz w:val="20"/>
          <w:szCs w:val="20"/>
        </w:rPr>
      </w:pPr>
      <w:r w:rsidRPr="00EA1493">
        <w:rPr>
          <w:rFonts w:ascii="Verdana" w:hAnsi="Verdana"/>
          <w:color w:val="auto"/>
          <w:sz w:val="20"/>
          <w:szCs w:val="20"/>
        </w:rPr>
        <w:t xml:space="preserve">lista ta’ proġetti preċedenti (proġetti ewlenin għall-erba’ snin preċedenti) </w:t>
      </w:r>
      <w:r w:rsidRPr="00EA1493">
        <w:rPr>
          <w:rFonts w:ascii="Verdana" w:hAnsi="Verdana"/>
          <w:i/>
          <w:color w:val="auto"/>
          <w:sz w:val="20"/>
          <w:szCs w:val="20"/>
        </w:rPr>
        <w:t>(mudell disponibbli fil-Parti B</w:t>
      </w:r>
    </w:p>
    <w:p w14:paraId="38848BCB" w14:textId="0AC50279" w:rsidR="00BF64FB" w:rsidRPr="00EA1493" w:rsidRDefault="00BF64FB" w:rsidP="008B1F42">
      <w:pPr>
        <w:pStyle w:val="ListParagraph"/>
        <w:numPr>
          <w:ilvl w:val="1"/>
          <w:numId w:val="42"/>
        </w:numPr>
        <w:spacing w:after="200"/>
        <w:jc w:val="both"/>
        <w:rPr>
          <w:sz w:val="20"/>
          <w:szCs w:val="20"/>
        </w:rPr>
      </w:pPr>
      <w:r w:rsidRPr="00EA1493">
        <w:rPr>
          <w:sz w:val="20"/>
          <w:szCs w:val="20"/>
        </w:rPr>
        <w:t xml:space="preserve">Għal parteċipanti b’attivitajiet li jinvolvu t-tfal: il-politika dwar il-protezzjoni tat-tfal tagħhom tkun tkopri l-erba’ oqsma deskritti fi </w:t>
      </w:r>
      <w:hyperlink r:id="rId30" w:history="1">
        <w:r w:rsidRPr="00EA1493">
          <w:rPr>
            <w:rStyle w:val="Hyperlink"/>
            <w:sz w:val="20"/>
            <w:szCs w:val="20"/>
          </w:rPr>
          <w:t>Standards għas-Salvagwardar tat-Tfal biex it-Tfal Jinżammu Sikuri</w:t>
        </w:r>
      </w:hyperlink>
      <w:r w:rsidRPr="00EA1493">
        <w:rPr>
          <w:sz w:val="20"/>
          <w:szCs w:val="20"/>
        </w:rPr>
        <w:t>.</w:t>
      </w:r>
    </w:p>
    <w:p w14:paraId="296D7873" w14:textId="6CB2F708" w:rsidR="00C51A9B" w:rsidRPr="00C51A9B" w:rsidRDefault="00C51A9B" w:rsidP="008B1F42">
      <w:pPr>
        <w:pStyle w:val="Default"/>
        <w:numPr>
          <w:ilvl w:val="1"/>
          <w:numId w:val="42"/>
        </w:numPr>
        <w:spacing w:after="200"/>
        <w:rPr>
          <w:rFonts w:ascii="Verdana" w:hAnsi="Verdana" w:cs="Arial"/>
          <w:color w:val="auto"/>
          <w:sz w:val="20"/>
          <w:szCs w:val="20"/>
        </w:rPr>
      </w:pPr>
      <w:r>
        <w:rPr>
          <w:rFonts w:ascii="Verdana" w:hAnsi="Verdana"/>
          <w:color w:val="auto"/>
          <w:sz w:val="20"/>
          <w:szCs w:val="20"/>
        </w:rPr>
        <w:lastRenderedPageBreak/>
        <w:t>kalkulatur tas-somma sħiħa</w:t>
      </w:r>
    </w:p>
    <w:p w14:paraId="45541BAB" w14:textId="711029D4" w:rsidR="00615B82" w:rsidRPr="00FB7748" w:rsidRDefault="00683BCF" w:rsidP="00683BCF">
      <w:pPr>
        <w:pStyle w:val="Default"/>
        <w:numPr>
          <w:ilvl w:val="1"/>
          <w:numId w:val="51"/>
        </w:numPr>
        <w:spacing w:after="200"/>
        <w:jc w:val="both"/>
        <w:rPr>
          <w:rFonts w:ascii="Verdana" w:eastAsia="Calibri" w:hAnsi="Verdana" w:cs="Calibri"/>
          <w:color w:val="auto"/>
          <w:sz w:val="20"/>
          <w:szCs w:val="20"/>
        </w:rPr>
      </w:pPr>
      <w:r>
        <w:rPr>
          <w:rFonts w:ascii="Verdana" w:hAnsi="Verdana"/>
          <w:color w:val="auto"/>
          <w:sz w:val="20"/>
          <w:szCs w:val="20"/>
        </w:rPr>
        <w:t>ittra ta’ appoġġ iffirmata mill-Muniċipalità (applikabbli għal applikanti u sħab taħt il-kategorija “Organizzazzjoni mingħajr skop ta’ qligħ li tirrappreżenta awtorità lokali”).</w:t>
      </w:r>
    </w:p>
    <w:p w14:paraId="2F01E376" w14:textId="2EF943E2" w:rsidR="00510B7E" w:rsidRPr="00683BCF" w:rsidRDefault="00510B7E" w:rsidP="00831954">
      <w:pPr>
        <w:spacing w:after="120"/>
        <w:rPr>
          <w:rFonts w:cs="Arial"/>
        </w:rPr>
      </w:pPr>
      <w:r>
        <w:t>Fis-sottomissjoni tal-proposti, se jkollok tikkonferma li għandek il-</w:t>
      </w:r>
      <w:r>
        <w:rPr>
          <w:b/>
        </w:rPr>
        <w:t>mandat biex taġixxi</w:t>
      </w:r>
      <w:r>
        <w:t xml:space="preserve"> għall-applikanti kollha. Barra minn hekk se jkollok tikkonferma li l-informazzjoni fl-applikazzjoni hija korretta u kompluta u li l-parteċipanti jikkonformaw mal-kundizzjonijiet biex jirċievu finanzjament mill-UE (speċjalment l-eliġibbiltà, il-kapaċità finanzjarja u operazzjonali, l-esklużjoni, eċċ). Qabel ma tiġi ffirmata l-għotja, kull benefiċjarju u entità affiljata se jkollha tikkonferma dan mill-ġdid billi tiffirma dikjarazzjoni fuq l-unur (DoH). Il-proposti mingħajr appoġġ sħiħ se jiġu rifjutati.</w:t>
      </w:r>
    </w:p>
    <w:p w14:paraId="767FE960" w14:textId="3E689F5D" w:rsidR="00C41E84" w:rsidRDefault="00D37706" w:rsidP="00C41E84">
      <w:pPr>
        <w:pStyle w:val="Text1"/>
        <w:tabs>
          <w:tab w:val="clear" w:pos="2160"/>
        </w:tabs>
        <w:ind w:left="0"/>
        <w:rPr>
          <w:rFonts w:cs="Arial"/>
          <w:iCs/>
        </w:rPr>
      </w:pPr>
      <w:r>
        <w:t xml:space="preserve">L-applikazzjoni tiegħek trid tkun </w:t>
      </w:r>
      <w:r>
        <w:rPr>
          <w:b/>
          <w:iCs/>
        </w:rPr>
        <w:t>tista’ tinqara, tkun aċċessibbli u tkun tista’ tiġi stampata</w:t>
      </w:r>
      <w:r>
        <w:t>.</w:t>
      </w:r>
    </w:p>
    <w:p w14:paraId="7BB5113A" w14:textId="29ADC151" w:rsidR="00D37706" w:rsidRPr="00683BCF" w:rsidRDefault="00D37706" w:rsidP="42BB08A3">
      <w:pPr>
        <w:pStyle w:val="Text1"/>
        <w:tabs>
          <w:tab w:val="clear" w:pos="2160"/>
        </w:tabs>
        <w:ind w:left="0"/>
        <w:rPr>
          <w:rFonts w:cs="Arial"/>
        </w:rPr>
      </w:pPr>
      <w:r>
        <w:t xml:space="preserve">Il-proposti huma limitati għal massimu ta’ </w:t>
      </w:r>
      <w:r>
        <w:rPr>
          <w:b/>
        </w:rPr>
        <w:t xml:space="preserve">40 paġna għas-Suġġett Ġemellaġġ ta’ Bliet </w:t>
      </w:r>
      <w:r>
        <w:t xml:space="preserve">(Parti B) </w:t>
      </w:r>
      <w:r>
        <w:rPr>
          <w:b/>
        </w:rPr>
        <w:t>u għal 70 paġna għas-Suġġett Networks ta’ Bliet</w:t>
      </w:r>
      <w:r>
        <w:t xml:space="preserve"> (Parti B). L-evalwaturi mhu se jqisu l-ebda paġna addizzjonali.</w:t>
      </w:r>
    </w:p>
    <w:p w14:paraId="709B3081" w14:textId="77777777" w:rsidR="00510B7E" w:rsidRDefault="00510B7E" w:rsidP="00510B7E">
      <w:r>
        <w:t xml:space="preserve">Tista’ tintalab tissottometti dokumenti ulterjuri aktar tard </w:t>
      </w:r>
      <w:r>
        <w:rPr>
          <w:i/>
        </w:rPr>
        <w:t>(għall-validazzjoni tal-entità legali, il-kontroll tal-kapaċità finanzjarja, il-validazzjoni tal-kont bankarju, eċċ.)</w:t>
      </w:r>
      <w:r>
        <w:t>.</w:t>
      </w:r>
    </w:p>
    <w:p w14:paraId="0CF762E6" w14:textId="3D2BD062" w:rsidR="00510B7E" w:rsidRPr="00510B7E" w:rsidRDefault="005A3754" w:rsidP="00510B7E">
      <w:pPr>
        <w:rPr>
          <w:szCs w:val="21"/>
        </w:rPr>
      </w:pPr>
      <w:r>
        <w:rPr>
          <w:noProof/>
          <w:lang w:val="en-IE" w:eastAsia="en-IE"/>
        </w:rPr>
        <w:drawing>
          <wp:inline distT="0" distB="0" distL="0" distR="0" wp14:anchorId="3F067661" wp14:editId="12A41E51">
            <wp:extent cx="187960" cy="187960"/>
            <wp:effectExtent l="0" t="0" r="0" b="0"/>
            <wp:docPr id="5" name="Picture 787288596" title="Title: Title: Title: https://lh5.googleusercontent.com/-n5VVWXljoCs/T8X1egaB-BI/AAAAAAAAC1I/fLBP4VIzxQM/s16/infoIcon_blue.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87288596" name="Picture 787288596" title="Title: Title: Title: https://lh5.googleusercontent.com/-n5VVWXljoCs/T8X1egaB-BI/AAAAAAAAC1I/fLBP4VIzxQM/s16/infoIcon_blue.png"/>
                    <pic:cNvPicPr/>
                  </pic:nvPicPr>
                  <pic:blipFill>
                    <a:blip r:embed="rId31">
                      <a:extLst>
                        <a:ext uri="{28A0092B-C50C-407E-A947-70E740481C1C}">
                          <a14:useLocalDpi xmlns:a14="http://schemas.microsoft.com/office/drawing/2010/main" val="0"/>
                        </a:ext>
                      </a:extLst>
                    </a:blip>
                    <a:stretch>
                      <a:fillRect/>
                    </a:stretch>
                  </pic:blipFill>
                  <pic:spPr>
                    <a:xfrm>
                      <a:off x="0" y="0"/>
                      <a:ext cx="187960" cy="187960"/>
                    </a:xfrm>
                    <a:prstGeom prst="rect">
                      <a:avLst/>
                    </a:prstGeom>
                  </pic:spPr>
                </pic:pic>
              </a:graphicData>
            </a:graphic>
          </wp:inline>
        </w:drawing>
      </w:r>
      <w:r>
        <w:t xml:space="preserve"> Għal aktar informazzjoni dwar il-proċess ta’ sottomissjoni (inklużi aspetti tal-IT), ikkonsulta l-</w:t>
      </w:r>
      <w:hyperlink r:id="rId32">
        <w:r>
          <w:rPr>
            <w:rStyle w:val="Hyperlink"/>
          </w:rPr>
          <w:t>Manwal Online</w:t>
        </w:r>
      </w:hyperlink>
      <w:r>
        <w:rPr>
          <w:rStyle w:val="Hyperlink"/>
          <w:color w:val="auto"/>
          <w:u w:val="none"/>
        </w:rPr>
        <w:t>.</w:t>
      </w:r>
    </w:p>
    <w:p w14:paraId="0B8E5F40" w14:textId="0D29000C" w:rsidR="00B612F2" w:rsidRPr="00975A34" w:rsidRDefault="00B612F2" w:rsidP="000579AF">
      <w:pPr>
        <w:pStyle w:val="Heading1"/>
        <w:numPr>
          <w:ilvl w:val="0"/>
          <w:numId w:val="54"/>
        </w:numPr>
        <w:tabs>
          <w:tab w:val="left" w:pos="284"/>
        </w:tabs>
        <w:ind w:left="0" w:firstLine="0"/>
      </w:pPr>
      <w:bookmarkStart w:id="13" w:name="_Toc89950958"/>
      <w:r>
        <w:t>Eliġibbiltà</w:t>
      </w:r>
      <w:bookmarkEnd w:id="13"/>
      <w:r>
        <w:t xml:space="preserve"> </w:t>
      </w:r>
    </w:p>
    <w:p w14:paraId="4EF2E3B8" w14:textId="77777777" w:rsidR="00B57534" w:rsidRPr="00510B7E" w:rsidRDefault="00736C6F" w:rsidP="00FC6FD4">
      <w:pPr>
        <w:pStyle w:val="Heading3"/>
      </w:pPr>
      <w:bookmarkStart w:id="14" w:name="_Toc89950959"/>
      <w:r>
        <w:t>Parteċipanti eliġibbli (pajjiżi eliġibbli)</w:t>
      </w:r>
      <w:bookmarkEnd w:id="14"/>
    </w:p>
    <w:p w14:paraId="5716E987" w14:textId="39C30B39" w:rsidR="00D11251" w:rsidRPr="00B57534" w:rsidRDefault="00D11251" w:rsidP="00D11251">
      <w:pPr>
        <w:pStyle w:val="Text1"/>
        <w:tabs>
          <w:tab w:val="clear" w:pos="2160"/>
        </w:tabs>
        <w:spacing w:after="120"/>
        <w:ind w:left="0"/>
        <w:rPr>
          <w:rFonts w:cs="Arial"/>
        </w:rPr>
      </w:pPr>
      <w:r>
        <w:t>Sabiex ikunu eliġibbli, l-applikanti (il-benefiċjarji u l-entitajiet affiljati) iridu:</w:t>
      </w:r>
    </w:p>
    <w:p w14:paraId="2509B829" w14:textId="78B5B051" w:rsidR="00D11251" w:rsidRPr="00C07C07" w:rsidRDefault="00D9492C" w:rsidP="008B1F42">
      <w:pPr>
        <w:widowControl w:val="0"/>
        <w:numPr>
          <w:ilvl w:val="0"/>
          <w:numId w:val="36"/>
        </w:numPr>
        <w:spacing w:after="120"/>
        <w:ind w:left="709"/>
        <w:rPr>
          <w:rFonts w:cs="Arial"/>
        </w:rPr>
      </w:pPr>
      <w:r>
        <w:t xml:space="preserve">ikunu entitajiet legali (korpi pubbliċi jew privati) </w:t>
      </w:r>
    </w:p>
    <w:p w14:paraId="49FDD5D5" w14:textId="77777777" w:rsidR="00D11251" w:rsidRPr="00C07C07" w:rsidRDefault="00D11251" w:rsidP="008B1F42">
      <w:pPr>
        <w:widowControl w:val="0"/>
        <w:numPr>
          <w:ilvl w:val="0"/>
          <w:numId w:val="36"/>
        </w:numPr>
        <w:spacing w:after="120"/>
        <w:ind w:left="709"/>
        <w:jc w:val="left"/>
        <w:rPr>
          <w:rFonts w:cs="Arial"/>
        </w:rPr>
      </w:pPr>
      <w:r>
        <w:t xml:space="preserve">ikunu stabbiliti f’wieħed mill-pajjiżi eliġibbli, jiġifieri: </w:t>
      </w:r>
    </w:p>
    <w:p w14:paraId="0BDBB030" w14:textId="1328DBCC" w:rsidR="00D11251" w:rsidRPr="001F0FF9" w:rsidRDefault="00D11251" w:rsidP="008B1F42">
      <w:pPr>
        <w:widowControl w:val="0"/>
        <w:numPr>
          <w:ilvl w:val="0"/>
          <w:numId w:val="37"/>
        </w:numPr>
        <w:spacing w:after="120"/>
        <w:ind w:left="1276"/>
        <w:jc w:val="left"/>
        <w:rPr>
          <w:rFonts w:cs="Arial"/>
        </w:rPr>
      </w:pPr>
      <w:r>
        <w:t>l-Istati Membri tal-UE (inklużi l-pajjiżi u territorji ekstra-Ewropej (PTEE))</w:t>
      </w:r>
    </w:p>
    <w:p w14:paraId="346FD509" w14:textId="0BF8D141" w:rsidR="00D11251" w:rsidRPr="00D77F61" w:rsidRDefault="00D11251" w:rsidP="008B1F42">
      <w:pPr>
        <w:widowControl w:val="0"/>
        <w:numPr>
          <w:ilvl w:val="0"/>
          <w:numId w:val="37"/>
        </w:numPr>
        <w:spacing w:after="120"/>
        <w:ind w:left="1276"/>
        <w:jc w:val="left"/>
        <w:rPr>
          <w:rFonts w:cs="Arial"/>
        </w:rPr>
      </w:pPr>
      <w:r>
        <w:t>pajjiżi mhux tal-UE:</w:t>
      </w:r>
    </w:p>
    <w:p w14:paraId="414C90BD" w14:textId="2D46C06E" w:rsidR="004F0F5C" w:rsidRPr="006F58BD" w:rsidRDefault="004F0F5C" w:rsidP="008B1F42">
      <w:pPr>
        <w:pStyle w:val="Text1"/>
        <w:numPr>
          <w:ilvl w:val="0"/>
          <w:numId w:val="38"/>
        </w:numPr>
        <w:tabs>
          <w:tab w:val="clear" w:pos="2160"/>
        </w:tabs>
        <w:spacing w:after="120"/>
        <w:ind w:left="1701"/>
        <w:rPr>
          <w:rFonts w:cs="Arial"/>
        </w:rPr>
      </w:pPr>
      <w:r>
        <w:t>pajjiżi assoċjati mal-Programm CERV jew pajjiżi li jinsabu f’negozjati li għadhom għaddejjin għal ftehim ta’ assoċjazzjoni u fejn il-ftehim jidħol fis-seħħ qabel l-iffirmar tal-għotja (</w:t>
      </w:r>
      <w:hyperlink r:id="rId33" w:history="1">
        <w:r>
          <w:rPr>
            <w:rStyle w:val="Hyperlink"/>
          </w:rPr>
          <w:t>lista ta’ pajjiżi parteċipanti</w:t>
        </w:r>
      </w:hyperlink>
      <w:r>
        <w:t>)</w:t>
      </w:r>
    </w:p>
    <w:p w14:paraId="511297B8" w14:textId="3133FE23" w:rsidR="006F58BD" w:rsidRDefault="00D11251" w:rsidP="008B1F42">
      <w:pPr>
        <w:widowControl w:val="0"/>
        <w:numPr>
          <w:ilvl w:val="0"/>
          <w:numId w:val="36"/>
        </w:numPr>
        <w:spacing w:after="120"/>
        <w:ind w:left="709" w:right="227" w:hanging="357"/>
        <w:jc w:val="left"/>
        <w:rPr>
          <w:rFonts w:cs="Arial"/>
        </w:rPr>
      </w:pPr>
      <w:r>
        <w:t>kundizzjonijiet oħra ta’ eliġibbiltà:</w:t>
      </w:r>
    </w:p>
    <w:p w14:paraId="3403588B" w14:textId="671BC073" w:rsidR="00E85E35" w:rsidRPr="00F50F6A" w:rsidRDefault="00E85E35" w:rsidP="0062273B">
      <w:pPr>
        <w:widowControl w:val="0"/>
        <w:ind w:firstLine="720"/>
        <w:rPr>
          <w:b/>
          <w:bCs/>
        </w:rPr>
      </w:pPr>
      <w:r>
        <w:rPr>
          <w:b/>
          <w:color w:val="A50021"/>
        </w:rPr>
        <w:t>CERV-2022-CITIZENS-TOWN-TT – Ġemellaġġ ta’ Bliet:</w:t>
      </w:r>
      <w:r>
        <w:rPr>
          <w:b/>
          <w:bCs/>
        </w:rPr>
        <w:t xml:space="preserve"> </w:t>
      </w:r>
    </w:p>
    <w:p w14:paraId="33CEAF57" w14:textId="6E0BD8D2" w:rsidR="007303E9" w:rsidRDefault="000159B8" w:rsidP="00B41972">
      <w:pPr>
        <w:widowControl w:val="0"/>
        <w:numPr>
          <w:ilvl w:val="1"/>
          <w:numId w:val="36"/>
        </w:numPr>
        <w:spacing w:after="120"/>
        <w:ind w:left="1418" w:hanging="416"/>
        <w:jc w:val="left"/>
        <w:rPr>
          <w:rFonts w:cs="Arial"/>
        </w:rPr>
      </w:pPr>
      <w:r>
        <w:t>għall-applikant: ikun korp pubbliku jew organizzazzjoni mingħajr skop ta’ qligħ: bliet/muniċipalitajiet u/jew livelli oħra ta’ awtoritajiet lokali jew il-kumitati ta’ ġemellaġġ tagħhom jew organizzazzjonijiet oħra mingħajr skop ta’ qligħ li jirrappreżentaw lill-awtoritajiet lokali.</w:t>
      </w:r>
    </w:p>
    <w:p w14:paraId="6386E76B" w14:textId="10829B1A" w:rsidR="000159B8" w:rsidRPr="000159B8" w:rsidRDefault="000159B8" w:rsidP="00E85E35">
      <w:pPr>
        <w:widowControl w:val="0"/>
        <w:numPr>
          <w:ilvl w:val="1"/>
          <w:numId w:val="36"/>
        </w:numPr>
        <w:spacing w:after="120"/>
        <w:ind w:left="1418" w:hanging="416"/>
        <w:jc w:val="left"/>
        <w:rPr>
          <w:rFonts w:cs="Arial"/>
        </w:rPr>
      </w:pPr>
      <w:r>
        <w:t>il-proġett irid jinvolvi muniċipalitajiet minn tal-inqas żewġ pajjiżi eliġibbli li mill-inqas wieħed minnhom ikun Stat Membru tal-UE.</w:t>
      </w:r>
    </w:p>
    <w:p w14:paraId="69F32FFD" w14:textId="5AE10145" w:rsidR="000159B8" w:rsidRDefault="000159B8" w:rsidP="000159B8">
      <w:pPr>
        <w:widowControl w:val="0"/>
        <w:numPr>
          <w:ilvl w:val="1"/>
          <w:numId w:val="36"/>
        </w:numPr>
        <w:spacing w:after="120"/>
        <w:ind w:left="1418" w:hanging="416"/>
        <w:jc w:val="left"/>
        <w:rPr>
          <w:rFonts w:eastAsia="Verdana" w:cs="Verdana"/>
        </w:rPr>
      </w:pPr>
      <w:r>
        <w:t>l-attivitajiet iridu jsiru f’wieħed mill-pajjiżi eliġibbli li jipparteċipaw fil-proġett.</w:t>
      </w:r>
    </w:p>
    <w:p w14:paraId="611776F1" w14:textId="5F534056" w:rsidR="00942BB9" w:rsidRDefault="00942BB9" w:rsidP="000159B8">
      <w:pPr>
        <w:widowControl w:val="0"/>
        <w:numPr>
          <w:ilvl w:val="1"/>
          <w:numId w:val="36"/>
        </w:numPr>
        <w:spacing w:after="120"/>
        <w:ind w:left="1418" w:hanging="416"/>
        <w:jc w:val="left"/>
        <w:rPr>
          <w:rFonts w:eastAsia="Verdana" w:cs="Verdana"/>
        </w:rPr>
      </w:pPr>
      <w:r>
        <w:t xml:space="preserve">l-avvenimenti jridu jinvolvu minimu ta’ 50 parteċipant dirett, li </w:t>
      </w:r>
      <w:r>
        <w:lastRenderedPageBreak/>
        <w:t>minnhom mill-inqas 25 parteċipant ikunu “parteċipanti mistiedna</w:t>
      </w:r>
      <w:r w:rsidR="00CC2315">
        <w:rPr>
          <w:rStyle w:val="FootnoteReference"/>
          <w:rFonts w:eastAsia="Verdana" w:cs="Verdana"/>
        </w:rPr>
        <w:footnoteReference w:id="12"/>
      </w:r>
      <w:r>
        <w:t xml:space="preserve">”. </w:t>
      </w:r>
    </w:p>
    <w:p w14:paraId="7A8FF669" w14:textId="6A62825D" w:rsidR="00E85E35" w:rsidRDefault="00E85E35" w:rsidP="0062273B">
      <w:pPr>
        <w:widowControl w:val="0"/>
        <w:ind w:firstLine="720"/>
        <w:rPr>
          <w:b/>
          <w:color w:val="A50021"/>
        </w:rPr>
      </w:pPr>
      <w:r>
        <w:rPr>
          <w:b/>
          <w:color w:val="A50021"/>
        </w:rPr>
        <w:t>CERV-2022-CITIZENS-TOWN-NT – Networks ta’ Bliet</w:t>
      </w:r>
    </w:p>
    <w:p w14:paraId="7034CCF5" w14:textId="383FF38D" w:rsidR="000159B8" w:rsidRDefault="000159B8" w:rsidP="000159B8">
      <w:pPr>
        <w:widowControl w:val="0"/>
        <w:numPr>
          <w:ilvl w:val="1"/>
          <w:numId w:val="36"/>
        </w:numPr>
        <w:spacing w:after="120"/>
        <w:ind w:left="1418" w:hanging="416"/>
        <w:jc w:val="left"/>
        <w:rPr>
          <w:rFonts w:cs="Arial"/>
        </w:rPr>
      </w:pPr>
      <w:r>
        <w:t xml:space="preserve">għall-applikant </w:t>
      </w:r>
      <w:r>
        <w:rPr>
          <w:rStyle w:val="FootnoteReference"/>
          <w:rFonts w:cs="Arial"/>
        </w:rPr>
        <w:footnoteReference w:id="13"/>
      </w:r>
      <w:r>
        <w:t xml:space="preserve"> u s-sħab: ikunu korp pubbliku jew organizzazzjoni mingħajr skop ta’ qligħ: bliet/muniċipalitajiet u/jew livelli oħra ta’ awtoritajiet lokali jew il-kumitati ta’ ġemellaġġ tagħhom jew organizzazzjonijiet oħra mingħajr skop ta’ qligħ li jirrappreżentaw lill-awtoritajiet lokali.</w:t>
      </w:r>
    </w:p>
    <w:p w14:paraId="07E9E7B6" w14:textId="4658A64A" w:rsidR="000159B8" w:rsidRPr="000159B8" w:rsidRDefault="000159B8" w:rsidP="000159B8">
      <w:pPr>
        <w:widowControl w:val="0"/>
        <w:numPr>
          <w:ilvl w:val="1"/>
          <w:numId w:val="36"/>
        </w:numPr>
        <w:spacing w:after="120"/>
        <w:ind w:left="1418" w:right="227" w:hanging="142"/>
        <w:jc w:val="left"/>
        <w:rPr>
          <w:rFonts w:cs="Arial"/>
        </w:rPr>
      </w:pPr>
      <w:r>
        <w:t>il-proġett irid jinvolvi muniċipalitajiet minn tal-inqas ħames pajjiżi eliġibbli li mill-inqas tlieta minnhom huma Stati Membri tal-UE.</w:t>
      </w:r>
    </w:p>
    <w:p w14:paraId="7F71F908" w14:textId="79ED681A" w:rsidR="000159B8" w:rsidRDefault="000159B8" w:rsidP="000159B8">
      <w:pPr>
        <w:widowControl w:val="0"/>
        <w:numPr>
          <w:ilvl w:val="1"/>
          <w:numId w:val="36"/>
        </w:numPr>
        <w:spacing w:after="120"/>
        <w:ind w:left="1418" w:right="227" w:hanging="142"/>
        <w:jc w:val="left"/>
      </w:pPr>
      <w:r>
        <w:t>l-attivitajiet iridu jsiru f’mill-inqas żewġ pajjiżi eliġibbli differenti tal-programm.</w:t>
      </w:r>
    </w:p>
    <w:p w14:paraId="690454F4" w14:textId="7E4FF5F7" w:rsidR="00D11251" w:rsidRDefault="00EF14AD" w:rsidP="00D11251">
      <w:pPr>
        <w:rPr>
          <w:rFonts w:cs="Arial"/>
        </w:rPr>
      </w:pPr>
      <w:r>
        <w:t>Il-benefiċjarji u l-entitajiet affiljati jridu jirreġistraw fir-</w:t>
      </w:r>
      <w:hyperlink r:id="rId34" w:history="1">
        <w:r>
          <w:rPr>
            <w:rStyle w:val="Hyperlink"/>
          </w:rPr>
          <w:t>Reġistru tal-Parteċipanti</w:t>
        </w:r>
      </w:hyperlink>
      <w:r>
        <w:t xml:space="preserve"> — qabel ma jissottomettu l-proposta — u se jkollhom jiġu vvalidati mis-Servizz Ċentrali ta’ Validazzjoni (Validazzjoni REA). Għall-validazzjoni, huma se jintalbu jtellgħu dokumenti li juru l-istatus legali u l-oriġini.</w:t>
      </w:r>
    </w:p>
    <w:p w14:paraId="663BF90B" w14:textId="77777777" w:rsidR="00D11251" w:rsidRDefault="00D11251" w:rsidP="00D11251">
      <w:pPr>
        <w:rPr>
          <w:iCs/>
        </w:rPr>
      </w:pPr>
      <w:r>
        <w:t xml:space="preserve">Entitajiet oħra jistgħu jipparteċipaw fi rwoli oħra ta’ konsorzju, bħal sħab assoċjati, sottokuntratturi, partijiet terzi li jagħtu kontribuzzjonijiet </w:t>
      </w:r>
      <w:r>
        <w:rPr>
          <w:i/>
          <w:iCs/>
        </w:rPr>
        <w:t>in natura</w:t>
      </w:r>
      <w:r>
        <w:t xml:space="preserve">, eċċ </w:t>
      </w:r>
      <w:r>
        <w:rPr>
          <w:i/>
        </w:rPr>
        <w:t>(ara t-taqsima 13)</w:t>
      </w:r>
      <w:r>
        <w:t>.</w:t>
      </w:r>
    </w:p>
    <w:p w14:paraId="4C122898" w14:textId="77777777" w:rsidR="00D11251" w:rsidRPr="000B3314" w:rsidRDefault="00D11251" w:rsidP="00D11251">
      <w:pPr>
        <w:rPr>
          <w:i/>
          <w:color w:val="A50021"/>
          <w:highlight w:val="yellow"/>
        </w:rPr>
      </w:pPr>
      <w:r>
        <w:rPr>
          <w:i/>
          <w:color w:val="A50021"/>
        </w:rPr>
        <w:t>Każijiet speċifiċi</w:t>
      </w:r>
      <w:r>
        <w:rPr>
          <w:i/>
          <w:color w:val="A50021"/>
          <w:highlight w:val="yellow"/>
        </w:rPr>
        <w:t xml:space="preserve"> </w:t>
      </w:r>
    </w:p>
    <w:p w14:paraId="7C0C81EC" w14:textId="3519175F" w:rsidR="00D11251" w:rsidRPr="00F556B0" w:rsidRDefault="00D11251" w:rsidP="00D11251">
      <w:pPr>
        <w:rPr>
          <w:rFonts w:cs="Arial"/>
        </w:rPr>
      </w:pPr>
      <w:r>
        <w:t>Persuni fiżiċi — Persuni fiżiċi MHUMIEX eliġibbli (għajr persuni li jaħdmu għal rashom, jiġifieri kummerċjanti waħdanija, fejn il-kumpanija ma jkollhiex personalità ġuridika separata minn dik tal-persuna fiżika).</w:t>
      </w:r>
    </w:p>
    <w:p w14:paraId="06E140DC" w14:textId="5B93CEEF" w:rsidR="00D11251" w:rsidRPr="00F556B0" w:rsidRDefault="00D51B6C" w:rsidP="00D11251">
      <w:pPr>
        <w:rPr>
          <w:rFonts w:cs="Arial"/>
        </w:rPr>
      </w:pPr>
      <w:r>
        <w:t>Organizzazzjonijiet internazzjonali — Organizzazzjonijiet internazzjonali huma eliġibbli. Ir-regoli dwar il-pajjiżi eliġibbli ma japplikawx għalihom.</w:t>
      </w:r>
    </w:p>
    <w:p w14:paraId="45271331" w14:textId="77777777" w:rsidR="00D11251" w:rsidRDefault="00D11251" w:rsidP="00D11251">
      <w:pPr>
        <w:rPr>
          <w:rFonts w:cs="Arial"/>
          <w:iCs/>
        </w:rPr>
      </w:pPr>
      <w:r>
        <w:t>Entitajiet mingħajr personalità ġuridika — Entitajiet li ma għandhomx personalità ġuridika skont il-liġi nazzjonali tagħhom jistgħu fuq bażi eċċezzjonali jipparteċipaw, dment li r-rappreżentanti tagħhom ikollhom il-kapaċità jassumu obbligi legali f’isimhom, u li dawn joffru garanziji għall-protezzjoni tal-interessi finanzjarji tal-UE li huma ekwivalenti għal dawk offruti minn persuni ġuridiċi</w:t>
      </w:r>
      <w:r>
        <w:rPr>
          <w:rStyle w:val="FootnoteReference"/>
          <w:rFonts w:cs="Arial"/>
          <w:iCs/>
        </w:rPr>
        <w:footnoteReference w:id="14"/>
      </w:r>
      <w:r>
        <w:t>.</w:t>
      </w:r>
    </w:p>
    <w:p w14:paraId="42989BB3" w14:textId="77777777" w:rsidR="00D11251" w:rsidRDefault="00D11251" w:rsidP="00D11251">
      <w:pPr>
        <w:rPr>
          <w:rFonts w:eastAsia="Verdana" w:cs="Verdana"/>
        </w:rPr>
      </w:pPr>
      <w:r>
        <w:t>Korpi tal-UE — Il-Korpi tal-UE (għajr iċ-Ċentru Konġunt tar-Riċerka tal-Kummissjoni Ewropea) MA JISTGĦUX ikunu parti mill-konsorzju.</w:t>
      </w:r>
    </w:p>
    <w:p w14:paraId="73A5993C" w14:textId="5CAF4A75" w:rsidR="005056C4" w:rsidRDefault="6C7DCFD5" w:rsidP="42BB08A3">
      <w:pPr>
        <w:rPr>
          <w:rFonts w:cs="Arial"/>
        </w:rPr>
      </w:pPr>
      <w:r>
        <w:t>Assoċjazzjonijiet u gruppi ta’ interess — Entitajiet magħmula minn membri jistgħu jipparteċipaw bħala “benefiċjarji uniċi” jew “benefiċjarji mingħajr personalità ġuridika”</w:t>
      </w:r>
      <w:r w:rsidR="00D11251" w:rsidRPr="2B2EF0EE">
        <w:rPr>
          <w:rStyle w:val="FootnoteReference"/>
        </w:rPr>
        <w:footnoteReference w:id="15"/>
      </w:r>
      <w:r>
        <w:t xml:space="preserve">. </w:t>
      </w:r>
      <w:r>
        <w:rPr>
          <w:noProof/>
          <w:color w:val="7F7F7F"/>
          <w:sz w:val="18"/>
          <w:szCs w:val="21"/>
          <w:lang w:val="en-IE" w:eastAsia="en-IE"/>
        </w:rPr>
        <w:drawing>
          <wp:inline distT="0" distB="0" distL="0" distR="0" wp14:anchorId="75F831DD" wp14:editId="5DD55874">
            <wp:extent cx="187960" cy="187960"/>
            <wp:effectExtent l="0" t="0" r="0" b="0"/>
            <wp:docPr id="6" name="Picture 6" descr="war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arnin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87960" cy="187960"/>
                    </a:xfrm>
                    <a:prstGeom prst="rect">
                      <a:avLst/>
                    </a:prstGeom>
                    <a:noFill/>
                    <a:ln>
                      <a:noFill/>
                    </a:ln>
                  </pic:spPr>
                </pic:pic>
              </a:graphicData>
            </a:graphic>
          </wp:inline>
        </w:drawing>
      </w:r>
      <w:r>
        <w:rPr>
          <w:color w:val="7F7F7F"/>
          <w:sz w:val="18"/>
          <w:szCs w:val="18"/>
        </w:rPr>
        <w:t xml:space="preserve"> </w:t>
      </w:r>
      <w:r>
        <w:t xml:space="preserve">Jekk jogħġbok innota li jekk l-azzjoni se tiġi implimentata mill-membri, dawn għandhom jipparteċipaw ukoll (jew bħala benefiċjarji jew bħala entitajiet affiljati, inkella l-ispejjeż tagħhom MHUMIEX se jkunu eliġibbli). </w:t>
      </w:r>
    </w:p>
    <w:p w14:paraId="367E29D4" w14:textId="50768096" w:rsidR="00DC3A61" w:rsidRPr="00FB72CA" w:rsidRDefault="00DC3A61" w:rsidP="00202AF1">
      <w:pPr>
        <w:pStyle w:val="NormalWeb"/>
        <w:spacing w:before="0" w:beforeAutospacing="0" w:after="200" w:afterAutospacing="0"/>
        <w:jc w:val="both"/>
        <w:rPr>
          <w:rFonts w:ascii="Verdana" w:hAnsi="Verdana"/>
          <w:color w:val="000000"/>
          <w:sz w:val="20"/>
          <w:szCs w:val="20"/>
        </w:rPr>
      </w:pPr>
      <w:r>
        <w:rPr>
          <w:rFonts w:ascii="Verdana" w:hAnsi="Verdana"/>
          <w:color w:val="000000"/>
          <w:sz w:val="20"/>
          <w:szCs w:val="20"/>
        </w:rPr>
        <w:t xml:space="preserve">Punti ta’ Kuntatt tal-Programm — Eliġibbli bħala koordinatur jew benefiċjarju f’sejħiet miftuħa, jekk ikollhom proċeduri biex jissegregaw il-ġestjoni tal-proġett u l-funzjonijiet tal-għoti ta’ informazzjoni u jekk ikunu kapaċi juru separazzjoni tal-ispejjeż (jiġifieri li l-għotjiet għall-proġetti tagħhom ma jkoprux spejjeż li huma koperti mill-għotja l-oħra tagħhom). Dan jirrikjedi dan li ġej: </w:t>
      </w:r>
    </w:p>
    <w:p w14:paraId="21178116" w14:textId="4EF7788A" w:rsidR="00DC3A61" w:rsidRPr="00FB72CA" w:rsidRDefault="00DC3A61" w:rsidP="008B1F42">
      <w:pPr>
        <w:numPr>
          <w:ilvl w:val="0"/>
          <w:numId w:val="45"/>
        </w:numPr>
        <w:rPr>
          <w:color w:val="000000"/>
        </w:rPr>
      </w:pPr>
      <w:r>
        <w:rPr>
          <w:color w:val="000000"/>
        </w:rPr>
        <w:lastRenderedPageBreak/>
        <w:t xml:space="preserve">l-użu ta’ kontabbiltà analitika li tippermetti ġestjoni kontabilistika tal-ispejjeż b’koeffiċjenti tal-allokazzjoni tal-ispejjeż u kodiċijiet kontabilistiċi tal-ispejjeż U applikazzjoni ta’ dawn il-koeffiċjenti u l-kodiċijiet biex jiġu identifikati u sseparati l-ispejjeż (jiġifieri biex jiġu allokati għal waħda miż-żewġ għotjiet) </w:t>
      </w:r>
    </w:p>
    <w:p w14:paraId="1DBFDF05" w14:textId="5BA07C46" w:rsidR="00DC3A61" w:rsidRPr="00FB72CA" w:rsidRDefault="00DC3A61" w:rsidP="008B1F42">
      <w:pPr>
        <w:numPr>
          <w:ilvl w:val="0"/>
          <w:numId w:val="45"/>
        </w:numPr>
        <w:rPr>
          <w:color w:val="000000"/>
        </w:rPr>
      </w:pPr>
      <w:r>
        <w:rPr>
          <w:color w:val="000000"/>
        </w:rPr>
        <w:t xml:space="preserve">reġistrazzjoni tal-ispejjeż reali kollha mġarrba għall-attivitajiet li huma koperti miż-żewġ għotjiet (inklużi l-ispejjeż indiretti) </w:t>
      </w:r>
    </w:p>
    <w:p w14:paraId="08082F37" w14:textId="6D2FEB8E" w:rsidR="00832213" w:rsidRPr="00F556B0" w:rsidRDefault="00DC3A61" w:rsidP="008B1F42">
      <w:pPr>
        <w:numPr>
          <w:ilvl w:val="0"/>
          <w:numId w:val="45"/>
        </w:numPr>
        <w:rPr>
          <w:rFonts w:cs="Arial"/>
        </w:rPr>
      </w:pPr>
      <w:r>
        <w:rPr>
          <w:color w:val="000000"/>
        </w:rPr>
        <w:t>allokazzjoni tal-ispejjeż b’mod li jwassal għal riżultat ġust, oġġettiv u realistiku.</w:t>
      </w:r>
    </w:p>
    <w:p w14:paraId="63646EA9" w14:textId="75D8A1BB" w:rsidR="00F556B0" w:rsidRPr="00F556B0" w:rsidRDefault="00F556B0" w:rsidP="00202AF1">
      <w:pPr>
        <w:rPr>
          <w:iCs/>
        </w:rPr>
      </w:pPr>
      <w:r>
        <w:t xml:space="preserve">Pajjiżi li bħalissa qed jinnegozjaw ftehimiet ta’ assoċjazzjoni — Benefiċjarji minn pajjiżi b’negozjati li għadhom għaddejjin </w:t>
      </w:r>
      <w:r>
        <w:rPr>
          <w:i/>
          <w:szCs w:val="18"/>
        </w:rPr>
        <w:t>(ara hawn fuq)</w:t>
      </w:r>
      <w:r>
        <w:t xml:space="preserve"> jistgħu jipparteċipaw fis-sejħa u jistgħu jiffirmaw għotjiet jekk in-negozjati jiġu konklużi qabel l-iffirmar tal-għotja (b’effett retroattiv, jekk previst fil-ftehim).</w:t>
      </w:r>
    </w:p>
    <w:p w14:paraId="6FC8312B" w14:textId="09DE72CC" w:rsidR="000F4465" w:rsidRPr="00FE2BCA" w:rsidRDefault="00FE2BCA" w:rsidP="00D11251">
      <w:pPr>
        <w:pStyle w:val="Text1"/>
        <w:tabs>
          <w:tab w:val="clear" w:pos="2160"/>
        </w:tabs>
        <w:spacing w:after="120"/>
        <w:ind w:left="0"/>
      </w:pPr>
      <w:r>
        <w:t xml:space="preserve">Miżuri restrittivi tal-UE — Regoli speċjali japplikaw għal ċerti entitajiet </w:t>
      </w:r>
      <w:r>
        <w:rPr>
          <w:i/>
        </w:rPr>
        <w:t>(eż. entitajiet soġġetti għal</w:t>
      </w:r>
      <w:r>
        <w:t xml:space="preserve"> </w:t>
      </w:r>
      <w:hyperlink r:id="rId36" w:history="1">
        <w:r>
          <w:rPr>
            <w:rStyle w:val="Hyperlink"/>
            <w:i/>
          </w:rPr>
          <w:t>miżuri restrittivi tal-UE</w:t>
        </w:r>
      </w:hyperlink>
      <w:r>
        <w:rPr>
          <w:i/>
        </w:rPr>
        <w:t xml:space="preserve"> skont l-Artikolu 29 tat-Trattat dwar l-Unjoni Ewropea (TUE) u l-Artikolu 215 tat-Trattat dwar il-Funzjonament tal-Unjoni Ewropea (TFUE)</w:t>
      </w:r>
      <w:r w:rsidRPr="003A715F">
        <w:rPr>
          <w:rFonts w:eastAsia="Arial Unicode MS" w:cs="Arial"/>
          <w:i/>
          <w:vertAlign w:val="superscript"/>
          <w:lang w:eastAsia="en-GB"/>
        </w:rPr>
        <w:footnoteReference w:id="16"/>
      </w:r>
      <w:r>
        <w:rPr>
          <w:i/>
        </w:rPr>
        <w:t xml:space="preserve"> u entitajiet koperti mil-Linji Gwida tal-Kummissjoni Nru </w:t>
      </w:r>
      <w:hyperlink r:id="rId37" w:history="1">
        <w:r>
          <w:rPr>
            <w:rStyle w:val="Hyperlink"/>
            <w:i/>
          </w:rPr>
          <w:t>2013/C 205/05</w:t>
        </w:r>
      </w:hyperlink>
      <w:r w:rsidRPr="002A2349">
        <w:rPr>
          <w:rStyle w:val="FootnoteReference"/>
          <w:rFonts w:cs="Arial"/>
          <w:i/>
        </w:rPr>
        <w:footnoteReference w:id="17"/>
      </w:r>
      <w:r>
        <w:rPr>
          <w:i/>
        </w:rPr>
        <w:t>)</w:t>
      </w:r>
      <w:r>
        <w:t>. Dawn l-entitajiet mhumiex eliġibbli biex jipparteċipaw fi kwalunkwe kapaċità, inkluż bħala benefiċjarji, entitajiet affiljati, sħab assoċjati, sottokuntratturi jew riċevituri ta’ appoġġ finanzjarju lil partijiet terzi (jekk ikun hemm).</w:t>
      </w:r>
    </w:p>
    <w:p w14:paraId="718A4FB8" w14:textId="0781935B" w:rsidR="00736C6F" w:rsidRPr="00F61588" w:rsidRDefault="005A3754" w:rsidP="00736C6F">
      <w:pPr>
        <w:autoSpaceDE w:val="0"/>
        <w:autoSpaceDN w:val="0"/>
        <w:adjustRightInd w:val="0"/>
        <w:rPr>
          <w:rFonts w:cs="Verdana"/>
        </w:rPr>
      </w:pPr>
      <w:r>
        <w:rPr>
          <w:noProof/>
          <w:lang w:val="en-IE" w:eastAsia="en-IE"/>
        </w:rPr>
        <w:drawing>
          <wp:inline distT="0" distB="0" distL="0" distR="0" wp14:anchorId="4D9DE831" wp14:editId="2CF3293B">
            <wp:extent cx="187960" cy="187960"/>
            <wp:effectExtent l="0" t="0" r="0" b="0"/>
            <wp:docPr id="7" name="Picture 217534909" title="Title: Title: Title: https://lh5.googleusercontent.com/-n5VVWXljoCs/T8X1egaB-BI/AAAAAAAAC1I/fLBP4VIzxQM/s16/infoIcon_blue.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7534909" name="Picture 217534909" title="Title: Title: Title: https://lh5.googleusercontent.com/-n5VVWXljoCs/T8X1egaB-BI/AAAAAAAAC1I/fLBP4VIzxQM/s16/infoIcon_blue.png"/>
                    <pic:cNvPicPr/>
                  </pic:nvPicPr>
                  <pic:blipFill>
                    <a:blip r:embed="rId31">
                      <a:extLst>
                        <a:ext uri="{28A0092B-C50C-407E-A947-70E740481C1C}">
                          <a14:useLocalDpi xmlns:a14="http://schemas.microsoft.com/office/drawing/2010/main" val="0"/>
                        </a:ext>
                      </a:extLst>
                    </a:blip>
                    <a:stretch>
                      <a:fillRect/>
                    </a:stretch>
                  </pic:blipFill>
                  <pic:spPr>
                    <a:xfrm>
                      <a:off x="0" y="0"/>
                      <a:ext cx="187960" cy="187960"/>
                    </a:xfrm>
                    <a:prstGeom prst="rect">
                      <a:avLst/>
                    </a:prstGeom>
                  </pic:spPr>
                </pic:pic>
              </a:graphicData>
            </a:graphic>
          </wp:inline>
        </w:drawing>
      </w:r>
      <w:r>
        <w:t xml:space="preserve">Għal aktar informazzjoni, </w:t>
      </w:r>
      <w:r>
        <w:rPr>
          <w:i/>
          <w:iCs/>
        </w:rPr>
        <w:t>ara r-</w:t>
      </w:r>
      <w:hyperlink r:id="rId38">
        <w:r>
          <w:rPr>
            <w:rStyle w:val="Hyperlink"/>
            <w:i/>
            <w:iCs/>
          </w:rPr>
          <w:t>Regoli għall-Validazzjoni ta’ Entità Legali, il-Ħatra ta’ LEAR u l-Valutazzjoni tal-Kapaċità Finanzjarja</w:t>
        </w:r>
      </w:hyperlink>
      <w:r>
        <w:t xml:space="preserve">. </w:t>
      </w:r>
    </w:p>
    <w:p w14:paraId="1DD70A2C" w14:textId="78969716" w:rsidR="00027143" w:rsidRDefault="00736C6F" w:rsidP="00CC2315">
      <w:pPr>
        <w:pStyle w:val="Heading3"/>
      </w:pPr>
      <w:bookmarkStart w:id="15" w:name="_Toc89950960"/>
      <w:r>
        <w:t>Il-kompożizzjoni tal-konsorzju</w:t>
      </w:r>
      <w:bookmarkEnd w:id="15"/>
    </w:p>
    <w:p w14:paraId="667D29A2" w14:textId="1ADD61B2" w:rsidR="007903BC" w:rsidRDefault="007903BC" w:rsidP="007903BC">
      <w:pPr>
        <w:widowControl w:val="0"/>
        <w:rPr>
          <w:b/>
          <w:bCs/>
        </w:rPr>
      </w:pPr>
      <w:r>
        <w:rPr>
          <w:b/>
          <w:color w:val="A50021"/>
        </w:rPr>
        <w:t>CERV-2022-CITIZENS-TOWN-TT – Ġemellaġġ ta’ Bliet:</w:t>
      </w:r>
      <w:r>
        <w:rPr>
          <w:b/>
          <w:bCs/>
        </w:rPr>
        <w:t xml:space="preserve"> </w:t>
      </w:r>
    </w:p>
    <w:p w14:paraId="1CC7CA67" w14:textId="27B50492" w:rsidR="007903BC" w:rsidRDefault="007903BC" w:rsidP="007903BC">
      <w:pPr>
        <w:widowControl w:val="0"/>
        <w:rPr>
          <w:i/>
          <w:iCs/>
        </w:rPr>
      </w:pPr>
      <w:r>
        <w:t>Huma permessi biss applikazzjonijiet minn applikanti individwali.</w:t>
      </w:r>
    </w:p>
    <w:p w14:paraId="37AC9AD9" w14:textId="64A403D2" w:rsidR="007903BC" w:rsidRDefault="007903BC" w:rsidP="007903BC">
      <w:pPr>
        <w:pStyle w:val="Text3"/>
        <w:tabs>
          <w:tab w:val="left" w:pos="567"/>
        </w:tabs>
        <w:ind w:left="0"/>
        <w:rPr>
          <w:rFonts w:eastAsia="Verdana" w:cs="Verdana"/>
        </w:rPr>
      </w:pPr>
      <w:r>
        <w:t>Il-proposti ta’ Ġemellaġġ ta’ Bliet iridu jinvolvu muniċipalitajiet minn tal-inqas żewġ pajjiżi eliġibbli li mill-inqas wieħed minnhom ikun Stat Membru tal-UE.</w:t>
      </w:r>
    </w:p>
    <w:p w14:paraId="5B216039" w14:textId="203107A8" w:rsidR="007903BC" w:rsidRDefault="007903BC" w:rsidP="007903BC">
      <w:pPr>
        <w:widowControl w:val="0"/>
        <w:rPr>
          <w:b/>
          <w:color w:val="A50021"/>
        </w:rPr>
      </w:pPr>
      <w:r>
        <w:rPr>
          <w:b/>
          <w:color w:val="A50021"/>
        </w:rPr>
        <w:t>CERV-2022-CITIZENS-TOWN-NT – Networks ta’ Bliet</w:t>
      </w:r>
    </w:p>
    <w:p w14:paraId="2A754E5D" w14:textId="17B8FF9F" w:rsidR="007903BC" w:rsidRDefault="007903BC" w:rsidP="007903BC">
      <w:pPr>
        <w:widowControl w:val="0"/>
      </w:pPr>
      <w:r>
        <w:t xml:space="preserve">Il-proposti jridu jiġu sottomessi minn konsorzju ta’ mill-inqas ħames applikanti (benefiċjarji; entitajiet mhux affiljati), li jikkonforma mal-kundizzjonijiet li ġejjin: </w:t>
      </w:r>
    </w:p>
    <w:p w14:paraId="683D723D" w14:textId="1473FE2C" w:rsidR="007903BC" w:rsidRPr="00B57534" w:rsidRDefault="007903BC" w:rsidP="007903BC">
      <w:pPr>
        <w:numPr>
          <w:ilvl w:val="0"/>
          <w:numId w:val="53"/>
        </w:numPr>
        <w:ind w:left="360"/>
      </w:pPr>
      <w:r>
        <w:t>l-entitajiet ikunu muniċipalitajiet minn tal-inqas ħames pajjiżi eliġibbli li mill-inqas tlieta minnhom huma Stati Membri tal-UE.</w:t>
      </w:r>
    </w:p>
    <w:p w14:paraId="4E8B42AB" w14:textId="77777777" w:rsidR="00656CD7" w:rsidRPr="00510B7E" w:rsidRDefault="00736C6F" w:rsidP="00510B7E">
      <w:pPr>
        <w:pStyle w:val="Heading3"/>
      </w:pPr>
      <w:bookmarkStart w:id="16" w:name="_Toc89950961"/>
      <w:r>
        <w:t>Attivitajiet eliġibbli</w:t>
      </w:r>
      <w:bookmarkEnd w:id="16"/>
    </w:p>
    <w:p w14:paraId="5C9A0D56" w14:textId="6D5E2AD2" w:rsidR="000159B8" w:rsidRPr="006F58BD" w:rsidRDefault="00656CD7" w:rsidP="00656CD7">
      <w:r>
        <w:t>L-attivitajiet eliġibbli huma dawk stipulati fit-taqsima 2 t’hawn fuq.</w:t>
      </w:r>
    </w:p>
    <w:p w14:paraId="4DCC9648" w14:textId="77777777" w:rsidR="00656CD7" w:rsidRPr="006F58BD" w:rsidRDefault="00267836" w:rsidP="00656CD7">
      <w:r>
        <w:t>Il-proġetti għandhom iqisu r-riżultati tal-proġetti appoġġati minn programmi oħra ta’ finanzjament tal-UE. Il-komplementarjetajiet iridu jiġu deskritti fil-proposti tal-proġetti (il-Parti B tal-Formola ta’ Applikazzjoni).</w:t>
      </w:r>
    </w:p>
    <w:p w14:paraId="3CAE18EE" w14:textId="77777777" w:rsidR="00C96229" w:rsidRPr="008D7360" w:rsidRDefault="00C96229" w:rsidP="00656CD7">
      <w:r>
        <w:t xml:space="preserve">Il-proġetti jridu jikkonformaw mal-interessi u l-prijoritajiet ta’ politika tal-UE </w:t>
      </w:r>
      <w:r>
        <w:rPr>
          <w:i/>
        </w:rPr>
        <w:t>(bħall-ambjent, il-politika soċjali, tas-sigurtà, industrijali u kummerċjali, eċċ)</w:t>
      </w:r>
      <w:r>
        <w:t>.</w:t>
      </w:r>
    </w:p>
    <w:p w14:paraId="23359E9F" w14:textId="69E0A675" w:rsidR="00557219" w:rsidRPr="00D07DE8" w:rsidRDefault="004A47F3" w:rsidP="0075170E">
      <w:pPr>
        <w:rPr>
          <w:highlight w:val="yellow"/>
        </w:rPr>
      </w:pPr>
      <w:r>
        <w:lastRenderedPageBreak/>
        <w:t>Appoġġ finanzjarju lil partijiet terzi mhuwiex permess.</w:t>
      </w:r>
    </w:p>
    <w:p w14:paraId="4ED03ED8" w14:textId="7C17FD62" w:rsidR="00942BB9" w:rsidRPr="008862BD" w:rsidRDefault="00E81CEB" w:rsidP="00942BB9">
      <w:pPr>
        <w:pStyle w:val="Text3"/>
        <w:tabs>
          <w:tab w:val="clear" w:pos="2160"/>
          <w:tab w:val="left" w:pos="567"/>
        </w:tabs>
        <w:ind w:left="0"/>
        <w:rPr>
          <w:b/>
          <w:color w:val="A50021"/>
        </w:rPr>
      </w:pPr>
      <w:r>
        <w:rPr>
          <w:b/>
          <w:color w:val="A50021"/>
        </w:rPr>
        <w:t>CERV-2022-CITIZENS-TOWN-TT – Ġemellaġġ ta’ Bliet:</w:t>
      </w:r>
    </w:p>
    <w:p w14:paraId="2607B279" w14:textId="77777777" w:rsidR="00942BB9" w:rsidRPr="00C83A32" w:rsidRDefault="00942BB9" w:rsidP="00942BB9">
      <w:pPr>
        <w:pStyle w:val="Text3"/>
        <w:tabs>
          <w:tab w:val="clear" w:pos="2160"/>
          <w:tab w:val="left" w:pos="567"/>
        </w:tabs>
        <w:ind w:left="0"/>
        <w:rPr>
          <w:rFonts w:eastAsia="Verdana" w:cs="Verdana"/>
        </w:rPr>
      </w:pPr>
      <w:r>
        <w:t>L-avvenimenti ta’ Ġemellaġġ ta’ Bliet iridu jinvolvu minimu ta’ 50 parteċipant dirett, li minnhom mill-inqas 25 parteċipant ikunu “parteċipanti mistiedna”. “Parteċipanti mistiedna” huma delegazzjonijiet li jivvjaġġaw minn pajjiżi sħab eliġibbli fi proġett għajr il-pajjiż li jospita avveniment ta’ Ġemellaġġ ta’ Bliet.</w:t>
      </w:r>
    </w:p>
    <w:p w14:paraId="09E75F68" w14:textId="77777777" w:rsidR="00500DB3" w:rsidRPr="00510B7E" w:rsidRDefault="00330493" w:rsidP="00510B7E">
      <w:pPr>
        <w:pStyle w:val="Heading3"/>
      </w:pPr>
      <w:bookmarkStart w:id="17" w:name="_Toc89950962"/>
      <w:r>
        <w:t>Post ġeografiku (pajjiżi fil-mira)</w:t>
      </w:r>
      <w:bookmarkEnd w:id="17"/>
    </w:p>
    <w:p w14:paraId="0C43BD80" w14:textId="6FE81E62" w:rsidR="00C76084" w:rsidRDefault="00C76084" w:rsidP="00C76084">
      <w:r>
        <w:t xml:space="preserve">Il-proposti jridu jkunu relatati ma’ attivitajiet li jseħħu fil-pajjiżi eliġibbli </w:t>
      </w:r>
      <w:r>
        <w:rPr>
          <w:i/>
        </w:rPr>
        <w:t>(ara hawn fuq)</w:t>
      </w:r>
      <w:r>
        <w:t>.</w:t>
      </w:r>
    </w:p>
    <w:p w14:paraId="2B7201A8" w14:textId="071CD026" w:rsidR="0075170E" w:rsidRDefault="0075170E" w:rsidP="0075170E">
      <w:pPr>
        <w:pStyle w:val="Text3"/>
        <w:tabs>
          <w:tab w:val="left" w:pos="567"/>
        </w:tabs>
        <w:ind w:left="0"/>
        <w:rPr>
          <w:b/>
          <w:color w:val="A50021"/>
        </w:rPr>
      </w:pPr>
      <w:r>
        <w:rPr>
          <w:b/>
          <w:color w:val="A50021"/>
        </w:rPr>
        <w:t>CERV-2022-CITIZENS-TOWN-TT – Ġemellaġġ ta’ Bliet</w:t>
      </w:r>
    </w:p>
    <w:p w14:paraId="4FB65ED9" w14:textId="729AC7F7" w:rsidR="0075170E" w:rsidRDefault="0075170E" w:rsidP="0075170E">
      <w:pPr>
        <w:pStyle w:val="Text3"/>
        <w:tabs>
          <w:tab w:val="left" w:pos="567"/>
        </w:tabs>
        <w:ind w:left="0"/>
        <w:rPr>
          <w:rFonts w:eastAsia="Verdana" w:cs="Verdana"/>
        </w:rPr>
      </w:pPr>
      <w:r>
        <w:t>l-attivitajiet iridu jsiru f’wieħed mill-pajjiżi eliġibbli li jipparteċipaw fil-proġett.</w:t>
      </w:r>
    </w:p>
    <w:p w14:paraId="22619C5A" w14:textId="1782A5E2" w:rsidR="0075170E" w:rsidRDefault="0075170E" w:rsidP="0075170E">
      <w:pPr>
        <w:pStyle w:val="Text3"/>
        <w:tabs>
          <w:tab w:val="left" w:pos="567"/>
        </w:tabs>
        <w:ind w:left="0"/>
        <w:rPr>
          <w:b/>
          <w:color w:val="A50021"/>
        </w:rPr>
      </w:pPr>
      <w:r>
        <w:rPr>
          <w:b/>
          <w:color w:val="A50021"/>
        </w:rPr>
        <w:t>CERV-2022-CITIZENS-TOWN-NT – Networks ta’ Bliet</w:t>
      </w:r>
    </w:p>
    <w:p w14:paraId="15B7E34B" w14:textId="77777777" w:rsidR="0075170E" w:rsidRDefault="0075170E" w:rsidP="0075170E">
      <w:r>
        <w:t>L-attivitajiet iridu jsiru f’mill-inqas żewġ pajjiżi eliġibbli differenti tal-programm.</w:t>
      </w:r>
    </w:p>
    <w:p w14:paraId="5ED1FBB4" w14:textId="5B3FEB91" w:rsidR="0075170E" w:rsidRDefault="00312A94" w:rsidP="00CC2315">
      <w:pPr>
        <w:pStyle w:val="Heading3"/>
      </w:pPr>
      <w:bookmarkStart w:id="18" w:name="_Toc89950963"/>
      <w:r>
        <w:t>Tul ta’ żmien</w:t>
      </w:r>
      <w:bookmarkEnd w:id="18"/>
    </w:p>
    <w:p w14:paraId="2932A4E8" w14:textId="57A7E390" w:rsidR="0075170E" w:rsidRDefault="0075170E" w:rsidP="0075170E">
      <w:pPr>
        <w:pStyle w:val="Text3"/>
        <w:tabs>
          <w:tab w:val="left" w:pos="567"/>
        </w:tabs>
        <w:ind w:left="0"/>
        <w:rPr>
          <w:b/>
          <w:color w:val="A50021"/>
        </w:rPr>
      </w:pPr>
      <w:r>
        <w:rPr>
          <w:b/>
          <w:color w:val="A50021"/>
        </w:rPr>
        <w:t>CERV-2022-CITIZENS-TOWN-TT – Ġemellaġġ ta’ Bliet</w:t>
      </w:r>
    </w:p>
    <w:p w14:paraId="16ED1FD7" w14:textId="77777777" w:rsidR="0075170E" w:rsidRDefault="0075170E" w:rsidP="0075170E">
      <w:r>
        <w:t>Il-proġetti normalment għandhom idumu sa 12-il xahar (estensjonijiet huma possibbli, jekk debitament ġustifikati u permezz ta’ emenda).</w:t>
      </w:r>
    </w:p>
    <w:p w14:paraId="21EB407E" w14:textId="02DDA381" w:rsidR="0075170E" w:rsidRDefault="0075170E" w:rsidP="0075170E">
      <w:pPr>
        <w:pStyle w:val="Text3"/>
        <w:tabs>
          <w:tab w:val="left" w:pos="567"/>
        </w:tabs>
        <w:ind w:left="0"/>
        <w:rPr>
          <w:b/>
          <w:color w:val="A50021"/>
        </w:rPr>
      </w:pPr>
      <w:r>
        <w:rPr>
          <w:b/>
          <w:color w:val="A50021"/>
        </w:rPr>
        <w:t xml:space="preserve">CERV-2022-CITIZENS-TOWN-NT – Networks ta’ Bliet </w:t>
      </w:r>
    </w:p>
    <w:p w14:paraId="5915DCE4" w14:textId="705101FA" w:rsidR="0075170E" w:rsidRPr="00163978" w:rsidRDefault="00D37706" w:rsidP="0075170E">
      <w:r>
        <w:t>Il-proġetti normalment għandhom idumu bejn 12-il xahar u 24 xahar (estensjonijiet huma possibbli, jekk debitament ġustifikati u permezz ta’ emenda).</w:t>
      </w:r>
    </w:p>
    <w:p w14:paraId="6E47F135" w14:textId="56E7A647" w:rsidR="007926FA" w:rsidRPr="00F61588" w:rsidRDefault="007926FA" w:rsidP="00510B7E">
      <w:pPr>
        <w:pStyle w:val="Heading3"/>
      </w:pPr>
      <w:bookmarkStart w:id="19" w:name="_Toc89950964"/>
      <w:r>
        <w:t>L-etika u l-valuri tal-UE</w:t>
      </w:r>
      <w:bookmarkEnd w:id="19"/>
    </w:p>
    <w:p w14:paraId="58FD832D" w14:textId="77777777" w:rsidR="007926FA" w:rsidRPr="00F61588" w:rsidRDefault="007926FA" w:rsidP="007926FA">
      <w:pPr>
        <w:pStyle w:val="Text3"/>
        <w:ind w:left="0"/>
        <w:rPr>
          <w:rFonts w:eastAsia="Calibri"/>
          <w:color w:val="000000"/>
        </w:rPr>
      </w:pPr>
      <w:r>
        <w:t>Il-proġetti jridu jikkonformaw:</w:t>
      </w:r>
    </w:p>
    <w:p w14:paraId="109E382E" w14:textId="1126BB4E" w:rsidR="00B703B7" w:rsidRPr="00F61588" w:rsidRDefault="009E08C3" w:rsidP="008B1F42">
      <w:pPr>
        <w:numPr>
          <w:ilvl w:val="0"/>
          <w:numId w:val="33"/>
        </w:numPr>
        <w:spacing w:after="120"/>
        <w:ind w:left="709"/>
        <w:jc w:val="left"/>
      </w:pPr>
      <w:r>
        <w:t xml:space="preserve">mal-ogħla standards etiċi </w:t>
      </w:r>
    </w:p>
    <w:p w14:paraId="20DE0698" w14:textId="52F85922" w:rsidR="00B703B7" w:rsidRPr="00F61588" w:rsidRDefault="00B703B7" w:rsidP="008B1F42">
      <w:pPr>
        <w:numPr>
          <w:ilvl w:val="0"/>
          <w:numId w:val="33"/>
        </w:numPr>
        <w:spacing w:after="120"/>
        <w:ind w:left="709"/>
        <w:jc w:val="left"/>
        <w:rPr>
          <w:sz w:val="24"/>
          <w:szCs w:val="24"/>
        </w:rPr>
      </w:pPr>
      <w:r>
        <w:tab/>
        <w:t xml:space="preserve">mal-valuri tal-UE bbażati fuq l-Artikolu 2 tat-Trattat dwar l-Unjoni Ewropea u l-Artikolu 21 tal-Karta tad-Drittijiet Fundamentali tal-UE u </w:t>
      </w:r>
    </w:p>
    <w:p w14:paraId="00AFAC72" w14:textId="1BDBF86B" w:rsidR="00B703B7" w:rsidRPr="00F61588" w:rsidRDefault="00B703B7" w:rsidP="008B1F42">
      <w:pPr>
        <w:numPr>
          <w:ilvl w:val="0"/>
          <w:numId w:val="33"/>
        </w:numPr>
        <w:ind w:left="709" w:hanging="357"/>
        <w:jc w:val="left"/>
        <w:rPr>
          <w:rFonts w:ascii="Calibri" w:eastAsia="Calibri" w:hAnsi="Calibri" w:cs="Calibri"/>
        </w:rPr>
      </w:pPr>
      <w:r>
        <w:t>ma’ liġijiet oħra applikabbli fil-livell tal-UE, internazzjonali u nazzjonali (inkluż ir-Regolament Ġenerali dwar il-Protezzjoni tad-</w:t>
      </w:r>
      <w:r>
        <w:rPr>
          <w:i/>
        </w:rPr>
        <w:t>Data</w:t>
      </w:r>
      <w:hyperlink r:id="rId39" w:history="1">
        <w:r>
          <w:rPr>
            <w:rStyle w:val="Hyperlink"/>
          </w:rPr>
          <w:t>2016/679</w:t>
        </w:r>
      </w:hyperlink>
      <w:r>
        <w:t>).</w:t>
      </w:r>
    </w:p>
    <w:p w14:paraId="4377E80A" w14:textId="77777777" w:rsidR="00E95AAC" w:rsidRPr="00A32077" w:rsidRDefault="00E95AAC" w:rsidP="42BB08A3">
      <w:pPr>
        <w:widowControl w:val="0"/>
        <w:rPr>
          <w:rFonts w:eastAsia="Calibri"/>
          <w:color w:val="000000"/>
        </w:rPr>
      </w:pPr>
      <w:r>
        <w:t>Il-proġetti jridu jfittxu li jippromwovu l-ugwaljanza bejn il-ġeneri u l-integrazzjoni tan-nondiskriminazzjoni f’konformità mas-</w:t>
      </w:r>
      <w:hyperlink r:id="rId40" w:history="1">
        <w:r>
          <w:rPr>
            <w:rStyle w:val="Hyperlink"/>
          </w:rPr>
          <w:t>Sett ta’ Għodod għall-Integrazzjoni tal-Perspettiva tal-Ġeneri</w:t>
        </w:r>
      </w:hyperlink>
      <w:r>
        <w:t>.</w:t>
      </w:r>
      <w:r>
        <w:rPr>
          <w:color w:val="000000"/>
        </w:rPr>
        <w:t xml:space="preserve"> </w:t>
      </w:r>
      <w:r>
        <w:t xml:space="preserve">L-attivitajiet tal-proġetti għandhom jikkontribwixxu għall-emanċipazzjoni ugwali tan-nisa u tal-irġiel fid-diversità kollha tagħhom, filwaqt li jiżguraw li dawn jiksbu l-potenzjal sħiħ tagħhom u jgawdu l-istess drittijiet </w:t>
      </w:r>
      <w:r>
        <w:rPr>
          <w:i/>
          <w:iCs/>
        </w:rPr>
        <w:t>(ara</w:t>
      </w:r>
      <w:r>
        <w:t xml:space="preserve"> </w:t>
      </w:r>
      <w:hyperlink r:id="rId41" w:anchor=":~:text=Non-discrimination%20mainstreaming%20is%20about%20%E2%80%98placing%20equality%20considerations%20at,the%20EU-%20wide%20network%20of%20specialised%20equality%20bodies%29." w:history="1">
        <w:r>
          <w:rPr>
            <w:rStyle w:val="Hyperlink"/>
            <w:i/>
            <w:iCs/>
          </w:rPr>
          <w:t>L-istrumenti għall-integrazzjoni tan-nondiskriminazzjoni, studji tal-każijiet u t-triq ’il quddiem</w:t>
        </w:r>
      </w:hyperlink>
      <w:r>
        <w:rPr>
          <w:i/>
          <w:iCs/>
        </w:rPr>
        <w:t>)</w:t>
      </w:r>
      <w:r>
        <w:t>.</w:t>
      </w:r>
      <w:r>
        <w:rPr>
          <w:color w:val="000000"/>
        </w:rPr>
        <w:t xml:space="preserve"> Dawn għandhom ifittxu wkoll li jnaqqsu l-livelli ta’ diskriminazzjoni mġarrba minn gruppi partikolari (kif ukoll dawk f’riskju ta’ diskriminazzjoni multipla) u li jtejbu l-eżiti tal-ugwaljanza għall-individwi</w:t>
      </w:r>
      <w:r w:rsidRPr="00F61588">
        <w:rPr>
          <w:rStyle w:val="FootnoteReference"/>
          <w:rFonts w:eastAsia="Calibri"/>
          <w:color w:val="000000"/>
          <w:lang w:val="en-IE" w:eastAsia="en-GB"/>
        </w:rPr>
        <w:footnoteReference w:id="18"/>
      </w:r>
      <w:r>
        <w:rPr>
          <w:color w:val="000000"/>
        </w:rPr>
        <w:t xml:space="preserve">. Il-proposti għandhom jintegraw kunsiderazzjonijiet dwar il-ġeneru u n-nondiskriminazzjoni fil-proposti u jkollhom fil-mira rappreżentanza bbilanċjata bejn il-ġeneri fit-timijiet u fl-attivitajiet tal-proġetti. </w:t>
      </w:r>
      <w:r>
        <w:t>Huwa importanti wkoll li d-</w:t>
      </w:r>
      <w:r>
        <w:rPr>
          <w:i/>
          <w:iCs/>
        </w:rPr>
        <w:t>data</w:t>
      </w:r>
      <w:r>
        <w:t xml:space="preserve"> individwali miġbura mill-benefiċjarji tiġi maqsuma skont is-sess </w:t>
      </w:r>
      <w:r>
        <w:rPr>
          <w:i/>
          <w:iCs/>
          <w:color w:val="000000"/>
        </w:rPr>
        <w:t>(</w:t>
      </w:r>
      <w:hyperlink r:id="rId42" w:history="1">
        <w:r>
          <w:rPr>
            <w:rStyle w:val="Hyperlink"/>
            <w:i/>
            <w:iCs/>
          </w:rPr>
          <w:t>data diżaggregata skont is-sess</w:t>
        </w:r>
      </w:hyperlink>
      <w:r>
        <w:rPr>
          <w:i/>
          <w:iCs/>
        </w:rPr>
        <w:t>)</w:t>
      </w:r>
      <w:r>
        <w:t xml:space="preserve">, id-diżabbiltà jew l-età kull meta dan ikun </w:t>
      </w:r>
      <w:r>
        <w:lastRenderedPageBreak/>
        <w:t>possibbli.</w:t>
      </w:r>
      <w:r>
        <w:rPr>
          <w:color w:val="000000"/>
        </w:rPr>
        <w:t xml:space="preserve"> </w:t>
      </w:r>
    </w:p>
    <w:p w14:paraId="28266E90" w14:textId="10C9CFF0" w:rsidR="00E95AAC" w:rsidRDefault="00E95AAC" w:rsidP="42BB08A3">
      <w:pPr>
        <w:widowControl w:val="0"/>
        <w:rPr>
          <w:rFonts w:eastAsia="Calibri"/>
          <w:color w:val="000000"/>
        </w:rPr>
      </w:pPr>
      <w:r>
        <w:t>Fl-applikazzjoni tagħhom, l-applikanti jridu juru li huma jirrispettaw il-prinċipji etiċi u l-valuri tal-UE bbażati fuq l-Artikolu 2 tat-Trattat dwar l-Unjoni Ewropea u l-Artikolu 21 tal-Karta tad-Drittijiet Fundamentali tal-UE.</w:t>
      </w:r>
      <w:r>
        <w:rPr>
          <w:color w:val="000000"/>
        </w:rPr>
        <w:t xml:space="preserve"> </w:t>
      </w:r>
    </w:p>
    <w:p w14:paraId="293AE190" w14:textId="10223E7A" w:rsidR="008C58B6" w:rsidRPr="00A32077" w:rsidRDefault="008C58B6" w:rsidP="42BB08A3">
      <w:pPr>
        <w:widowControl w:val="0"/>
        <w:rPr>
          <w:rFonts w:eastAsia="Calibri"/>
          <w:color w:val="000000"/>
        </w:rPr>
      </w:pPr>
      <w:r>
        <w:t xml:space="preserve">Barra minn hekk, il-parteċipanti b’attivitajiet li jinvolvu t-tfal irid ikollhom politika dwar il-protezzjoni tat-tfal li tkopri l-erba’ oqsma deskritti fi </w:t>
      </w:r>
      <w:hyperlink r:id="rId43" w:history="1">
        <w:r>
          <w:rPr>
            <w:rStyle w:val="Hyperlink"/>
          </w:rPr>
          <w:t>Standards għas-Salvagwardar tat-Tfal biex It-Tfal Jinżammu Sikuri</w:t>
        </w:r>
      </w:hyperlink>
      <w:r>
        <w:rPr>
          <w:rStyle w:val="Hyperlink"/>
          <w:color w:val="auto"/>
          <w:u w:val="none"/>
        </w:rPr>
        <w:t>.</w:t>
      </w:r>
      <w:r>
        <w:t xml:space="preserve"> Din il-politika trid tkun disponibbli online u tkun trasparenti għal kull min jiġi f’kuntatt mal-organizzazzjoni. Din trid tinkludi informazzjoni ċara dwar ir-reklutaġġ tal-persunal (inklużi trainees u voluntiera) u tinkludi kontrolli tal-isfond (skrutinju). Trid tinkludi wkoll proċeduri u regoli ċari għall-persunal, inklużi regoli ta’ rappurtar, u taħriġ kontinwu.</w:t>
      </w:r>
    </w:p>
    <w:p w14:paraId="53A471EE" w14:textId="683081E0" w:rsidR="00656CD7" w:rsidRPr="00975A34" w:rsidRDefault="007926FA" w:rsidP="000579AF">
      <w:pPr>
        <w:pStyle w:val="Heading1"/>
        <w:numPr>
          <w:ilvl w:val="0"/>
          <w:numId w:val="54"/>
        </w:numPr>
        <w:tabs>
          <w:tab w:val="left" w:pos="284"/>
        </w:tabs>
        <w:ind w:left="0" w:firstLine="0"/>
      </w:pPr>
      <w:bookmarkStart w:id="20" w:name="_Toc89950965"/>
      <w:r>
        <w:t>Kapaċità finanzjarja u operazzjonali u esklużjoni</w:t>
      </w:r>
      <w:bookmarkEnd w:id="20"/>
    </w:p>
    <w:p w14:paraId="66B3A3A8" w14:textId="77777777" w:rsidR="006E2A2A" w:rsidRPr="00510B7E" w:rsidRDefault="006E2A2A" w:rsidP="00510B7E">
      <w:pPr>
        <w:pStyle w:val="Heading3"/>
      </w:pPr>
      <w:bookmarkStart w:id="21" w:name="_Toc89950966"/>
      <w:r>
        <w:t>Kapaċità finanzjarja</w:t>
      </w:r>
      <w:bookmarkEnd w:id="21"/>
    </w:p>
    <w:p w14:paraId="149A48F6" w14:textId="77777777" w:rsidR="006E2A2A" w:rsidRPr="00163978" w:rsidRDefault="00C3565C" w:rsidP="006E2A2A">
      <w:pPr>
        <w:autoSpaceDE w:val="0"/>
        <w:autoSpaceDN w:val="0"/>
        <w:adjustRightInd w:val="0"/>
        <w:rPr>
          <w:rFonts w:cs="Verdana"/>
        </w:rPr>
      </w:pPr>
      <w:r>
        <w:t xml:space="preserve">L-applikanti jrid ikollhom </w:t>
      </w:r>
      <w:r>
        <w:rPr>
          <w:b/>
        </w:rPr>
        <w:t>riżorsi stabbli u suffiċjenti</w:t>
      </w:r>
      <w:r>
        <w:t xml:space="preserve"> biex jimplimentaw il-proġetti b’suċċess u biex jikkontribwixxu s-sehem tagħhom. L-organizzazzjonijiet li jipparteċipaw f’diversi proġetti jrid ikollhom biżżejjed kapaċità biex jimplimentaw dawn il-proġetti kollha.</w:t>
      </w:r>
    </w:p>
    <w:p w14:paraId="7DEDD28A" w14:textId="77777777" w:rsidR="006E2A2A" w:rsidRPr="00B57534" w:rsidRDefault="006E2A2A" w:rsidP="006E2A2A">
      <w:pPr>
        <w:autoSpaceDE w:val="0"/>
        <w:autoSpaceDN w:val="0"/>
        <w:adjustRightInd w:val="0"/>
        <w:rPr>
          <w:rFonts w:cs="Verdana"/>
        </w:rPr>
      </w:pPr>
      <w:r>
        <w:t>Il-kontroll tal-kapaċità finanzjarja se jitwettaq abbażi tad-dokumenti li se tintalab ittella’ fir-</w:t>
      </w:r>
      <w:hyperlink r:id="rId44" w:history="1">
        <w:r>
          <w:rPr>
            <w:rStyle w:val="Hyperlink"/>
          </w:rPr>
          <w:t>Reġistru tal-Parteċipanti</w:t>
        </w:r>
      </w:hyperlink>
      <w:r>
        <w:t xml:space="preserve"> matul it-tħejjija tal-għotja </w:t>
      </w:r>
      <w:r>
        <w:rPr>
          <w:i/>
        </w:rPr>
        <w:t>(eż. rapport tal-introjtu u karta tal-bilanċ, pjan ta’ direzzjoni tan-negozju, rapport tal-awditjar prodott minn awditur estern approvat, li jiċċertifika l-kontijiet għall-aħħar sena finanzjarja magħluqa, eċċ.)</w:t>
      </w:r>
      <w:r>
        <w:t>. L-analiżi se tkun ibbażata fuq indikaturi finanzjarji newtrali, iżda se tqis ukoll aspetti oħra, bħad-dipendenza mill-finanzjament tal-UE kif ukoll id-defiċit u d-dħul fis-snin preċedenti.</w:t>
      </w:r>
    </w:p>
    <w:p w14:paraId="27B2FBC9" w14:textId="77777777" w:rsidR="006E2A2A" w:rsidRPr="00B57534" w:rsidRDefault="00736C6F" w:rsidP="006E2A2A">
      <w:pPr>
        <w:autoSpaceDE w:val="0"/>
        <w:autoSpaceDN w:val="0"/>
        <w:adjustRightInd w:val="0"/>
        <w:spacing w:after="120"/>
        <w:rPr>
          <w:rFonts w:cs="Verdana"/>
        </w:rPr>
      </w:pPr>
      <w:r>
        <w:t xml:space="preserve">Il-kontroll normalment isir għall-applikanti kollha, ħlief: </w:t>
      </w:r>
    </w:p>
    <w:p w14:paraId="1872070B" w14:textId="6F724904" w:rsidR="006E2A2A" w:rsidRPr="00B57534" w:rsidRDefault="006E2A2A" w:rsidP="008B1F42">
      <w:pPr>
        <w:widowControl w:val="0"/>
        <w:numPr>
          <w:ilvl w:val="0"/>
          <w:numId w:val="34"/>
        </w:numPr>
        <w:spacing w:after="120"/>
        <w:ind w:left="709"/>
        <w:jc w:val="left"/>
        <w:rPr>
          <w:rFonts w:cs="Verdana"/>
        </w:rPr>
      </w:pPr>
      <w:r>
        <w:t>għal korpi pubbliċi (entitajiet stabbiliti bħala korp pubbliku skont il-liġi nazzjonali, inklużi awtoritajiet lokali, reġjonali jew nazzjonali) jew organizzazzjonijiet internazzjonali</w:t>
      </w:r>
    </w:p>
    <w:p w14:paraId="6984ED3C" w14:textId="77777777" w:rsidR="006E2A2A" w:rsidRDefault="006E2A2A" w:rsidP="008B1F42">
      <w:pPr>
        <w:widowControl w:val="0"/>
        <w:numPr>
          <w:ilvl w:val="0"/>
          <w:numId w:val="34"/>
        </w:numPr>
        <w:ind w:left="709" w:hanging="357"/>
        <w:rPr>
          <w:rFonts w:cs="Verdana"/>
        </w:rPr>
      </w:pPr>
      <w:r>
        <w:t>jekk l-ammont tal-għotja mitlub mill-individwu ma jkunx ta’ aktar minn EUR 60 000.</w:t>
      </w:r>
    </w:p>
    <w:p w14:paraId="2B8E1880" w14:textId="77777777" w:rsidR="008D31F6" w:rsidRPr="00B57534" w:rsidRDefault="008D31F6" w:rsidP="008D31F6">
      <w:pPr>
        <w:autoSpaceDE w:val="0"/>
        <w:autoSpaceDN w:val="0"/>
        <w:adjustRightInd w:val="0"/>
        <w:rPr>
          <w:rFonts w:cs="Verdana"/>
        </w:rPr>
      </w:pPr>
      <w:r>
        <w:t>Jekk meħtieġ, dan jista’ jsir ukoll għall-entitajiet affiljati.</w:t>
      </w:r>
    </w:p>
    <w:p w14:paraId="054EAA17" w14:textId="77777777" w:rsidR="006E2A2A" w:rsidRPr="00B57534" w:rsidRDefault="006E2A2A" w:rsidP="006E2A2A">
      <w:pPr>
        <w:autoSpaceDE w:val="0"/>
        <w:autoSpaceDN w:val="0"/>
        <w:adjustRightInd w:val="0"/>
        <w:spacing w:after="120"/>
        <w:rPr>
          <w:rFonts w:cs="Verdana"/>
        </w:rPr>
      </w:pPr>
      <w:r>
        <w:t>Jekk inqisu li l-kapaċità finanzjarja tiegħek mhijiex sodisfaċenti, nistgħu nirrikjedu:</w:t>
      </w:r>
    </w:p>
    <w:p w14:paraId="35DFE1B0" w14:textId="77777777" w:rsidR="006E2A2A" w:rsidRPr="00B57534" w:rsidRDefault="006E2A2A" w:rsidP="008B1F42">
      <w:pPr>
        <w:widowControl w:val="0"/>
        <w:numPr>
          <w:ilvl w:val="0"/>
          <w:numId w:val="35"/>
        </w:numPr>
        <w:spacing w:after="120"/>
        <w:jc w:val="left"/>
        <w:rPr>
          <w:rFonts w:cs="Verdana"/>
        </w:rPr>
      </w:pPr>
      <w:r>
        <w:t>aktar informazzjoni</w:t>
      </w:r>
    </w:p>
    <w:p w14:paraId="68E1F2A7" w14:textId="77777777" w:rsidR="006E2A2A" w:rsidRPr="003B1582" w:rsidRDefault="006E2A2A" w:rsidP="008B1F42">
      <w:pPr>
        <w:widowControl w:val="0"/>
        <w:numPr>
          <w:ilvl w:val="0"/>
          <w:numId w:val="35"/>
        </w:numPr>
        <w:spacing w:after="120"/>
        <w:jc w:val="left"/>
        <w:rPr>
          <w:rFonts w:cs="Verdana"/>
        </w:rPr>
      </w:pPr>
      <w:r>
        <w:t>sistema ta’ responsabbiltà finanzjarja msaħħa, jiġifieri responsabbiltà i</w:t>
      </w:r>
      <w:r>
        <w:rPr>
          <w:i/>
        </w:rPr>
        <w:t>n solidum</w:t>
      </w:r>
      <w:r>
        <w:t xml:space="preserve"> għall-benefiċjarji kollha jew obbligazzjoni </w:t>
      </w:r>
      <w:r>
        <w:rPr>
          <w:i/>
        </w:rPr>
        <w:t>in solidum</w:t>
      </w:r>
      <w:r>
        <w:t xml:space="preserve"> tal-entitajiet affiljati </w:t>
      </w:r>
      <w:r>
        <w:rPr>
          <w:i/>
        </w:rPr>
        <w:t>(ara hawn taħt, it-taqsima 10)</w:t>
      </w:r>
    </w:p>
    <w:p w14:paraId="3F26E914" w14:textId="77777777" w:rsidR="006E2A2A" w:rsidRPr="003B1582" w:rsidRDefault="006E2A2A" w:rsidP="008B1F42">
      <w:pPr>
        <w:widowControl w:val="0"/>
        <w:numPr>
          <w:ilvl w:val="0"/>
          <w:numId w:val="35"/>
        </w:numPr>
        <w:spacing w:after="120"/>
        <w:jc w:val="left"/>
        <w:rPr>
          <w:rFonts w:cs="Verdana"/>
        </w:rPr>
      </w:pPr>
      <w:r>
        <w:t xml:space="preserve">prefinanzjament imħallas bin-nifs </w:t>
      </w:r>
    </w:p>
    <w:p w14:paraId="52C87A22" w14:textId="77777777" w:rsidR="006E2A2A" w:rsidRPr="003B1582" w:rsidRDefault="006E2A2A" w:rsidP="008B1F42">
      <w:pPr>
        <w:widowControl w:val="0"/>
        <w:numPr>
          <w:ilvl w:val="0"/>
          <w:numId w:val="35"/>
        </w:numPr>
        <w:spacing w:after="120"/>
        <w:jc w:val="left"/>
        <w:rPr>
          <w:rFonts w:cs="Verdana"/>
        </w:rPr>
      </w:pPr>
      <w:r>
        <w:t xml:space="preserve">garanzija ta’ prefinanzjament (waħda jew aktar) </w:t>
      </w:r>
      <w:r>
        <w:rPr>
          <w:i/>
        </w:rPr>
        <w:t>(ara hawn taħt, it-taqsima 10)</w:t>
      </w:r>
    </w:p>
    <w:p w14:paraId="70024A55" w14:textId="77777777" w:rsidR="006E2A2A" w:rsidRPr="003B1582" w:rsidRDefault="006E2A2A" w:rsidP="006526A5">
      <w:pPr>
        <w:autoSpaceDE w:val="0"/>
        <w:autoSpaceDN w:val="0"/>
        <w:adjustRightInd w:val="0"/>
        <w:spacing w:after="120"/>
        <w:ind w:left="360"/>
        <w:rPr>
          <w:rFonts w:cs="Verdana"/>
        </w:rPr>
      </w:pPr>
      <w:r>
        <w:t>jew</w:t>
      </w:r>
    </w:p>
    <w:p w14:paraId="22EA92DF" w14:textId="77777777" w:rsidR="006E2A2A" w:rsidRPr="003B1582" w:rsidRDefault="00F82473" w:rsidP="008B1F42">
      <w:pPr>
        <w:widowControl w:val="0"/>
        <w:numPr>
          <w:ilvl w:val="0"/>
          <w:numId w:val="35"/>
        </w:numPr>
        <w:spacing w:after="120"/>
        <w:jc w:val="left"/>
        <w:rPr>
          <w:rFonts w:cs="Verdana"/>
        </w:rPr>
      </w:pPr>
      <w:r>
        <w:t>nipproponu l-ebda prefinanzjament</w:t>
      </w:r>
    </w:p>
    <w:p w14:paraId="1C112F62" w14:textId="77777777" w:rsidR="004872A5" w:rsidRPr="003B1582" w:rsidRDefault="00F82473" w:rsidP="008B1F42">
      <w:pPr>
        <w:widowControl w:val="0"/>
        <w:numPr>
          <w:ilvl w:val="0"/>
          <w:numId w:val="35"/>
        </w:numPr>
        <w:ind w:left="714" w:hanging="357"/>
        <w:jc w:val="left"/>
        <w:rPr>
          <w:rFonts w:cs="Verdana"/>
        </w:rPr>
      </w:pPr>
      <w:r>
        <w:t>talba li inti tiġi sostitwit jew, jekk meħtieġ, nirrifjutaw il-proposta kollha.</w:t>
      </w:r>
    </w:p>
    <w:p w14:paraId="51C2ADF5" w14:textId="266ECE2F" w:rsidR="004872A5" w:rsidRPr="004872A5" w:rsidRDefault="005A3754" w:rsidP="004872A5">
      <w:pPr>
        <w:autoSpaceDE w:val="0"/>
        <w:autoSpaceDN w:val="0"/>
        <w:adjustRightInd w:val="0"/>
        <w:rPr>
          <w:rFonts w:cs="Verdana"/>
        </w:rPr>
      </w:pPr>
      <w:r>
        <w:rPr>
          <w:noProof/>
          <w:lang w:val="en-IE" w:eastAsia="en-IE"/>
        </w:rPr>
        <w:lastRenderedPageBreak/>
        <w:drawing>
          <wp:inline distT="0" distB="0" distL="0" distR="0" wp14:anchorId="3DE171D9" wp14:editId="51BBA326">
            <wp:extent cx="187960" cy="187960"/>
            <wp:effectExtent l="0" t="0" r="0" b="0"/>
            <wp:docPr id="8" name="Picture 670183101" title="Title: Title: Title: https://lh5.googleusercontent.com/-n5VVWXljoCs/T8X1egaB-BI/AAAAAAAAC1I/fLBP4VIzxQM/s16/infoIcon_blue.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70183101" name="Picture 670183101" title="Title: Title: Title: https://lh5.googleusercontent.com/-n5VVWXljoCs/T8X1egaB-BI/AAAAAAAAC1I/fLBP4VIzxQM/s16/infoIcon_blue.png"/>
                    <pic:cNvPicPr/>
                  </pic:nvPicPr>
                  <pic:blipFill>
                    <a:blip r:embed="rId31">
                      <a:extLst>
                        <a:ext uri="{28A0092B-C50C-407E-A947-70E740481C1C}">
                          <a14:useLocalDpi xmlns:a14="http://schemas.microsoft.com/office/drawing/2010/main" val="0"/>
                        </a:ext>
                      </a:extLst>
                    </a:blip>
                    <a:stretch>
                      <a:fillRect/>
                    </a:stretch>
                  </pic:blipFill>
                  <pic:spPr>
                    <a:xfrm>
                      <a:off x="0" y="0"/>
                      <a:ext cx="187960" cy="187960"/>
                    </a:xfrm>
                    <a:prstGeom prst="rect">
                      <a:avLst/>
                    </a:prstGeom>
                  </pic:spPr>
                </pic:pic>
              </a:graphicData>
            </a:graphic>
          </wp:inline>
        </w:drawing>
      </w:r>
      <w:r>
        <w:t xml:space="preserve">Għal aktar informazzjoni, </w:t>
      </w:r>
      <w:r>
        <w:rPr>
          <w:i/>
          <w:iCs/>
        </w:rPr>
        <w:t>ara r-</w:t>
      </w:r>
      <w:hyperlink r:id="rId45">
        <w:r>
          <w:rPr>
            <w:rStyle w:val="Hyperlink"/>
            <w:i/>
            <w:iCs/>
          </w:rPr>
          <w:t>Regoli għall-Validazzjoni ta’ Entità Legali, il-Ħatra ta’ LEAR u l-Valutazzjoni tal-Kapaċità Finanzjarja</w:t>
        </w:r>
      </w:hyperlink>
      <w:r>
        <w:t xml:space="preserve">. </w:t>
      </w:r>
    </w:p>
    <w:p w14:paraId="3ACB9AAA" w14:textId="77777777" w:rsidR="006E2A2A" w:rsidRPr="00510B7E" w:rsidRDefault="006E2A2A" w:rsidP="00510B7E">
      <w:pPr>
        <w:pStyle w:val="Heading3"/>
      </w:pPr>
      <w:bookmarkStart w:id="22" w:name="_Toc89950967"/>
      <w:r>
        <w:t>Kapaċità operazzjonali</w:t>
      </w:r>
      <w:bookmarkEnd w:id="22"/>
    </w:p>
    <w:p w14:paraId="2FF93796" w14:textId="77777777" w:rsidR="006E2A2A" w:rsidRDefault="00C3565C" w:rsidP="006E2A2A">
      <w:pPr>
        <w:pStyle w:val="Text3"/>
        <w:ind w:left="0"/>
      </w:pPr>
      <w:r>
        <w:t xml:space="preserve">L-applikanti jrid ikollhom </w:t>
      </w:r>
      <w:r>
        <w:rPr>
          <w:b/>
          <w:bCs/>
        </w:rPr>
        <w:t xml:space="preserve">in-know-how, il-kwalifiki </w:t>
      </w:r>
      <w:r>
        <w:t>u</w:t>
      </w:r>
      <w:r>
        <w:rPr>
          <w:b/>
          <w:bCs/>
        </w:rPr>
        <w:t xml:space="preserve"> r-riżorsi</w:t>
      </w:r>
      <w:r>
        <w:t xml:space="preserve"> biex jimplimentaw b’suċċess il-proġetti u jikkontribwixxu s-sehem tagħhom (inkluż esperjenza suffiċjenti fi proġetti ta’ daqs u natura komparabbli). </w:t>
      </w:r>
    </w:p>
    <w:p w14:paraId="2201BC88" w14:textId="782EDE19" w:rsidR="00ED6A73" w:rsidRPr="000540F7" w:rsidRDefault="00B63826" w:rsidP="00B63826">
      <w:pPr>
        <w:pStyle w:val="Text3"/>
        <w:ind w:left="0"/>
      </w:pPr>
      <w:r>
        <w:t xml:space="preserve">Din il-kapaċità se tiġi vvalutata flimkien mal-kriterju għall-għoti ta’ kwalità, abbażi tal-kompetenza u l-esperjenza tal-applikanti u tat-timijiet tal-proġetti tagħhom, inklużi r-riżorsi operazzjonali (umani, tekniċi u oħrajn) jew, eċċezzjonalment, il-miżuri proposti biex din tinkiseb sa meta tibda l-implimentazzjoni tal-kompitu. </w:t>
      </w:r>
    </w:p>
    <w:p w14:paraId="4FA70017" w14:textId="4406A1FB" w:rsidR="00B63826" w:rsidRPr="000540F7" w:rsidRDefault="00B63826" w:rsidP="00B63826">
      <w:pPr>
        <w:pStyle w:val="Text3"/>
        <w:ind w:left="0"/>
        <w:rPr>
          <w:iCs/>
        </w:rPr>
      </w:pPr>
      <w:r>
        <w:t xml:space="preserve">Jekk l-evalwazzjoni tal-kriterju għall-għoti tkun pożittiva, l-applikanti jitqiesu li għandhom kapaċità operazzjonali suffiċjenti. </w:t>
      </w:r>
    </w:p>
    <w:p w14:paraId="100BC74F" w14:textId="210545B4" w:rsidR="006E2A2A" w:rsidRPr="00B57534" w:rsidRDefault="006E2A2A" w:rsidP="006E2A2A">
      <w:pPr>
        <w:pStyle w:val="Text3"/>
        <w:spacing w:after="120"/>
        <w:ind w:left="0"/>
        <w:rPr>
          <w:iCs/>
        </w:rPr>
      </w:pPr>
      <w:r>
        <w:t>L-applikanti se jkollhom juru l-kapaċità tagħhom permezz tal-informazzjoni li ġejja:</w:t>
      </w:r>
    </w:p>
    <w:p w14:paraId="2EE9C956" w14:textId="77777777" w:rsidR="006E2A2A" w:rsidRPr="008B2566" w:rsidRDefault="006E2A2A" w:rsidP="008B1F42">
      <w:pPr>
        <w:widowControl w:val="0"/>
        <w:numPr>
          <w:ilvl w:val="0"/>
          <w:numId w:val="39"/>
        </w:numPr>
        <w:spacing w:after="120"/>
        <w:ind w:left="709"/>
        <w:rPr>
          <w:iCs/>
        </w:rPr>
      </w:pPr>
      <w:r>
        <w:t>profili ġenerali (kwalifiki u esperjenzi) tal-persunal responsabbli għall-ġestjoni u l-implimentazzjoni tal-proġett</w:t>
      </w:r>
    </w:p>
    <w:p w14:paraId="59DDC574" w14:textId="11BA162A" w:rsidR="006E2A2A" w:rsidRPr="00B57534" w:rsidRDefault="003D41B5" w:rsidP="008B1F42">
      <w:pPr>
        <w:widowControl w:val="0"/>
        <w:numPr>
          <w:ilvl w:val="0"/>
          <w:numId w:val="39"/>
        </w:numPr>
        <w:spacing w:after="120"/>
        <w:ind w:left="709"/>
        <w:jc w:val="left"/>
        <w:rPr>
          <w:iCs/>
        </w:rPr>
      </w:pPr>
      <w:r>
        <w:t>deskrizzjoni tal-parteċipanti fil-konsorzju (jekk applikabbli)</w:t>
      </w:r>
    </w:p>
    <w:p w14:paraId="636FD13C" w14:textId="34E49CF9" w:rsidR="0091480A" w:rsidRPr="0049436F" w:rsidRDefault="009F0186" w:rsidP="008B1F42">
      <w:pPr>
        <w:widowControl w:val="0"/>
        <w:numPr>
          <w:ilvl w:val="0"/>
          <w:numId w:val="39"/>
        </w:numPr>
        <w:spacing w:after="120"/>
        <w:ind w:left="709"/>
        <w:jc w:val="left"/>
        <w:rPr>
          <w:iCs/>
        </w:rPr>
      </w:pPr>
      <w:r>
        <w:t>lista ta’ proġetti preċedenti (proġetti ewlenin għall-erba’ snin preċedenti).</w:t>
      </w:r>
    </w:p>
    <w:p w14:paraId="4146F9AB" w14:textId="77777777" w:rsidR="00500DB3" w:rsidRDefault="00FD4F03" w:rsidP="006E2A2A">
      <w:pPr>
        <w:pStyle w:val="Text3"/>
        <w:ind w:left="0"/>
        <w:rPr>
          <w:iCs/>
        </w:rPr>
      </w:pPr>
      <w:r>
        <w:t>Jistgħu jintalbu dokumenti ta’ sostenn addizzjonali, jekk dawn ikunu meħtieġa biex tiġi kkonfermata l-kapaċità operazzjonali ta’ xi applikant.</w:t>
      </w:r>
    </w:p>
    <w:p w14:paraId="5AE4F088" w14:textId="4829F045" w:rsidR="006E2A2A" w:rsidRDefault="006E2A2A" w:rsidP="006E2A2A">
      <w:pPr>
        <w:pStyle w:val="Text3"/>
        <w:ind w:left="0"/>
        <w:rPr>
          <w:iCs/>
        </w:rPr>
      </w:pPr>
      <w:r>
        <w:t xml:space="preserve">Il-korpi pubbliċi, l-organizzazzjonijiet tal-Istati Membri u l-organizzazzjonijiet internazzjonali huma eżentati mill-kontroll tal-kapaċità operazzjonali. </w:t>
      </w:r>
    </w:p>
    <w:p w14:paraId="66520A48" w14:textId="77777777" w:rsidR="00276AD7" w:rsidRPr="00510B7E" w:rsidRDefault="00267836" w:rsidP="00510B7E">
      <w:pPr>
        <w:pStyle w:val="Heading3"/>
      </w:pPr>
      <w:bookmarkStart w:id="23" w:name="_Toc89950968"/>
      <w:r>
        <w:t>Esklużjoni</w:t>
      </w:r>
      <w:bookmarkEnd w:id="23"/>
    </w:p>
    <w:p w14:paraId="746153C7" w14:textId="77777777" w:rsidR="00267836" w:rsidRPr="00163978" w:rsidRDefault="0030065F" w:rsidP="002B5DFF">
      <w:pPr>
        <w:pStyle w:val="Text1"/>
        <w:spacing w:after="120"/>
        <w:ind w:left="0"/>
        <w:rPr>
          <w:rFonts w:eastAsia="Calibri"/>
        </w:rPr>
      </w:pPr>
      <w:r>
        <w:t xml:space="preserve">L-applikanti li huma suġġetti għal </w:t>
      </w:r>
      <w:r>
        <w:rPr>
          <w:b/>
        </w:rPr>
        <w:t>deċiżjoni ta’ esklużjoni tal-UE</w:t>
      </w:r>
      <w:r>
        <w:t xml:space="preserve"> jew jinsabu f’waħda mis-</w:t>
      </w:r>
      <w:r>
        <w:rPr>
          <w:b/>
        </w:rPr>
        <w:t>sitwazzjonijiet ta’ esklużjoni</w:t>
      </w:r>
      <w:r>
        <w:t xml:space="preserve"> li ġejjin li jżommuhom milli jirċievu finanzjament tal-UE MA JISTGĦUX jipparteċipaw</w:t>
      </w:r>
      <w:r w:rsidR="005124D8" w:rsidRPr="00163978">
        <w:rPr>
          <w:rFonts w:eastAsia="SimSun"/>
          <w:vertAlign w:val="superscript"/>
        </w:rPr>
        <w:footnoteReference w:id="19"/>
      </w:r>
      <w:r>
        <w:t>:</w:t>
      </w:r>
    </w:p>
    <w:p w14:paraId="7DBEE11E" w14:textId="77777777" w:rsidR="00267836" w:rsidRPr="006E2A2A" w:rsidRDefault="00267836" w:rsidP="00584316">
      <w:pPr>
        <w:numPr>
          <w:ilvl w:val="3"/>
          <w:numId w:val="19"/>
        </w:numPr>
        <w:snapToGrid w:val="0"/>
        <w:spacing w:after="120"/>
        <w:ind w:left="709"/>
        <w:rPr>
          <w:rFonts w:eastAsia="Calibri"/>
        </w:rPr>
      </w:pPr>
      <w:r>
        <w:t>falliment, likwidazzjoni, assi amministrati mill-qrati, arranġament ma’ kredituri, sospensjoni ta’ attivitajiet kummerċjali jew proċeduri simili oħra (inklużi proċeduri għal persuni b’responsabbiltà illimitata għad-djun tal-applikant)</w:t>
      </w:r>
    </w:p>
    <w:p w14:paraId="1ECF36A2" w14:textId="77777777" w:rsidR="00267836" w:rsidRPr="006E2A2A" w:rsidRDefault="00267836" w:rsidP="00584316">
      <w:pPr>
        <w:numPr>
          <w:ilvl w:val="2"/>
          <w:numId w:val="20"/>
        </w:numPr>
        <w:snapToGrid w:val="0"/>
        <w:spacing w:after="120"/>
        <w:ind w:left="709"/>
        <w:rPr>
          <w:rFonts w:eastAsia="Calibri"/>
        </w:rPr>
      </w:pPr>
      <w:r>
        <w:t>fi ksur tal-obbligi tas-sigurtà soċjali jew fiskali (inkluż jekk dan ikun sar minn persuni b’responsabbiltà illimitata għad-djun tal-applikant)</w:t>
      </w:r>
    </w:p>
    <w:p w14:paraId="0E6FACB6" w14:textId="32F9B49C" w:rsidR="00267836" w:rsidRPr="00FE58D1" w:rsidRDefault="00267836" w:rsidP="00584316">
      <w:pPr>
        <w:numPr>
          <w:ilvl w:val="2"/>
          <w:numId w:val="20"/>
        </w:numPr>
        <w:snapToGrid w:val="0"/>
        <w:spacing w:after="120"/>
        <w:ind w:left="709"/>
        <w:rPr>
          <w:rFonts w:eastAsia="Calibri"/>
        </w:rPr>
      </w:pPr>
      <w:r>
        <w:t>instabu ħatja ta’ mġiba professjonali serja ħażina</w:t>
      </w:r>
      <w:r w:rsidRPr="006E2A2A">
        <w:rPr>
          <w:rFonts w:eastAsia="Calibri"/>
          <w:vertAlign w:val="superscript"/>
          <w:lang w:eastAsia="zh-CN"/>
        </w:rPr>
        <w:footnoteReference w:id="20"/>
      </w:r>
      <w:r>
        <w:t xml:space="preserve"> (inkluż jekk dan ikun sar minn persuni b’setgħat ta’ rappreżentanza, ta’ teħid ta’ deċiżjonijiet jew ta’ kontroll, minn sidien benefiċjarji jew minn persuni li huma essenzjali għall-għoti/implimentazzjoni tal-għotja) </w:t>
      </w:r>
    </w:p>
    <w:p w14:paraId="0465AD17" w14:textId="74F042D4" w:rsidR="00267836" w:rsidRPr="006E38A9" w:rsidRDefault="00FE58D1" w:rsidP="00584316">
      <w:pPr>
        <w:numPr>
          <w:ilvl w:val="2"/>
          <w:numId w:val="20"/>
        </w:numPr>
        <w:snapToGrid w:val="0"/>
        <w:spacing w:after="120"/>
        <w:ind w:left="709"/>
        <w:rPr>
          <w:rFonts w:eastAsia="Calibri"/>
        </w:rPr>
      </w:pPr>
      <w:r>
        <w:t xml:space="preserve">wettqu frodi, korruzzjoni, rabtiet ma’ organizzazzjoni kriminali, ħasil tal-flus, reati relatati mat-terroriżmu (inkluż il-finanzjament tat-terroriżmu), tħaddim tat-tfal jew traffikar ta’ bnedmin (inkluż jekk dan ikun sar minn persuni b’setgħat ta’ rappreżentanza, ta’ teħid ta’ deċiżjonijiet jew ta’ kontroll, minn sidien </w:t>
      </w:r>
      <w:r>
        <w:lastRenderedPageBreak/>
        <w:t>benefiċjarji jew minn persuni li huma essenzjali għall-għoti/implimentazzjoni tal-għotja)</w:t>
      </w:r>
    </w:p>
    <w:p w14:paraId="4BAE0C78" w14:textId="1064C024" w:rsidR="00267836" w:rsidRPr="006E38A9" w:rsidRDefault="00267836" w:rsidP="00584316">
      <w:pPr>
        <w:numPr>
          <w:ilvl w:val="1"/>
          <w:numId w:val="19"/>
        </w:numPr>
        <w:snapToGrid w:val="0"/>
        <w:spacing w:after="120"/>
        <w:ind w:left="709" w:hanging="357"/>
        <w:rPr>
          <w:rFonts w:eastAsia="Calibri"/>
        </w:rPr>
      </w:pPr>
      <w:r>
        <w:t>urew nuqqasijiet sinifikanti fil-konformità mal-obbligi ewlenin ta’ kuntratt ta’ akkwist tal-UE, ta’ ftehim ta’ għotja, premju, kuntratt espert, jew simili (inkluż jekk dan ikun sar minn persuni b’setgħat ta’ rappreżentanza, ta’ teħid ta’ deċiżjonijiet jew ta’ kontroll, minn sidien benefiċjarji jew minn persuni fiżiċi li huma essenzjali għall</w:t>
      </w:r>
      <w:r>
        <w:noBreakHyphen/>
        <w:t>għoti/implimentazzjoni tal-għotja)</w:t>
      </w:r>
    </w:p>
    <w:p w14:paraId="6F212B83" w14:textId="62D42E8A" w:rsidR="00E94DFF" w:rsidRDefault="00267836" w:rsidP="00584316">
      <w:pPr>
        <w:numPr>
          <w:ilvl w:val="1"/>
          <w:numId w:val="19"/>
        </w:numPr>
        <w:snapToGrid w:val="0"/>
        <w:ind w:left="709" w:hanging="357"/>
        <w:rPr>
          <w:rFonts w:eastAsia="Calibri"/>
        </w:rPr>
      </w:pPr>
      <w:r>
        <w:t>instabu ħatja ta’ irregolaritajiet fis-sens tal-Artikolu 1(2) tar-Regolament Nru </w:t>
      </w:r>
      <w:hyperlink r:id="rId46" w:history="1">
        <w:r>
          <w:rPr>
            <w:rStyle w:val="Hyperlink"/>
          </w:rPr>
          <w:t>2988/95</w:t>
        </w:r>
      </w:hyperlink>
      <w:r>
        <w:t xml:space="preserve"> (inkluż jekk dan ikun sar minn persuni b’setgħat ta’ rappreżentanza, ta’ teħid ta’ deċiżjonijiet jew ta’ kontroll, minn sidien benefiċjarji jew minn persuni li huma essenzjali għall</w:t>
      </w:r>
      <w:r>
        <w:noBreakHyphen/>
        <w:t>għoti/implimentazzjoni tal-għotja)</w:t>
      </w:r>
    </w:p>
    <w:p w14:paraId="668F2B36" w14:textId="65F190E1" w:rsidR="00276AD7" w:rsidRDefault="00E94DFF" w:rsidP="00584316">
      <w:pPr>
        <w:numPr>
          <w:ilvl w:val="1"/>
          <w:numId w:val="19"/>
        </w:numPr>
        <w:snapToGrid w:val="0"/>
        <w:ind w:left="709" w:hanging="357"/>
        <w:rPr>
          <w:rFonts w:eastAsia="Calibri"/>
        </w:rPr>
      </w:pPr>
      <w:r>
        <w:t>inħolqu taħt ġuriżdizzjoni differenti bl-intenzjoni li jevitaw l-obbligi fiskali, soċjali jew obbligi legali oħra fil-pajjiż tal-oriġini jew ħolqu entità oħra b’dan il-għan (inkluż jekk dan ikun sar minn persuni b’setgħat ta’ rappreżentanza, ta’ teħid ta’ deċiżjonijiet jew ta’ kontroll, minn sidien benefiċjarji jew minn persuni li huma essenzjali għall</w:t>
      </w:r>
      <w:r>
        <w:noBreakHyphen/>
        <w:t>għoti/implimentazzjoni tal-għotja).</w:t>
      </w:r>
    </w:p>
    <w:p w14:paraId="1D79A2BE" w14:textId="77777777" w:rsidR="000844D0" w:rsidRPr="00B57534" w:rsidRDefault="000844D0" w:rsidP="00F81E91">
      <w:pPr>
        <w:snapToGrid w:val="0"/>
      </w:pPr>
      <w:r>
        <w:t>L-applikanti jiġu miċħuda wkoll jekk jirriżulta li</w:t>
      </w:r>
      <w:r w:rsidR="00C9027A" w:rsidRPr="00C9027A">
        <w:rPr>
          <w:rStyle w:val="FootnoteReference"/>
          <w:rFonts w:eastAsia="Calibri"/>
          <w:lang w:eastAsia="zh-CN"/>
        </w:rPr>
        <w:footnoteReference w:id="21"/>
      </w:r>
      <w:r>
        <w:t xml:space="preserve">: </w:t>
      </w:r>
    </w:p>
    <w:p w14:paraId="6555470F" w14:textId="77777777" w:rsidR="000844D0" w:rsidRPr="004A47F3" w:rsidRDefault="00B7081A" w:rsidP="00584316">
      <w:pPr>
        <w:pStyle w:val="Default"/>
        <w:numPr>
          <w:ilvl w:val="0"/>
          <w:numId w:val="21"/>
        </w:numPr>
        <w:spacing w:after="200"/>
        <w:jc w:val="both"/>
        <w:rPr>
          <w:rFonts w:ascii="Verdana" w:hAnsi="Verdana"/>
          <w:sz w:val="20"/>
          <w:szCs w:val="20"/>
        </w:rPr>
      </w:pPr>
      <w:r>
        <w:rPr>
          <w:rFonts w:ascii="Verdana" w:hAnsi="Verdana"/>
          <w:sz w:val="20"/>
          <w:szCs w:val="20"/>
        </w:rPr>
        <w:t xml:space="preserve">matul il-proċedura tal-għoti, huma rrappreżentaw ħażin l-informazzjoni meħtieġa bħala kundizzjoni għall-parteċipazzjoni jew naqsu milli jipprovdu dik l-informazzjoni </w:t>
      </w:r>
    </w:p>
    <w:p w14:paraId="1393E75D" w14:textId="77777777" w:rsidR="00C93C87" w:rsidRDefault="00B7081A" w:rsidP="00584316">
      <w:pPr>
        <w:pStyle w:val="Default"/>
        <w:numPr>
          <w:ilvl w:val="0"/>
          <w:numId w:val="21"/>
        </w:numPr>
        <w:spacing w:after="200"/>
        <w:jc w:val="both"/>
        <w:rPr>
          <w:rFonts w:ascii="Verdana" w:hAnsi="Verdana"/>
          <w:sz w:val="20"/>
          <w:szCs w:val="20"/>
        </w:rPr>
      </w:pPr>
      <w:r>
        <w:rPr>
          <w:rFonts w:ascii="Verdana" w:hAnsi="Verdana"/>
          <w:sz w:val="20"/>
          <w:szCs w:val="20"/>
        </w:rPr>
        <w:t>kienu preċedentement involuti fit-tħejjija tas-sejħa u din tinkludi distorsjoni tal-kompetizzjoni li ma tistax tiġi rimedjata b’xi mod ieħor (kunflitt ta’ interess).</w:t>
      </w:r>
    </w:p>
    <w:p w14:paraId="52FA627E" w14:textId="6564E345" w:rsidR="0076737E" w:rsidRPr="00975A34" w:rsidRDefault="00510B7E" w:rsidP="000579AF">
      <w:pPr>
        <w:pStyle w:val="Heading1"/>
        <w:numPr>
          <w:ilvl w:val="0"/>
          <w:numId w:val="54"/>
        </w:numPr>
        <w:tabs>
          <w:tab w:val="left" w:pos="284"/>
        </w:tabs>
        <w:ind w:left="0" w:firstLine="0"/>
      </w:pPr>
      <w:bookmarkStart w:id="24" w:name="_Toc89950969"/>
      <w:r>
        <w:t>Il-proċedura ta’ evalwazzjoni u ta’ għoti</w:t>
      </w:r>
      <w:bookmarkEnd w:id="24"/>
    </w:p>
    <w:p w14:paraId="4AEDF33E" w14:textId="2A21C125" w:rsidR="001A2CE3" w:rsidRPr="001A2CE3" w:rsidRDefault="001E6C28" w:rsidP="001A2CE3">
      <w:r>
        <w:t>Il-proposti se jkollhom isegwu l-</w:t>
      </w:r>
      <w:r>
        <w:rPr>
          <w:b/>
        </w:rPr>
        <w:t>proċedura standard ta’ sottomissjoni u ta’ evalwazzjoni</w:t>
      </w:r>
      <w:r>
        <w:t xml:space="preserve"> (sottomissjoni fi stadju wieħed + evalwazzjoni fi stadju wieħed). </w:t>
      </w:r>
    </w:p>
    <w:p w14:paraId="1D076F53" w14:textId="1FE6714E" w:rsidR="00BD67F7" w:rsidRPr="00163978" w:rsidRDefault="00593F0C" w:rsidP="0015357F">
      <w:r>
        <w:rPr>
          <w:b/>
        </w:rPr>
        <w:t>Kumitat ta’ evalwazzjoni</w:t>
      </w:r>
      <w:r>
        <w:t xml:space="preserve"> (megħjun minn esperti esterni indipendenti) se jivvaluta l-applikazzjonijiet kollha. Il-proposti l-ewwel se jiġu ċċekkjati għar-rekwiżiti formali (l-ammissibilità u l-eliġibbiltà, </w:t>
      </w:r>
      <w:r>
        <w:rPr>
          <w:i/>
        </w:rPr>
        <w:t>ara t-taqsimiet 5 u 6</w:t>
      </w:r>
      <w:r>
        <w:t xml:space="preserve">). Proposti li jinsabu ammissibbli u eliġibbli se jiġu evalwati (għal kull suġġett) skont il-kapaċità operazzjonali u l-kriterji għall-għoti </w:t>
      </w:r>
      <w:r>
        <w:rPr>
          <w:i/>
        </w:rPr>
        <w:t>(ara t-taqsimiet 7 u 9)</w:t>
      </w:r>
      <w:r>
        <w:t xml:space="preserve"> u mbagħad jiġu kklassifikati skont il-punteġġi tagħhom.</w:t>
      </w:r>
    </w:p>
    <w:p w14:paraId="4BC27C4D" w14:textId="77777777" w:rsidR="00BE09D3" w:rsidRDefault="00500DB3" w:rsidP="00211623">
      <w:pPr>
        <w:autoSpaceDE w:val="0"/>
        <w:autoSpaceDN w:val="0"/>
        <w:adjustRightInd w:val="0"/>
        <w:rPr>
          <w:rFonts w:cs="Arial"/>
        </w:rPr>
      </w:pPr>
      <w:r>
        <w:t xml:space="preserve">Għal proposti bl-istess punteġġ (fi ħdan suġġett jew pakkett baġitarju), se jiġi ddefinit </w:t>
      </w:r>
      <w:r>
        <w:rPr>
          <w:b/>
        </w:rPr>
        <w:t>ordni ta’ prijorità</w:t>
      </w:r>
      <w:r>
        <w:t xml:space="preserve"> skont l-approċċ li ġej: </w:t>
      </w:r>
    </w:p>
    <w:p w14:paraId="7F276C70" w14:textId="4CF76B9F" w:rsidR="00500DB3" w:rsidRPr="009945CC" w:rsidRDefault="00BE09D3" w:rsidP="00BD5FB0">
      <w:pPr>
        <w:autoSpaceDE w:val="0"/>
        <w:autoSpaceDN w:val="0"/>
        <w:adjustRightInd w:val="0"/>
        <w:ind w:left="284"/>
        <w:rPr>
          <w:rFonts w:cs="Arial"/>
        </w:rPr>
      </w:pPr>
      <w:r>
        <w:t xml:space="preserve">Suċċessivament għal kull grupp ta’ proposti </w:t>
      </w:r>
      <w:r>
        <w:rPr>
          <w:i/>
          <w:iCs/>
        </w:rPr>
        <w:t>ex aequo</w:t>
      </w:r>
      <w:r>
        <w:t xml:space="preserve">, li jibdew bil-grupp bl-ogħla punteġġ, u jkomplu f’ordni dixxendenti: </w:t>
      </w:r>
    </w:p>
    <w:p w14:paraId="63274A2E" w14:textId="3280FD8A" w:rsidR="00500DB3" w:rsidRPr="006F137B" w:rsidRDefault="00500DB3" w:rsidP="00584316">
      <w:pPr>
        <w:numPr>
          <w:ilvl w:val="0"/>
          <w:numId w:val="30"/>
        </w:numPr>
        <w:autoSpaceDE w:val="0"/>
        <w:autoSpaceDN w:val="0"/>
        <w:adjustRightInd w:val="0"/>
        <w:ind w:left="714" w:hanging="357"/>
        <w:rPr>
          <w:rFonts w:cs="Arial"/>
        </w:rPr>
      </w:pPr>
      <w:r>
        <w:t xml:space="preserve">Il-proposti </w:t>
      </w:r>
      <w:r>
        <w:rPr>
          <w:i/>
        </w:rPr>
        <w:t>ex aequo</w:t>
      </w:r>
      <w:r>
        <w:t xml:space="preserve"> fi ħdan l-istess suġġett se jingħataw prijorità skont il-punteġġi li jkunu ngħataw għall-kriterju għall-għoti “Rilevanza”. Fejn dawn il-punteġġi jkunu ugwali, il-prijorità se tiġi bbażata fuq il-punteġġi tagħhom għall-kriterju “Kwalità”. Fejn dawn il-punteġġi jkunu ugwali, il-prijorità se tiġi bbażata fuq il-punteġġi tagħhom għall-kriterju “Impatt”. </w:t>
      </w:r>
    </w:p>
    <w:p w14:paraId="309BB099" w14:textId="0A549492" w:rsidR="00A53E20" w:rsidRDefault="00510B7E" w:rsidP="00A32077">
      <w:pPr>
        <w:shd w:val="clear" w:color="auto" w:fill="FFFFFF"/>
      </w:pPr>
      <w:r>
        <w:t>Il-proposti kollha se jiġu infurmati dwar ir-riżultat tal-evalwazzjoni (</w:t>
      </w:r>
      <w:r>
        <w:rPr>
          <w:b/>
          <w:bCs/>
        </w:rPr>
        <w:t>ittra dwar ir-riżultat tal-evalwazzjoni</w:t>
      </w:r>
      <w:r>
        <w:t xml:space="preserve">). Proposti li jiksbu suċċess se jiġu mistiedna għat-tħejjija tal-għotjiet; l-oħrajn se jitqiegħdu fil-lista ta’ riżerva jew jiġu rifjutati. </w:t>
      </w:r>
    </w:p>
    <w:p w14:paraId="300D5057" w14:textId="45043F45" w:rsidR="006004D2" w:rsidRPr="006F137B" w:rsidRDefault="005A3754" w:rsidP="006004D2">
      <w:pPr>
        <w:ind w:right="-31"/>
      </w:pPr>
      <w:r>
        <w:rPr>
          <w:noProof/>
          <w:lang w:val="en-IE" w:eastAsia="en-IE"/>
        </w:rPr>
        <w:lastRenderedPageBreak/>
        <w:drawing>
          <wp:inline distT="0" distB="0" distL="0" distR="0" wp14:anchorId="0CD967B4" wp14:editId="6D17CC44">
            <wp:extent cx="187960" cy="187960"/>
            <wp:effectExtent l="0" t="0" r="0" b="0"/>
            <wp:docPr id="9" name="Picture 5487983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48798370"/>
                    <pic:cNvPicPr>
                      <a:picLocks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87960" cy="187960"/>
                    </a:xfrm>
                    <a:prstGeom prst="rect">
                      <a:avLst/>
                    </a:prstGeom>
                    <a:noFill/>
                    <a:ln>
                      <a:noFill/>
                    </a:ln>
                  </pic:spPr>
                </pic:pic>
              </a:graphicData>
            </a:graphic>
          </wp:inline>
        </w:drawing>
      </w:r>
      <w:r>
        <w:t xml:space="preserve">L-ebda impenn għall-finanzjament — Stedina għat-tħejjija tal-għotjiet MA tikkostitwix impenn formali għall-finanzjament. Xorta waħda jkun għad fadlilna nwettqu diversi kontrolli legali qabel tingħata l-għotja: </w:t>
      </w:r>
      <w:r>
        <w:rPr>
          <w:i/>
          <w:iCs/>
        </w:rPr>
        <w:t>validazzjoni tal-entità ġuridika, kapaċità finanzjarja, kontroll ta’ esklużjoni, eċċ.</w:t>
      </w:r>
    </w:p>
    <w:p w14:paraId="3A6DC8C6" w14:textId="25AE1349" w:rsidR="002B5DFF" w:rsidRDefault="002B5DFF" w:rsidP="002B5DFF">
      <w:pPr>
        <w:ind w:right="-31"/>
      </w:pPr>
      <w:r>
        <w:t>It-</w:t>
      </w:r>
      <w:r>
        <w:rPr>
          <w:b/>
        </w:rPr>
        <w:t>tħejjija tal-għotjiet</w:t>
      </w:r>
      <w:r>
        <w:t xml:space="preserve"> tinvolvi djalogu sabiex jiġu rfinati l-aspetti tekniċi jew finanzjarji tal-proġett, u tista’ tirrikjedi informazzjoni addizzjonali min-naħa tiegħek. Dan jista’ jinkludi wkoll aġġustamenti għall-proposta biex jiġu indirizzati r-rakkomandazzjonijiet tal-kumitat ta’ evalwazzjoni jew xi tħassib ieħor. Il-konformità se tkun prekundizzjoni għall-iffirmar tal-għotja.</w:t>
      </w:r>
    </w:p>
    <w:p w14:paraId="20BC1964" w14:textId="77777777" w:rsidR="006004D2" w:rsidRPr="002B5DFF" w:rsidRDefault="006004D2" w:rsidP="002B5DFF">
      <w:pPr>
        <w:ind w:right="-31"/>
      </w:pPr>
      <w:r>
        <w:t xml:space="preserve">Jekk temmen li l-proċedura ta’ evalwazzjoni kienet difettuża, tista’ tressaq </w:t>
      </w:r>
      <w:r>
        <w:rPr>
          <w:b/>
        </w:rPr>
        <w:t>ilment</w:t>
      </w:r>
      <w:r>
        <w:t xml:space="preserve"> (skont l-iskadenzi u l-proċeduri stipulati fl-ittra dwar ir-riżultat tal-evalwazzjoni). Jekk jogħġbok osserva li n-notifiki li ma jkunux infetħu fi żmien 10 ijiem wara li jintbagħtu jitqiesu bħala li ġew aċċessati, u l-iskadenzi se jingħaddu mill-ftuħ/aċċess </w:t>
      </w:r>
      <w:r>
        <w:rPr>
          <w:i/>
        </w:rPr>
        <w:t>(ara wkoll it-</w:t>
      </w:r>
      <w:hyperlink r:id="rId47" w:history="1">
        <w:r>
          <w:rPr>
            <w:rStyle w:val="Hyperlink"/>
            <w:i/>
          </w:rPr>
          <w:t>Termini u l-Kundizzjonijiet tal-Portal għall-Finanzjament u għall-Offerti</w:t>
        </w:r>
      </w:hyperlink>
      <w:r>
        <w:rPr>
          <w:i/>
        </w:rPr>
        <w:t>)</w:t>
      </w:r>
      <w:r>
        <w:t>. Jekk jogħġbok kun konxju wkoll mill-fatt li għall-ilmenti sottomessi elettronikament, jista’ jkun hemm limitazzjonijiet fuq l-għadd ta’ karattri.</w:t>
      </w:r>
    </w:p>
    <w:p w14:paraId="6B26D36A" w14:textId="263DE822" w:rsidR="00417F25" w:rsidRPr="00975A34" w:rsidRDefault="00417F25" w:rsidP="000579AF">
      <w:pPr>
        <w:pStyle w:val="Heading1"/>
        <w:numPr>
          <w:ilvl w:val="0"/>
          <w:numId w:val="54"/>
        </w:numPr>
        <w:tabs>
          <w:tab w:val="left" w:pos="284"/>
        </w:tabs>
        <w:ind w:left="0" w:firstLine="0"/>
      </w:pPr>
      <w:bookmarkStart w:id="25" w:name="_Toc89950970"/>
      <w:r>
        <w:t>Kriterji tal-għoti</w:t>
      </w:r>
      <w:bookmarkEnd w:id="25"/>
    </w:p>
    <w:p w14:paraId="71E5D15E" w14:textId="6A12DD70" w:rsidR="00417F25" w:rsidRDefault="00510B7E" w:rsidP="00417F25">
      <w:pPr>
        <w:pStyle w:val="Text1"/>
        <w:ind w:left="0"/>
        <w:rPr>
          <w:rFonts w:cs="Arial"/>
        </w:rPr>
      </w:pPr>
      <w:r>
        <w:t>Il-</w:t>
      </w:r>
      <w:r>
        <w:rPr>
          <w:b/>
        </w:rPr>
        <w:t>kriterji għall-għoti</w:t>
      </w:r>
      <w:r>
        <w:t xml:space="preserve"> għal din is-sejħa huma kif ġej:</w:t>
      </w:r>
    </w:p>
    <w:p w14:paraId="75369EF4" w14:textId="1A7F2DAF" w:rsidR="00C3341E" w:rsidRPr="006F137B" w:rsidRDefault="00C3341E" w:rsidP="42BB08A3">
      <w:pPr>
        <w:numPr>
          <w:ilvl w:val="0"/>
          <w:numId w:val="22"/>
        </w:numPr>
        <w:spacing w:line="259" w:lineRule="auto"/>
        <w:ind w:left="720"/>
        <w:rPr>
          <w:rFonts w:cs="Arial"/>
        </w:rPr>
      </w:pPr>
      <w:r>
        <w:rPr>
          <w:b/>
          <w:bCs/>
          <w:color w:val="A50021"/>
        </w:rPr>
        <w:t xml:space="preserve">Rilevanza: </w:t>
      </w:r>
      <w:r>
        <w:t xml:space="preserve">sa liema punt il-proposta taqbel mal-prijoritajiet u l-objettivi tas-sejħa; ħtiġijiet definiti b’mod ċar u valutazzjoni robusta tal-ħtiġijiet; grupp fil-mira definit b’mod ċar, bil-perspettiva tal-ġeneru meqjusa kif xieraq; kontribut għall-kuntest strateġiku u leġiżlattiv tal-UE; dimensjoni Ewropea/tranżnazzjonali; impatt/interess għal għadd ta’ pajjiżi (pajjiżi tal-UE jew pajjiżi mhux tal-UE eliġibbli); il-possibbiltà li r-riżultati jintużaw f’pajjiżi oħra (potenzjal għat-trasferiment ta’ prattika tajba); il-potenzjal li tiġi żviluppata fiduċja reċiproka/kooperazzjoni transfruntiera. </w:t>
      </w:r>
      <w:r>
        <w:rPr>
          <w:color w:val="4AA55B"/>
          <w:sz w:val="19"/>
          <w:szCs w:val="19"/>
        </w:rPr>
        <w:t>(40 punt)</w:t>
      </w:r>
    </w:p>
    <w:p w14:paraId="0B54B54E" w14:textId="5C3C8A79" w:rsidR="0036370D" w:rsidRPr="0036370D" w:rsidRDefault="00C3341E" w:rsidP="42BB08A3">
      <w:pPr>
        <w:numPr>
          <w:ilvl w:val="0"/>
          <w:numId w:val="22"/>
        </w:numPr>
        <w:ind w:left="720"/>
        <w:rPr>
          <w:rFonts w:cs="Arial"/>
        </w:rPr>
      </w:pPr>
      <w:r>
        <w:rPr>
          <w:b/>
          <w:bCs/>
          <w:color w:val="A50021"/>
        </w:rPr>
        <w:t xml:space="preserve">Kwalità: </w:t>
      </w:r>
      <w:r>
        <w:t xml:space="preserve">ċarezza u konsistenza tal-proġett; rabtiet loġiċi bejn il-problemi, il-ħtiġijiet u s-soluzzjonijiet identifikati proposti (kunċett ta’ qafas loġiku); metodoloġija għall-implimentazzjoni tal-proġett filwaqt li titqies kif xieraq il-perspettiva tal-ġeneru (l-organizzazzjoni tax-xogħol, l-iskeda ta’ żmien, l-allokazzjoni tar-riżorsi u d-distribuzzjoni tal-kompiti bejn is-sħab, ir-riskji u l-ġestjoni tar-riskji, il-monitoraġġ u l-evalwazzjoni); il-kwistjonijiet etiċi huma indirizzati; il-fattibbiltà tal-proġett fi ħdan il-perjodu propost. </w:t>
      </w:r>
      <w:r>
        <w:rPr>
          <w:color w:val="4AA55B"/>
          <w:sz w:val="19"/>
          <w:szCs w:val="19"/>
        </w:rPr>
        <w:t>(40 punt)</w:t>
      </w:r>
    </w:p>
    <w:p w14:paraId="245A3914" w14:textId="174240EB" w:rsidR="00417F25" w:rsidRPr="0072792C" w:rsidRDefault="00C3341E" w:rsidP="42BB08A3">
      <w:pPr>
        <w:numPr>
          <w:ilvl w:val="0"/>
          <w:numId w:val="22"/>
        </w:numPr>
        <w:ind w:left="720"/>
        <w:rPr>
          <w:rFonts w:cs="Arial"/>
        </w:rPr>
      </w:pPr>
      <w:r>
        <w:rPr>
          <w:b/>
          <w:bCs/>
          <w:color w:val="A50021"/>
        </w:rPr>
        <w:t>Impatt:</w:t>
      </w:r>
      <w:r>
        <w:rPr>
          <w:color w:val="A50021"/>
        </w:rPr>
        <w:t xml:space="preserve"> </w:t>
      </w:r>
      <w:r>
        <w:t xml:space="preserve">ambizzjoni u impatt fit-tul mistenni tar-riżultati fuq il-gruppi fil-mira/il-pubbliku ġenerali; strateġija ta’ tixrid xierqa biex jiġu żgurati s-sostenibbiltà u l-impatt fit-tul; potenzjal għal effett multiplikatur pożittiv; sostenibbiltà tar-riżultati wara li jintemm il-finanzjament tal-UE. </w:t>
      </w:r>
      <w:r>
        <w:rPr>
          <w:color w:val="4AA55B"/>
          <w:sz w:val="19"/>
          <w:szCs w:val="19"/>
        </w:rPr>
        <w:t>(20 punt)</w:t>
      </w:r>
    </w:p>
    <w:tbl>
      <w:tblPr>
        <w:tblpPr w:leftFromText="180" w:rightFromText="180" w:vertAnchor="text" w:tblpX="358"/>
        <w:tblW w:w="8539" w:type="dxa"/>
        <w:tblBorders>
          <w:top w:val="single" w:sz="12" w:space="0" w:color="BFBFBF"/>
          <w:left w:val="single" w:sz="12" w:space="0" w:color="BFBFBF"/>
          <w:bottom w:val="single" w:sz="12" w:space="0" w:color="BFBFBF"/>
          <w:right w:val="single" w:sz="12" w:space="0" w:color="BFBFBF"/>
          <w:insideH w:val="single" w:sz="12" w:space="0" w:color="BFBFBF"/>
          <w:insideV w:val="single" w:sz="12" w:space="0" w:color="BFBFBF"/>
        </w:tblBorders>
        <w:tblCellMar>
          <w:left w:w="0" w:type="dxa"/>
          <w:right w:w="0" w:type="dxa"/>
        </w:tblCellMar>
        <w:tblLook w:val="04A0" w:firstRow="1" w:lastRow="0" w:firstColumn="1" w:lastColumn="0" w:noHBand="0" w:noVBand="1"/>
      </w:tblPr>
      <w:tblGrid>
        <w:gridCol w:w="5980"/>
        <w:gridCol w:w="1251"/>
        <w:gridCol w:w="1308"/>
      </w:tblGrid>
      <w:tr w:rsidR="00417F25" w14:paraId="40C13E7F" w14:textId="77777777" w:rsidTr="00A32077">
        <w:tc>
          <w:tcPr>
            <w:tcW w:w="5980" w:type="dxa"/>
            <w:tcBorders>
              <w:top w:val="single" w:sz="12" w:space="0" w:color="BFBFBF"/>
              <w:left w:val="single" w:sz="12" w:space="0" w:color="BFBFBF"/>
              <w:bottom w:val="single" w:sz="12" w:space="0" w:color="BFBFBF"/>
              <w:right w:val="single" w:sz="12" w:space="0" w:color="BFBFBF"/>
            </w:tcBorders>
            <w:shd w:val="clear" w:color="auto" w:fill="D9D9D9"/>
            <w:tcMar>
              <w:top w:w="0" w:type="dxa"/>
              <w:left w:w="108" w:type="dxa"/>
              <w:bottom w:w="0" w:type="dxa"/>
              <w:right w:w="108" w:type="dxa"/>
            </w:tcMar>
            <w:hideMark/>
          </w:tcPr>
          <w:p w14:paraId="344C7228" w14:textId="77777777" w:rsidR="00417F25" w:rsidRPr="00B85204" w:rsidRDefault="00417F25" w:rsidP="00417F25">
            <w:pPr>
              <w:spacing w:before="120" w:after="120"/>
              <w:rPr>
                <w:rFonts w:cs="Arial"/>
                <w:color w:val="595959"/>
                <w:sz w:val="16"/>
                <w:szCs w:val="16"/>
              </w:rPr>
            </w:pPr>
            <w:r>
              <w:rPr>
                <w:b/>
                <w:bCs/>
                <w:color w:val="000000"/>
                <w:sz w:val="16"/>
                <w:szCs w:val="16"/>
              </w:rPr>
              <w:t>Kriterji tal-għoti</w:t>
            </w:r>
          </w:p>
        </w:tc>
        <w:tc>
          <w:tcPr>
            <w:tcW w:w="1251" w:type="dxa"/>
            <w:tcBorders>
              <w:top w:val="single" w:sz="12" w:space="0" w:color="BFBFBF"/>
              <w:left w:val="single" w:sz="12" w:space="0" w:color="BFBFBF"/>
              <w:bottom w:val="single" w:sz="12" w:space="0" w:color="BFBFBF"/>
              <w:right w:val="single" w:sz="12" w:space="0" w:color="BFBFBF"/>
            </w:tcBorders>
            <w:shd w:val="clear" w:color="auto" w:fill="D9D9D9"/>
            <w:tcMar>
              <w:top w:w="0" w:type="dxa"/>
              <w:left w:w="108" w:type="dxa"/>
              <w:bottom w:w="0" w:type="dxa"/>
              <w:right w:w="108" w:type="dxa"/>
            </w:tcMar>
            <w:hideMark/>
          </w:tcPr>
          <w:p w14:paraId="73C443B7" w14:textId="77777777" w:rsidR="00417F25" w:rsidRPr="00B85204" w:rsidRDefault="00417F25" w:rsidP="7EABDF9A">
            <w:pPr>
              <w:spacing w:before="120" w:after="120"/>
              <w:jc w:val="center"/>
              <w:rPr>
                <w:rFonts w:cs="Arial"/>
                <w:b/>
                <w:bCs/>
                <w:color w:val="595959"/>
                <w:sz w:val="16"/>
                <w:szCs w:val="16"/>
              </w:rPr>
            </w:pPr>
            <w:r>
              <w:rPr>
                <w:b/>
                <w:bCs/>
                <w:color w:val="000000"/>
                <w:sz w:val="16"/>
                <w:szCs w:val="16"/>
              </w:rPr>
              <w:t>Punteġġ minimu meħtieġ</w:t>
            </w:r>
          </w:p>
        </w:tc>
        <w:tc>
          <w:tcPr>
            <w:tcW w:w="1308" w:type="dxa"/>
            <w:tcBorders>
              <w:top w:val="single" w:sz="12" w:space="0" w:color="BFBFBF"/>
              <w:left w:val="single" w:sz="12" w:space="0" w:color="BFBFBF"/>
              <w:bottom w:val="single" w:sz="12" w:space="0" w:color="BFBFBF"/>
              <w:right w:val="single" w:sz="12" w:space="0" w:color="BFBFBF"/>
            </w:tcBorders>
            <w:shd w:val="clear" w:color="auto" w:fill="D9D9D9"/>
            <w:tcMar>
              <w:top w:w="0" w:type="dxa"/>
              <w:left w:w="108" w:type="dxa"/>
              <w:bottom w:w="0" w:type="dxa"/>
              <w:right w:w="108" w:type="dxa"/>
            </w:tcMar>
            <w:hideMark/>
          </w:tcPr>
          <w:p w14:paraId="4B66C5DB" w14:textId="77777777" w:rsidR="00417F25" w:rsidRPr="00B85204" w:rsidRDefault="00417F25" w:rsidP="00417F25">
            <w:pPr>
              <w:spacing w:before="120" w:after="120"/>
              <w:jc w:val="center"/>
              <w:rPr>
                <w:rFonts w:cs="Arial"/>
                <w:b/>
                <w:bCs/>
                <w:color w:val="595959"/>
                <w:sz w:val="16"/>
              </w:rPr>
            </w:pPr>
            <w:r>
              <w:rPr>
                <w:b/>
                <w:bCs/>
                <w:color w:val="595959"/>
                <w:sz w:val="16"/>
              </w:rPr>
              <w:t>Punteġġ massimu</w:t>
            </w:r>
          </w:p>
        </w:tc>
      </w:tr>
      <w:tr w:rsidR="00417F25" w14:paraId="46BB364E" w14:textId="77777777" w:rsidTr="00A32077">
        <w:tc>
          <w:tcPr>
            <w:tcW w:w="5980" w:type="dxa"/>
            <w:tcBorders>
              <w:top w:val="single" w:sz="12" w:space="0" w:color="BFBFBF"/>
              <w:left w:val="single" w:sz="12" w:space="0" w:color="BFBFBF"/>
              <w:bottom w:val="single" w:sz="12" w:space="0" w:color="BFBFBF"/>
              <w:right w:val="single" w:sz="12" w:space="0" w:color="BFBFBF"/>
            </w:tcBorders>
            <w:shd w:val="clear" w:color="auto" w:fill="F2F2F2"/>
            <w:tcMar>
              <w:top w:w="0" w:type="dxa"/>
              <w:left w:w="108" w:type="dxa"/>
              <w:bottom w:w="0" w:type="dxa"/>
              <w:right w:w="108" w:type="dxa"/>
            </w:tcMar>
            <w:hideMark/>
          </w:tcPr>
          <w:p w14:paraId="5087631B" w14:textId="77777777" w:rsidR="00417F25" w:rsidRPr="00B85204" w:rsidRDefault="00417F25" w:rsidP="00417F25">
            <w:pPr>
              <w:spacing w:before="120" w:after="120"/>
              <w:rPr>
                <w:rFonts w:cs="Arial"/>
                <w:color w:val="595959"/>
                <w:sz w:val="16"/>
              </w:rPr>
            </w:pPr>
            <w:r>
              <w:rPr>
                <w:color w:val="595959"/>
                <w:sz w:val="16"/>
              </w:rPr>
              <w:t xml:space="preserve">Rilevanza </w:t>
            </w:r>
          </w:p>
        </w:tc>
        <w:tc>
          <w:tcPr>
            <w:tcW w:w="1251" w:type="dxa"/>
            <w:tcBorders>
              <w:top w:val="single" w:sz="12" w:space="0" w:color="BFBFBF"/>
              <w:left w:val="single" w:sz="12" w:space="0" w:color="BFBFBF"/>
              <w:bottom w:val="single" w:sz="12" w:space="0" w:color="BFBFBF"/>
              <w:right w:val="single" w:sz="12" w:space="0" w:color="BFBFBF"/>
            </w:tcBorders>
            <w:shd w:val="clear" w:color="auto" w:fill="F2F2F2"/>
            <w:tcMar>
              <w:top w:w="0" w:type="dxa"/>
              <w:left w:w="108" w:type="dxa"/>
              <w:bottom w:w="0" w:type="dxa"/>
              <w:right w:w="108" w:type="dxa"/>
            </w:tcMar>
            <w:hideMark/>
          </w:tcPr>
          <w:p w14:paraId="74F1DBE5" w14:textId="2917FB44" w:rsidR="00417F25" w:rsidRPr="00163978" w:rsidRDefault="77501A39" w:rsidP="006F137B">
            <w:pPr>
              <w:spacing w:before="120" w:after="120"/>
              <w:jc w:val="center"/>
              <w:rPr>
                <w:rFonts w:cs="Arial"/>
                <w:vanish/>
                <w:color w:val="595959"/>
                <w:sz w:val="16"/>
                <w:szCs w:val="16"/>
              </w:rPr>
            </w:pPr>
            <w:r>
              <w:rPr>
                <w:vanish/>
                <w:color w:val="595959"/>
                <w:sz w:val="16"/>
                <w:szCs w:val="16"/>
              </w:rPr>
              <w:t>25</w:t>
            </w:r>
          </w:p>
        </w:tc>
        <w:tc>
          <w:tcPr>
            <w:tcW w:w="1308" w:type="dxa"/>
            <w:tcBorders>
              <w:top w:val="single" w:sz="12" w:space="0" w:color="BFBFBF"/>
              <w:left w:val="single" w:sz="12" w:space="0" w:color="BFBFBF"/>
              <w:bottom w:val="single" w:sz="12" w:space="0" w:color="BFBFBF"/>
              <w:right w:val="single" w:sz="12" w:space="0" w:color="BFBFBF"/>
            </w:tcBorders>
            <w:shd w:val="clear" w:color="auto" w:fill="F2F2F2"/>
            <w:tcMar>
              <w:top w:w="0" w:type="dxa"/>
              <w:left w:w="108" w:type="dxa"/>
              <w:bottom w:w="0" w:type="dxa"/>
              <w:right w:w="108" w:type="dxa"/>
            </w:tcMar>
            <w:hideMark/>
          </w:tcPr>
          <w:p w14:paraId="7D8DDF44" w14:textId="10FBECA7" w:rsidR="00417F25" w:rsidRPr="00163978" w:rsidRDefault="7A1506A9" w:rsidP="006F137B">
            <w:pPr>
              <w:spacing w:before="120" w:after="120" w:line="259" w:lineRule="auto"/>
              <w:jc w:val="center"/>
              <w:rPr>
                <w:vanish/>
                <w:sz w:val="16"/>
                <w:szCs w:val="16"/>
              </w:rPr>
            </w:pPr>
            <w:r>
              <w:rPr>
                <w:vanish/>
                <w:color w:val="000000"/>
                <w:sz w:val="16"/>
                <w:szCs w:val="16"/>
              </w:rPr>
              <w:t>40</w:t>
            </w:r>
          </w:p>
        </w:tc>
      </w:tr>
      <w:tr w:rsidR="00417F25" w14:paraId="3973431E" w14:textId="77777777" w:rsidTr="00A32077">
        <w:tc>
          <w:tcPr>
            <w:tcW w:w="5980" w:type="dxa"/>
            <w:tcBorders>
              <w:top w:val="single" w:sz="12" w:space="0" w:color="BFBFBF"/>
              <w:left w:val="single" w:sz="12" w:space="0" w:color="BFBFBF"/>
              <w:bottom w:val="single" w:sz="12" w:space="0" w:color="BFBFBF"/>
              <w:right w:val="single" w:sz="12" w:space="0" w:color="BFBFBF"/>
            </w:tcBorders>
            <w:shd w:val="clear" w:color="auto" w:fill="F2F2F2"/>
            <w:tcMar>
              <w:top w:w="0" w:type="dxa"/>
              <w:left w:w="108" w:type="dxa"/>
              <w:bottom w:w="0" w:type="dxa"/>
              <w:right w:w="108" w:type="dxa"/>
            </w:tcMar>
            <w:hideMark/>
          </w:tcPr>
          <w:p w14:paraId="171F18E4" w14:textId="77777777" w:rsidR="00417F25" w:rsidRPr="00B85204" w:rsidRDefault="00417F25" w:rsidP="00417F25">
            <w:pPr>
              <w:spacing w:before="120" w:after="120"/>
              <w:rPr>
                <w:rFonts w:cs="Arial"/>
                <w:color w:val="595959"/>
                <w:sz w:val="16"/>
                <w:vertAlign w:val="superscript"/>
              </w:rPr>
            </w:pPr>
            <w:r>
              <w:rPr>
                <w:color w:val="595959"/>
                <w:sz w:val="16"/>
              </w:rPr>
              <w:t>Kwalità — Tfassil u implimentazzjoni tal-proġett</w:t>
            </w:r>
          </w:p>
        </w:tc>
        <w:tc>
          <w:tcPr>
            <w:tcW w:w="1251" w:type="dxa"/>
            <w:tcBorders>
              <w:top w:val="single" w:sz="12" w:space="0" w:color="BFBFBF"/>
              <w:left w:val="single" w:sz="12" w:space="0" w:color="BFBFBF"/>
              <w:bottom w:val="single" w:sz="12" w:space="0" w:color="BFBFBF"/>
              <w:right w:val="single" w:sz="12" w:space="0" w:color="BFBFBF"/>
            </w:tcBorders>
            <w:shd w:val="clear" w:color="auto" w:fill="F2F2F2"/>
            <w:tcMar>
              <w:top w:w="0" w:type="dxa"/>
              <w:left w:w="108" w:type="dxa"/>
              <w:bottom w:w="0" w:type="dxa"/>
              <w:right w:w="108" w:type="dxa"/>
            </w:tcMar>
            <w:hideMark/>
          </w:tcPr>
          <w:p w14:paraId="1F0AB268" w14:textId="46CF4D50" w:rsidR="00417F25" w:rsidRPr="00A32077" w:rsidRDefault="001411B2" w:rsidP="42BB08A3">
            <w:pPr>
              <w:spacing w:before="120" w:after="120"/>
              <w:jc w:val="center"/>
              <w:rPr>
                <w:rFonts w:cs="Arial"/>
                <w:color w:val="595959"/>
                <w:sz w:val="16"/>
                <w:szCs w:val="16"/>
              </w:rPr>
            </w:pPr>
            <w:r>
              <w:rPr>
                <w:color w:val="000000"/>
                <w:sz w:val="16"/>
                <w:szCs w:val="16"/>
              </w:rPr>
              <w:t>mhux disponibbli</w:t>
            </w:r>
          </w:p>
        </w:tc>
        <w:tc>
          <w:tcPr>
            <w:tcW w:w="1308" w:type="dxa"/>
            <w:tcBorders>
              <w:top w:val="single" w:sz="12" w:space="0" w:color="BFBFBF"/>
              <w:left w:val="single" w:sz="12" w:space="0" w:color="BFBFBF"/>
              <w:bottom w:val="single" w:sz="12" w:space="0" w:color="BFBFBF"/>
              <w:right w:val="single" w:sz="12" w:space="0" w:color="BFBFBF"/>
            </w:tcBorders>
            <w:shd w:val="clear" w:color="auto" w:fill="F2F2F2"/>
            <w:tcMar>
              <w:top w:w="0" w:type="dxa"/>
              <w:left w:w="108" w:type="dxa"/>
              <w:bottom w:w="0" w:type="dxa"/>
              <w:right w:w="108" w:type="dxa"/>
            </w:tcMar>
            <w:hideMark/>
          </w:tcPr>
          <w:p w14:paraId="786AEF82" w14:textId="36F0E958" w:rsidR="00417F25" w:rsidRPr="00163978" w:rsidRDefault="5A0A8866" w:rsidP="00142C5E">
            <w:pPr>
              <w:spacing w:before="120" w:after="120" w:line="259" w:lineRule="auto"/>
              <w:jc w:val="center"/>
              <w:rPr>
                <w:vanish/>
                <w:sz w:val="16"/>
                <w:szCs w:val="16"/>
              </w:rPr>
            </w:pPr>
            <w:r>
              <w:rPr>
                <w:vanish/>
                <w:color w:val="595959"/>
                <w:sz w:val="16"/>
                <w:szCs w:val="16"/>
              </w:rPr>
              <w:t>40</w:t>
            </w:r>
          </w:p>
        </w:tc>
      </w:tr>
      <w:tr w:rsidR="00417F25" w14:paraId="57E68FC8" w14:textId="77777777" w:rsidTr="00A32077">
        <w:tc>
          <w:tcPr>
            <w:tcW w:w="5980" w:type="dxa"/>
            <w:tcBorders>
              <w:top w:val="single" w:sz="12" w:space="0" w:color="BFBFBF"/>
              <w:left w:val="single" w:sz="12" w:space="0" w:color="BFBFBF"/>
              <w:bottom w:val="single" w:sz="12" w:space="0" w:color="BFBFBF"/>
              <w:right w:val="single" w:sz="12" w:space="0" w:color="BFBFBF"/>
            </w:tcBorders>
            <w:shd w:val="clear" w:color="auto" w:fill="F2F2F2"/>
            <w:tcMar>
              <w:top w:w="0" w:type="dxa"/>
              <w:left w:w="108" w:type="dxa"/>
              <w:bottom w:w="0" w:type="dxa"/>
              <w:right w:w="108" w:type="dxa"/>
            </w:tcMar>
          </w:tcPr>
          <w:p w14:paraId="15E2972A" w14:textId="77777777" w:rsidR="00417F25" w:rsidRPr="00B85204" w:rsidRDefault="00417F25" w:rsidP="00417F25">
            <w:pPr>
              <w:spacing w:before="120" w:after="120"/>
              <w:rPr>
                <w:rFonts w:cs="Arial"/>
                <w:color w:val="595959"/>
                <w:sz w:val="16"/>
              </w:rPr>
            </w:pPr>
            <w:r>
              <w:rPr>
                <w:color w:val="595959"/>
                <w:sz w:val="16"/>
              </w:rPr>
              <w:t>Impatt</w:t>
            </w:r>
          </w:p>
        </w:tc>
        <w:tc>
          <w:tcPr>
            <w:tcW w:w="1251" w:type="dxa"/>
            <w:tcBorders>
              <w:top w:val="single" w:sz="12" w:space="0" w:color="BFBFBF"/>
              <w:left w:val="single" w:sz="12" w:space="0" w:color="BFBFBF"/>
              <w:bottom w:val="single" w:sz="12" w:space="0" w:color="BFBFBF"/>
              <w:right w:val="single" w:sz="12" w:space="0" w:color="BFBFBF"/>
            </w:tcBorders>
            <w:shd w:val="clear" w:color="auto" w:fill="F2F2F2"/>
            <w:tcMar>
              <w:top w:w="0" w:type="dxa"/>
              <w:left w:w="108" w:type="dxa"/>
              <w:bottom w:w="0" w:type="dxa"/>
              <w:right w:w="108" w:type="dxa"/>
            </w:tcMar>
          </w:tcPr>
          <w:p w14:paraId="30CDE1C1" w14:textId="639251E3" w:rsidR="00417F25" w:rsidRPr="00A32077" w:rsidRDefault="001411B2" w:rsidP="42BB08A3">
            <w:pPr>
              <w:spacing w:before="120" w:after="120"/>
              <w:jc w:val="center"/>
              <w:rPr>
                <w:rFonts w:cs="Arial"/>
                <w:color w:val="595959"/>
                <w:sz w:val="16"/>
                <w:szCs w:val="16"/>
              </w:rPr>
            </w:pPr>
            <w:r>
              <w:rPr>
                <w:color w:val="000000"/>
                <w:sz w:val="16"/>
                <w:szCs w:val="16"/>
              </w:rPr>
              <w:t>mhux disponibbli</w:t>
            </w:r>
          </w:p>
        </w:tc>
        <w:tc>
          <w:tcPr>
            <w:tcW w:w="1308" w:type="dxa"/>
            <w:tcBorders>
              <w:top w:val="single" w:sz="12" w:space="0" w:color="BFBFBF"/>
              <w:left w:val="single" w:sz="12" w:space="0" w:color="BFBFBF"/>
              <w:bottom w:val="single" w:sz="12" w:space="0" w:color="BFBFBF"/>
              <w:right w:val="single" w:sz="12" w:space="0" w:color="BFBFBF"/>
            </w:tcBorders>
            <w:shd w:val="clear" w:color="auto" w:fill="F2F2F2"/>
            <w:tcMar>
              <w:top w:w="0" w:type="dxa"/>
              <w:left w:w="108" w:type="dxa"/>
              <w:bottom w:w="0" w:type="dxa"/>
              <w:right w:w="108" w:type="dxa"/>
            </w:tcMar>
          </w:tcPr>
          <w:p w14:paraId="655A6521" w14:textId="70DB36AF" w:rsidR="00417F25" w:rsidRPr="00163978" w:rsidRDefault="1689B5CD" w:rsidP="00142C5E">
            <w:pPr>
              <w:spacing w:before="120" w:after="120" w:line="259" w:lineRule="auto"/>
              <w:jc w:val="center"/>
              <w:rPr>
                <w:vanish/>
                <w:sz w:val="16"/>
                <w:szCs w:val="16"/>
              </w:rPr>
            </w:pPr>
            <w:r>
              <w:rPr>
                <w:vanish/>
                <w:color w:val="595959"/>
                <w:sz w:val="16"/>
                <w:szCs w:val="16"/>
              </w:rPr>
              <w:t>20</w:t>
            </w:r>
          </w:p>
        </w:tc>
      </w:tr>
      <w:tr w:rsidR="00417F25" w14:paraId="112E5C23" w14:textId="77777777" w:rsidTr="00A32077">
        <w:tc>
          <w:tcPr>
            <w:tcW w:w="5980" w:type="dxa"/>
            <w:tcBorders>
              <w:top w:val="single" w:sz="12" w:space="0" w:color="BFBFBF"/>
              <w:left w:val="single" w:sz="12" w:space="0" w:color="BFBFBF"/>
              <w:bottom w:val="single" w:sz="12" w:space="0" w:color="BFBFBF"/>
              <w:right w:val="single" w:sz="12" w:space="0" w:color="BFBFBF"/>
            </w:tcBorders>
            <w:shd w:val="clear" w:color="auto" w:fill="D9D9D9"/>
            <w:tcMar>
              <w:top w:w="0" w:type="dxa"/>
              <w:left w:w="108" w:type="dxa"/>
              <w:bottom w:w="0" w:type="dxa"/>
              <w:right w:w="108" w:type="dxa"/>
            </w:tcMar>
            <w:hideMark/>
          </w:tcPr>
          <w:p w14:paraId="4326E1F8" w14:textId="77777777" w:rsidR="00417F25" w:rsidRPr="00B85204" w:rsidRDefault="00417F25" w:rsidP="00417F25">
            <w:pPr>
              <w:spacing w:before="120" w:after="120"/>
              <w:rPr>
                <w:rFonts w:cs="Arial"/>
                <w:color w:val="595959"/>
                <w:sz w:val="16"/>
              </w:rPr>
            </w:pPr>
            <w:r>
              <w:rPr>
                <w:b/>
                <w:bCs/>
                <w:color w:val="595959"/>
                <w:sz w:val="16"/>
              </w:rPr>
              <w:t>Punteġġi globali (meħtieġa)</w:t>
            </w:r>
          </w:p>
        </w:tc>
        <w:tc>
          <w:tcPr>
            <w:tcW w:w="1251" w:type="dxa"/>
            <w:tcBorders>
              <w:top w:val="single" w:sz="12" w:space="0" w:color="BFBFBF"/>
              <w:left w:val="single" w:sz="12" w:space="0" w:color="BFBFBF"/>
              <w:bottom w:val="single" w:sz="12" w:space="0" w:color="BFBFBF"/>
              <w:right w:val="single" w:sz="12" w:space="0" w:color="BFBFBF"/>
            </w:tcBorders>
            <w:shd w:val="clear" w:color="auto" w:fill="D9D9D9"/>
            <w:tcMar>
              <w:top w:w="0" w:type="dxa"/>
              <w:left w:w="108" w:type="dxa"/>
              <w:bottom w:w="0" w:type="dxa"/>
              <w:right w:w="108" w:type="dxa"/>
            </w:tcMar>
            <w:hideMark/>
          </w:tcPr>
          <w:p w14:paraId="45B7B9AA" w14:textId="77777777" w:rsidR="00417F25" w:rsidRPr="00163978" w:rsidRDefault="00417F25" w:rsidP="00417F25">
            <w:pPr>
              <w:spacing w:before="120" w:after="120"/>
              <w:jc w:val="center"/>
              <w:rPr>
                <w:rFonts w:cs="Arial"/>
                <w:vanish/>
                <w:color w:val="595959"/>
                <w:sz w:val="16"/>
                <w:szCs w:val="16"/>
              </w:rPr>
            </w:pPr>
            <w:r>
              <w:rPr>
                <w:b/>
                <w:bCs/>
                <w:vanish/>
                <w:color w:val="000000"/>
                <w:sz w:val="16"/>
                <w:szCs w:val="16"/>
                <w:lang w:eastAsia="en-GB"/>
              </w:rPr>
              <w:t>70</w:t>
            </w:r>
          </w:p>
        </w:tc>
        <w:tc>
          <w:tcPr>
            <w:tcW w:w="1308" w:type="dxa"/>
            <w:tcBorders>
              <w:top w:val="single" w:sz="12" w:space="0" w:color="BFBFBF"/>
              <w:left w:val="single" w:sz="12" w:space="0" w:color="BFBFBF"/>
              <w:bottom w:val="single" w:sz="12" w:space="0" w:color="BFBFBF"/>
              <w:right w:val="single" w:sz="12" w:space="0" w:color="BFBFBF"/>
            </w:tcBorders>
            <w:shd w:val="clear" w:color="auto" w:fill="D9D9D9"/>
            <w:tcMar>
              <w:top w:w="0" w:type="dxa"/>
              <w:left w:w="108" w:type="dxa"/>
              <w:bottom w:w="0" w:type="dxa"/>
              <w:right w:w="108" w:type="dxa"/>
            </w:tcMar>
            <w:hideMark/>
          </w:tcPr>
          <w:p w14:paraId="345A8F0B" w14:textId="77777777" w:rsidR="00417F25" w:rsidRPr="00163978" w:rsidRDefault="00417F25" w:rsidP="00417F25">
            <w:pPr>
              <w:spacing w:before="120" w:after="120"/>
              <w:jc w:val="center"/>
              <w:rPr>
                <w:rFonts w:cs="Arial"/>
                <w:b/>
                <w:bCs/>
                <w:vanish/>
                <w:color w:val="595959"/>
                <w:sz w:val="16"/>
              </w:rPr>
            </w:pPr>
            <w:r>
              <w:rPr>
                <w:b/>
                <w:bCs/>
                <w:vanish/>
                <w:color w:val="595959"/>
                <w:sz w:val="16"/>
              </w:rPr>
              <w:t>100</w:t>
            </w:r>
          </w:p>
        </w:tc>
      </w:tr>
    </w:tbl>
    <w:p w14:paraId="3A91549A" w14:textId="77777777" w:rsidR="00417F25" w:rsidRDefault="00417F25" w:rsidP="00417F25">
      <w:pPr>
        <w:pStyle w:val="Text1"/>
        <w:ind w:left="0"/>
        <w:rPr>
          <w:rFonts w:cs="Arial"/>
          <w:lang w:eastAsia="en-GB"/>
        </w:rPr>
      </w:pPr>
    </w:p>
    <w:p w14:paraId="74676006" w14:textId="77777777" w:rsidR="00417F25" w:rsidRPr="00142C5E" w:rsidRDefault="00417F25" w:rsidP="00417F25">
      <w:pPr>
        <w:pStyle w:val="Text1"/>
        <w:ind w:left="0"/>
        <w:rPr>
          <w:rFonts w:cs="Arial"/>
        </w:rPr>
      </w:pPr>
      <w:r>
        <w:t>Punti massimi: 100 punt.</w:t>
      </w:r>
    </w:p>
    <w:p w14:paraId="54D540AD" w14:textId="25B25F2B" w:rsidR="00417F25" w:rsidRPr="00142C5E" w:rsidRDefault="00417F25" w:rsidP="42BB08A3">
      <w:pPr>
        <w:pStyle w:val="Text1"/>
        <w:ind w:left="0"/>
        <w:rPr>
          <w:rFonts w:cs="Arial"/>
        </w:rPr>
      </w:pPr>
      <w:r>
        <w:t>Soll individwali għall-kriterju “Rilevanza”: 25/40 punt.</w:t>
      </w:r>
    </w:p>
    <w:p w14:paraId="088F1A3D" w14:textId="77777777" w:rsidR="00417F25" w:rsidRDefault="00417F25" w:rsidP="00417F25">
      <w:pPr>
        <w:pStyle w:val="Text1"/>
        <w:ind w:left="0"/>
        <w:rPr>
          <w:rFonts w:cs="Arial"/>
        </w:rPr>
      </w:pPr>
      <w:r>
        <w:t xml:space="preserve">Soll globali: 70 punt. </w:t>
      </w:r>
    </w:p>
    <w:p w14:paraId="743867A2" w14:textId="5FB32EC7" w:rsidR="00417F25" w:rsidRDefault="000A7529" w:rsidP="42BB08A3">
      <w:pPr>
        <w:pStyle w:val="Text1"/>
        <w:ind w:left="0"/>
        <w:rPr>
          <w:rFonts w:cs="Arial"/>
        </w:rPr>
      </w:pPr>
      <w:r>
        <w:t xml:space="preserve">Il-proposti li jaqbżu s-soll individwali għall-kriterju “Rilevanza” U s-soll globali se jitqiesu għall-finanzjament — fi ħdan il-limiti tal-baġit tas-sejħa disponibbli. Proposti oħra se jiġu rifjutati. </w:t>
      </w:r>
    </w:p>
    <w:p w14:paraId="32ECB61A" w14:textId="407D4955" w:rsidR="00276AD7" w:rsidRPr="00975A34" w:rsidRDefault="00276AD7" w:rsidP="000579AF">
      <w:pPr>
        <w:pStyle w:val="Heading1"/>
        <w:numPr>
          <w:ilvl w:val="0"/>
          <w:numId w:val="54"/>
        </w:numPr>
        <w:tabs>
          <w:tab w:val="left" w:pos="426"/>
        </w:tabs>
        <w:ind w:left="0" w:firstLine="0"/>
      </w:pPr>
      <w:bookmarkStart w:id="26" w:name="_Toc89950971"/>
      <w:r>
        <w:t>L-istruttura legali u finanzjarja tal-Ftehimiet ta’ Għotja</w:t>
      </w:r>
      <w:bookmarkEnd w:id="26"/>
    </w:p>
    <w:p w14:paraId="3E12CDD9" w14:textId="77777777" w:rsidR="00F468B9" w:rsidRPr="00F468B9" w:rsidRDefault="00510B7E" w:rsidP="00F468B9">
      <w:r>
        <w:t xml:space="preserve">Jekk tgħaddi mill-evalwazzjoni, il-proġett tiegħek se jiġi mistieden għat-tħejjija tal-għotja, fejn se tintalab tħejji l-Ftehim ta’ Għotja flimkien mal-Uffiċjal tal-Proġett tal-UE. </w:t>
      </w:r>
    </w:p>
    <w:p w14:paraId="726FE5D4" w14:textId="77777777" w:rsidR="00A55E10" w:rsidRDefault="009A4762" w:rsidP="00F468B9">
      <w:r>
        <w:t xml:space="preserve">Dan il-Ftehim ta’ Għotja se jistabbilixxi l-qafas għall-għotja tiegħek kif ukoll it-termini u l-kundizzjonijiet tagħha, b’mod partikolari rigward ir-riżultati tanġibbli, ir-rappurtar u l-pagamenti. </w:t>
      </w:r>
    </w:p>
    <w:p w14:paraId="49D0FAB7" w14:textId="77777777" w:rsidR="00F468B9" w:rsidRPr="009A4762" w:rsidRDefault="004E3F9E" w:rsidP="00F468B9">
      <w:r>
        <w:t>Il-Mudell tal-Ftehim ta’ Għotja li se jintuża (u l-mudelli rilevanti l-oħra kollha u d-dokumenti ta’ gwida) jinsabu fid-</w:t>
      </w:r>
      <w:hyperlink r:id="rId48" w:history="1">
        <w:r>
          <w:rPr>
            <w:rStyle w:val="Hyperlink"/>
          </w:rPr>
          <w:t>Dokumenti ta’ Referenza tal-Portal</w:t>
        </w:r>
      </w:hyperlink>
      <w:r>
        <w:t>.</w:t>
      </w:r>
    </w:p>
    <w:p w14:paraId="712F0C54" w14:textId="77777777" w:rsidR="00F468B9" w:rsidRPr="00510B7E" w:rsidRDefault="00EF5018" w:rsidP="00510B7E">
      <w:pPr>
        <w:pStyle w:val="Heading3"/>
      </w:pPr>
      <w:bookmarkStart w:id="27" w:name="_Toc89950972"/>
      <w:r>
        <w:t>Data tal-bidu u tul ta’ żmien tal-proġett</w:t>
      </w:r>
      <w:bookmarkEnd w:id="27"/>
      <w:r>
        <w:t xml:space="preserve"> </w:t>
      </w:r>
    </w:p>
    <w:p w14:paraId="34F8E827" w14:textId="193AA9A8" w:rsidR="00EF5018" w:rsidRDefault="00EF5018" w:rsidP="00EF5018">
      <w:r>
        <w:t xml:space="preserve">Id-data tal-bidu u d-durata tal-proġett se jiġu stabbiliti fil-Ftehim ta’ Għotja </w:t>
      </w:r>
      <w:r>
        <w:rPr>
          <w:i/>
          <w:iCs/>
        </w:rPr>
        <w:t>(Skeda ta’ Data, punt 1)</w:t>
      </w:r>
      <w:r>
        <w:t>. Normalment id-data tal-bidu tkun wara l-iffirmar tal-għotja. F’każijiet eċċezzjonali tista’ ssir konċessjoni għal applikazzjoni retroattiva għal raġunijiet debitament ġustifikati — iżda qatt qabel id-data tas-sottomissjoni tal-proposta.</w:t>
      </w:r>
    </w:p>
    <w:p w14:paraId="15D66063" w14:textId="51D1D632" w:rsidR="00CB07A3" w:rsidRDefault="00CB07A3" w:rsidP="00EF5018">
      <w:pPr>
        <w:rPr>
          <w:rFonts w:cs="Arial"/>
        </w:rPr>
      </w:pPr>
      <w:r>
        <w:t xml:space="preserve">Durata tal-proġett: </w:t>
      </w:r>
    </w:p>
    <w:p w14:paraId="2429D9A2" w14:textId="7FD8DB37" w:rsidR="00273AA8" w:rsidRPr="00C83A32" w:rsidRDefault="00273AA8" w:rsidP="00273AA8">
      <w:pPr>
        <w:rPr>
          <w:rFonts w:cs="Arial"/>
        </w:rPr>
      </w:pPr>
      <w:r>
        <w:rPr>
          <w:color w:val="A50021"/>
        </w:rPr>
        <w:t>CERV-2022-CITIZENS-TOWN-TT – Ġemellaġġ ta’ Bliet:</w:t>
      </w:r>
      <w:r>
        <w:t xml:space="preserve"> sa 12-il xahar.</w:t>
      </w:r>
    </w:p>
    <w:p w14:paraId="748ED34C" w14:textId="21136B02" w:rsidR="00273AA8" w:rsidRDefault="00273AA8" w:rsidP="00273AA8">
      <w:pPr>
        <w:rPr>
          <w:rFonts w:cs="Arial"/>
        </w:rPr>
      </w:pPr>
      <w:r>
        <w:rPr>
          <w:color w:val="A50021"/>
        </w:rPr>
        <w:t>CERV-2022-CITIZENS-TOWN-NT – Networks ta’ Bliet:</w:t>
      </w:r>
      <w:r>
        <w:t xml:space="preserve"> bejn 12-il xahar u 24 xahar. </w:t>
      </w:r>
    </w:p>
    <w:p w14:paraId="264CF456" w14:textId="407B2FF3" w:rsidR="00273AA8" w:rsidRDefault="00273AA8" w:rsidP="00273AA8">
      <w:pPr>
        <w:rPr>
          <w:rFonts w:cs="Arial"/>
        </w:rPr>
      </w:pPr>
      <w:r>
        <w:t>(Estensjonijiet se jkunu possibbli f’każijiet eċċezzjonali biss, għal raġunijiet debitament ġustifikati u permezz ta’ emenda).</w:t>
      </w:r>
    </w:p>
    <w:p w14:paraId="77CA20A6" w14:textId="77777777" w:rsidR="002D1390" w:rsidRPr="0019779F" w:rsidRDefault="002D1390" w:rsidP="00510B7E">
      <w:pPr>
        <w:pStyle w:val="Heading3"/>
      </w:pPr>
      <w:bookmarkStart w:id="28" w:name="_Toc89950973"/>
      <w:r>
        <w:t>Stadji importanti u riżultati tanġibbli</w:t>
      </w:r>
      <w:bookmarkEnd w:id="28"/>
    </w:p>
    <w:p w14:paraId="2053727F" w14:textId="77777777" w:rsidR="002D1390" w:rsidRDefault="002D1390" w:rsidP="002D1390">
      <w:pPr>
        <w:rPr>
          <w:rFonts w:cs="Arial"/>
        </w:rPr>
      </w:pPr>
      <w:r>
        <w:t>L-istadji importanti u r-riżultati tanġibbli għal kull proġett se jiġu mmaniġġjati permezz tas-Sistema ta’ Ġestjoni tal-Għotjiet tal-Portal u se jiġu riflessi fl-Anness 1 tal-Ftehim ta’ Għotja.</w:t>
      </w:r>
    </w:p>
    <w:p w14:paraId="14B285DB" w14:textId="77777777" w:rsidR="00F468B9" w:rsidRPr="0019779F" w:rsidRDefault="00D20E76" w:rsidP="00510B7E">
      <w:pPr>
        <w:pStyle w:val="Heading3"/>
      </w:pPr>
      <w:bookmarkStart w:id="29" w:name="_Toc89950974"/>
      <w:r>
        <w:t>Il-forma tal-għotja, ir-rata ta’ finanzjament u l-ammont massimu tal-għotja</w:t>
      </w:r>
      <w:bookmarkEnd w:id="29"/>
    </w:p>
    <w:p w14:paraId="1FC5D80F" w14:textId="77777777" w:rsidR="00F243C2" w:rsidRPr="00F243C2" w:rsidRDefault="002D1390" w:rsidP="009C7F6F">
      <w:r>
        <w:t xml:space="preserve">Il-parametri tal-għotja </w:t>
      </w:r>
      <w:r>
        <w:rPr>
          <w:i/>
        </w:rPr>
        <w:t>(l-ammont massimu tal-għotja, ir-rata ta’ finanzjament, l-ispejjeż eliġibbli totali, eċċ.)</w:t>
      </w:r>
      <w:r>
        <w:t xml:space="preserve"> se jiġu stabbiliti fil-Ftehim ta’ Għotja </w:t>
      </w:r>
      <w:r>
        <w:rPr>
          <w:i/>
        </w:rPr>
        <w:t>(Skeda ta’ Data, il-punt 3 u l-Artikolu 5)</w:t>
      </w:r>
      <w:r>
        <w:t>.</w:t>
      </w:r>
    </w:p>
    <w:p w14:paraId="6D2C45B2" w14:textId="73D0FA7A" w:rsidR="00273AA8" w:rsidRDefault="00CB07A3" w:rsidP="009C7F6F">
      <w:r>
        <w:t xml:space="preserve">Baġit tal-proġett (ammont massimu tal-għotja): </w:t>
      </w:r>
    </w:p>
    <w:p w14:paraId="7C5032A3" w14:textId="32B40F6F" w:rsidR="00273AA8" w:rsidRPr="00C83A32" w:rsidRDefault="00273AA8" w:rsidP="00273AA8">
      <w:r>
        <w:rPr>
          <w:b/>
          <w:bCs/>
          <w:color w:val="A50021"/>
        </w:rPr>
        <w:t>CERV-2022-CITIZENS-TOWN-TT – Ġemellaġġ ta’ Bliet</w:t>
      </w:r>
      <w:r>
        <w:t>: EUR 30 000 għal kull proġett.</w:t>
      </w:r>
    </w:p>
    <w:p w14:paraId="2BB38450" w14:textId="044F40F5" w:rsidR="00273AA8" w:rsidRPr="00C83A32" w:rsidRDefault="00E81CEB" w:rsidP="00273AA8">
      <w:pPr>
        <w:rPr>
          <w:b/>
          <w:color w:val="A50021"/>
        </w:rPr>
      </w:pPr>
      <w:r>
        <w:rPr>
          <w:b/>
          <w:bCs/>
          <w:color w:val="A50021"/>
        </w:rPr>
        <w:t>CERV-2022-CITIZENS-TOWN-NT – Networks ta’ Bliet</w:t>
      </w:r>
      <w:r>
        <w:t xml:space="preserve">: L-ebda limitu. </w:t>
      </w:r>
    </w:p>
    <w:p w14:paraId="03FE8574" w14:textId="5AC33A9A" w:rsidR="009C7F6F" w:rsidRDefault="009C7F6F" w:rsidP="009C7F6F">
      <w:r>
        <w:t>L-għotja li tingħata tista’ tkun inqas mill-ammont mitlub.</w:t>
      </w:r>
      <w:r>
        <w:rPr>
          <w:highlight w:val="yellow"/>
        </w:rPr>
        <w:t xml:space="preserve"> </w:t>
      </w:r>
    </w:p>
    <w:p w14:paraId="032903FC" w14:textId="762E8A78" w:rsidR="009C7F6F" w:rsidRDefault="002D1390" w:rsidP="00EF5018">
      <w:r>
        <w:lastRenderedPageBreak/>
        <w:t>L-għotja se tkun għotja ta’ somma f’daqqa. Dan ifisser li se tirrimborża ammont fiss, abbażi ta’ somma f’daqqa jew finanzjament mhux marbut mal-ispejjeż. L-ammont se jiġi stabbilit mill-awtorità awtorizzanti abbażi tal-ammonti varjabbli li tkun stabbiliet minn qabel, kif ukoll l-istimi indikati mill-benefiċjarji fil-baġit tal-proġett tagħhom.</w:t>
      </w:r>
    </w:p>
    <w:p w14:paraId="23ACF302" w14:textId="77777777" w:rsidR="00C35FDF" w:rsidRPr="0019779F" w:rsidRDefault="002D1390" w:rsidP="00510B7E">
      <w:pPr>
        <w:pStyle w:val="Heading3"/>
      </w:pPr>
      <w:bookmarkStart w:id="30" w:name="_Toc89950975"/>
      <w:r>
        <w:t>Il-kategoriji tal-baġit u r-regoli dwar l-eliġibbiltà tal-kostijiet</w:t>
      </w:r>
      <w:bookmarkEnd w:id="30"/>
    </w:p>
    <w:p w14:paraId="0D9CC84A" w14:textId="222E6896" w:rsidR="00965369" w:rsidRDefault="00965369" w:rsidP="00C35FDF">
      <w:pPr>
        <w:rPr>
          <w:szCs w:val="21"/>
        </w:rPr>
      </w:pPr>
      <w:r>
        <w:t xml:space="preserve">Il-kategoriji tal-baġit u r-regoli dwar l-eliġibbiltà tal-ispejjeż huma stabbiliti fil-Ftehim ta’ Għotja </w:t>
      </w:r>
      <w:r>
        <w:rPr>
          <w:i/>
          <w:szCs w:val="21"/>
        </w:rPr>
        <w:t>(Skeda ta’ Data, il-punt 3, l-Artikolu 6 u l-Anness 2).</w:t>
      </w:r>
    </w:p>
    <w:p w14:paraId="09C2A6BD" w14:textId="77777777" w:rsidR="00E85C9D" w:rsidRDefault="00E85C9D" w:rsidP="00E85C9D">
      <w:pPr>
        <w:spacing w:after="120"/>
        <w:rPr>
          <w:i/>
        </w:rPr>
      </w:pPr>
      <w:r>
        <w:rPr>
          <w:i/>
        </w:rPr>
        <w:t>Il-kategoriji tal-baġit għal din is-sejħa:</w:t>
      </w:r>
    </w:p>
    <w:p w14:paraId="5AA85092" w14:textId="5699AD8F" w:rsidR="00273AA8" w:rsidRPr="00273AA8" w:rsidRDefault="00E85C9D" w:rsidP="00273AA8">
      <w:pPr>
        <w:widowControl w:val="0"/>
        <w:numPr>
          <w:ilvl w:val="0"/>
          <w:numId w:val="31"/>
        </w:numPr>
        <w:ind w:left="709" w:hanging="357"/>
        <w:jc w:val="left"/>
        <w:rPr>
          <w:b/>
        </w:rPr>
      </w:pPr>
      <w:r>
        <w:rPr>
          <w:b/>
        </w:rPr>
        <w:t>Kontribuzzjonijiet ta’ somma f’daqqa</w:t>
      </w:r>
      <w:r w:rsidR="00D77F61" w:rsidRPr="00273AA8">
        <w:rPr>
          <w:rStyle w:val="FootnoteReference"/>
          <w:b/>
        </w:rPr>
        <w:footnoteReference w:id="22"/>
      </w:r>
    </w:p>
    <w:p w14:paraId="1DFE5A16" w14:textId="4F08AA43" w:rsidR="00273AA8" w:rsidRPr="00C83A32" w:rsidRDefault="00273AA8" w:rsidP="00273AA8">
      <w:pPr>
        <w:spacing w:after="120"/>
        <w:rPr>
          <w:b/>
          <w:bCs/>
          <w:color w:val="A50021"/>
        </w:rPr>
      </w:pPr>
      <w:r>
        <w:rPr>
          <w:b/>
          <w:bCs/>
          <w:color w:val="A50021"/>
        </w:rPr>
        <w:t>CERV-2022-CITIZENS-TOWN-TT – Ġemellaġġ ta’ Bliet</w:t>
      </w:r>
    </w:p>
    <w:p w14:paraId="41D2CC4B" w14:textId="306D1EAA" w:rsidR="00273AA8" w:rsidRDefault="00273AA8" w:rsidP="00273AA8">
      <w:pPr>
        <w:spacing w:after="120"/>
        <w:rPr>
          <w:rFonts w:eastAsia="Verdana" w:cs="Verdana"/>
          <w:iCs/>
        </w:rPr>
      </w:pPr>
      <w:r>
        <w:t>Il-kalkolu tas-somma f’daqqa huwa bbażat fuq parametru wieħed: l-għadd ta’ parteċipanti internazzjonali (jew “mistiedna”) (l-għadd ta’ parteċipanti li jivvjaġġaw minn pajjiżi eliġibbli tal-proġett għajr il-pajjiż li jospita l-avveniment ta’ ġemellaġġ ta’ bliet).</w:t>
      </w:r>
    </w:p>
    <w:p w14:paraId="0241D98C" w14:textId="7EB280FF" w:rsidR="00273AA8" w:rsidRPr="00170A7A" w:rsidRDefault="00273AA8" w:rsidP="00273AA8">
      <w:pPr>
        <w:spacing w:after="120"/>
      </w:pPr>
      <w:r>
        <w:t>Avveniment wieħed jikkorrispondi għal pakkett ta’ ħidma wieħed fil-formola ta’ applikazzjoni.</w:t>
      </w:r>
      <w:r w:rsidR="002944ED">
        <w:t xml:space="preserve"> </w:t>
      </w:r>
    </w:p>
    <w:p w14:paraId="653E3972" w14:textId="5932EAB2" w:rsidR="00273AA8" w:rsidRPr="00273AA8" w:rsidRDefault="00273AA8" w:rsidP="00273AA8">
      <w:pPr>
        <w:widowControl w:val="0"/>
        <w:jc w:val="left"/>
      </w:pPr>
      <w:r>
        <w:t>Pakkett ta’ ħidma wieħed = avveniment wieħed = attività waħda jew bosta attivitajiet</w:t>
      </w:r>
      <w:r w:rsidR="002944ED">
        <w:t xml:space="preserve"> </w:t>
      </w:r>
    </w:p>
    <w:p w14:paraId="4EF42BF7" w14:textId="56AB1036" w:rsidR="00273AA8" w:rsidRDefault="00273AA8" w:rsidP="00273AA8">
      <w:pPr>
        <w:spacing w:after="120"/>
        <w:rPr>
          <w:rFonts w:eastAsia="Verdana" w:cs="Verdana"/>
          <w:iCs/>
        </w:rPr>
      </w:pPr>
      <w:r>
        <w:rPr>
          <w:b/>
          <w:bCs/>
          <w:color w:val="A50021"/>
        </w:rPr>
        <w:t>CERV-2022-CITIZENS-TOWN-NT – Networks ta’ Bliet</w:t>
      </w:r>
    </w:p>
    <w:p w14:paraId="084790F4" w14:textId="77777777" w:rsidR="00273AA8" w:rsidRPr="00170A7A" w:rsidRDefault="00273AA8" w:rsidP="00273AA8">
      <w:pPr>
        <w:spacing w:after="120"/>
      </w:pPr>
      <w:r>
        <w:t>Il-kalkolu tas-somma f’daqqa huwa bbażat fuq żewġ parametri: l-għadd ta’ parteċipanti diretti u l-għadd ta’ pajjiżi eliġibbli għal kull avveniment (in situ jew online).</w:t>
      </w:r>
    </w:p>
    <w:p w14:paraId="3C909B89" w14:textId="77777777" w:rsidR="00273AA8" w:rsidRPr="00170A7A" w:rsidRDefault="00273AA8" w:rsidP="00273AA8">
      <w:pPr>
        <w:spacing w:after="120"/>
      </w:pPr>
      <w:r>
        <w:t xml:space="preserve">Avveniment iseħħ f’perjodu definit u jista’ jinkludi tipi differenti ta’ attivitajiet (konferenzi, sessjonijiet ta’ ħidma, taħriġ, seminars, dibattiti, webinars, esibizzjonijiet, wiri/irrekordjar ta’ films, kampanji, pubblikazzjonijiet, stħarriġiet, riċerka, flashmobs, eċċ.). </w:t>
      </w:r>
    </w:p>
    <w:p w14:paraId="12ABA7C5" w14:textId="0F2C4B3C" w:rsidR="00273AA8" w:rsidRPr="00170A7A" w:rsidRDefault="00273AA8" w:rsidP="00273AA8">
      <w:pPr>
        <w:spacing w:after="120"/>
      </w:pPr>
      <w:r>
        <w:t>Avveniment wieħed jikkorrispondi għal pakkett ta’ ħidma wieħed fil-formola ta’ applikazzjoni.</w:t>
      </w:r>
      <w:r w:rsidR="002944ED">
        <w:t xml:space="preserve"> </w:t>
      </w:r>
    </w:p>
    <w:p w14:paraId="757C1A00" w14:textId="3A73357A" w:rsidR="00273AA8" w:rsidRPr="008814FB" w:rsidRDefault="00273AA8" w:rsidP="00273AA8">
      <w:pPr>
        <w:widowControl w:val="0"/>
        <w:jc w:val="left"/>
      </w:pPr>
      <w:r>
        <w:t>Pakkett ta’ ħidma wieħed = avveniment wieħed = attività waħda jew bosta attivitajiet</w:t>
      </w:r>
      <w:r w:rsidR="002944ED">
        <w:t xml:space="preserve"> </w:t>
      </w:r>
    </w:p>
    <w:p w14:paraId="14EC2EA5" w14:textId="14E12378" w:rsidR="00741682" w:rsidRPr="0019779F" w:rsidRDefault="00F243C2" w:rsidP="00510B7E">
      <w:pPr>
        <w:pStyle w:val="Heading3"/>
      </w:pPr>
      <w:bookmarkStart w:id="31" w:name="_Toc89950976"/>
      <w:r>
        <w:t>Arranġamenti ta’ rapportar u ta’ ħlas</w:t>
      </w:r>
      <w:bookmarkEnd w:id="31"/>
      <w:r>
        <w:t xml:space="preserve"> </w:t>
      </w:r>
    </w:p>
    <w:p w14:paraId="43C62C09" w14:textId="0BF1CA1B" w:rsidR="00F243C2" w:rsidRDefault="00F243C2" w:rsidP="00741682">
      <w:pPr>
        <w:pStyle w:val="Text2"/>
        <w:ind w:left="0"/>
        <w:rPr>
          <w:rFonts w:cs="Arial"/>
        </w:rPr>
      </w:pPr>
      <w:r>
        <w:t xml:space="preserve">L-arranġamenti ta’ rapportar u ta’ ħlas huma stabbiliti fil-Ftehim ta’ Għotja </w:t>
      </w:r>
      <w:r>
        <w:rPr>
          <w:i/>
        </w:rPr>
        <w:t>(Skeda tad-Data, il-punt 4 u l-Artikoli 21 u 22)</w:t>
      </w:r>
      <w:r>
        <w:t>.</w:t>
      </w:r>
    </w:p>
    <w:p w14:paraId="03D37E60" w14:textId="6DF5E4B5" w:rsidR="00273AA8" w:rsidRPr="00C83A32" w:rsidRDefault="00273AA8" w:rsidP="00273AA8">
      <w:pPr>
        <w:spacing w:after="120"/>
        <w:rPr>
          <w:b/>
          <w:bCs/>
          <w:color w:val="A50021"/>
        </w:rPr>
      </w:pPr>
      <w:r>
        <w:rPr>
          <w:b/>
          <w:bCs/>
          <w:color w:val="A50021"/>
        </w:rPr>
        <w:t>CERV-2022-CITIZENS-TOWN-TT – Ġemellaġġ ta’ Bliet</w:t>
      </w:r>
    </w:p>
    <w:p w14:paraId="63A3CB57" w14:textId="77777777" w:rsidR="00273AA8" w:rsidRPr="00C83A32" w:rsidRDefault="00273AA8" w:rsidP="00273AA8">
      <w:pPr>
        <w:pStyle w:val="Text2"/>
        <w:ind w:left="0"/>
      </w:pPr>
      <w:r>
        <w:t>Wara l-iffirmar tal-għotja, ma tirċievi l-ebda prefinanzjament.</w:t>
      </w:r>
    </w:p>
    <w:p w14:paraId="1DBCB7BA" w14:textId="77777777" w:rsidR="00273AA8" w:rsidRPr="00C83A32" w:rsidRDefault="00273AA8" w:rsidP="00273AA8">
      <w:r>
        <w:t>Pagament tal-bilanċ: Fi tmiem il-proġett, aħna se nikkalkulaw l-ammont finali tal-għotja tiegħek. Jekk it-total ta’ kwalunkwe pagament preċedenti jkun ogħla mill-ammont finali tal-għotja, nitolbuk (il-koordinatur tiegħek) tħallas lura d-differenza (irkupru).</w:t>
      </w:r>
    </w:p>
    <w:p w14:paraId="6BE11C5B" w14:textId="5E8F163B" w:rsidR="00273AA8" w:rsidRPr="00C83A32" w:rsidRDefault="00273AA8" w:rsidP="00273AA8">
      <w:pPr>
        <w:spacing w:after="120"/>
        <w:rPr>
          <w:b/>
          <w:bCs/>
          <w:color w:val="A50021"/>
        </w:rPr>
      </w:pPr>
      <w:r>
        <w:rPr>
          <w:b/>
          <w:bCs/>
          <w:color w:val="A50021"/>
        </w:rPr>
        <w:t xml:space="preserve">CERV-2022-CITIZENS-TOWN-NT – Networks ta’ Bliet </w:t>
      </w:r>
    </w:p>
    <w:p w14:paraId="55E312F9" w14:textId="696F180F" w:rsidR="00273AA8" w:rsidRDefault="00273AA8" w:rsidP="00273AA8">
      <w:pPr>
        <w:widowControl w:val="0"/>
        <w:rPr>
          <w:rFonts w:cs="Arial"/>
        </w:rPr>
      </w:pPr>
      <w:r>
        <w:t xml:space="preserve">Wara l-iffirmar tal-għotja, normalment tirċievi </w:t>
      </w:r>
      <w:r>
        <w:rPr>
          <w:b/>
        </w:rPr>
        <w:t>prefinanzjament</w:t>
      </w:r>
      <w:r>
        <w:t xml:space="preserve"> biex tibda taħdem fuq il-proġett (ammont minn qabel li normalment ikun </w:t>
      </w:r>
      <w:r>
        <w:rPr>
          <w:b/>
        </w:rPr>
        <w:t>60</w:t>
      </w:r>
      <w:r>
        <w:t> </w:t>
      </w:r>
      <w:r>
        <w:rPr>
          <w:b/>
          <w:bCs/>
        </w:rPr>
        <w:t>%</w:t>
      </w:r>
      <w:r>
        <w:t xml:space="preserve"> tal-ammont massimu tal-għotja; f’każijiet eċċezzjonali inqas jew l-ebda prefinanzjament). Il-prefinanzjament jitħallas 30 jum mid-dħul fis-seħħ/mill-garanzija finanzjarja (jekk meħtieġ) – skont </w:t>
      </w:r>
      <w:r>
        <w:lastRenderedPageBreak/>
        <w:t>liema minnhom tkun l-aktar reċenti.</w:t>
      </w:r>
    </w:p>
    <w:p w14:paraId="6177614D" w14:textId="40FBA4EA" w:rsidR="00741682" w:rsidRDefault="00AE5C30" w:rsidP="00741682">
      <w:pPr>
        <w:pStyle w:val="Text2"/>
        <w:ind w:left="0"/>
        <w:rPr>
          <w:rFonts w:cs="Arial"/>
        </w:rPr>
      </w:pPr>
      <w:r>
        <w:rPr>
          <w:b/>
        </w:rPr>
        <w:t>Pagament tal-bilanċ</w:t>
      </w:r>
      <w:r>
        <w:t>: Fi tmiem il-proġett, aħna se nikkalkulaw l-ammont finali tal-għotja tiegħek. Jekk it-total tal-pagamenti preċedenti jkun ogħla mill-ammont finali tal-għotja, nitolbuk (il-koordinatur tiegħek) tħallas lura d-differenza (irkupru).</w:t>
      </w:r>
    </w:p>
    <w:p w14:paraId="3BDCBF75" w14:textId="77777777" w:rsidR="00B21F85" w:rsidRDefault="00B21F85" w:rsidP="00741682">
      <w:pPr>
        <w:pStyle w:val="Text2"/>
        <w:ind w:left="0"/>
      </w:pPr>
      <w:r>
        <w:t>Il-pagamenti kollha se jsiru lill-koordinatur.</w:t>
      </w:r>
    </w:p>
    <w:p w14:paraId="7FE7E033" w14:textId="5C5DBFEB" w:rsidR="00A82A58" w:rsidRDefault="005A3754" w:rsidP="00A82A58">
      <w:pPr>
        <w:pStyle w:val="Text2"/>
        <w:ind w:left="0"/>
      </w:pPr>
      <w:r>
        <w:rPr>
          <w:noProof/>
          <w:lang w:val="en-IE" w:eastAsia="en-IE"/>
        </w:rPr>
        <w:drawing>
          <wp:inline distT="0" distB="0" distL="0" distR="0" wp14:anchorId="4AE7EFB5" wp14:editId="6394BE84">
            <wp:extent cx="187960" cy="187960"/>
            <wp:effectExtent l="0" t="0" r="0" b="0"/>
            <wp:docPr id="1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87960" cy="187960"/>
                    </a:xfrm>
                    <a:prstGeom prst="rect">
                      <a:avLst/>
                    </a:prstGeom>
                    <a:noFill/>
                    <a:ln>
                      <a:noFill/>
                    </a:ln>
                  </pic:spPr>
                </pic:pic>
              </a:graphicData>
            </a:graphic>
          </wp:inline>
        </w:drawing>
      </w:r>
      <w:r>
        <w:t xml:space="preserve"> Jekk jogħġbok kun af li l-pagamenti se jitnaqqsu awtomatikament jekk wieħed mill-membri tal-konsorzju tiegħek ikollu djun pendenti fil-konfront tal-UE (awtorità awtorizzanti jew korpi oħra tal-UE). Dawn id-djun se jiġu kkumpensati minnha — f’konformità mal-kundizzjonijiet stabbiliti fil-Ftehim ta’ Għotja </w:t>
      </w:r>
      <w:r>
        <w:rPr>
          <w:i/>
        </w:rPr>
        <w:t>(ara l-Artikolu 22)</w:t>
      </w:r>
      <w:r>
        <w:t>.</w:t>
      </w:r>
    </w:p>
    <w:p w14:paraId="1EA9C858" w14:textId="1424599E" w:rsidR="000C6DE8" w:rsidRPr="00B57534" w:rsidRDefault="000C6DE8" w:rsidP="00A82A58">
      <w:pPr>
        <w:pStyle w:val="Text2"/>
        <w:ind w:left="0"/>
        <w:rPr>
          <w:rFonts w:cs="Arial"/>
        </w:rPr>
      </w:pPr>
      <w:r>
        <w:t xml:space="preserve">Jekk jogħġbok innota wkoll li inti responsabbli biex iżżomm rekords dwar il-ħidma kollha li tkun għamilt. </w:t>
      </w:r>
    </w:p>
    <w:p w14:paraId="6F7B0297" w14:textId="77777777" w:rsidR="00C038C5" w:rsidRPr="0019779F" w:rsidRDefault="00C038C5" w:rsidP="00C038C5">
      <w:pPr>
        <w:pStyle w:val="Heading3"/>
      </w:pPr>
      <w:bookmarkStart w:id="32" w:name="_Toc89950977"/>
      <w:r>
        <w:t>Garanziji ta’ prefinanzjament</w:t>
      </w:r>
      <w:bookmarkEnd w:id="32"/>
      <w:r>
        <w:t xml:space="preserve"> </w:t>
      </w:r>
    </w:p>
    <w:p w14:paraId="5D1F5E81" w14:textId="77777777" w:rsidR="00C038C5" w:rsidRDefault="00C038C5" w:rsidP="00C038C5">
      <w:pPr>
        <w:pStyle w:val="Text2"/>
        <w:ind w:left="0"/>
      </w:pPr>
      <w:r>
        <w:t xml:space="preserve">Jekk tkun meħtieġa garanzija ta’ prefinanzjament, din tiġi stabbilita fil-Ftehim ta’ Għotja </w:t>
      </w:r>
      <w:r>
        <w:rPr>
          <w:i/>
        </w:rPr>
        <w:t>(Skeda ta’ Data, il-punt 4)</w:t>
      </w:r>
      <w:r>
        <w:t>. L-ammont jiġi stabbilit matul it-tħejjija tal-għotja u normalment ikun daqs jew inqas mill-prefinanzjament għall-għotja tiegħek.</w:t>
      </w:r>
    </w:p>
    <w:p w14:paraId="17795A40" w14:textId="77777777" w:rsidR="00C038C5" w:rsidRDefault="00C038C5" w:rsidP="00C038C5">
      <w:pPr>
        <w:pStyle w:val="Text2"/>
        <w:ind w:left="0"/>
      </w:pPr>
      <w:r>
        <w:t>Il-garanzija għandha tkun f’euro u tinħareġ minn bank/istituzzjoni finanzjarja approvata stabbilita fi Stat Membru tal-UE. Jekk inti stabbilit f’pajjiż mhux tal-UE u tixtieq tipprovdi garanzija minn bank/istituzzjoni finanzjarja f’pajjiżek, jekk jogħġbok ikkuntattjana (dan jista’ jiġi aċċettat f’każijiet eċċezzjonali, jekk joffri sigurtà ekwivalenti).</w:t>
      </w:r>
    </w:p>
    <w:p w14:paraId="2588057F" w14:textId="77777777" w:rsidR="00C038C5" w:rsidRPr="00C75E22" w:rsidRDefault="00C038C5" w:rsidP="00C038C5">
      <w:pPr>
        <w:pStyle w:val="Text2"/>
        <w:ind w:left="0"/>
      </w:pPr>
      <w:r>
        <w:t>Ammonti mblukkati f’kontijiet tal-bank MHUMIEX se jiġu aċċettati bħala garanziji finanzjarji.</w:t>
      </w:r>
    </w:p>
    <w:p w14:paraId="6E478E1C" w14:textId="77777777" w:rsidR="00C038C5" w:rsidRPr="001F0FF9" w:rsidRDefault="00C038C5" w:rsidP="00C038C5">
      <w:pPr>
        <w:pStyle w:val="Text2"/>
        <w:ind w:left="0"/>
      </w:pPr>
      <w:r>
        <w:t xml:space="preserve">Il-garanziji ta’ prefinanzjament MHUMIEX marbuta formalment ma’ membri individwali tal-konsorzju, li jfisser li inti liberu li torganizza kif se tipprovdi l-ammont tal-garanzija </w:t>
      </w:r>
      <w:r>
        <w:rPr>
          <w:i/>
        </w:rPr>
        <w:t>(minn benefiċjarju wieħed jew aktar, għall-ammont globali jew diversi garanziji għal ammonti parzjali, mill-benefiċjarju kkonċernat jew minn benefiċjarju ieħor, eċċ.)</w:t>
      </w:r>
      <w:r>
        <w:t>. Madankollu huwa importanti li l-ammont mitlub ikun kopert u li l-garanzija/garanziji tintbagħat/jintbagħtu lilna fil-ħin biex isir il-prefinanzjament (kopja skannjata permezz tal-Portal U l-kopja oriġinali bil-posta).</w:t>
      </w:r>
    </w:p>
    <w:p w14:paraId="5675231B" w14:textId="77777777" w:rsidR="00C038C5" w:rsidRPr="00B57534" w:rsidRDefault="00C038C5" w:rsidP="00C038C5">
      <w:pPr>
        <w:pStyle w:val="Text2"/>
        <w:ind w:left="0"/>
      </w:pPr>
      <w:r>
        <w:t>Jekk ikun hemm qbil magħna, il-garanzija bankarja tista’ tiġi sostitwita b’garanzija minn parti terza.</w:t>
      </w:r>
    </w:p>
    <w:p w14:paraId="66D0A676" w14:textId="77777777" w:rsidR="00C038C5" w:rsidRPr="00B57534" w:rsidRDefault="00C038C5" w:rsidP="00C038C5">
      <w:pPr>
        <w:pStyle w:val="Text2"/>
        <w:ind w:left="0"/>
      </w:pPr>
      <w:r>
        <w:t>Il-garanzija tiġi rilaxxata fi tmiem l-għotja, f’konformità mal-kundizzjonijiet stabbiliti fil-Ftehim ta’ Għotja.</w:t>
      </w:r>
    </w:p>
    <w:p w14:paraId="6D8EED08" w14:textId="77777777" w:rsidR="00EE2BCF" w:rsidRPr="00EE2BCF" w:rsidRDefault="00EE2BCF" w:rsidP="00510B7E">
      <w:pPr>
        <w:pStyle w:val="Heading3"/>
      </w:pPr>
      <w:bookmarkStart w:id="33" w:name="_Toc89950978"/>
      <w:r>
        <w:t>Ċertifikati</w:t>
      </w:r>
      <w:bookmarkEnd w:id="33"/>
    </w:p>
    <w:p w14:paraId="1F2848E4" w14:textId="48031B10" w:rsidR="005224A7" w:rsidRPr="005224A7" w:rsidRDefault="005224A7" w:rsidP="00D16BC1">
      <w:pPr>
        <w:spacing w:after="120"/>
        <w:rPr>
          <w:highlight w:val="yellow"/>
        </w:rPr>
      </w:pPr>
      <w:r>
        <w:t xml:space="preserve">Skont it-tip ta’ azzjoni, id-daqs tal-ammont tal-għotja u t-tip ta’ benefiċjarji, tista’ tintalab tissottometti ċertifikati differenti. It-tipi, l-iskedi u s-sollijiet għal kull ċertifikat huma stabbiliti fil-ftehim ta’ għotja </w:t>
      </w:r>
      <w:r>
        <w:rPr>
          <w:i/>
        </w:rPr>
        <w:t>(Skeda ta’ Data, il-punt 4 u l-Artikolu 24)</w:t>
      </w:r>
      <w:r>
        <w:t>.</w:t>
      </w:r>
    </w:p>
    <w:p w14:paraId="67810567" w14:textId="77777777" w:rsidR="007C1E0D" w:rsidRPr="0019779F" w:rsidRDefault="007C1E0D" w:rsidP="00510B7E">
      <w:pPr>
        <w:pStyle w:val="Heading3"/>
      </w:pPr>
      <w:bookmarkStart w:id="34" w:name="_Toc89950979"/>
      <w:r>
        <w:t>Sistema ta’ responsabbiltà għall-irkupri</w:t>
      </w:r>
      <w:bookmarkEnd w:id="34"/>
    </w:p>
    <w:p w14:paraId="5BB9318F" w14:textId="77777777" w:rsidR="002D1390" w:rsidRPr="00C75E22" w:rsidRDefault="007C1E0D" w:rsidP="0015357F">
      <w:pPr>
        <w:widowControl w:val="0"/>
        <w:spacing w:after="120"/>
        <w:rPr>
          <w:i/>
        </w:rPr>
      </w:pPr>
      <w:r>
        <w:t xml:space="preserve">Ir-reġim tal-obbligu għall-irkupri se jiġi stabbilit fil-Ftehim ta’ Għotja </w:t>
      </w:r>
      <w:r>
        <w:rPr>
          <w:i/>
        </w:rPr>
        <w:t>(Skeda tad-Data punt 4.4 u l-Artikolu 22)</w:t>
      </w:r>
      <w:r>
        <w:t>.</w:t>
      </w:r>
    </w:p>
    <w:p w14:paraId="6AAF1F6D" w14:textId="78BE0A71" w:rsidR="007C1E0D" w:rsidRPr="00C75E22" w:rsidRDefault="00196064" w:rsidP="0015357F">
      <w:pPr>
        <w:widowControl w:val="0"/>
        <w:spacing w:after="120"/>
      </w:pPr>
      <w:r>
        <w:t>Għall-benefiċjarji, hija waħda minn dawn li ġejjin:</w:t>
      </w:r>
    </w:p>
    <w:p w14:paraId="4A08B607" w14:textId="5ACE3AC3" w:rsidR="00965369" w:rsidRPr="00C75E22" w:rsidRDefault="00965369" w:rsidP="00584316">
      <w:pPr>
        <w:widowControl w:val="0"/>
        <w:numPr>
          <w:ilvl w:val="0"/>
          <w:numId w:val="31"/>
        </w:numPr>
        <w:spacing w:after="120"/>
        <w:ind w:left="709"/>
        <w:jc w:val="left"/>
        <w:rPr>
          <w:rFonts w:eastAsia="Calibri" w:cs="Arial"/>
        </w:rPr>
      </w:pPr>
      <w:r>
        <w:t xml:space="preserve">obbligazzjoni </w:t>
      </w:r>
      <w:r>
        <w:rPr>
          <w:i/>
        </w:rPr>
        <w:t>in solidum</w:t>
      </w:r>
      <w:r>
        <w:t xml:space="preserve"> b’limiti massimi individwali — </w:t>
      </w:r>
      <w:r>
        <w:rPr>
          <w:i/>
        </w:rPr>
        <w:t>kull benefiċjarju</w:t>
      </w:r>
      <w:r>
        <w:t xml:space="preserve"> sal-ammont massimu tal-għotja tiegħu</w:t>
      </w:r>
    </w:p>
    <w:p w14:paraId="22A8F057" w14:textId="77777777" w:rsidR="007C1E0D" w:rsidRPr="00C75E22" w:rsidRDefault="007C1E0D" w:rsidP="00584316">
      <w:pPr>
        <w:widowControl w:val="0"/>
        <w:numPr>
          <w:ilvl w:val="0"/>
          <w:numId w:val="31"/>
        </w:numPr>
        <w:spacing w:after="120"/>
        <w:ind w:left="709"/>
        <w:jc w:val="left"/>
        <w:rPr>
          <w:bCs/>
        </w:rPr>
      </w:pPr>
      <w:r>
        <w:lastRenderedPageBreak/>
        <w:t xml:space="preserve">obbligazzjoni </w:t>
      </w:r>
      <w:r>
        <w:rPr>
          <w:i/>
          <w:szCs w:val="18"/>
        </w:rPr>
        <w:t>in solidum</w:t>
      </w:r>
      <w:r>
        <w:t xml:space="preserve"> mhux kondizzjonata — </w:t>
      </w:r>
      <w:r>
        <w:rPr>
          <w:i/>
        </w:rPr>
        <w:t>kull benefiċjarju sal-ammont massimu tal-għotja għall-azzjoni</w:t>
      </w:r>
      <w:r>
        <w:t xml:space="preserve"> </w:t>
      </w:r>
    </w:p>
    <w:p w14:paraId="46190429" w14:textId="77777777" w:rsidR="00E85905" w:rsidRPr="00C75E22" w:rsidRDefault="00E85905" w:rsidP="00E85905">
      <w:pPr>
        <w:widowControl w:val="0"/>
        <w:spacing w:after="120"/>
        <w:ind w:left="435"/>
        <w:rPr>
          <w:bCs/>
        </w:rPr>
      </w:pPr>
      <w:r>
        <w:t>jew</w:t>
      </w:r>
    </w:p>
    <w:p w14:paraId="48C16878" w14:textId="2DA3851E" w:rsidR="007C1E0D" w:rsidRPr="00C75E22" w:rsidRDefault="007C1E0D" w:rsidP="00584316">
      <w:pPr>
        <w:widowControl w:val="0"/>
        <w:numPr>
          <w:ilvl w:val="0"/>
          <w:numId w:val="31"/>
        </w:numPr>
        <w:spacing w:after="120"/>
        <w:ind w:left="709"/>
        <w:jc w:val="left"/>
        <w:rPr>
          <w:bCs/>
        </w:rPr>
      </w:pPr>
      <w:r>
        <w:t xml:space="preserve">responsabbiltà finanzjarja individwali — </w:t>
      </w:r>
      <w:r>
        <w:rPr>
          <w:i/>
          <w:szCs w:val="18"/>
        </w:rPr>
        <w:t>kull benefiċjarju għad-djun tiegħu biss</w:t>
      </w:r>
      <w:r>
        <w:t xml:space="preserve">. </w:t>
      </w:r>
    </w:p>
    <w:p w14:paraId="3ED199B0" w14:textId="77777777" w:rsidR="00196064" w:rsidRDefault="00196064" w:rsidP="00196064">
      <w:pPr>
        <w:widowControl w:val="0"/>
        <w:rPr>
          <w:bCs/>
        </w:rPr>
      </w:pPr>
      <w:r>
        <w:t xml:space="preserve">Barra minn hekk, l-awtorità awtorizzanti tista’ tirrikjedi obbligazzjoni </w:t>
      </w:r>
      <w:r>
        <w:rPr>
          <w:i/>
        </w:rPr>
        <w:t>in solidum</w:t>
      </w:r>
      <w:r>
        <w:t xml:space="preserve"> ta’ entitajiet affiljati (mal-benefiċjarju tagħhom).</w:t>
      </w:r>
    </w:p>
    <w:p w14:paraId="0A01C377" w14:textId="77777777" w:rsidR="002D1390" w:rsidRPr="0019779F" w:rsidRDefault="002D1390" w:rsidP="00510B7E">
      <w:pPr>
        <w:pStyle w:val="Heading3"/>
      </w:pPr>
      <w:bookmarkStart w:id="35" w:name="_Toc89950980"/>
      <w:r>
        <w:t>Dispożizzjonijiet li jikkonċernaw l-implimentazzjoni tal-proġett</w:t>
      </w:r>
      <w:bookmarkEnd w:id="35"/>
    </w:p>
    <w:p w14:paraId="41C36EDF" w14:textId="77777777" w:rsidR="00C36932" w:rsidRDefault="00C36932" w:rsidP="00C36932">
      <w:pPr>
        <w:widowControl w:val="0"/>
        <w:rPr>
          <w:bCs/>
          <w:i/>
        </w:rPr>
      </w:pPr>
      <w:r>
        <w:t xml:space="preserve">Regoli tad-DPI: </w:t>
      </w:r>
      <w:r>
        <w:rPr>
          <w:bCs/>
          <w:i/>
        </w:rPr>
        <w:t>ara l-Mudell tal-Ftehim ta’ Għotja (l-Artikolu 16 u l-Anness 5):</w:t>
      </w:r>
    </w:p>
    <w:p w14:paraId="255EA0A4" w14:textId="769E98BA" w:rsidR="00C36932" w:rsidRPr="00310A7B" w:rsidRDefault="00C36932" w:rsidP="008C3D9D">
      <w:pPr>
        <w:widowControl w:val="0"/>
        <w:numPr>
          <w:ilvl w:val="0"/>
          <w:numId w:val="31"/>
        </w:numPr>
        <w:ind w:left="709"/>
        <w:jc w:val="left"/>
        <w:rPr>
          <w:bCs/>
        </w:rPr>
      </w:pPr>
      <w:r>
        <w:t>drittijiet ta’ użu tar-riżultati: Iva</w:t>
      </w:r>
    </w:p>
    <w:p w14:paraId="1203D3C9" w14:textId="77777777" w:rsidR="00C36932" w:rsidRPr="00310A7B" w:rsidRDefault="00C36932" w:rsidP="008C3D9D">
      <w:pPr>
        <w:widowControl w:val="0"/>
        <w:rPr>
          <w:bCs/>
          <w:i/>
        </w:rPr>
      </w:pPr>
      <w:r>
        <w:t xml:space="preserve">Komunikazzjoni, tixrid u viżibbiltà tal-finanzjament: </w:t>
      </w:r>
      <w:r>
        <w:rPr>
          <w:bCs/>
          <w:i/>
        </w:rPr>
        <w:t>ara l-Mudell tal-Ftehim ta’ Għotja (l-Artikolu 17 u l-Anness 5):</w:t>
      </w:r>
    </w:p>
    <w:p w14:paraId="3B53DB48" w14:textId="3BE8BC8F" w:rsidR="006C2D98" w:rsidRPr="00310A7B" w:rsidRDefault="006C2D98" w:rsidP="008C3D9D">
      <w:pPr>
        <w:widowControl w:val="0"/>
        <w:numPr>
          <w:ilvl w:val="0"/>
          <w:numId w:val="31"/>
        </w:numPr>
        <w:ind w:left="709" w:hanging="357"/>
        <w:jc w:val="left"/>
        <w:rPr>
          <w:bCs/>
          <w:i/>
        </w:rPr>
      </w:pPr>
      <w:r>
        <w:t>attivitajiet addizzjonali ta’ komunikazzjoni u tixrid: Iva</w:t>
      </w:r>
    </w:p>
    <w:p w14:paraId="79092A73" w14:textId="77777777" w:rsidR="00E752E3" w:rsidRPr="002D1390" w:rsidRDefault="00E752E3" w:rsidP="00510B7E">
      <w:pPr>
        <w:pStyle w:val="Heading3"/>
      </w:pPr>
      <w:bookmarkStart w:id="36" w:name="_Toc89950981"/>
      <w:r>
        <w:t>Speċifiċitajiet oħra</w:t>
      </w:r>
      <w:bookmarkEnd w:id="36"/>
      <w:r>
        <w:t xml:space="preserve"> </w:t>
      </w:r>
    </w:p>
    <w:p w14:paraId="6FAE6CF8" w14:textId="3320AC1C" w:rsidR="006C2D98" w:rsidRDefault="006C2D98" w:rsidP="006C2D98">
      <w:pPr>
        <w:widowControl w:val="0"/>
        <w:rPr>
          <w:bCs/>
        </w:rPr>
      </w:pPr>
      <w:r>
        <w:t>mhux disponibbli</w:t>
      </w:r>
    </w:p>
    <w:p w14:paraId="550096E5" w14:textId="77777777" w:rsidR="00E752E3" w:rsidRPr="0019779F" w:rsidRDefault="00E752E3" w:rsidP="00510B7E">
      <w:pPr>
        <w:pStyle w:val="Heading3"/>
      </w:pPr>
      <w:bookmarkStart w:id="37" w:name="_Toc89950982"/>
      <w:r>
        <w:t>Nuqqas ta’ konformità u ksur tal-kuntratt</w:t>
      </w:r>
      <w:bookmarkEnd w:id="37"/>
    </w:p>
    <w:p w14:paraId="12A9A690" w14:textId="77777777" w:rsidR="00E85C9D" w:rsidRPr="00E85C9D" w:rsidRDefault="00E752E3" w:rsidP="00E85C9D">
      <w:pPr>
        <w:widowControl w:val="0"/>
        <w:rPr>
          <w:bCs/>
        </w:rPr>
      </w:pPr>
      <w:r>
        <w:t>Il-Ftehim ta’ Għotja (Kapitolu 5) jipprevedi l-miżuri li nistgħu nieħdu f’każ ta’ ksur tal-kuntratt (u kwistjonijiet oħra ta’ nonkonformità).</w:t>
      </w:r>
    </w:p>
    <w:p w14:paraId="11678DD9" w14:textId="1C3D0D2D" w:rsidR="00E752E3" w:rsidRPr="00E752E3" w:rsidRDefault="005A3754" w:rsidP="00E752E3">
      <w:pPr>
        <w:autoSpaceDE w:val="0"/>
        <w:autoSpaceDN w:val="0"/>
        <w:adjustRightInd w:val="0"/>
        <w:rPr>
          <w:rFonts w:cs="Verdana"/>
        </w:rPr>
      </w:pPr>
      <w:r>
        <w:rPr>
          <w:noProof/>
          <w:lang w:val="en-IE" w:eastAsia="en-IE"/>
        </w:rPr>
        <w:drawing>
          <wp:inline distT="0" distB="0" distL="0" distR="0" wp14:anchorId="4DC826B7" wp14:editId="67CF715E">
            <wp:extent cx="187960" cy="187960"/>
            <wp:effectExtent l="0" t="0" r="0" b="0"/>
            <wp:docPr id="11" name="Picture 926709888" title="Title: Title: Title: https://lh5.googleusercontent.com/-n5VVWXljoCs/T8X1egaB-BI/AAAAAAAAC1I/fLBP4VIzxQM/s16/infoIcon_blue.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26709888" name="Picture 926709888" title="Title: Title: Title: https://lh5.googleusercontent.com/-n5VVWXljoCs/T8X1egaB-BI/AAAAAAAAC1I/fLBP4VIzxQM/s16/infoIcon_blue.png"/>
                    <pic:cNvPicPr/>
                  </pic:nvPicPr>
                  <pic:blipFill>
                    <a:blip r:embed="rId31">
                      <a:extLst>
                        <a:ext uri="{28A0092B-C50C-407E-A947-70E740481C1C}">
                          <a14:useLocalDpi xmlns:a14="http://schemas.microsoft.com/office/drawing/2010/main" val="0"/>
                        </a:ext>
                      </a:extLst>
                    </a:blip>
                    <a:stretch>
                      <a:fillRect/>
                    </a:stretch>
                  </pic:blipFill>
                  <pic:spPr>
                    <a:xfrm>
                      <a:off x="0" y="0"/>
                      <a:ext cx="187960" cy="187960"/>
                    </a:xfrm>
                    <a:prstGeom prst="rect">
                      <a:avLst/>
                    </a:prstGeom>
                  </pic:spPr>
                </pic:pic>
              </a:graphicData>
            </a:graphic>
          </wp:inline>
        </w:drawing>
      </w:r>
      <w:r>
        <w:t xml:space="preserve"> Għal aktar informazzjoni, ara </w:t>
      </w:r>
      <w:hyperlink r:id="rId49">
        <w:r>
          <w:rPr>
            <w:rStyle w:val="Hyperlink"/>
            <w:i/>
            <w:iCs/>
          </w:rPr>
          <w:t>AGA — Ftehim ta’ Għotja Annotat</w:t>
        </w:r>
      </w:hyperlink>
      <w:r>
        <w:t xml:space="preserve">. </w:t>
      </w:r>
    </w:p>
    <w:p w14:paraId="52D0B17F" w14:textId="3C52329B" w:rsidR="00774448" w:rsidRPr="000564AA" w:rsidRDefault="00774448" w:rsidP="000579AF">
      <w:pPr>
        <w:pStyle w:val="Heading1"/>
        <w:numPr>
          <w:ilvl w:val="0"/>
          <w:numId w:val="54"/>
        </w:numPr>
        <w:tabs>
          <w:tab w:val="left" w:pos="426"/>
        </w:tabs>
        <w:ind w:left="0" w:firstLine="0"/>
      </w:pPr>
      <w:bookmarkStart w:id="38" w:name="_Toc89950983"/>
      <w:r>
        <w:t>Kif tissottometti applikazzjoni</w:t>
      </w:r>
      <w:bookmarkEnd w:id="38"/>
    </w:p>
    <w:p w14:paraId="761BA98F" w14:textId="77777777" w:rsidR="00A82A58" w:rsidRPr="00173BD7" w:rsidRDefault="00A82A58" w:rsidP="00A82A58">
      <w:pPr>
        <w:widowControl w:val="0"/>
      </w:pPr>
      <w:r>
        <w:t xml:space="preserve">Il-proposti kollha jridu jiġu sottomessi direttament online permezz tas-Sistema ta’ Sottomissjoni Elettronika tal-Portal għall-Finanzjament u għall-Offerti. L-applikazzjonijiet stampati MHUMIEX aċċettati. </w:t>
      </w:r>
    </w:p>
    <w:p w14:paraId="1E44B7CE" w14:textId="77777777" w:rsidR="00A82A58" w:rsidRPr="00173BD7" w:rsidRDefault="00A82A58" w:rsidP="00A82A58">
      <w:r>
        <w:t xml:space="preserve">Is-sottomissjoni hija </w:t>
      </w:r>
      <w:r>
        <w:rPr>
          <w:b/>
        </w:rPr>
        <w:t>proċess f’żewġ stadji</w:t>
      </w:r>
      <w:r>
        <w:t xml:space="preserve">: </w:t>
      </w:r>
    </w:p>
    <w:p w14:paraId="4D4C2031" w14:textId="4DCA710F" w:rsidR="00A82A58" w:rsidRPr="00965369" w:rsidRDefault="00A82A58" w:rsidP="00965369">
      <w:pPr>
        <w:pStyle w:val="ListParagraph"/>
        <w:numPr>
          <w:ilvl w:val="1"/>
          <w:numId w:val="56"/>
        </w:numPr>
        <w:tabs>
          <w:tab w:val="left" w:pos="284"/>
        </w:tabs>
        <w:spacing w:after="200"/>
        <w:ind w:left="0" w:firstLine="0"/>
        <w:contextualSpacing w:val="0"/>
        <w:rPr>
          <w:sz w:val="20"/>
          <w:szCs w:val="20"/>
        </w:rPr>
      </w:pPr>
      <w:r>
        <w:rPr>
          <w:b/>
          <w:sz w:val="20"/>
          <w:szCs w:val="20"/>
        </w:rPr>
        <w:t>oħloq kont tal-utent u rreġistra l-organizzazzjoni tiegħek</w:t>
      </w:r>
      <w:r>
        <w:rPr>
          <w:sz w:val="20"/>
          <w:szCs w:val="20"/>
        </w:rPr>
        <w:t xml:space="preserve"> </w:t>
      </w:r>
    </w:p>
    <w:p w14:paraId="7C7BE724" w14:textId="77777777" w:rsidR="00A82A58" w:rsidRPr="00173BD7" w:rsidRDefault="00A82A58" w:rsidP="00965369">
      <w:r>
        <w:t xml:space="preserve">Biex jużaw is-Sistema ta’ Sottomissjoni (l-uniku mod kif tapplika), il-parteċipanti kollha jridu </w:t>
      </w:r>
      <w:hyperlink r:id="rId50" w:history="1">
        <w:r>
          <w:rPr>
            <w:color w:val="0088CC"/>
            <w:u w:val="single"/>
          </w:rPr>
          <w:t>joħolqu kont tal-utent EU Login</w:t>
        </w:r>
      </w:hyperlink>
      <w:r>
        <w:t>.</w:t>
      </w:r>
    </w:p>
    <w:p w14:paraId="385F4D22" w14:textId="77777777" w:rsidR="00A82A58" w:rsidRPr="00173BD7" w:rsidRDefault="00A82A58" w:rsidP="00A82A58">
      <w:r>
        <w:t xml:space="preserve">Ladarba jkollok kont ta’ EU Login, tista’ </w:t>
      </w:r>
      <w:hyperlink r:id="rId51" w:history="1">
        <w:r>
          <w:rPr>
            <w:color w:val="0088CC"/>
            <w:u w:val="single"/>
          </w:rPr>
          <w:t>tirreġistra l-organizzazzjoni</w:t>
        </w:r>
      </w:hyperlink>
      <w:r>
        <w:t xml:space="preserve"> tiegħek fir-Reġistru tal-Parteċipanti. Meta r-reġistrazzjoni tiegħek tiġi ffinalizzata, tirċievi kodiċi ta’ identifikazzjoni tal-parteċipant b’disa’ ċifri (PIC).</w:t>
      </w:r>
    </w:p>
    <w:p w14:paraId="3B1EF156" w14:textId="467F6BCD" w:rsidR="00A82A58" w:rsidRPr="00965369" w:rsidRDefault="00A82A58" w:rsidP="00965369">
      <w:pPr>
        <w:pStyle w:val="ListParagraph"/>
        <w:numPr>
          <w:ilvl w:val="1"/>
          <w:numId w:val="56"/>
        </w:numPr>
        <w:tabs>
          <w:tab w:val="left" w:pos="284"/>
        </w:tabs>
        <w:spacing w:after="200"/>
        <w:ind w:left="0" w:firstLine="0"/>
        <w:contextualSpacing w:val="0"/>
        <w:rPr>
          <w:sz w:val="20"/>
          <w:szCs w:val="20"/>
        </w:rPr>
      </w:pPr>
      <w:r>
        <w:rPr>
          <w:b/>
          <w:sz w:val="20"/>
          <w:szCs w:val="20"/>
        </w:rPr>
        <w:t>issottometti l-proposta</w:t>
      </w:r>
    </w:p>
    <w:p w14:paraId="2D1D3DDF" w14:textId="77777777" w:rsidR="00A82A58" w:rsidRPr="00965369" w:rsidRDefault="00A82A58" w:rsidP="00A82A58">
      <w:pPr>
        <w:tabs>
          <w:tab w:val="left" w:pos="142"/>
        </w:tabs>
      </w:pPr>
      <w:r>
        <w:t xml:space="preserve">Aċċessa s-Sistema ta’ Sottomissjoni Elettronika permezz tal-paġna Suġġett fit-taqsima </w:t>
      </w:r>
      <w:hyperlink r:id="rId52" w:history="1">
        <w:r>
          <w:rPr>
            <w:rStyle w:val="Hyperlink"/>
          </w:rPr>
          <w:t>Fittex Finanzjament u Offerti</w:t>
        </w:r>
      </w:hyperlink>
      <w:r>
        <w:t xml:space="preserve"> (jew, għal sejħiet mibgħuta bi stedina għas-sottomissjoni ta’ proposta, permezz tal-link ipprovdut fl-ittra ta’ stedina).</w:t>
      </w:r>
    </w:p>
    <w:p w14:paraId="55DB4E61" w14:textId="04712426" w:rsidR="00A82A58" w:rsidRPr="00173BD7" w:rsidRDefault="00A82A58" w:rsidP="00A82A58">
      <w:r>
        <w:t xml:space="preserve">Issottometti l-proposta tiegħek f’erba’ partijiet, kif ġej: </w:t>
      </w:r>
    </w:p>
    <w:p w14:paraId="595ACC2F" w14:textId="77777777" w:rsidR="00A82A58" w:rsidRPr="00173BD7" w:rsidRDefault="00A82A58" w:rsidP="00A82A58">
      <w:pPr>
        <w:numPr>
          <w:ilvl w:val="0"/>
          <w:numId w:val="20"/>
        </w:numPr>
        <w:tabs>
          <w:tab w:val="num" w:pos="765"/>
        </w:tabs>
        <w:ind w:left="765"/>
      </w:pPr>
      <w:r>
        <w:t>Il-Parti A tinkludi informazzjoni amministrattiva dwar l-organizzazzjonijiet applikanti (koordinatur futur, benefiċjarji, entitajiet affiljati u sħab assoċjati) u l-baġit fil-qosor għall-proposta. Imlieha direttament online</w:t>
      </w:r>
    </w:p>
    <w:p w14:paraId="0B5804F7" w14:textId="77777777" w:rsidR="00A82A58" w:rsidRPr="00173BD7" w:rsidRDefault="00A82A58" w:rsidP="00A82A58">
      <w:pPr>
        <w:numPr>
          <w:ilvl w:val="0"/>
          <w:numId w:val="20"/>
        </w:numPr>
        <w:tabs>
          <w:tab w:val="num" w:pos="765"/>
        </w:tabs>
        <w:ind w:left="765"/>
      </w:pPr>
      <w:r>
        <w:lastRenderedPageBreak/>
        <w:t>Il-Parti B (deskrizzjoni tal-azzjoni) tkopri l-kontenut tekniku tal-proposta. Niżżel il-mudell obbligatorju tal-Word mis-Sistema ta’ Sottomissjoni, imlih u tellgħu bħala fajl PDF.</w:t>
      </w:r>
    </w:p>
    <w:p w14:paraId="4AC31BB2" w14:textId="303BF488" w:rsidR="00A82A58" w:rsidRPr="00173BD7" w:rsidRDefault="00A82A58" w:rsidP="00A82A58">
      <w:pPr>
        <w:numPr>
          <w:ilvl w:val="0"/>
          <w:numId w:val="20"/>
        </w:numPr>
        <w:tabs>
          <w:tab w:val="num" w:pos="765"/>
        </w:tabs>
        <w:ind w:left="765"/>
      </w:pPr>
      <w:r>
        <w:t xml:space="preserve">Il-Parti C fiha </w:t>
      </w:r>
      <w:r>
        <w:rPr>
          <w:i/>
        </w:rPr>
        <w:t>data</w:t>
      </w:r>
      <w:r>
        <w:t xml:space="preserve"> addizzjonali dwar il-proġett. Għandha timtela direttament online.</w:t>
      </w:r>
    </w:p>
    <w:p w14:paraId="3A0A5CB2" w14:textId="77777777" w:rsidR="00A82A58" w:rsidRPr="00173BD7" w:rsidRDefault="00A82A58" w:rsidP="00A82A58">
      <w:pPr>
        <w:numPr>
          <w:ilvl w:val="0"/>
          <w:numId w:val="20"/>
        </w:numPr>
        <w:tabs>
          <w:tab w:val="num" w:pos="765"/>
        </w:tabs>
        <w:ind w:left="765"/>
      </w:pPr>
      <w:r>
        <w:t>Annessi (</w:t>
      </w:r>
      <w:r>
        <w:rPr>
          <w:i/>
        </w:rPr>
        <w:t>ara t-taqsima 5</w:t>
      </w:r>
      <w:r>
        <w:t xml:space="preserve">). Tellagħhom bħala fajl PDF (wieħed jew multiplu skont l-islots). Xi drabi jkun possibbli li ttella’ l-fajl Excel, skont it-tip ta’ fajl. </w:t>
      </w:r>
    </w:p>
    <w:p w14:paraId="3A92FB1F" w14:textId="77777777" w:rsidR="00A82A58" w:rsidRPr="000564AA" w:rsidRDefault="00A82A58" w:rsidP="00A82A58">
      <w:r>
        <w:t>Il-proposta trid tirrispetta l-</w:t>
      </w:r>
      <w:r>
        <w:rPr>
          <w:b/>
        </w:rPr>
        <w:t>limiti tal-paġni</w:t>
      </w:r>
      <w:r>
        <w:t xml:space="preserve"> </w:t>
      </w:r>
      <w:r>
        <w:rPr>
          <w:i/>
        </w:rPr>
        <w:t>(ara t-taqsima 5)</w:t>
      </w:r>
      <w:r>
        <w:t xml:space="preserve">; paġni żejda jiġu injorati. </w:t>
      </w:r>
    </w:p>
    <w:p w14:paraId="20D3A891" w14:textId="3BD2430A" w:rsidR="00774448" w:rsidRPr="000564AA" w:rsidRDefault="00774448" w:rsidP="00A82A58">
      <w:r>
        <w:t>Id-dokumenti jridu jittellgħu fil-</w:t>
      </w:r>
      <w:r>
        <w:rPr>
          <w:b/>
        </w:rPr>
        <w:t>kategorija t-tajba</w:t>
      </w:r>
      <w:r>
        <w:t xml:space="preserve"> fis-Sistema ta’ Sottomissjoni, inkella l-proposta tista’ titqies bħala mhux kompluta u għalhekk inammissibbli.</w:t>
      </w:r>
    </w:p>
    <w:p w14:paraId="72F683C9" w14:textId="77777777" w:rsidR="00774448" w:rsidRPr="000564AA" w:rsidRDefault="00774448" w:rsidP="00774448">
      <w:r>
        <w:t xml:space="preserve">Il-proposta trid tiġi sottomessa </w:t>
      </w:r>
      <w:r>
        <w:rPr>
          <w:b/>
        </w:rPr>
        <w:t>qabel l-iskadenza tas-sejħa</w:t>
      </w:r>
      <w:r>
        <w:t xml:space="preserve"> </w:t>
      </w:r>
      <w:r>
        <w:rPr>
          <w:i/>
        </w:rPr>
        <w:t>(ara t-taqsima 4)</w:t>
      </w:r>
      <w:r>
        <w:t xml:space="preserve">. Wara din l-iskadenza, is-sistema tingħalaq u ma jkunux jistgħu jiġu sottomessi aktar proposti. </w:t>
      </w:r>
    </w:p>
    <w:p w14:paraId="762AB04D" w14:textId="77777777" w:rsidR="00774448" w:rsidRPr="000564AA" w:rsidRDefault="00774448" w:rsidP="00774448">
      <w:r>
        <w:t xml:space="preserve">Ladarba l-proposta tiġi sottomessa, tirċievi </w:t>
      </w:r>
      <w:r>
        <w:rPr>
          <w:b/>
        </w:rPr>
        <w:t>email ta’ konferma</w:t>
      </w:r>
      <w:r>
        <w:t xml:space="preserve"> (bid-data u l-ħin tal-applikazzjoni tiegħek). Jekk ma tirċevix din l-email ta’ konferma, dan ifisser li l-proposta tiegħek MA ĠIETX sottomessa. Jekk temmen li dan huwa dovut għal difett fis-Sistema ta’ Sottomissjoni, għandek tressaq ilment minnufih permezz tal-</w:t>
      </w:r>
      <w:hyperlink r:id="rId53" w:history="1">
        <w:r>
          <w:rPr>
            <w:color w:val="0088CC"/>
            <w:u w:val="single"/>
          </w:rPr>
          <w:t>formola web tal-Helpdesk tal-IT</w:t>
        </w:r>
      </w:hyperlink>
      <w:r>
        <w:t>, fejn tispjega ċ-ċirkostanzi u tehmeż kopja tal-proposta (u, jekk possibbli, ritratti tal-iskrin biex turi x’ġara).</w:t>
      </w:r>
    </w:p>
    <w:p w14:paraId="5EBA6498" w14:textId="2BFF4472" w:rsidR="00774448" w:rsidRDefault="00774448" w:rsidP="00774448">
      <w:r>
        <w:t>Id-dettalji dwar il-proċessi u l-proċeduri huma deskritti fil-</w:t>
      </w:r>
      <w:hyperlink r:id="rId54" w:history="1">
        <w:r>
          <w:rPr>
            <w:rStyle w:val="Hyperlink"/>
          </w:rPr>
          <w:t>Manwal Online</w:t>
        </w:r>
      </w:hyperlink>
      <w:r>
        <w:t>. Il-Manwal Online fih ukoll il-links għall-FAQs u struzzjonijiet dettaljati dwar is-Sistema ta’ Skambju Elettroniku tal-Portal.</w:t>
      </w:r>
    </w:p>
    <w:p w14:paraId="2FB20757" w14:textId="11484925" w:rsidR="002D1390" w:rsidRPr="00975A34" w:rsidRDefault="002D1390" w:rsidP="000579AF">
      <w:pPr>
        <w:pStyle w:val="Heading1"/>
        <w:numPr>
          <w:ilvl w:val="0"/>
          <w:numId w:val="54"/>
        </w:numPr>
        <w:tabs>
          <w:tab w:val="left" w:pos="426"/>
        </w:tabs>
        <w:ind w:left="0" w:firstLine="0"/>
      </w:pPr>
      <w:bookmarkStart w:id="39" w:name="_Toc89950984"/>
      <w:r>
        <w:t>Għajnuna</w:t>
      </w:r>
      <w:bookmarkEnd w:id="39"/>
    </w:p>
    <w:p w14:paraId="5BD07290" w14:textId="77777777" w:rsidR="00B870D7" w:rsidRDefault="00B870D7" w:rsidP="00B870D7">
      <w:pPr>
        <w:spacing w:after="120"/>
        <w:rPr>
          <w:szCs w:val="21"/>
        </w:rPr>
      </w:pPr>
      <w:r>
        <w:t xml:space="preserve">Kemm jista’ jkun, </w:t>
      </w:r>
      <w:r>
        <w:rPr>
          <w:b/>
          <w:i/>
          <w:szCs w:val="21"/>
        </w:rPr>
        <w:t>jekk jogħġbok ipprova sib it-tweġibiet għall-mistoqsijiet tiegħek inti stess</w:t>
      </w:r>
      <w:r>
        <w:t>, f’din id-dokumentazzjoni u fid-dokumentazzjoni l-oħra (għandna riżorsi limitati biex nindirizzaw mistoqsijiet diretti):</w:t>
      </w:r>
    </w:p>
    <w:p w14:paraId="66C7F5F9" w14:textId="77777777" w:rsidR="00B870D7" w:rsidRPr="000F5190" w:rsidRDefault="009419CA" w:rsidP="00584316">
      <w:pPr>
        <w:widowControl w:val="0"/>
        <w:numPr>
          <w:ilvl w:val="0"/>
          <w:numId w:val="31"/>
        </w:numPr>
        <w:spacing w:after="120"/>
        <w:ind w:left="709"/>
        <w:jc w:val="left"/>
        <w:rPr>
          <w:szCs w:val="21"/>
        </w:rPr>
      </w:pPr>
      <w:hyperlink r:id="rId55" w:history="1">
        <w:r w:rsidR="00D9124D">
          <w:rPr>
            <w:rStyle w:val="Hyperlink"/>
          </w:rPr>
          <w:t>Manwal Online</w:t>
        </w:r>
      </w:hyperlink>
      <w:r w:rsidR="00D9124D">
        <w:t xml:space="preserve"> </w:t>
      </w:r>
    </w:p>
    <w:p w14:paraId="20342E5F" w14:textId="77777777" w:rsidR="00B870D7" w:rsidRPr="00310A7B" w:rsidRDefault="00B870D7" w:rsidP="00584316">
      <w:pPr>
        <w:widowControl w:val="0"/>
        <w:numPr>
          <w:ilvl w:val="0"/>
          <w:numId w:val="31"/>
        </w:numPr>
        <w:spacing w:after="120"/>
        <w:ind w:left="709"/>
        <w:jc w:val="left"/>
        <w:rPr>
          <w:szCs w:val="21"/>
          <w:u w:val="single"/>
        </w:rPr>
      </w:pPr>
      <w:r>
        <w:t>FAQs fuq il-paġna tas-Suġġett (għal mistoqsijiet speċifiċi għas-sejħa fis-sejħiet miftuħa; mhux applikabbli għal azzjonijiet permezz ta’ stedina)</w:t>
      </w:r>
    </w:p>
    <w:p w14:paraId="15BC9D11" w14:textId="77777777" w:rsidR="00B870D7" w:rsidRPr="00310A7B" w:rsidRDefault="009419CA" w:rsidP="00584316">
      <w:pPr>
        <w:widowControl w:val="0"/>
        <w:numPr>
          <w:ilvl w:val="0"/>
          <w:numId w:val="31"/>
        </w:numPr>
        <w:ind w:left="709" w:hanging="357"/>
        <w:jc w:val="left"/>
        <w:rPr>
          <w:szCs w:val="21"/>
          <w:u w:val="single"/>
        </w:rPr>
      </w:pPr>
      <w:hyperlink r:id="rId56" w:history="1">
        <w:r w:rsidR="00D9124D">
          <w:rPr>
            <w:rStyle w:val="Hyperlink"/>
          </w:rPr>
          <w:t>Portal tal-FAQ</w:t>
        </w:r>
      </w:hyperlink>
      <w:r w:rsidR="00D9124D">
        <w:t xml:space="preserve"> (għal mistoqsijiet ġenerali).</w:t>
      </w:r>
    </w:p>
    <w:p w14:paraId="7FE24C65" w14:textId="77777777" w:rsidR="00A53E20" w:rsidRPr="00310A7B" w:rsidRDefault="00A53E20" w:rsidP="00A53E20">
      <w:pPr>
        <w:rPr>
          <w:color w:val="000000"/>
          <w:szCs w:val="21"/>
        </w:rPr>
      </w:pPr>
      <w:r>
        <w:rPr>
          <w:color w:val="000000"/>
          <w:szCs w:val="21"/>
        </w:rPr>
        <w:t>Jekk jogħġbok ikkonsulta wkoll il-paġna tas-Suġġett regolarment, peress li se nużawha biex nippubblikaw aġġornamenti dwar is-sejħa. (Għal stediniet, nikkuntattjawk direttament f’każ ta’ aġġornament tas-sejħa).</w:t>
      </w:r>
    </w:p>
    <w:p w14:paraId="2799B9E0" w14:textId="77777777" w:rsidR="00A53E20" w:rsidRPr="002D1390" w:rsidRDefault="00A53E20" w:rsidP="00A53E20">
      <w:pPr>
        <w:widowControl w:val="0"/>
        <w:rPr>
          <w:i/>
        </w:rPr>
      </w:pPr>
      <w:r>
        <w:rPr>
          <w:i/>
        </w:rPr>
        <w:t>Kuntatt</w:t>
      </w:r>
    </w:p>
    <w:p w14:paraId="4F7C9187" w14:textId="77777777" w:rsidR="00A53E20" w:rsidRPr="00B57534" w:rsidRDefault="00A53E20" w:rsidP="00A53E20">
      <w:pPr>
        <w:pStyle w:val="Default"/>
        <w:spacing w:after="120"/>
        <w:jc w:val="both"/>
        <w:rPr>
          <w:rFonts w:ascii="Verdana" w:hAnsi="Verdana" w:cs="Arial"/>
          <w:color w:val="auto"/>
          <w:sz w:val="20"/>
          <w:szCs w:val="20"/>
        </w:rPr>
      </w:pPr>
      <w:r>
        <w:rPr>
          <w:rFonts w:ascii="Verdana" w:hAnsi="Verdana"/>
          <w:color w:val="auto"/>
          <w:sz w:val="20"/>
          <w:szCs w:val="20"/>
        </w:rPr>
        <w:t>Għal mistoqsijiet individwali dwar is-Sistema ta’ Sottomissjoni tal-Portal, jekk jogħġbok ikkuntattja lill-</w:t>
      </w:r>
      <w:hyperlink r:id="rId57" w:history="1">
        <w:r>
          <w:rPr>
            <w:rStyle w:val="Hyperlink"/>
            <w:rFonts w:ascii="Verdana" w:hAnsi="Verdana"/>
            <w:sz w:val="20"/>
            <w:szCs w:val="20"/>
          </w:rPr>
          <w:t>Helpdesk tal-IT</w:t>
        </w:r>
      </w:hyperlink>
      <w:r>
        <w:rPr>
          <w:rFonts w:ascii="Verdana" w:hAnsi="Verdana"/>
          <w:color w:val="auto"/>
          <w:sz w:val="20"/>
          <w:szCs w:val="20"/>
        </w:rPr>
        <w:t>.</w:t>
      </w:r>
    </w:p>
    <w:p w14:paraId="0208E6F8" w14:textId="77777777" w:rsidR="007654F8" w:rsidRDefault="00A53E20" w:rsidP="007654F8">
      <w:pPr>
        <w:pStyle w:val="Text1"/>
        <w:spacing w:after="120"/>
        <w:ind w:left="0"/>
        <w:rPr>
          <w:rFonts w:cs="Arial"/>
        </w:rPr>
      </w:pPr>
      <w:r>
        <w:t xml:space="preserve">Mistoqsijiet mhux relatati mal-IT għandhom jintbagħtu fl-indirizz elettroniku li ġej: </w:t>
      </w:r>
    </w:p>
    <w:p w14:paraId="78E7C8FF" w14:textId="75E2D1C4" w:rsidR="00CD6C4F" w:rsidRDefault="009419CA" w:rsidP="007654F8">
      <w:pPr>
        <w:pStyle w:val="Text1"/>
        <w:spacing w:after="120"/>
        <w:ind w:left="0"/>
        <w:rPr>
          <w:rFonts w:cs="Arial"/>
        </w:rPr>
      </w:pPr>
      <w:hyperlink r:id="rId58" w:history="1">
        <w:r w:rsidR="00D9124D">
          <w:rPr>
            <w:rStyle w:val="Hyperlink"/>
            <w:color w:val="FF0000"/>
          </w:rPr>
          <w:t>EACEA-CERV@ec.europa.eu</w:t>
        </w:r>
      </w:hyperlink>
      <w:r w:rsidR="00D9124D">
        <w:t xml:space="preserve">. </w:t>
      </w:r>
    </w:p>
    <w:p w14:paraId="5BAEED01" w14:textId="77777777" w:rsidR="00A53E20" w:rsidRDefault="00A53E20" w:rsidP="00CD6C4F">
      <w:pPr>
        <w:pStyle w:val="Text1"/>
        <w:spacing w:after="120"/>
        <w:ind w:left="0"/>
        <w:rPr>
          <w:rFonts w:cs="Arial"/>
        </w:rPr>
      </w:pPr>
      <w:r>
        <w:t xml:space="preserve">Jekk jogħġbok indika b’mod ċar ir-referenza tas-sejħa u s-suġġett li hija marbuta magħha l-mistoqsija tiegħek </w:t>
      </w:r>
      <w:r>
        <w:rPr>
          <w:i/>
        </w:rPr>
        <w:t>(ara l-ewwel paġna)</w:t>
      </w:r>
      <w:r>
        <w:t>.</w:t>
      </w:r>
    </w:p>
    <w:p w14:paraId="60C73839" w14:textId="77777777" w:rsidR="00376DCA" w:rsidRDefault="00376DCA" w:rsidP="007C37E2"/>
    <w:p w14:paraId="55C4BC05" w14:textId="76070ACC" w:rsidR="008D7360" w:rsidRDefault="00376DCA" w:rsidP="000579AF">
      <w:pPr>
        <w:pStyle w:val="Heading1"/>
        <w:numPr>
          <w:ilvl w:val="0"/>
          <w:numId w:val="54"/>
        </w:numPr>
        <w:tabs>
          <w:tab w:val="left" w:pos="426"/>
        </w:tabs>
        <w:ind w:left="0" w:firstLine="0"/>
      </w:pPr>
      <w:r>
        <w:br w:type="page"/>
      </w:r>
      <w:bookmarkStart w:id="40" w:name="_Toc89950985"/>
      <w:r>
        <w:lastRenderedPageBreak/>
        <w:t>Importanti</w:t>
      </w:r>
      <w:bookmarkEnd w:id="40"/>
    </w:p>
    <w:tbl>
      <w:tblPr>
        <w:tblStyle w:val="TableGrid"/>
        <w:tblW w:w="0" w:type="auto"/>
        <w:tblLook w:val="04A0" w:firstRow="1" w:lastRow="0" w:firstColumn="1" w:lastColumn="0" w:noHBand="0" w:noVBand="1"/>
      </w:tblPr>
      <w:tblGrid>
        <w:gridCol w:w="8642"/>
      </w:tblGrid>
      <w:tr w:rsidR="007B7F35" w14:paraId="03FA8F60" w14:textId="77777777" w:rsidTr="007B7F35">
        <w:tc>
          <w:tcPr>
            <w:tcW w:w="8642" w:type="dxa"/>
            <w:tcBorders>
              <w:top w:val="single" w:sz="4" w:space="0" w:color="BFBFBF"/>
              <w:left w:val="single" w:sz="4" w:space="0" w:color="BFBFBF"/>
              <w:bottom w:val="single" w:sz="4" w:space="0" w:color="BFBFBF"/>
              <w:right w:val="single" w:sz="4" w:space="0" w:color="BFBFBF"/>
            </w:tcBorders>
            <w:shd w:val="clear" w:color="auto" w:fill="F2F2F2"/>
          </w:tcPr>
          <w:p w14:paraId="0085C488" w14:textId="77777777" w:rsidR="007B7F35" w:rsidRPr="00310A7B" w:rsidRDefault="007B7F35" w:rsidP="007B7F35">
            <w:pPr>
              <w:pStyle w:val="Text1"/>
              <w:spacing w:before="120" w:after="120"/>
              <w:ind w:left="0"/>
              <w:rPr>
                <w:rFonts w:cs="Arial"/>
                <w:color w:val="595959"/>
                <w:sz w:val="16"/>
                <w:szCs w:val="18"/>
              </w:rPr>
            </w:pPr>
            <w:r>
              <w:rPr>
                <w:b/>
                <w:noProof/>
                <w:color w:val="7F7F7F"/>
                <w:sz w:val="18"/>
                <w:szCs w:val="21"/>
                <w:lang w:val="en-IE" w:eastAsia="en-IE"/>
              </w:rPr>
              <w:drawing>
                <wp:inline distT="0" distB="0" distL="0" distR="0" wp14:anchorId="6D690FB4" wp14:editId="728C5882">
                  <wp:extent cx="187960" cy="187960"/>
                  <wp:effectExtent l="0" t="0" r="0" b="0"/>
                  <wp:docPr id="12" name="Picture 12" descr="war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warnin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87960" cy="187960"/>
                          </a:xfrm>
                          <a:prstGeom prst="rect">
                            <a:avLst/>
                          </a:prstGeom>
                          <a:noFill/>
                          <a:ln>
                            <a:noFill/>
                          </a:ln>
                        </pic:spPr>
                      </pic:pic>
                    </a:graphicData>
                  </a:graphic>
                </wp:inline>
              </w:drawing>
            </w:r>
            <w:r>
              <w:rPr>
                <w:sz w:val="18"/>
                <w:szCs w:val="18"/>
              </w:rPr>
              <w:t xml:space="preserve"> </w:t>
            </w:r>
            <w:r>
              <w:rPr>
                <w:b/>
                <w:color w:val="595959"/>
                <w:sz w:val="18"/>
                <w:szCs w:val="18"/>
              </w:rPr>
              <w:t xml:space="preserve">IMPORTANTI </w:t>
            </w:r>
          </w:p>
          <w:p w14:paraId="26D14669" w14:textId="77777777" w:rsidR="007B7F35" w:rsidRPr="007B7F35" w:rsidRDefault="007B7F35" w:rsidP="007B7F35">
            <w:pPr>
              <w:numPr>
                <w:ilvl w:val="0"/>
                <w:numId w:val="25"/>
              </w:numPr>
              <w:spacing w:after="120"/>
              <w:ind w:left="567" w:right="79" w:hanging="447"/>
              <w:rPr>
                <w:color w:val="595959"/>
                <w:sz w:val="18"/>
                <w:szCs w:val="18"/>
              </w:rPr>
            </w:pPr>
            <w:r>
              <w:rPr>
                <w:b/>
                <w:color w:val="595959"/>
                <w:sz w:val="18"/>
                <w:szCs w:val="18"/>
              </w:rPr>
              <w:t>Tistenniex sal-aħħar mument</w:t>
            </w:r>
            <w:r>
              <w:rPr>
                <w:color w:val="595959"/>
                <w:sz w:val="18"/>
                <w:szCs w:val="18"/>
              </w:rPr>
              <w:t xml:space="preserve"> — Lesti l-applikazzjoni tiegħek sew qabel l-iskadenza biex tevita kwalunkwe </w:t>
            </w:r>
            <w:r>
              <w:rPr>
                <w:b/>
                <w:color w:val="595959"/>
                <w:sz w:val="18"/>
                <w:szCs w:val="18"/>
              </w:rPr>
              <w:t>problema teknika</w:t>
            </w:r>
            <w:r>
              <w:rPr>
                <w:color w:val="595959"/>
                <w:sz w:val="18"/>
                <w:szCs w:val="18"/>
              </w:rPr>
              <w:t xml:space="preserve"> tal-aħħar minuta. Problemi li jinqalgħu </w:t>
            </w:r>
            <w:r w:rsidRPr="007B7F35">
              <w:rPr>
                <w:color w:val="595959"/>
                <w:sz w:val="18"/>
                <w:szCs w:val="18"/>
              </w:rPr>
              <w:t xml:space="preserve">minħabba sottomissjonijiet fl-aħħar minuta </w:t>
            </w:r>
            <w:r w:rsidRPr="007B7F35">
              <w:rPr>
                <w:i/>
                <w:color w:val="595959"/>
                <w:sz w:val="18"/>
                <w:szCs w:val="18"/>
              </w:rPr>
              <w:t>(eż. konġestjoni, eċċ.)</w:t>
            </w:r>
            <w:r w:rsidRPr="007B7F35">
              <w:rPr>
                <w:color w:val="595959"/>
                <w:sz w:val="18"/>
                <w:szCs w:val="18"/>
              </w:rPr>
              <w:t xml:space="preserve"> se jkunu kompletament għar-riskju tiegħek. Id-dati ta’ għeluq tas-sejħa MA JISTGĦUX jiġu estiżi.</w:t>
            </w:r>
          </w:p>
          <w:p w14:paraId="4586FC0B" w14:textId="77777777" w:rsidR="007B7F35" w:rsidRPr="007B7F35" w:rsidRDefault="007B7F35" w:rsidP="007B7F35">
            <w:pPr>
              <w:numPr>
                <w:ilvl w:val="0"/>
                <w:numId w:val="25"/>
              </w:numPr>
              <w:ind w:left="567" w:right="79" w:hanging="447"/>
              <w:rPr>
                <w:color w:val="595959"/>
                <w:sz w:val="18"/>
                <w:szCs w:val="18"/>
              </w:rPr>
            </w:pPr>
            <w:r w:rsidRPr="007B7F35">
              <w:rPr>
                <w:b/>
                <w:color w:val="595959"/>
                <w:sz w:val="18"/>
                <w:szCs w:val="18"/>
              </w:rPr>
              <w:t>Ikkonsulta</w:t>
            </w:r>
            <w:r w:rsidRPr="007B7F35">
              <w:rPr>
                <w:color w:val="595959"/>
                <w:sz w:val="18"/>
                <w:szCs w:val="18"/>
              </w:rPr>
              <w:t xml:space="preserve"> l-paġna Suġġett tal-Portal b’mod regolari. Din se nużawha biex nippubblikaw aġġornamenti u informazzjoni addizzjonali dwar is-sejħa (aġġornamenti dwar is-sejħa u s-suġġett).</w:t>
            </w:r>
          </w:p>
          <w:p w14:paraId="6680056D" w14:textId="77777777" w:rsidR="007B7F35" w:rsidRPr="007B7F35" w:rsidRDefault="007B7F35" w:rsidP="007B7F35">
            <w:pPr>
              <w:numPr>
                <w:ilvl w:val="0"/>
                <w:numId w:val="25"/>
              </w:numPr>
              <w:ind w:left="567" w:right="79" w:hanging="447"/>
              <w:rPr>
                <w:rFonts w:cs="Arial"/>
                <w:color w:val="595959"/>
                <w:sz w:val="18"/>
                <w:szCs w:val="18"/>
              </w:rPr>
            </w:pPr>
            <w:r w:rsidRPr="007B7F35">
              <w:rPr>
                <w:color w:val="595959"/>
                <w:sz w:val="18"/>
                <w:szCs w:val="18"/>
              </w:rPr>
              <w:t xml:space="preserve">Is-Sistema ta’ Skambju Elettroniku tal-Portal għall-Finanzjament u għall-Offerti — Permezz tas-sottomissjoni tal-applikazzjoni, il-parteċipanti kollha </w:t>
            </w:r>
            <w:r w:rsidRPr="007B7F35">
              <w:rPr>
                <w:b/>
                <w:color w:val="595959"/>
                <w:sz w:val="18"/>
                <w:szCs w:val="18"/>
              </w:rPr>
              <w:t>jaċċettaw</w:t>
            </w:r>
            <w:r w:rsidRPr="007B7F35">
              <w:rPr>
                <w:sz w:val="18"/>
                <w:szCs w:val="18"/>
              </w:rPr>
              <w:t xml:space="preserve"> </w:t>
            </w:r>
            <w:r w:rsidRPr="007B7F35">
              <w:rPr>
                <w:color w:val="7F7F7F"/>
                <w:sz w:val="18"/>
                <w:szCs w:val="18"/>
              </w:rPr>
              <w:t>li jużaw is-sistema ta’ skambju elettroniku f’konformità mat-</w:t>
            </w:r>
            <w:hyperlink r:id="rId59" w:history="1">
              <w:r w:rsidRPr="007B7F35">
                <w:rPr>
                  <w:rStyle w:val="Hyperlink"/>
                  <w:sz w:val="18"/>
                  <w:szCs w:val="18"/>
                </w:rPr>
                <w:t>Termini u Kundizzjonijiet tal-Portal</w:t>
              </w:r>
            </w:hyperlink>
            <w:r w:rsidRPr="007B7F35">
              <w:rPr>
                <w:sz w:val="18"/>
                <w:szCs w:val="18"/>
              </w:rPr>
              <w:t>.</w:t>
            </w:r>
          </w:p>
          <w:p w14:paraId="585D1D6F" w14:textId="77777777" w:rsidR="007B7F35" w:rsidRPr="007B7F35" w:rsidRDefault="007B7F35" w:rsidP="007B7F35">
            <w:pPr>
              <w:numPr>
                <w:ilvl w:val="0"/>
                <w:numId w:val="25"/>
              </w:numPr>
              <w:ind w:left="567" w:right="79" w:hanging="447"/>
              <w:rPr>
                <w:rFonts w:cs="Arial"/>
                <w:color w:val="595959"/>
                <w:sz w:val="18"/>
                <w:szCs w:val="18"/>
              </w:rPr>
            </w:pPr>
            <w:r w:rsidRPr="007B7F35">
              <w:rPr>
                <w:b/>
                <w:color w:val="595959"/>
                <w:sz w:val="18"/>
                <w:szCs w:val="18"/>
              </w:rPr>
              <w:t>Reġistrazzjoni</w:t>
            </w:r>
            <w:r w:rsidRPr="007B7F35">
              <w:rPr>
                <w:color w:val="595959"/>
                <w:sz w:val="18"/>
                <w:szCs w:val="18"/>
              </w:rPr>
              <w:t xml:space="preserve"> — Qabel ma jissottomettu l-applikazzjoni, il-benefiċjarji, l-entitajiet affiljati u s-sħab assoċjati kollha jridu jkunu rreġistrati fir-</w:t>
            </w:r>
            <w:hyperlink r:id="rId60" w:history="1">
              <w:r w:rsidRPr="007B7F35">
                <w:rPr>
                  <w:rStyle w:val="Hyperlink"/>
                  <w:sz w:val="18"/>
                  <w:szCs w:val="18"/>
                </w:rPr>
                <w:t>Reġistru tal-Parteċipanti</w:t>
              </w:r>
            </w:hyperlink>
            <w:r w:rsidRPr="007B7F35">
              <w:rPr>
                <w:color w:val="595959"/>
                <w:sz w:val="18"/>
                <w:szCs w:val="18"/>
              </w:rPr>
              <w:t>. Il-kodiċi ta’ identifikazzjoni tal-parteċipant (PIC) (wieħed għal kull parteċipant) huwa obbligatorju għall-Formola tal-Applikazzjoni.</w:t>
            </w:r>
          </w:p>
          <w:p w14:paraId="073F0850" w14:textId="77777777" w:rsidR="007B7F35" w:rsidRPr="007B7F35" w:rsidRDefault="007B7F35" w:rsidP="007B7F35">
            <w:pPr>
              <w:numPr>
                <w:ilvl w:val="0"/>
                <w:numId w:val="25"/>
              </w:numPr>
              <w:spacing w:after="120"/>
              <w:ind w:left="567" w:right="79" w:hanging="445"/>
              <w:rPr>
                <w:rFonts w:cs="Arial"/>
                <w:iCs/>
                <w:color w:val="595959"/>
                <w:sz w:val="18"/>
                <w:szCs w:val="18"/>
              </w:rPr>
            </w:pPr>
            <w:r w:rsidRPr="007B7F35">
              <w:rPr>
                <w:b/>
                <w:iCs/>
                <w:color w:val="595959"/>
                <w:sz w:val="18"/>
                <w:szCs w:val="18"/>
              </w:rPr>
              <w:t>Rwoli tal-konsorzju</w:t>
            </w:r>
            <w:r w:rsidRPr="007B7F35">
              <w:rPr>
                <w:iCs/>
                <w:color w:val="595959"/>
                <w:sz w:val="18"/>
                <w:szCs w:val="18"/>
              </w:rPr>
              <w:t xml:space="preserve"> — Meta tkun qed tistabbilixxi l-konsorzju tiegħek, għandek taħseb dwar l-organizzazzjonijiet li jgħinuk tilħaq l-objettivi u ssolvi l-problemi.</w:t>
            </w:r>
          </w:p>
          <w:p w14:paraId="182EA880" w14:textId="77777777" w:rsidR="007B7F35" w:rsidRPr="00F701D1" w:rsidRDefault="007B7F35" w:rsidP="007B7F35">
            <w:pPr>
              <w:spacing w:after="120"/>
              <w:ind w:left="567" w:right="79"/>
              <w:rPr>
                <w:rFonts w:eastAsia="Calibri"/>
                <w:sz w:val="18"/>
                <w:szCs w:val="18"/>
              </w:rPr>
            </w:pPr>
            <w:r w:rsidRPr="007B7F35">
              <w:rPr>
                <w:color w:val="595959"/>
                <w:sz w:val="18"/>
                <w:szCs w:val="18"/>
              </w:rPr>
              <w:t>Ir-rwoli għandhom jiġu attribwiti skont</w:t>
            </w:r>
            <w:r>
              <w:rPr>
                <w:color w:val="595959"/>
                <w:sz w:val="18"/>
                <w:szCs w:val="18"/>
              </w:rPr>
              <w:t xml:space="preserve"> il-livell ta’ parteċipazzjoni fil-proġett. Il-parteċipanti prinċipali għandhom jipparteċipaw bħala </w:t>
            </w:r>
            <w:r>
              <w:rPr>
                <w:b/>
                <w:color w:val="595959"/>
                <w:sz w:val="18"/>
                <w:szCs w:val="18"/>
              </w:rPr>
              <w:t>benefiċjarji</w:t>
            </w:r>
            <w:r>
              <w:rPr>
                <w:color w:val="595959"/>
                <w:sz w:val="18"/>
                <w:szCs w:val="18"/>
              </w:rPr>
              <w:t xml:space="preserve"> jew bħala </w:t>
            </w:r>
            <w:r>
              <w:rPr>
                <w:b/>
                <w:color w:val="595959"/>
                <w:sz w:val="18"/>
                <w:szCs w:val="18"/>
              </w:rPr>
              <w:t>entitajiet affiljati</w:t>
            </w:r>
            <w:r>
              <w:rPr>
                <w:color w:val="595959"/>
                <w:sz w:val="18"/>
                <w:szCs w:val="18"/>
              </w:rPr>
              <w:t xml:space="preserve">; entitajiet oħra jistgħu jipparteċipaw bħala sħab assoċjati, sottokuntratturi, partijiet terzi li jagħtu kontribuzzjonijiet in natura. </w:t>
            </w:r>
            <w:r>
              <w:rPr>
                <w:b/>
                <w:color w:val="595959"/>
                <w:sz w:val="18"/>
                <w:szCs w:val="18"/>
              </w:rPr>
              <w:t>Sħab assoċjati</w:t>
            </w:r>
            <w:r>
              <w:rPr>
                <w:color w:val="595959"/>
                <w:sz w:val="18"/>
                <w:szCs w:val="18"/>
              </w:rPr>
              <w:t xml:space="preserve"> u partijiet terzi li jagħtu kontribuzzjonijiet in natura għandhom iġarrbu l-kostijiet tagħhom stess (mhux se jsiru riċevituri formali tal-finanzjament tal-UE). Is-</w:t>
            </w:r>
            <w:r>
              <w:rPr>
                <w:b/>
                <w:color w:val="595959"/>
                <w:sz w:val="18"/>
                <w:szCs w:val="18"/>
              </w:rPr>
              <w:t>sottokuntrattar</w:t>
            </w:r>
            <w:r>
              <w:rPr>
                <w:color w:val="595959"/>
                <w:sz w:val="18"/>
                <w:szCs w:val="18"/>
              </w:rPr>
              <w:t xml:space="preserve"> normalment għandu jikkostitwixxi parti limitata u jrid jitwettaq minn partijiet terzi (mhux minn wieħed mill-benefiċjarji/entitajiet affiljati). Is-sottokuntrattar li jmur lil hinn minn 30 % tal-ispejjeż totali eliġibbli jrid jiġi ġġustifikat fl-applikazzjoni.</w:t>
            </w:r>
          </w:p>
          <w:p w14:paraId="5102FC42" w14:textId="77777777" w:rsidR="007B7F35" w:rsidRPr="00072FAA" w:rsidRDefault="007B7F35" w:rsidP="007B7F35">
            <w:pPr>
              <w:numPr>
                <w:ilvl w:val="0"/>
                <w:numId w:val="25"/>
              </w:numPr>
              <w:ind w:left="567" w:right="78" w:hanging="445"/>
              <w:rPr>
                <w:rFonts w:cs="Arial"/>
                <w:iCs/>
                <w:color w:val="595959"/>
                <w:sz w:val="18"/>
                <w:szCs w:val="18"/>
              </w:rPr>
            </w:pPr>
            <w:r>
              <w:rPr>
                <w:b/>
                <w:color w:val="595959"/>
                <w:sz w:val="18"/>
                <w:szCs w:val="18"/>
              </w:rPr>
              <w:t>Koordinatur</w:t>
            </w:r>
            <w:r>
              <w:rPr>
                <w:b/>
                <w:bCs/>
                <w:color w:val="595959"/>
                <w:sz w:val="18"/>
                <w:szCs w:val="18"/>
              </w:rPr>
              <w:t xml:space="preserve"> — </w:t>
            </w:r>
            <w:r>
              <w:rPr>
                <w:color w:val="595959"/>
                <w:sz w:val="18"/>
                <w:szCs w:val="18"/>
              </w:rPr>
              <w:t>F’għotjiet multibenefiċjarji, il-benefiċjarji jipparteċipaw bħala konsorzju (grupp ta’ benefiċjarji). Huma se jkollhom jagħżlu koordinatur, li se jieħu ħsieb il-ġestjoni u l-koordinazzjoni tal-proġetti u se jirrappreżenta l-konsorzju quddiem l-awtorità awtorizzanti. F’għotjiet monobenefiċjarji, il-benefiċjarju uniku se jkun awtomatikament il-koordinatur.</w:t>
            </w:r>
          </w:p>
          <w:p w14:paraId="7A944DEF" w14:textId="77777777" w:rsidR="007B7F35" w:rsidRPr="00310A7B" w:rsidRDefault="007B7F35" w:rsidP="007B7F35">
            <w:pPr>
              <w:numPr>
                <w:ilvl w:val="0"/>
                <w:numId w:val="25"/>
              </w:numPr>
              <w:ind w:left="567" w:right="78" w:hanging="445"/>
              <w:rPr>
                <w:rFonts w:eastAsia="Verdana" w:cs="Verdana"/>
                <w:color w:val="595959"/>
                <w:sz w:val="18"/>
                <w:szCs w:val="18"/>
              </w:rPr>
            </w:pPr>
            <w:r>
              <w:rPr>
                <w:b/>
                <w:color w:val="595959"/>
                <w:sz w:val="18"/>
                <w:szCs w:val="18"/>
              </w:rPr>
              <w:t>Entitajiet affiljati</w:t>
            </w:r>
            <w:r>
              <w:rPr>
                <w:color w:val="595959"/>
                <w:sz w:val="18"/>
                <w:szCs w:val="18"/>
              </w:rPr>
              <w:t xml:space="preserve"> — L-applikanti jistgħu jipparteċipaw ma’ entitajiet affiljati (jiġifieri entitajiet marbuta ma’ benefiċjarju li jipparteċipaw fl-azzjoni bi drittijiet u obbligi simili bħall-benefiċjarji, iżda ma jiffirmawx l-għotja u għalhekk ma jsirux benefiċjarji huma nfushom). Dawn se jiksbu parti mill-flus tal-għotjiet u għalhekk iridu jikkonformaw mal-kundizzjonijiet kollha tas-sejħa u jiġu vvalidati (bħall-benefiċjarji); iżda ma jgħoddux lejn il-kriterji minimi ta’ eliġibbiltà għall-kompożizzjoni tal-konsorzju (jekk ikun hemm).</w:t>
            </w:r>
          </w:p>
          <w:p w14:paraId="267EC17D" w14:textId="77777777" w:rsidR="007B7F35" w:rsidRPr="00310A7B" w:rsidRDefault="007B7F35" w:rsidP="007B7F35">
            <w:pPr>
              <w:numPr>
                <w:ilvl w:val="0"/>
                <w:numId w:val="25"/>
              </w:numPr>
              <w:ind w:left="567" w:right="78" w:hanging="445"/>
              <w:rPr>
                <w:rFonts w:eastAsia="Verdana" w:cs="Verdana"/>
                <w:color w:val="595959"/>
                <w:sz w:val="18"/>
                <w:szCs w:val="18"/>
              </w:rPr>
            </w:pPr>
            <w:r>
              <w:rPr>
                <w:b/>
                <w:color w:val="595959"/>
                <w:sz w:val="18"/>
                <w:szCs w:val="18"/>
              </w:rPr>
              <w:t>Sħab assoċjati —</w:t>
            </w:r>
            <w:r>
              <w:rPr>
                <w:color w:val="595959"/>
                <w:sz w:val="18"/>
                <w:szCs w:val="18"/>
              </w:rPr>
              <w:t xml:space="preserve"> L-applikanti jistgħu jipparteċipaw ma’ sħab assoċjati (jiġifieri organizzazzjonijiet sħab li jipparteċipaw fl-azzjoni iżda mingħajr id-dritt li jingħataw flus tal-għotja). Huma jipparteċipaw mingħajr finanzjament u għalhekk ma jeħtiġux li jiġu vvalidati.</w:t>
            </w:r>
          </w:p>
          <w:p w14:paraId="67D18F08" w14:textId="77777777" w:rsidR="007B7F35" w:rsidRPr="00F43CEE" w:rsidRDefault="007B7F35" w:rsidP="007B7F35">
            <w:pPr>
              <w:numPr>
                <w:ilvl w:val="0"/>
                <w:numId w:val="25"/>
              </w:numPr>
              <w:ind w:left="567" w:right="79" w:hanging="445"/>
              <w:rPr>
                <w:rFonts w:cs="Arial"/>
                <w:color w:val="595959"/>
                <w:sz w:val="18"/>
                <w:szCs w:val="18"/>
              </w:rPr>
            </w:pPr>
            <w:r>
              <w:rPr>
                <w:b/>
                <w:color w:val="595959"/>
                <w:sz w:val="18"/>
                <w:szCs w:val="18"/>
              </w:rPr>
              <w:t>Ftehim ta’ konsorzju</w:t>
            </w:r>
            <w:r>
              <w:rPr>
                <w:color w:val="595959"/>
                <w:sz w:val="18"/>
                <w:szCs w:val="18"/>
              </w:rPr>
              <w:t xml:space="preserve"> — Għal raġunijiet prattiċi u legali huwa rrakkomandat li jiġu stabbiliti arranġamenti interni li jippermettulek tittratta ċirkostanzi eċċezzjonali jew mhux previsti (fil-każijiet kollha, anke jekk mhux obbligatorji skont il-Ftehim ta’ Għotja). Il-ftehim ta’ konsorzju jagħtik ukoll il-possibbiltà li tagħmel ridistribuzzjoni tal-flus tal-għotja skont il-prinċipji u l-parametri interni tal-konsorzju tiegħek stess (pereżempju, benefiċjarju wieħed jista’ jattribwixxi mill-ġdid il-flus tal-għotja tiegħu lil benefiċjarju ieħor). Il-ftehim ta’ konsorzju għalhekk jippermettilek li tippersonalizza l-</w:t>
            </w:r>
            <w:r>
              <w:rPr>
                <w:color w:val="595959"/>
                <w:sz w:val="18"/>
                <w:szCs w:val="18"/>
              </w:rPr>
              <w:lastRenderedPageBreak/>
              <w:t>għotja tal-UE skont il-ħtiġijiet li għandu l-konsorzju tiegħek u jista’ jgħin ukoll biex jipproteġik f’każ ta’ tilwim.</w:t>
            </w:r>
          </w:p>
          <w:p w14:paraId="37ADDB35" w14:textId="77777777" w:rsidR="007B7F35" w:rsidRPr="00310A7B" w:rsidRDefault="007B7F35" w:rsidP="007B7F35">
            <w:pPr>
              <w:numPr>
                <w:ilvl w:val="0"/>
                <w:numId w:val="25"/>
              </w:numPr>
              <w:ind w:left="567" w:right="78" w:hanging="445"/>
              <w:rPr>
                <w:color w:val="595959"/>
                <w:sz w:val="18"/>
                <w:szCs w:val="18"/>
              </w:rPr>
            </w:pPr>
            <w:r>
              <w:rPr>
                <w:b/>
                <w:color w:val="595959"/>
                <w:sz w:val="18"/>
                <w:szCs w:val="18"/>
              </w:rPr>
              <w:t>Baġit ibbilanċjat tal-proġett</w:t>
            </w:r>
            <w:r>
              <w:rPr>
                <w:i/>
                <w:color w:val="4AA55B"/>
                <w:sz w:val="18"/>
                <w:szCs w:val="18"/>
              </w:rPr>
              <w:t xml:space="preserve"> </w:t>
            </w:r>
            <w:r>
              <w:rPr>
                <w:b/>
                <w:color w:val="595959"/>
                <w:sz w:val="18"/>
                <w:szCs w:val="18"/>
              </w:rPr>
              <w:t>—</w:t>
            </w:r>
            <w:r>
              <w:rPr>
                <w:color w:val="595959"/>
                <w:sz w:val="18"/>
                <w:szCs w:val="18"/>
              </w:rPr>
              <w:t xml:space="preserve"> L-applikazzjonijiet għal għotja jridu jiżguraw baġit ibbilanċjat tal-proġett u biżżejjed riżorsi oħra biex il-proġett jiġi implimentat b’suċċess </w:t>
            </w:r>
            <w:r>
              <w:rPr>
                <w:i/>
                <w:color w:val="595959"/>
                <w:sz w:val="18"/>
                <w:szCs w:val="18"/>
              </w:rPr>
              <w:t>(eż. kontribuzzjonijiet proprji, introjtu ġġenerat mill-azzjoni, kontribuzzjonijiet finanzjarji minn partijiet terzi, eċċ)</w:t>
            </w:r>
            <w:r>
              <w:rPr>
                <w:color w:val="595959"/>
                <w:sz w:val="18"/>
                <w:szCs w:val="18"/>
              </w:rPr>
              <w:t xml:space="preserve">. Tista’ tintalab tnaqqas l-istima tal-ispejjeż tiegħek, jekk dawn ma jkunux eliġibbli (inkluż eċċessivi). </w:t>
            </w:r>
          </w:p>
          <w:p w14:paraId="23BF55C0" w14:textId="77777777" w:rsidR="007B7F35" w:rsidRPr="00376DCA" w:rsidRDefault="007B7F35" w:rsidP="007B7F35">
            <w:pPr>
              <w:numPr>
                <w:ilvl w:val="0"/>
                <w:numId w:val="25"/>
              </w:numPr>
              <w:ind w:left="567" w:right="78" w:hanging="445"/>
              <w:rPr>
                <w:color w:val="595959"/>
                <w:sz w:val="18"/>
                <w:szCs w:val="18"/>
              </w:rPr>
            </w:pPr>
            <w:r>
              <w:rPr>
                <w:b/>
                <w:color w:val="595959"/>
                <w:sz w:val="18"/>
                <w:szCs w:val="18"/>
              </w:rPr>
              <w:t xml:space="preserve">Regola li tipprojbixxi l-profitt — </w:t>
            </w:r>
            <w:r>
              <w:rPr>
                <w:color w:val="595959"/>
                <w:sz w:val="18"/>
                <w:szCs w:val="18"/>
              </w:rPr>
              <w:t xml:space="preserve">L-għotjiet MA JISTGĦUX jagħmlu profitt (jiġifieri surplus tad-dħul + l-għotja tal-UE fuq il-kostijiet). Dan jiġi ċċekkjat minna fi tmiem il-proġett. </w:t>
            </w:r>
          </w:p>
          <w:p w14:paraId="7E4963E3" w14:textId="77777777" w:rsidR="007B7F35" w:rsidRPr="00310A7B" w:rsidRDefault="007B7F35" w:rsidP="007B7F35">
            <w:pPr>
              <w:numPr>
                <w:ilvl w:val="0"/>
                <w:numId w:val="25"/>
              </w:numPr>
              <w:ind w:left="567" w:right="79" w:hanging="445"/>
              <w:rPr>
                <w:color w:val="595959"/>
                <w:sz w:val="18"/>
                <w:szCs w:val="18"/>
              </w:rPr>
            </w:pPr>
            <w:r>
              <w:rPr>
                <w:b/>
                <w:color w:val="595959"/>
                <w:sz w:val="18"/>
                <w:szCs w:val="18"/>
              </w:rPr>
              <w:t>L-ebda finanzjament doppju</w:t>
            </w:r>
            <w:r>
              <w:rPr>
                <w:color w:val="595959"/>
                <w:sz w:val="18"/>
                <w:szCs w:val="18"/>
              </w:rPr>
              <w:t xml:space="preserve"> — Hemm projbizzjoni stretta fuq finanzjament doppju mill-baġit tal-UE (għajr taħt l-azzjonijiet ta’ Sinerġiji tal-UE). Barra minn azzjonijiet ta’ Sinerġiji bħal dawn, kwalunkwe azzjoni partikolari tista’ tirċievi biss għotja WAĦDA mill-baġit tal-UE u l-elementi ta’ spejjeż taħt L-EBDA ċirkostanza ma jistgħu jiġu ddikjarati għal żewġ azzjonijiet differenti tal-UE.</w:t>
            </w:r>
          </w:p>
          <w:p w14:paraId="608A040F" w14:textId="77777777" w:rsidR="007B7F35" w:rsidRPr="006010BA" w:rsidRDefault="007B7F35" w:rsidP="007B7F35">
            <w:pPr>
              <w:numPr>
                <w:ilvl w:val="0"/>
                <w:numId w:val="25"/>
              </w:numPr>
              <w:ind w:left="567" w:right="78" w:hanging="445"/>
              <w:rPr>
                <w:rFonts w:eastAsia="Verdana" w:cs="Verdana"/>
                <w:color w:val="595959"/>
                <w:sz w:val="18"/>
                <w:szCs w:val="18"/>
              </w:rPr>
            </w:pPr>
            <w:r>
              <w:rPr>
                <w:b/>
                <w:color w:val="595959"/>
                <w:sz w:val="18"/>
                <w:szCs w:val="18"/>
              </w:rPr>
              <w:t>Proġetti lesti/li għadhom għaddejjin</w:t>
            </w:r>
            <w:r>
              <w:rPr>
                <w:color w:val="595959"/>
                <w:sz w:val="18"/>
                <w:szCs w:val="18"/>
              </w:rPr>
              <w:t xml:space="preserve"> — Proposti għal proġetti li diġà tlestew se jiġu miċħuda; proposti għal proġetti li jkunu diġà bdew se jiġu vvalutati fuq każ b’każ (f’dan il-każ, l-ebda spiża ma tista’ tiġi rimborżata għal attivitajiet li jkunu seħħew qabel id-data tal-bidu tal-proġett/is-sottomissjoni tal-proposta).</w:t>
            </w:r>
          </w:p>
          <w:p w14:paraId="29CA9263" w14:textId="77777777" w:rsidR="007B7F35" w:rsidRPr="005C626D" w:rsidRDefault="007B7F35" w:rsidP="007B7F35">
            <w:pPr>
              <w:numPr>
                <w:ilvl w:val="0"/>
                <w:numId w:val="25"/>
              </w:numPr>
              <w:ind w:left="567" w:right="79" w:hanging="445"/>
              <w:rPr>
                <w:color w:val="595959"/>
                <w:sz w:val="18"/>
                <w:szCs w:val="18"/>
              </w:rPr>
            </w:pPr>
            <w:r>
              <w:rPr>
                <w:b/>
                <w:bCs/>
                <w:color w:val="595959"/>
                <w:sz w:val="18"/>
                <w:szCs w:val="18"/>
              </w:rPr>
              <w:t>Kombinazzjoni ma’ għotjiet operattivi tal-UE —</w:t>
            </w:r>
            <w:r>
              <w:rPr>
                <w:color w:val="595959"/>
                <w:sz w:val="18"/>
                <w:szCs w:val="18"/>
              </w:rPr>
              <w:t xml:space="preserve"> Il-kombinazzjoni ma’ għotjiet operattivi tal-UE hija possibbli jekk il-proġett jibqa’ barra mill-programm ta’ ħidma tal-għotja operattiva u inti tiżgura li l-elementi ta’ spiża huma separati b’mod ċar fil-kont tiegħek u MA JIĠUX iddikjarati darbtejn </w:t>
            </w:r>
            <w:r>
              <w:rPr>
                <w:i/>
                <w:color w:val="595959"/>
                <w:sz w:val="18"/>
                <w:szCs w:val="18"/>
              </w:rPr>
              <w:t>(ara l-</w:t>
            </w:r>
            <w:hyperlink r:id="rId61" w:history="1">
              <w:r>
                <w:rPr>
                  <w:rStyle w:val="Hyperlink"/>
                  <w:i/>
                  <w:sz w:val="18"/>
                  <w:szCs w:val="18"/>
                </w:rPr>
                <w:t>AGA — Ftehim tal-Għotja Annotat, l-Artikolu 6.2.E</w:t>
              </w:r>
            </w:hyperlink>
            <w:r>
              <w:rPr>
                <w:i/>
                <w:color w:val="595959"/>
                <w:sz w:val="18"/>
                <w:szCs w:val="18"/>
              </w:rPr>
              <w:t>)</w:t>
            </w:r>
            <w:r>
              <w:rPr>
                <w:sz w:val="18"/>
                <w:szCs w:val="18"/>
              </w:rPr>
              <w:t>.</w:t>
            </w:r>
            <w:r>
              <w:rPr>
                <w:color w:val="4AA55B"/>
                <w:sz w:val="18"/>
                <w:szCs w:val="18"/>
                <w:highlight w:val="yellow"/>
              </w:rPr>
              <w:t xml:space="preserve"> </w:t>
            </w:r>
          </w:p>
          <w:p w14:paraId="5B5E98C2" w14:textId="77777777" w:rsidR="007B7F35" w:rsidRPr="00310A7B" w:rsidRDefault="007B7F35" w:rsidP="007B7F35">
            <w:pPr>
              <w:numPr>
                <w:ilvl w:val="0"/>
                <w:numId w:val="25"/>
              </w:numPr>
              <w:ind w:left="567" w:right="79" w:hanging="445"/>
              <w:rPr>
                <w:color w:val="595959"/>
                <w:sz w:val="18"/>
                <w:szCs w:val="18"/>
              </w:rPr>
            </w:pPr>
            <w:r>
              <w:rPr>
                <w:b/>
                <w:color w:val="595959"/>
                <w:sz w:val="18"/>
                <w:szCs w:val="18"/>
              </w:rPr>
              <w:t>Proposti multipli —</w:t>
            </w:r>
            <w:r>
              <w:rPr>
                <w:color w:val="595959"/>
                <w:sz w:val="18"/>
                <w:szCs w:val="18"/>
              </w:rPr>
              <w:t xml:space="preserve"> L-applikanti jistgħu jissottomettu aktar minn proposta waħda għal proġetti </w:t>
            </w:r>
            <w:r>
              <w:rPr>
                <w:i/>
                <w:color w:val="595959"/>
                <w:sz w:val="18"/>
                <w:szCs w:val="18"/>
              </w:rPr>
              <w:t>differenti</w:t>
            </w:r>
            <w:r>
              <w:rPr>
                <w:color w:val="595959"/>
                <w:sz w:val="18"/>
                <w:szCs w:val="18"/>
              </w:rPr>
              <w:t xml:space="preserve"> taħt l-istess sejħa (u jingħataw finanzjament għalihom).</w:t>
            </w:r>
          </w:p>
          <w:p w14:paraId="57173E8A" w14:textId="77777777" w:rsidR="007B7F35" w:rsidRPr="00AB05C4" w:rsidRDefault="007B7F35" w:rsidP="007B7F35">
            <w:pPr>
              <w:spacing w:after="120"/>
              <w:ind w:left="567" w:right="79"/>
              <w:rPr>
                <w:color w:val="595959"/>
                <w:sz w:val="18"/>
                <w:szCs w:val="18"/>
              </w:rPr>
            </w:pPr>
            <w:r>
              <w:rPr>
                <w:color w:val="595959"/>
                <w:sz w:val="18"/>
                <w:szCs w:val="18"/>
              </w:rPr>
              <w:t>L-organizzazzjonijiet jistgħu jipparteċipaw f’diversi proposti.</w:t>
            </w:r>
          </w:p>
          <w:p w14:paraId="31C71BD6" w14:textId="77777777" w:rsidR="007B7F35" w:rsidRPr="00AB05C4" w:rsidRDefault="007B7F35" w:rsidP="007B7F35">
            <w:pPr>
              <w:ind w:left="567" w:right="79"/>
              <w:rPr>
                <w:color w:val="595959"/>
                <w:sz w:val="18"/>
                <w:szCs w:val="18"/>
              </w:rPr>
            </w:pPr>
            <w:r>
              <w:rPr>
                <w:color w:val="595959"/>
                <w:sz w:val="18"/>
                <w:szCs w:val="18"/>
              </w:rPr>
              <w:t xml:space="preserve">IMMA: jekk ikun hemm bosta proposti għal proġetti </w:t>
            </w:r>
            <w:r>
              <w:rPr>
                <w:i/>
                <w:color w:val="595959"/>
                <w:sz w:val="18"/>
                <w:szCs w:val="18"/>
              </w:rPr>
              <w:t>simili</w:t>
            </w:r>
            <w:r>
              <w:rPr>
                <w:color w:val="595959"/>
                <w:sz w:val="18"/>
                <w:szCs w:val="18"/>
              </w:rPr>
              <w:t xml:space="preserve"> ħafna iżda tiġi aċċettata u evalwata applikazzjoni waħda biss; l-applikanti jintalbu jirtiraw waħda minnhom (jew din tiġi rifjutata).</w:t>
            </w:r>
          </w:p>
          <w:p w14:paraId="3E83A334" w14:textId="77777777" w:rsidR="007B7F35" w:rsidRDefault="007B7F35" w:rsidP="007B7F35">
            <w:pPr>
              <w:numPr>
                <w:ilvl w:val="0"/>
                <w:numId w:val="25"/>
              </w:numPr>
              <w:ind w:left="567" w:right="79" w:hanging="445"/>
              <w:rPr>
                <w:rFonts w:cs="Arial"/>
                <w:b/>
                <w:iCs/>
                <w:color w:val="595959"/>
                <w:sz w:val="18"/>
                <w:szCs w:val="18"/>
              </w:rPr>
            </w:pPr>
            <w:r>
              <w:rPr>
                <w:b/>
                <w:color w:val="595959"/>
                <w:sz w:val="18"/>
              </w:rPr>
              <w:t>Sottomissjoni mill-ġdid</w:t>
            </w:r>
            <w:r>
              <w:rPr>
                <w:color w:val="595959"/>
                <w:sz w:val="18"/>
              </w:rPr>
              <w:t xml:space="preserve"> — Il-proposti jistgħu jinbidlu u jiġu sottomessi mill-ġdid sal-iskadenza għas-sottomissjoni.</w:t>
            </w:r>
          </w:p>
          <w:p w14:paraId="5B18E026" w14:textId="77777777" w:rsidR="007B7F35" w:rsidRPr="00310A7B" w:rsidRDefault="007B7F35" w:rsidP="007B7F35">
            <w:pPr>
              <w:numPr>
                <w:ilvl w:val="0"/>
                <w:numId w:val="25"/>
              </w:numPr>
              <w:spacing w:after="120"/>
              <w:ind w:left="567" w:right="79" w:hanging="447"/>
              <w:rPr>
                <w:b/>
                <w:bCs/>
                <w:noProof/>
                <w:sz w:val="18"/>
                <w:szCs w:val="18"/>
              </w:rPr>
            </w:pPr>
            <w:r>
              <w:rPr>
                <w:b/>
                <w:color w:val="595959"/>
                <w:sz w:val="18"/>
                <w:szCs w:val="18"/>
              </w:rPr>
              <w:t>Rifjut</w:t>
            </w:r>
            <w:r>
              <w:rPr>
                <w:color w:val="595959"/>
                <w:sz w:val="18"/>
                <w:szCs w:val="18"/>
              </w:rPr>
              <w:t xml:space="preserve"> — Bis-sottomissjoni tal-applikazzjoni, l-applikanti kollha jaċċettaw il-kundizzjonijiet tas-sejħa stipulati f’dan id-Dokument ta’ Sejħa (u d-dokumenti li jirreferi għalihom). Il-proposti li ma jikkonformawx mal-kundizzjonijiet kollha tas-sejħa jiġu </w:t>
            </w:r>
            <w:r>
              <w:rPr>
                <w:b/>
                <w:color w:val="595959"/>
                <w:sz w:val="18"/>
                <w:szCs w:val="18"/>
              </w:rPr>
              <w:t>rifjutati</w:t>
            </w:r>
            <w:r>
              <w:rPr>
                <w:color w:val="595959"/>
                <w:sz w:val="18"/>
                <w:szCs w:val="18"/>
              </w:rPr>
              <w:t>. Dan japplika wkoll għall-applikanti: L-applikanti kollha jridu jissodisfaw il-kriterji; jekk xi wieħed minnhom ma jissodisfahomx, irid jiġi sostitwit jew il-proposta kollha tiġi miċħuda.</w:t>
            </w:r>
          </w:p>
          <w:p w14:paraId="645BFEF9" w14:textId="77777777" w:rsidR="007B7F35" w:rsidRPr="00310A7B" w:rsidRDefault="007B7F35" w:rsidP="007B7F35">
            <w:pPr>
              <w:numPr>
                <w:ilvl w:val="0"/>
                <w:numId w:val="25"/>
              </w:numPr>
              <w:spacing w:after="120"/>
              <w:ind w:left="567" w:right="79" w:hanging="447"/>
              <w:rPr>
                <w:color w:val="595959"/>
                <w:sz w:val="18"/>
                <w:szCs w:val="18"/>
              </w:rPr>
            </w:pPr>
            <w:r>
              <w:rPr>
                <w:b/>
                <w:color w:val="595959"/>
                <w:sz w:val="18"/>
                <w:szCs w:val="18"/>
              </w:rPr>
              <w:t xml:space="preserve">Kanċellazzjoni — </w:t>
            </w:r>
            <w:r>
              <w:rPr>
                <w:color w:val="595959"/>
                <w:sz w:val="18"/>
                <w:szCs w:val="18"/>
              </w:rPr>
              <w:t>Jista’ jkun hemm ċirkostanzi li jistgħu jirrikjedu li s-sejħa tiġi kkanċellata. F’dan il-każ, tiġi infurmat permezz ta’ aġġornament dwar is-sejħa jew is-suġġett. Jekk jogħġbok innota li l-kanċellazzjonijiet ma tagħtix lok għal dritt għal kumpens.</w:t>
            </w:r>
          </w:p>
          <w:p w14:paraId="3851893F" w14:textId="77777777" w:rsidR="007B7F35" w:rsidRPr="00310A7B" w:rsidRDefault="007B7F35" w:rsidP="007B7F35">
            <w:pPr>
              <w:numPr>
                <w:ilvl w:val="0"/>
                <w:numId w:val="25"/>
              </w:numPr>
              <w:ind w:left="567" w:right="79" w:hanging="445"/>
              <w:rPr>
                <w:color w:val="595959"/>
                <w:sz w:val="18"/>
                <w:szCs w:val="18"/>
              </w:rPr>
            </w:pPr>
            <w:r>
              <w:rPr>
                <w:b/>
                <w:color w:val="595959"/>
                <w:sz w:val="18"/>
                <w:szCs w:val="18"/>
              </w:rPr>
              <w:t>Lingwa</w:t>
            </w:r>
            <w:r>
              <w:rPr>
                <w:color w:val="595959"/>
                <w:sz w:val="18"/>
                <w:szCs w:val="18"/>
              </w:rPr>
              <w:t xml:space="preserve"> — Tista’ tissottometti l-proposta tiegħek bi kwalunkwe lingwa uffiċjali tal-UE (madankollu, ir-riassunt/is-sommarju tal-proġett dejjem għandu jkun bl-Ingliż). Għal raġunijiet ta’ effiċjenza, nagħtuk parir qawwi li tuża l-Ingliż għall-applikazzjoni kollha. Jekk tkun teħtieġ id-dokumentazzjoni tas-sejħa f’lingwa uffiċjali oħra tal-UE, jekk jogħġbok issottometti talba fi żmien 10 ijiem mill-pubblikazzjoni tas-sejħa (għall-informazzjoni ta’ kuntatt, </w:t>
            </w:r>
            <w:r>
              <w:rPr>
                <w:i/>
                <w:color w:val="595959"/>
                <w:sz w:val="18"/>
                <w:szCs w:val="18"/>
              </w:rPr>
              <w:t>ara t-taqsima 12</w:t>
            </w:r>
            <w:r>
              <w:rPr>
                <w:color w:val="595959"/>
                <w:sz w:val="18"/>
                <w:szCs w:val="18"/>
              </w:rPr>
              <w:t>).</w:t>
            </w:r>
          </w:p>
          <w:p w14:paraId="049520FC" w14:textId="77777777" w:rsidR="007B7F35" w:rsidRPr="005C3A23" w:rsidRDefault="007B7F35" w:rsidP="00DC47B2">
            <w:pPr>
              <w:widowControl w:val="0"/>
              <w:ind w:right="366"/>
              <w:rPr>
                <w:rFonts w:cs="Arial"/>
              </w:rPr>
            </w:pPr>
          </w:p>
          <w:p w14:paraId="6F354EFB" w14:textId="77777777" w:rsidR="007B7F35" w:rsidRPr="00310A7B" w:rsidRDefault="007B7F35" w:rsidP="007B7F35">
            <w:pPr>
              <w:numPr>
                <w:ilvl w:val="0"/>
                <w:numId w:val="26"/>
              </w:numPr>
              <w:spacing w:after="120"/>
              <w:ind w:left="567" w:right="79" w:hanging="425"/>
              <w:rPr>
                <w:color w:val="595959"/>
                <w:sz w:val="18"/>
                <w:szCs w:val="18"/>
              </w:rPr>
            </w:pPr>
            <w:r>
              <w:rPr>
                <w:b/>
                <w:color w:val="595959"/>
                <w:sz w:val="18"/>
                <w:szCs w:val="18"/>
              </w:rPr>
              <w:lastRenderedPageBreak/>
              <w:t>Trasparenza —</w:t>
            </w:r>
            <w:r>
              <w:rPr>
                <w:color w:val="595959"/>
                <w:sz w:val="18"/>
                <w:szCs w:val="18"/>
              </w:rPr>
              <w:t xml:space="preserve"> F’konformità mal-Artikolu 38 tar-</w:t>
            </w:r>
            <w:hyperlink r:id="rId62" w:history="1">
              <w:r>
                <w:rPr>
                  <w:color w:val="0088CC"/>
                  <w:sz w:val="18"/>
                  <w:szCs w:val="24"/>
                  <w:u w:val="single"/>
                </w:rPr>
                <w:t>Regolament Finanzjarju tal-UE</w:t>
              </w:r>
            </w:hyperlink>
            <w:r>
              <w:rPr>
                <w:color w:val="595959"/>
                <w:sz w:val="18"/>
                <w:szCs w:val="18"/>
              </w:rPr>
              <w:t>, l-informazzjoni dwar l-għotjiet tal-UE mogħtija tiġi ppubblikata kull sena fuq is-</w:t>
            </w:r>
            <w:hyperlink r:id="rId63" w:history="1">
              <w:r>
                <w:rPr>
                  <w:rStyle w:val="Hyperlink"/>
                  <w:sz w:val="18"/>
                  <w:szCs w:val="18"/>
                </w:rPr>
                <w:t>sit web tal-Europa</w:t>
              </w:r>
            </w:hyperlink>
            <w:r>
              <w:rPr>
                <w:color w:val="595959"/>
                <w:sz w:val="18"/>
                <w:szCs w:val="18"/>
              </w:rPr>
              <w:t>.</w:t>
            </w:r>
          </w:p>
          <w:p w14:paraId="6B23E5E6" w14:textId="77777777" w:rsidR="007B7F35" w:rsidRPr="00310A7B" w:rsidRDefault="007B7F35" w:rsidP="007B7F35">
            <w:pPr>
              <w:spacing w:after="60"/>
              <w:ind w:left="567" w:right="79"/>
              <w:rPr>
                <w:color w:val="595959"/>
                <w:sz w:val="18"/>
                <w:szCs w:val="18"/>
              </w:rPr>
            </w:pPr>
            <w:r>
              <w:rPr>
                <w:color w:val="595959"/>
                <w:sz w:val="18"/>
                <w:szCs w:val="18"/>
              </w:rPr>
              <w:t>Din tinkludi:</w:t>
            </w:r>
          </w:p>
          <w:p w14:paraId="5B3785FD" w14:textId="77777777" w:rsidR="007B7F35" w:rsidRPr="00310A7B" w:rsidRDefault="007B7F35" w:rsidP="007B7F35">
            <w:pPr>
              <w:widowControl w:val="0"/>
              <w:numPr>
                <w:ilvl w:val="0"/>
                <w:numId w:val="27"/>
              </w:numPr>
              <w:spacing w:after="60"/>
              <w:ind w:left="1134" w:hanging="380"/>
              <w:jc w:val="left"/>
              <w:rPr>
                <w:color w:val="595959"/>
                <w:sz w:val="18"/>
                <w:szCs w:val="18"/>
              </w:rPr>
            </w:pPr>
            <w:r>
              <w:rPr>
                <w:color w:val="595959"/>
                <w:sz w:val="18"/>
                <w:szCs w:val="18"/>
              </w:rPr>
              <w:t>l-ismijiet tal-benefiċjarji</w:t>
            </w:r>
          </w:p>
          <w:p w14:paraId="7C1C283A" w14:textId="77777777" w:rsidR="007B7F35" w:rsidRPr="00310A7B" w:rsidRDefault="007B7F35" w:rsidP="007B7F35">
            <w:pPr>
              <w:widowControl w:val="0"/>
              <w:numPr>
                <w:ilvl w:val="0"/>
                <w:numId w:val="27"/>
              </w:numPr>
              <w:spacing w:after="60"/>
              <w:ind w:left="1134" w:hanging="380"/>
              <w:jc w:val="left"/>
              <w:rPr>
                <w:color w:val="595959"/>
                <w:sz w:val="18"/>
                <w:szCs w:val="18"/>
              </w:rPr>
            </w:pPr>
            <w:r>
              <w:rPr>
                <w:color w:val="595959"/>
                <w:sz w:val="18"/>
                <w:szCs w:val="18"/>
              </w:rPr>
              <w:t>l-indirizzi tal-benefiċjarji</w:t>
            </w:r>
          </w:p>
          <w:p w14:paraId="5F4039CC" w14:textId="77777777" w:rsidR="007B7F35" w:rsidRPr="00310A7B" w:rsidRDefault="007B7F35" w:rsidP="007B7F35">
            <w:pPr>
              <w:widowControl w:val="0"/>
              <w:numPr>
                <w:ilvl w:val="0"/>
                <w:numId w:val="27"/>
              </w:numPr>
              <w:spacing w:after="60"/>
              <w:ind w:left="1134" w:hanging="380"/>
              <w:jc w:val="left"/>
              <w:rPr>
                <w:color w:val="595959"/>
                <w:sz w:val="18"/>
                <w:szCs w:val="18"/>
              </w:rPr>
            </w:pPr>
            <w:r>
              <w:rPr>
                <w:color w:val="595959"/>
                <w:sz w:val="18"/>
                <w:szCs w:val="18"/>
              </w:rPr>
              <w:t>l-iskop li għalih tkun ingħatat l-għotja</w:t>
            </w:r>
          </w:p>
          <w:p w14:paraId="3DF62359" w14:textId="77777777" w:rsidR="007B7F35" w:rsidRPr="00310A7B" w:rsidRDefault="007B7F35" w:rsidP="007B7F35">
            <w:pPr>
              <w:widowControl w:val="0"/>
              <w:numPr>
                <w:ilvl w:val="0"/>
                <w:numId w:val="27"/>
              </w:numPr>
              <w:spacing w:after="120"/>
              <w:ind w:left="1134" w:hanging="380"/>
              <w:jc w:val="left"/>
              <w:rPr>
                <w:color w:val="595959"/>
                <w:sz w:val="18"/>
                <w:szCs w:val="18"/>
              </w:rPr>
            </w:pPr>
            <w:r>
              <w:rPr>
                <w:color w:val="595959"/>
                <w:sz w:val="18"/>
                <w:szCs w:val="18"/>
              </w:rPr>
              <w:t>l-ammont massimu mogħti</w:t>
            </w:r>
          </w:p>
          <w:p w14:paraId="26B6D7D0" w14:textId="77777777" w:rsidR="007B7F35" w:rsidRPr="00310A7B" w:rsidRDefault="007B7F35" w:rsidP="007B7F35">
            <w:pPr>
              <w:widowControl w:val="0"/>
              <w:ind w:left="567"/>
              <w:rPr>
                <w:color w:val="595959"/>
                <w:sz w:val="18"/>
                <w:szCs w:val="18"/>
              </w:rPr>
            </w:pPr>
            <w:r>
              <w:rPr>
                <w:color w:val="595959"/>
                <w:sz w:val="18"/>
                <w:szCs w:val="18"/>
              </w:rPr>
              <w:t>F’każijiet eċċezzjonali (fuq talba motivata u debitament sostanzjata) l-informazzjoni tista’ ma tiġix ippubblikata, jekk ikun hemm riskju li d-divulgazzjoni tista’ tipperikola d-drittijiet u l-libertajiet tiegħek skont il-Karta tad-Drittijiet Fundamentali tal-UE jew tagħmel ħsara lill-interessi kummerċjali tiegħek.</w:t>
            </w:r>
          </w:p>
          <w:p w14:paraId="4F820F2B" w14:textId="77777777" w:rsidR="007B7F35" w:rsidRPr="00830E63" w:rsidRDefault="007B7F35" w:rsidP="007B7F35">
            <w:pPr>
              <w:pStyle w:val="Default"/>
              <w:widowControl w:val="0"/>
              <w:numPr>
                <w:ilvl w:val="0"/>
                <w:numId w:val="26"/>
              </w:numPr>
              <w:spacing w:after="120"/>
              <w:ind w:left="567" w:hanging="447"/>
              <w:jc w:val="both"/>
              <w:rPr>
                <w:rFonts w:ascii="Verdana" w:hAnsi="Verdana"/>
                <w:color w:val="595959"/>
                <w:sz w:val="18"/>
                <w:szCs w:val="18"/>
              </w:rPr>
            </w:pPr>
            <w:r>
              <w:rPr>
                <w:rFonts w:ascii="Verdana" w:hAnsi="Verdana"/>
                <w:b/>
                <w:color w:val="595959"/>
                <w:sz w:val="18"/>
                <w:szCs w:val="18"/>
              </w:rPr>
              <w:t>Il-protezzjoni tad-</w:t>
            </w:r>
            <w:r>
              <w:rPr>
                <w:rFonts w:ascii="Verdana" w:hAnsi="Verdana"/>
                <w:b/>
                <w:i/>
                <w:color w:val="595959"/>
                <w:sz w:val="18"/>
                <w:szCs w:val="18"/>
              </w:rPr>
              <w:t>data</w:t>
            </w:r>
            <w:r>
              <w:rPr>
                <w:rFonts w:ascii="Verdana" w:hAnsi="Verdana"/>
                <w:color w:val="595959"/>
                <w:sz w:val="18"/>
                <w:szCs w:val="18"/>
              </w:rPr>
              <w:t xml:space="preserve"> — Is-sottomissjoni ta’ proposta skont din is-sejħa tinvolvi l-ġbir, l-użu u l-ipproċessar tad-</w:t>
            </w:r>
            <w:r>
              <w:rPr>
                <w:rFonts w:ascii="Verdana" w:hAnsi="Verdana"/>
                <w:i/>
                <w:color w:val="595959"/>
                <w:sz w:val="18"/>
                <w:szCs w:val="18"/>
              </w:rPr>
              <w:t xml:space="preserve">data </w:t>
            </w:r>
            <w:r>
              <w:rPr>
                <w:rFonts w:ascii="Verdana" w:hAnsi="Verdana"/>
                <w:color w:val="595959"/>
                <w:sz w:val="18"/>
                <w:szCs w:val="18"/>
              </w:rPr>
              <w:t>personali. Din id-</w:t>
            </w:r>
            <w:r>
              <w:rPr>
                <w:rFonts w:ascii="Verdana" w:hAnsi="Verdana"/>
                <w:i/>
                <w:color w:val="595959"/>
                <w:sz w:val="18"/>
                <w:szCs w:val="18"/>
              </w:rPr>
              <w:t>data</w:t>
            </w:r>
            <w:r>
              <w:rPr>
                <w:rFonts w:ascii="Verdana" w:hAnsi="Verdana"/>
                <w:color w:val="595959"/>
                <w:sz w:val="18"/>
                <w:szCs w:val="18"/>
              </w:rPr>
              <w:t xml:space="preserve"> se tiġi pproċessata f’konformità mal-qafas legali applikabbli. Din tiġi pproċessata biss għall-fini tal-evalwazzjoni tal-proposta tiegħek, il-ġestjoni sussegwenti tal-għotja tiegħek u, jekk meħtieġ, għall-monitoraġġ tal-programm, għall-evalwazzjoni u għall-komunikazzjoni. Id-dettalji huma spjegati fl-</w:t>
            </w:r>
            <w:hyperlink r:id="rId64" w:history="1">
              <w:r>
                <w:rPr>
                  <w:rStyle w:val="Hyperlink"/>
                  <w:rFonts w:ascii="Verdana" w:hAnsi="Verdana"/>
                  <w:sz w:val="18"/>
                  <w:szCs w:val="20"/>
                </w:rPr>
                <w:t>Istqarrija ta’ Privatezza tal-Portal għall-Finanzjament u għall-Offerti</w:t>
              </w:r>
            </w:hyperlink>
            <w:r>
              <w:rPr>
                <w:rFonts w:ascii="Verdana" w:hAnsi="Verdana"/>
                <w:color w:val="595959"/>
                <w:sz w:val="18"/>
                <w:szCs w:val="18"/>
              </w:rPr>
              <w:t>.</w:t>
            </w:r>
          </w:p>
          <w:p w14:paraId="2C3EE597" w14:textId="31542827" w:rsidR="007B7F35" w:rsidRPr="005C3A23" w:rsidRDefault="007B7F35" w:rsidP="00DC47B2">
            <w:pPr>
              <w:widowControl w:val="0"/>
              <w:ind w:right="366"/>
              <w:rPr>
                <w:rFonts w:cs="Arial"/>
              </w:rPr>
            </w:pPr>
          </w:p>
        </w:tc>
      </w:tr>
    </w:tbl>
    <w:p w14:paraId="6DA17AA1" w14:textId="77777777" w:rsidR="007B7F35" w:rsidRPr="005C3A23" w:rsidRDefault="007B7F35" w:rsidP="00DC47B2">
      <w:pPr>
        <w:widowControl w:val="0"/>
        <w:ind w:right="366"/>
        <w:rPr>
          <w:rFonts w:cs="Arial"/>
        </w:rPr>
      </w:pPr>
    </w:p>
    <w:sectPr w:rsidR="007B7F35" w:rsidRPr="005C3A23" w:rsidSect="00A2572D">
      <w:headerReference w:type="first" r:id="rId65"/>
      <w:pgSz w:w="11906" w:h="16838" w:code="9"/>
      <w:pgMar w:top="1560" w:right="1588" w:bottom="1276" w:left="1588" w:header="567" w:footer="737"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30A63D" w14:textId="77777777" w:rsidR="000579AF" w:rsidRDefault="000579AF" w:rsidP="00B02821">
      <w:pPr>
        <w:spacing w:after="0"/>
      </w:pPr>
      <w:r>
        <w:separator/>
      </w:r>
    </w:p>
  </w:endnote>
  <w:endnote w:type="continuationSeparator" w:id="0">
    <w:p w14:paraId="5E4852A8" w14:textId="77777777" w:rsidR="000579AF" w:rsidRDefault="000579AF" w:rsidP="00B02821">
      <w:pPr>
        <w:spacing w:after="0"/>
      </w:pPr>
      <w:r>
        <w:continuationSeparator/>
      </w:r>
    </w:p>
  </w:endnote>
  <w:endnote w:type="continuationNotice" w:id="1">
    <w:p w14:paraId="3A4B1D9C" w14:textId="77777777" w:rsidR="000579AF" w:rsidRDefault="000579A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EC Square Sans Pro">
    <w:panose1 w:val="020B0506040000020004"/>
    <w:charset w:val="00"/>
    <w:family w:val="swiss"/>
    <w:pitch w:val="variable"/>
    <w:sig w:usb0="A00002BF" w:usb1="5000E0FB" w:usb2="00000000" w:usb3="00000000" w:csb0="0000019F" w:csb1="00000000"/>
  </w:font>
  <w:font w:name="EC Square Sans Pro Medium">
    <w:panose1 w:val="020B0500000000020004"/>
    <w:charset w:val="00"/>
    <w:family w:val="swiss"/>
    <w:pitch w:val="variable"/>
    <w:sig w:usb0="A00002BF" w:usb1="5000E0FB" w:usb2="00000000" w:usb3="00000000" w:csb0="0000019F" w:csb1="00000000"/>
  </w:font>
  <w:font w:name="EC Square Sans Pro Light">
    <w:panose1 w:val="020B0506000000020004"/>
    <w:charset w:val="00"/>
    <w:family w:val="swiss"/>
    <w:pitch w:val="variable"/>
    <w:sig w:usb0="A00002BF" w:usb1="5000E0F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6FCF89" w14:textId="58D1E088" w:rsidR="000579AF" w:rsidRPr="00D150DA" w:rsidRDefault="000579AF" w:rsidP="009E1BA1">
    <w:pPr>
      <w:pStyle w:val="Footer"/>
      <w:ind w:right="-1"/>
      <w:jc w:val="right"/>
      <w:rPr>
        <w:rFonts w:ascii="Verdana" w:hAnsi="Verdana"/>
      </w:rPr>
    </w:pPr>
    <w:r w:rsidRPr="00D150DA">
      <w:rPr>
        <w:rFonts w:ascii="Verdana" w:hAnsi="Verdana"/>
      </w:rPr>
      <w:fldChar w:fldCharType="begin"/>
    </w:r>
    <w:r w:rsidRPr="00D150DA">
      <w:rPr>
        <w:rFonts w:ascii="Verdana" w:hAnsi="Verdana"/>
      </w:rPr>
      <w:instrText xml:space="preserve"> PAGE   \* MERGEFORMAT </w:instrText>
    </w:r>
    <w:r w:rsidRPr="00D150DA">
      <w:rPr>
        <w:rFonts w:ascii="Verdana" w:hAnsi="Verdana"/>
      </w:rPr>
      <w:fldChar w:fldCharType="separate"/>
    </w:r>
    <w:r w:rsidR="009419CA">
      <w:rPr>
        <w:rFonts w:ascii="Verdana" w:hAnsi="Verdana"/>
        <w:noProof/>
      </w:rPr>
      <w:t>4</w:t>
    </w:r>
    <w:r w:rsidRPr="00D150DA">
      <w:rPr>
        <w:rFonts w:ascii="Verdana" w:hAnsi="Verdan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DF6BD1" w14:textId="44898DC0" w:rsidR="000579AF" w:rsidRDefault="000579AF" w:rsidP="00971780">
    <w:pPr>
      <w:autoSpaceDE w:val="0"/>
      <w:autoSpaceDN w:val="0"/>
      <w:adjustRightInd w:val="0"/>
      <w:spacing w:after="0"/>
    </w:pPr>
    <w:r>
      <w:rPr>
        <w:noProof/>
        <w:lang w:val="en-IE" w:eastAsia="en-IE"/>
      </w:rPr>
      <mc:AlternateContent>
        <mc:Choice Requires="wps">
          <w:drawing>
            <wp:anchor distT="0" distB="0" distL="114300" distR="114300" simplePos="0" relativeHeight="251658240" behindDoc="0" locked="0" layoutInCell="1" allowOverlap="1" wp14:anchorId="7D21EC33" wp14:editId="1E65DADA">
              <wp:simplePos x="0" y="0"/>
              <wp:positionH relativeFrom="column">
                <wp:posOffset>2272665</wp:posOffset>
              </wp:positionH>
              <wp:positionV relativeFrom="page">
                <wp:posOffset>10395585</wp:posOffset>
              </wp:positionV>
              <wp:extent cx="842645" cy="288290"/>
              <wp:effectExtent l="0" t="0" r="0" b="0"/>
              <wp:wrapNone/>
              <wp:docPr id="44"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2645" cy="288290"/>
                      </a:xfrm>
                      <a:prstGeom prst="rect">
                        <a:avLst/>
                      </a:prstGeom>
                      <a:solidFill>
                        <a:srgbClr val="004494"/>
                      </a:solidFill>
                      <a:ln>
                        <a:noFill/>
                      </a:ln>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http://schemas.openxmlformats.org/drawingml/2006/main">
          <w:pict>
            <v:rect id="Rectangle 44" style="position:absolute;margin-left:178.95pt;margin-top:818.55pt;width:66.35pt;height:2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spid="_x0000_s1026" fillcolor="#004494" stroked="f" w14:anchorId="74C237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">
              <w10:wrap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692B73" w14:textId="77777777" w:rsidR="000579AF" w:rsidRDefault="000579AF" w:rsidP="00B02821">
      <w:pPr>
        <w:spacing w:after="0"/>
      </w:pPr>
      <w:r>
        <w:separator/>
      </w:r>
    </w:p>
  </w:footnote>
  <w:footnote w:type="continuationSeparator" w:id="0">
    <w:p w14:paraId="107E5550" w14:textId="77777777" w:rsidR="000579AF" w:rsidRDefault="000579AF" w:rsidP="00B02821">
      <w:pPr>
        <w:spacing w:after="0"/>
      </w:pPr>
      <w:r>
        <w:continuationSeparator/>
      </w:r>
    </w:p>
  </w:footnote>
  <w:footnote w:type="continuationNotice" w:id="1">
    <w:p w14:paraId="416A5574" w14:textId="77777777" w:rsidR="000579AF" w:rsidRDefault="000579AF">
      <w:pPr>
        <w:spacing w:after="0"/>
      </w:pPr>
    </w:p>
  </w:footnote>
  <w:footnote w:id="2">
    <w:p w14:paraId="1D801B00" w14:textId="279D0F77" w:rsidR="000579AF" w:rsidRPr="00612634" w:rsidRDefault="000579AF" w:rsidP="00924362">
      <w:pPr>
        <w:pStyle w:val="FootnoteText"/>
        <w:spacing w:after="0"/>
        <w:ind w:left="284" w:hanging="284"/>
        <w:rPr>
          <w:color w:val="000000"/>
          <w:sz w:val="16"/>
          <w:szCs w:val="16"/>
        </w:rPr>
      </w:pPr>
      <w:r w:rsidRPr="00612634">
        <w:rPr>
          <w:rStyle w:val="FootnoteReference"/>
          <w:sz w:val="16"/>
          <w:szCs w:val="16"/>
        </w:rPr>
        <w:footnoteRef/>
      </w:r>
      <w:r w:rsidRPr="00612634">
        <w:rPr>
          <w:sz w:val="16"/>
          <w:szCs w:val="16"/>
        </w:rPr>
        <w:t xml:space="preserve"> </w:t>
      </w:r>
      <w:r w:rsidRPr="00612634">
        <w:rPr>
          <w:sz w:val="16"/>
          <w:szCs w:val="16"/>
        </w:rPr>
        <w:tab/>
        <w:t>fir-Regolament (UE) 2021/692 tal-Parlament Ewropew u tal-Kunsill tat-28 ta’ April 2021 li jistabbilixxi l-Programm dwar iċ-Ċittadini, l-Ugwaljanza, id-Drittijiet u l-Valuri (ĠU L 156 5.5.2021, p. 1).</w:t>
      </w:r>
    </w:p>
  </w:footnote>
  <w:footnote w:id="3">
    <w:p w14:paraId="61A4F60E" w14:textId="3164B12C" w:rsidR="000579AF" w:rsidRPr="00612634" w:rsidRDefault="000579AF" w:rsidP="00924362">
      <w:pPr>
        <w:pStyle w:val="FootnoteText"/>
        <w:spacing w:after="0"/>
        <w:ind w:left="284" w:hanging="284"/>
        <w:rPr>
          <w:sz w:val="16"/>
          <w:szCs w:val="16"/>
        </w:rPr>
      </w:pPr>
      <w:r w:rsidRPr="00612634">
        <w:rPr>
          <w:rStyle w:val="FootnoteReference"/>
          <w:sz w:val="16"/>
          <w:szCs w:val="16"/>
        </w:rPr>
        <w:footnoteRef/>
      </w:r>
      <w:r w:rsidRPr="00612634">
        <w:rPr>
          <w:sz w:val="16"/>
          <w:szCs w:val="16"/>
        </w:rPr>
        <w:t xml:space="preserve"> </w:t>
      </w:r>
      <w:r w:rsidRPr="00612634">
        <w:rPr>
          <w:sz w:val="16"/>
          <w:szCs w:val="16"/>
        </w:rPr>
        <w:tab/>
        <w:t>Id-Deċiżjoni ta’ Implimentazzjoni tal-Kummissjoni C(2021) 2583 final tad-19 ta’ April 2021 dwar il-finanzjament tal-Programm dwar iċ-Ċittadini, l-Ugwaljanza, id-Drittijiet u l-Valuri u l-adozzjoni tal-programm ta’ ħidma pluriennali għall-2021-2022</w:t>
      </w:r>
    </w:p>
  </w:footnote>
  <w:footnote w:id="4">
    <w:p w14:paraId="190283C3" w14:textId="11605722" w:rsidR="000579AF" w:rsidRPr="00612634" w:rsidRDefault="000579AF" w:rsidP="00924362">
      <w:pPr>
        <w:pStyle w:val="FootnoteText"/>
        <w:spacing w:after="0"/>
        <w:ind w:left="284" w:hanging="284"/>
        <w:rPr>
          <w:sz w:val="16"/>
          <w:szCs w:val="16"/>
        </w:rPr>
      </w:pPr>
      <w:r w:rsidRPr="00612634">
        <w:rPr>
          <w:sz w:val="16"/>
          <w:szCs w:val="16"/>
          <w:vertAlign w:val="superscript"/>
        </w:rPr>
        <w:footnoteRef/>
      </w:r>
      <w:r w:rsidRPr="00612634">
        <w:rPr>
          <w:sz w:val="16"/>
          <w:szCs w:val="16"/>
        </w:rPr>
        <w:tab/>
        <w:t>Ir-Regolament (UE) Nru 1381/2013 tal-Parlament Ewropew u tal-Kunsill tas-17 ta’ Diċembru 2013 li jistabbilixxi Programm ta’ Drittijiet, Ugwaljanza u Ċittadinanza għall-perjodu minn 2014 sa 2020 (ĠU L 354, 28.12.2013, p. 62)</w:t>
      </w:r>
    </w:p>
  </w:footnote>
  <w:footnote w:id="5">
    <w:p w14:paraId="10858EDC" w14:textId="37FB5CA3" w:rsidR="000579AF" w:rsidRPr="00612634" w:rsidRDefault="000579AF" w:rsidP="00924362">
      <w:pPr>
        <w:pStyle w:val="FootnoteText"/>
        <w:spacing w:after="0"/>
        <w:ind w:left="284" w:hanging="284"/>
        <w:rPr>
          <w:sz w:val="16"/>
          <w:szCs w:val="16"/>
        </w:rPr>
      </w:pPr>
      <w:r w:rsidRPr="00612634">
        <w:rPr>
          <w:sz w:val="16"/>
          <w:szCs w:val="16"/>
          <w:vertAlign w:val="superscript"/>
        </w:rPr>
        <w:footnoteRef/>
      </w:r>
      <w:r w:rsidRPr="00612634">
        <w:rPr>
          <w:sz w:val="16"/>
          <w:szCs w:val="16"/>
        </w:rPr>
        <w:tab/>
        <w:t>Ir-Regolament tal-Kunsill (UE) Nru 390/2014 tal-14 ta’ April 2014 li jistabbilixxi l-programm “L-Ewropa għaċ-Ċittadini” għall-perjodu 2014–2020 (ĠU L 115, 17.4.2014, p. 3)</w:t>
      </w:r>
    </w:p>
  </w:footnote>
  <w:footnote w:id="6">
    <w:p w14:paraId="6EC6382E" w14:textId="411DB647" w:rsidR="000579AF" w:rsidRPr="00612634" w:rsidRDefault="000579AF" w:rsidP="00924362">
      <w:pPr>
        <w:pStyle w:val="FootnoteText"/>
        <w:spacing w:after="0"/>
        <w:ind w:left="284" w:hanging="284"/>
        <w:rPr>
          <w:sz w:val="16"/>
          <w:szCs w:val="16"/>
        </w:rPr>
      </w:pPr>
      <w:r w:rsidRPr="00612634">
        <w:rPr>
          <w:rStyle w:val="FootnoteReference"/>
          <w:sz w:val="16"/>
          <w:szCs w:val="16"/>
        </w:rPr>
        <w:footnoteRef/>
      </w:r>
      <w:r w:rsidRPr="00612634">
        <w:rPr>
          <w:sz w:val="16"/>
          <w:szCs w:val="16"/>
        </w:rPr>
        <w:t xml:space="preserve"> </w:t>
      </w:r>
      <w:r w:rsidRPr="00612634">
        <w:rPr>
          <w:sz w:val="16"/>
          <w:szCs w:val="16"/>
        </w:rPr>
        <w:tab/>
      </w:r>
      <w:hyperlink w:anchor=":~:text=The%20European%20Democracy%20Action%20Plan%20is%20designed%20to,the%20EU%20by%20promoting%20free%20and%20fair%20elections" w:history="1">
        <w:r w:rsidRPr="00612634">
          <w:rPr>
            <w:rStyle w:val="Hyperlink"/>
            <w:sz w:val="16"/>
            <w:szCs w:val="16"/>
          </w:rPr>
          <w:t xml:space="preserve">Pjan ta’ Azzjoni għad-Demokrazija Ewropea </w:t>
        </w:r>
      </w:hyperlink>
    </w:p>
  </w:footnote>
  <w:footnote w:id="7">
    <w:p w14:paraId="456627A2" w14:textId="64F32BDA" w:rsidR="000579AF" w:rsidRPr="00612634" w:rsidRDefault="000579AF" w:rsidP="00924362">
      <w:pPr>
        <w:pStyle w:val="FootnoteText"/>
        <w:spacing w:after="0"/>
        <w:ind w:left="284" w:hanging="284"/>
        <w:rPr>
          <w:sz w:val="16"/>
          <w:szCs w:val="16"/>
        </w:rPr>
      </w:pPr>
      <w:r w:rsidRPr="00612634">
        <w:rPr>
          <w:rStyle w:val="FootnoteReference"/>
          <w:sz w:val="16"/>
          <w:szCs w:val="16"/>
        </w:rPr>
        <w:footnoteRef/>
      </w:r>
      <w:r w:rsidRPr="00612634">
        <w:rPr>
          <w:sz w:val="16"/>
          <w:szCs w:val="16"/>
        </w:rPr>
        <w:t xml:space="preserve"> </w:t>
      </w:r>
      <w:r w:rsidRPr="00612634">
        <w:rPr>
          <w:sz w:val="16"/>
          <w:szCs w:val="16"/>
        </w:rPr>
        <w:tab/>
      </w:r>
      <w:hyperlink r:id="rId1" w:history="1">
        <w:r w:rsidRPr="00612634">
          <w:rPr>
            <w:rStyle w:val="Hyperlink"/>
            <w:sz w:val="16"/>
            <w:szCs w:val="16"/>
          </w:rPr>
          <w:t>Il-Qafas Strateġiku tal-UE għar-Rom għall-ugwaljanza, għall-inklużjoni u għall-parteċipazzjoni</w:t>
        </w:r>
      </w:hyperlink>
    </w:p>
  </w:footnote>
  <w:footnote w:id="8">
    <w:p w14:paraId="7B0B537B" w14:textId="3BAC883C" w:rsidR="000579AF" w:rsidRPr="00612634" w:rsidRDefault="000579AF" w:rsidP="00924362">
      <w:pPr>
        <w:pStyle w:val="FootnoteText"/>
        <w:spacing w:after="0"/>
        <w:ind w:left="284" w:hanging="284"/>
        <w:rPr>
          <w:sz w:val="16"/>
          <w:szCs w:val="16"/>
        </w:rPr>
      </w:pPr>
      <w:r w:rsidRPr="00612634">
        <w:rPr>
          <w:rStyle w:val="FootnoteReference"/>
          <w:sz w:val="16"/>
          <w:szCs w:val="16"/>
        </w:rPr>
        <w:footnoteRef/>
      </w:r>
      <w:r w:rsidRPr="00612634">
        <w:rPr>
          <w:sz w:val="16"/>
          <w:szCs w:val="16"/>
        </w:rPr>
        <w:t xml:space="preserve"> </w:t>
      </w:r>
      <w:r w:rsidRPr="00612634">
        <w:rPr>
          <w:sz w:val="16"/>
          <w:szCs w:val="16"/>
        </w:rPr>
        <w:tab/>
      </w:r>
      <w:hyperlink r:id="rId2" w:history="1">
        <w:r w:rsidRPr="00612634">
          <w:rPr>
            <w:rStyle w:val="Hyperlink"/>
            <w:sz w:val="16"/>
            <w:szCs w:val="16"/>
          </w:rPr>
          <w:t xml:space="preserve">L-Istrateġija tal-UE biex tissaħħaħ l-applikazzjoni tal-Karta tad-Drittijiet Fundamentali </w:t>
        </w:r>
      </w:hyperlink>
    </w:p>
  </w:footnote>
  <w:footnote w:id="9">
    <w:p w14:paraId="7C8E8985" w14:textId="7E077265" w:rsidR="000579AF" w:rsidRPr="00612634" w:rsidRDefault="000579AF" w:rsidP="00924362">
      <w:pPr>
        <w:pStyle w:val="FootnoteText"/>
        <w:spacing w:after="0"/>
        <w:ind w:left="284" w:hanging="284"/>
        <w:jc w:val="left"/>
        <w:rPr>
          <w:sz w:val="16"/>
          <w:szCs w:val="16"/>
        </w:rPr>
      </w:pPr>
      <w:r w:rsidRPr="00612634">
        <w:rPr>
          <w:rStyle w:val="FootnoteReference"/>
          <w:sz w:val="16"/>
          <w:szCs w:val="16"/>
        </w:rPr>
        <w:footnoteRef/>
      </w:r>
      <w:r w:rsidRPr="00612634">
        <w:rPr>
          <w:sz w:val="16"/>
          <w:szCs w:val="16"/>
        </w:rPr>
        <w:t xml:space="preserve"> </w:t>
      </w:r>
      <w:r w:rsidRPr="00612634">
        <w:rPr>
          <w:sz w:val="16"/>
          <w:szCs w:val="16"/>
        </w:rPr>
        <w:tab/>
      </w:r>
      <w:hyperlink r:id="rId3" w:history="1">
        <w:r w:rsidRPr="00612634">
          <w:rPr>
            <w:rStyle w:val="Hyperlink"/>
            <w:sz w:val="16"/>
            <w:szCs w:val="16"/>
          </w:rPr>
          <w:t>Ir-Rapport tal-2020 dwar iċ-Ċittadinanza tal-UE</w:t>
        </w:r>
      </w:hyperlink>
    </w:p>
  </w:footnote>
  <w:footnote w:id="10">
    <w:p w14:paraId="5A4970F1" w14:textId="7EEDAE09" w:rsidR="000579AF" w:rsidRPr="00612634" w:rsidRDefault="000579AF" w:rsidP="00732A4F">
      <w:pPr>
        <w:keepLines/>
        <w:spacing w:after="0"/>
        <w:ind w:left="284" w:hanging="284"/>
        <w:rPr>
          <w:sz w:val="16"/>
          <w:szCs w:val="16"/>
        </w:rPr>
      </w:pPr>
      <w:r w:rsidRPr="00612634">
        <w:rPr>
          <w:rStyle w:val="FootnoteReference"/>
          <w:sz w:val="16"/>
          <w:szCs w:val="16"/>
        </w:rPr>
        <w:footnoteRef/>
      </w:r>
      <w:r w:rsidRPr="00612634">
        <w:rPr>
          <w:color w:val="2F5496"/>
          <w:sz w:val="16"/>
          <w:szCs w:val="16"/>
        </w:rPr>
        <w:t xml:space="preserve"> </w:t>
      </w:r>
      <w:r w:rsidRPr="00612634">
        <w:rPr>
          <w:color w:val="2F5496"/>
          <w:sz w:val="16"/>
          <w:szCs w:val="16"/>
        </w:rPr>
        <w:tab/>
      </w:r>
      <w:hyperlink r:id="rId4" w:history="1">
        <w:r w:rsidRPr="00612634">
          <w:rPr>
            <w:rStyle w:val="Hyperlink"/>
            <w:sz w:val="16"/>
            <w:szCs w:val="16"/>
          </w:rPr>
          <w:t>Il-Konferenza dwar il-Futur tal-Ewropa</w:t>
        </w:r>
      </w:hyperlink>
      <w:r w:rsidRPr="00612634">
        <w:rPr>
          <w:sz w:val="16"/>
          <w:szCs w:val="16"/>
        </w:rPr>
        <w:t xml:space="preserve"> hija eżerċizzju minn isfel għal fuq iffukat fuq iċ-ċittadini biex l-Ewropej jgħidu tagħhom dwar dak li jistennew mill-Unjoni Ewropea. Din se tagħti liċ-ċittadini rwol akbar fit-tiswir tal-politiki u l-ambizzjonijiet futuri tal-Unjoni, filwaqt li ttejjeb ir-reżiljenza tagħha. Se tagħmel dan permezz ta’ għadd kbir ta’ avvenimenti tal-Konferenza u dibattiti organizzati madwar l-Unjoni, kif ukoll permezz ta’ pjattaforma diġitali multilingwi interattiva. Avvenimenti tal-konferenza, laqgħat fiżiċi jew f’ambjenti diġitali jistgħu jiġu organizzati f’livelli differenti, inkluż fil-livell tranżnazzjonali u Ewropew. Il-parteċipazzjoni taċ-ċittadini f’dawn l-avvenimenti għandu jkollha l-għan li tirrifletti d-diversità tal-Ewropa. Muniċipalitajiet b’ġemellaġġ huma mħeġġa jipparteċipaw fil-Konferenza dwar il-Futur tal-Ewropa.</w:t>
      </w:r>
    </w:p>
  </w:footnote>
  <w:footnote w:id="11">
    <w:p w14:paraId="0F69B04E" w14:textId="1D8FFFBA" w:rsidR="000579AF" w:rsidRPr="00612634" w:rsidRDefault="000579AF" w:rsidP="00924362">
      <w:pPr>
        <w:pStyle w:val="FootnoteText"/>
        <w:spacing w:after="0"/>
        <w:ind w:left="284" w:hanging="284"/>
        <w:rPr>
          <w:sz w:val="16"/>
          <w:szCs w:val="16"/>
          <w:highlight w:val="green"/>
        </w:rPr>
      </w:pPr>
      <w:r w:rsidRPr="00612634">
        <w:rPr>
          <w:rStyle w:val="FootnoteReference"/>
          <w:sz w:val="16"/>
          <w:szCs w:val="16"/>
        </w:rPr>
        <w:footnoteRef/>
      </w:r>
      <w:r w:rsidRPr="00612634">
        <w:rPr>
          <w:sz w:val="16"/>
          <w:szCs w:val="16"/>
        </w:rPr>
        <w:t xml:space="preserve"> </w:t>
      </w:r>
      <w:r w:rsidRPr="00612634">
        <w:rPr>
          <w:sz w:val="16"/>
          <w:szCs w:val="16"/>
        </w:rPr>
        <w:tab/>
        <w:t xml:space="preserve">Għal aktar informazzjoni ara t-taqsima </w:t>
      </w:r>
      <w:r w:rsidRPr="00612634">
        <w:rPr>
          <w:i/>
          <w:sz w:val="16"/>
          <w:szCs w:val="16"/>
        </w:rPr>
        <w:t>L-Etika u l-valuri tal-UE</w:t>
      </w:r>
    </w:p>
  </w:footnote>
  <w:footnote w:id="12">
    <w:p w14:paraId="17D7FFB5" w14:textId="79853DA1" w:rsidR="000579AF" w:rsidRPr="00612634" w:rsidRDefault="000579AF" w:rsidP="00924362">
      <w:pPr>
        <w:pStyle w:val="FootnoteText"/>
        <w:spacing w:after="0"/>
        <w:ind w:left="284" w:hanging="284"/>
        <w:rPr>
          <w:sz w:val="16"/>
          <w:szCs w:val="16"/>
        </w:rPr>
      </w:pPr>
      <w:r w:rsidRPr="00612634">
        <w:rPr>
          <w:rStyle w:val="FootnoteReference"/>
          <w:sz w:val="16"/>
          <w:szCs w:val="16"/>
        </w:rPr>
        <w:footnoteRef/>
      </w:r>
      <w:r w:rsidRPr="00612634">
        <w:rPr>
          <w:sz w:val="16"/>
          <w:szCs w:val="16"/>
        </w:rPr>
        <w:t xml:space="preserve"> </w:t>
      </w:r>
      <w:r w:rsidRPr="00612634">
        <w:rPr>
          <w:sz w:val="16"/>
          <w:szCs w:val="16"/>
        </w:rPr>
        <w:tab/>
        <w:t>“Parteċipanti mistiedna” huma delegazzjonijiet li jivvjaġġaw minn pajjiżi sħab eliġibbli fi proġett għajr il-pajjiż li jospita avveniment ta’ Ġemellaġġ ta’ Bliet.</w:t>
      </w:r>
    </w:p>
  </w:footnote>
  <w:footnote w:id="13">
    <w:p w14:paraId="228A0A98" w14:textId="079A3B62" w:rsidR="000579AF" w:rsidRPr="00612634" w:rsidRDefault="000579AF" w:rsidP="00924362">
      <w:pPr>
        <w:pStyle w:val="FootnoteText"/>
        <w:spacing w:after="0"/>
        <w:ind w:left="284" w:hanging="284"/>
        <w:rPr>
          <w:sz w:val="16"/>
          <w:szCs w:val="16"/>
        </w:rPr>
      </w:pPr>
      <w:r w:rsidRPr="00612634">
        <w:rPr>
          <w:rStyle w:val="FootnoteReference"/>
          <w:sz w:val="16"/>
          <w:szCs w:val="16"/>
        </w:rPr>
        <w:footnoteRef/>
      </w:r>
      <w:r w:rsidRPr="00612634">
        <w:rPr>
          <w:sz w:val="16"/>
          <w:szCs w:val="16"/>
        </w:rPr>
        <w:t xml:space="preserve"> </w:t>
      </w:r>
      <w:r w:rsidRPr="00612634">
        <w:rPr>
          <w:sz w:val="16"/>
          <w:szCs w:val="16"/>
        </w:rPr>
        <w:tab/>
        <w:t>Il-koordinatur huwa l-applikant ewlieni tal-konsorzju.</w:t>
      </w:r>
    </w:p>
  </w:footnote>
  <w:footnote w:id="14">
    <w:p w14:paraId="527456B7" w14:textId="1E33C53A" w:rsidR="00683BCF" w:rsidRPr="00612634" w:rsidRDefault="000579AF" w:rsidP="00924362">
      <w:pPr>
        <w:pStyle w:val="FootnoteText"/>
        <w:spacing w:after="0"/>
        <w:ind w:left="284" w:hanging="284"/>
        <w:rPr>
          <w:sz w:val="16"/>
          <w:szCs w:val="16"/>
        </w:rPr>
      </w:pPr>
      <w:r w:rsidRPr="00612634">
        <w:rPr>
          <w:rStyle w:val="FootnoteReference"/>
          <w:sz w:val="16"/>
          <w:szCs w:val="16"/>
        </w:rPr>
        <w:footnoteRef/>
      </w:r>
      <w:r w:rsidRPr="00612634">
        <w:rPr>
          <w:sz w:val="16"/>
          <w:szCs w:val="16"/>
        </w:rPr>
        <w:t xml:space="preserve"> </w:t>
      </w:r>
      <w:r w:rsidRPr="00612634">
        <w:rPr>
          <w:sz w:val="16"/>
          <w:szCs w:val="16"/>
        </w:rPr>
        <w:tab/>
        <w:t xml:space="preserve">Ara l-Artikolu 197(2)(c) tar-Regolament Finanzjarju tal-UE </w:t>
      </w:r>
      <w:hyperlink r:id="rId5" w:history="1">
        <w:r w:rsidRPr="00612634">
          <w:rPr>
            <w:bCs/>
            <w:color w:val="0088CC"/>
            <w:sz w:val="16"/>
            <w:szCs w:val="16"/>
            <w:u w:val="single"/>
          </w:rPr>
          <w:t>2018/1046</w:t>
        </w:r>
      </w:hyperlink>
      <w:r w:rsidRPr="00612634">
        <w:rPr>
          <w:sz w:val="16"/>
          <w:szCs w:val="16"/>
        </w:rPr>
        <w:t>.</w:t>
      </w:r>
    </w:p>
  </w:footnote>
  <w:footnote w:id="15">
    <w:p w14:paraId="58E63D84" w14:textId="4C88F785" w:rsidR="002D27D8" w:rsidRPr="00612634" w:rsidRDefault="000579AF" w:rsidP="00924362">
      <w:pPr>
        <w:pStyle w:val="FootnoteText"/>
        <w:spacing w:after="0"/>
        <w:ind w:left="284" w:hanging="284"/>
        <w:rPr>
          <w:sz w:val="16"/>
          <w:szCs w:val="16"/>
        </w:rPr>
      </w:pPr>
      <w:r w:rsidRPr="00612634">
        <w:rPr>
          <w:rStyle w:val="FootnoteReference"/>
          <w:sz w:val="16"/>
          <w:szCs w:val="16"/>
        </w:rPr>
        <w:footnoteRef/>
      </w:r>
      <w:r w:rsidRPr="00612634">
        <w:rPr>
          <w:sz w:val="16"/>
          <w:szCs w:val="16"/>
        </w:rPr>
        <w:t xml:space="preserve"> </w:t>
      </w:r>
      <w:r w:rsidRPr="00612634">
        <w:rPr>
          <w:sz w:val="16"/>
          <w:szCs w:val="16"/>
        </w:rPr>
        <w:tab/>
        <w:t xml:space="preserve">Għad-definizzjonijiet, ara l-Artikolu 187(2) u 197(2)(c) tar-Regolament Finanzjarju tal-UE </w:t>
      </w:r>
      <w:hyperlink r:id="rId6" w:history="1">
        <w:r w:rsidRPr="00612634">
          <w:rPr>
            <w:bCs/>
            <w:color w:val="0088CC"/>
            <w:sz w:val="16"/>
            <w:szCs w:val="16"/>
            <w:u w:val="single"/>
          </w:rPr>
          <w:t>2018/1046</w:t>
        </w:r>
      </w:hyperlink>
      <w:r w:rsidRPr="00612634">
        <w:rPr>
          <w:sz w:val="16"/>
          <w:szCs w:val="16"/>
        </w:rPr>
        <w:t>.</w:t>
      </w:r>
    </w:p>
  </w:footnote>
  <w:footnote w:id="16">
    <w:p w14:paraId="52822DD7" w14:textId="37AE3EF0" w:rsidR="000579AF" w:rsidRPr="00612634" w:rsidRDefault="000579AF" w:rsidP="000579AF">
      <w:pPr>
        <w:pStyle w:val="FootnoteText"/>
        <w:spacing w:after="0"/>
        <w:ind w:left="284" w:hanging="284"/>
        <w:rPr>
          <w:sz w:val="16"/>
          <w:szCs w:val="16"/>
        </w:rPr>
      </w:pPr>
      <w:r w:rsidRPr="00612634">
        <w:rPr>
          <w:rStyle w:val="FootnoteReference"/>
          <w:sz w:val="16"/>
          <w:szCs w:val="16"/>
        </w:rPr>
        <w:footnoteRef/>
      </w:r>
      <w:r w:rsidRPr="00612634">
        <w:rPr>
          <w:sz w:val="16"/>
          <w:szCs w:val="16"/>
        </w:rPr>
        <w:t xml:space="preserve"> </w:t>
      </w:r>
      <w:r w:rsidRPr="00612634">
        <w:rPr>
          <w:sz w:val="16"/>
          <w:szCs w:val="16"/>
        </w:rPr>
        <w:tab/>
        <w:t>Jekk jogħġbok innota li Il-Ġurnal Uffiċjali tal-UE jinkludi l-lista uffiċjali u, f’każ ta’ kunflitt, il-kontenut tiegħu jipprevali fuq dak tal-</w:t>
      </w:r>
      <w:hyperlink r:id="rId7" w:history="1">
        <w:r w:rsidRPr="00612634">
          <w:rPr>
            <w:rStyle w:val="Hyperlink"/>
            <w:sz w:val="16"/>
            <w:szCs w:val="16"/>
          </w:rPr>
          <w:t>Mappa tas-Sanzjonijiet tal-UE</w:t>
        </w:r>
      </w:hyperlink>
      <w:r w:rsidRPr="00612634">
        <w:rPr>
          <w:sz w:val="16"/>
          <w:szCs w:val="16"/>
        </w:rPr>
        <w:t>.</w:t>
      </w:r>
    </w:p>
  </w:footnote>
  <w:footnote w:id="17">
    <w:p w14:paraId="67257775" w14:textId="77777777" w:rsidR="000579AF" w:rsidRPr="00612634" w:rsidRDefault="000579AF" w:rsidP="000579AF">
      <w:pPr>
        <w:pStyle w:val="CM1"/>
        <w:ind w:left="284" w:hanging="284"/>
        <w:jc w:val="both"/>
        <w:rPr>
          <w:rFonts w:ascii="Verdana" w:hAnsi="Verdana"/>
          <w:sz w:val="16"/>
          <w:szCs w:val="16"/>
        </w:rPr>
      </w:pPr>
      <w:r w:rsidRPr="00612634">
        <w:rPr>
          <w:rStyle w:val="FootnoteReference"/>
          <w:rFonts w:ascii="Verdana" w:hAnsi="Verdana"/>
          <w:sz w:val="16"/>
          <w:szCs w:val="16"/>
        </w:rPr>
        <w:footnoteRef/>
      </w:r>
      <w:r w:rsidRPr="00612634">
        <w:rPr>
          <w:rFonts w:ascii="Verdana" w:hAnsi="Verdana"/>
          <w:sz w:val="16"/>
          <w:szCs w:val="16"/>
        </w:rPr>
        <w:t xml:space="preserve"> </w:t>
      </w:r>
      <w:r w:rsidRPr="00612634">
        <w:rPr>
          <w:sz w:val="16"/>
          <w:szCs w:val="16"/>
        </w:rPr>
        <w:tab/>
      </w:r>
      <w:r w:rsidRPr="00612634">
        <w:rPr>
          <w:rFonts w:ascii="Verdana" w:hAnsi="Verdana"/>
          <w:sz w:val="16"/>
          <w:szCs w:val="16"/>
        </w:rPr>
        <w:t>Il-linji gwida tal-Kummissjoni Nru </w:t>
      </w:r>
      <w:hyperlink r:id="rId8" w:history="1">
        <w:r w:rsidRPr="00612634">
          <w:rPr>
            <w:rStyle w:val="Hyperlink"/>
            <w:rFonts w:ascii="Verdana" w:hAnsi="Verdana"/>
            <w:sz w:val="16"/>
            <w:szCs w:val="16"/>
          </w:rPr>
          <w:t>2013/C 205/05</w:t>
        </w:r>
      </w:hyperlink>
      <w:r w:rsidRPr="00612634">
        <w:rPr>
          <w:rFonts w:ascii="Verdana" w:hAnsi="Verdana"/>
          <w:sz w:val="16"/>
          <w:szCs w:val="16"/>
        </w:rPr>
        <w:t xml:space="preserve"> dwar l-eliġibbiltà ta’ entitajiet Iżraeljani u l-attivitajiet tagħhom fit-territorji okkupati mill-Iżrael sa minn Ġunju tal-1967 għal għotjiet, premjijiet u strumenti finanzjarji ffinanzjati mill-UE mill-2014 ’il quddiem (ĠU C 205, 19.07.2013, pp. 9-11). </w:t>
      </w:r>
    </w:p>
  </w:footnote>
  <w:footnote w:id="18">
    <w:p w14:paraId="2364A1FE" w14:textId="3D521EE2" w:rsidR="000579AF" w:rsidRPr="00612634" w:rsidRDefault="000579AF" w:rsidP="000579AF">
      <w:pPr>
        <w:pStyle w:val="CM1"/>
        <w:ind w:left="284" w:hanging="284"/>
        <w:jc w:val="both"/>
        <w:rPr>
          <w:rFonts w:ascii="Verdana" w:hAnsi="Verdana"/>
          <w:sz w:val="16"/>
          <w:szCs w:val="16"/>
        </w:rPr>
      </w:pPr>
      <w:r w:rsidRPr="00612634">
        <w:rPr>
          <w:rStyle w:val="FootnoteReference"/>
          <w:sz w:val="16"/>
          <w:szCs w:val="16"/>
        </w:rPr>
        <w:footnoteRef/>
      </w:r>
      <w:r w:rsidRPr="00612634">
        <w:rPr>
          <w:sz w:val="16"/>
          <w:szCs w:val="16"/>
        </w:rPr>
        <w:t xml:space="preserve"> </w:t>
      </w:r>
      <w:r w:rsidRPr="00612634">
        <w:rPr>
          <w:sz w:val="16"/>
          <w:szCs w:val="16"/>
        </w:rPr>
        <w:tab/>
      </w:r>
      <w:hyperlink r:id="rId9" w:anchor=":~:text=Non-discrimination%20mainstreaming%20is%20about%20%E2%80%98placing%20equality%20considerations%20at,the%20EU-%20wide%20network%20of%20specialised%20equality%20bodies%29." w:history="1">
        <w:r w:rsidRPr="00612634">
          <w:rPr>
            <w:rStyle w:val="Hyperlink"/>
            <w:rFonts w:ascii="Verdana" w:hAnsi="Verdana"/>
            <w:sz w:val="16"/>
            <w:szCs w:val="16"/>
          </w:rPr>
          <w:t>Integrazzjoni tan-nondiskriminazzjoni – strumenti, studji tal-każ u t-toroq ’il quddiem</w:t>
        </w:r>
      </w:hyperlink>
    </w:p>
  </w:footnote>
  <w:footnote w:id="19">
    <w:p w14:paraId="39B3B430" w14:textId="128A6EE4" w:rsidR="000579AF" w:rsidRPr="00612634" w:rsidRDefault="000579AF" w:rsidP="00163978">
      <w:pPr>
        <w:pStyle w:val="FootnoteText"/>
        <w:spacing w:after="0"/>
        <w:ind w:left="284" w:hanging="284"/>
        <w:rPr>
          <w:rStyle w:val="FootnoteReference"/>
          <w:sz w:val="16"/>
          <w:szCs w:val="16"/>
          <w:vertAlign w:val="baseline"/>
        </w:rPr>
      </w:pPr>
      <w:r w:rsidRPr="00612634">
        <w:rPr>
          <w:rStyle w:val="FootnoteReference"/>
          <w:sz w:val="16"/>
          <w:szCs w:val="16"/>
        </w:rPr>
        <w:footnoteRef/>
      </w:r>
      <w:r w:rsidRPr="00612634">
        <w:rPr>
          <w:sz w:val="16"/>
          <w:szCs w:val="16"/>
        </w:rPr>
        <w:tab/>
        <w:t xml:space="preserve">Ara l-Artikoli 136 u 141 tar-Regolament Finanzjarju tal-UE </w:t>
      </w:r>
      <w:hyperlink r:id="rId10" w:history="1">
        <w:r w:rsidRPr="00612634">
          <w:rPr>
            <w:bCs/>
            <w:color w:val="0088CC"/>
            <w:sz w:val="16"/>
            <w:szCs w:val="16"/>
            <w:u w:val="single"/>
          </w:rPr>
          <w:t>2018/1046</w:t>
        </w:r>
      </w:hyperlink>
      <w:r w:rsidRPr="00612634">
        <w:rPr>
          <w:sz w:val="16"/>
          <w:szCs w:val="16"/>
        </w:rPr>
        <w:t>.</w:t>
      </w:r>
    </w:p>
  </w:footnote>
  <w:footnote w:id="20">
    <w:p w14:paraId="3E147AE4" w14:textId="77777777" w:rsidR="000579AF" w:rsidRPr="00612634" w:rsidRDefault="000579AF" w:rsidP="000579AF">
      <w:pPr>
        <w:pStyle w:val="FootnoteText"/>
        <w:spacing w:after="0"/>
        <w:ind w:left="284" w:hanging="284"/>
        <w:rPr>
          <w:sz w:val="16"/>
          <w:szCs w:val="16"/>
        </w:rPr>
      </w:pPr>
      <w:r w:rsidRPr="00612634">
        <w:rPr>
          <w:rStyle w:val="FootnoteReference"/>
          <w:sz w:val="16"/>
          <w:szCs w:val="16"/>
        </w:rPr>
        <w:footnoteRef/>
      </w:r>
      <w:r w:rsidRPr="00612634">
        <w:rPr>
          <w:sz w:val="16"/>
          <w:szCs w:val="16"/>
        </w:rPr>
        <w:t xml:space="preserve"> </w:t>
      </w:r>
      <w:r w:rsidRPr="00612634">
        <w:rPr>
          <w:sz w:val="16"/>
          <w:szCs w:val="16"/>
        </w:rPr>
        <w:tab/>
        <w:t>Imġiba professjonali ħażina tinkludi: ksur tal-istandards etiċi tal-professjoni, imġiba ħażina b’impatt fuq il-kredibbiltà professjonali, dikjarazzjonijiet foloz/rappreżentazzjoni falza ta’ informazzjoni, parteċipazzjoni f’kartell jew ftehim ieħor li jfixkel il-kompetizzjoni, ksur tad-DPI, tentattiv biex jiġu influwenzati l-proċessi tat-teħid ta’ deċiżjonijiet jew biex tinkiseb informazzjoni kunfidenzjali mill-awtoritajiet pubbliċi biex jinkiseb vantaġġ.</w:t>
      </w:r>
    </w:p>
  </w:footnote>
  <w:footnote w:id="21">
    <w:p w14:paraId="32BB546C" w14:textId="77777777" w:rsidR="000579AF" w:rsidRPr="00612634" w:rsidRDefault="000579AF" w:rsidP="00612634">
      <w:pPr>
        <w:pStyle w:val="FootnoteText"/>
        <w:spacing w:after="0"/>
        <w:ind w:left="284" w:hanging="284"/>
        <w:rPr>
          <w:sz w:val="16"/>
          <w:szCs w:val="16"/>
        </w:rPr>
      </w:pPr>
      <w:r w:rsidRPr="00612634">
        <w:rPr>
          <w:rStyle w:val="FootnoteReference"/>
          <w:sz w:val="16"/>
          <w:szCs w:val="16"/>
        </w:rPr>
        <w:footnoteRef/>
      </w:r>
      <w:r w:rsidRPr="00612634">
        <w:rPr>
          <w:sz w:val="16"/>
          <w:szCs w:val="16"/>
        </w:rPr>
        <w:t xml:space="preserve"> </w:t>
      </w:r>
      <w:r w:rsidRPr="00612634">
        <w:rPr>
          <w:sz w:val="16"/>
          <w:szCs w:val="16"/>
        </w:rPr>
        <w:tab/>
        <w:t xml:space="preserve">Ara l-Artikolu 141 Ir-Regolament Finanzjarju tal-UE </w:t>
      </w:r>
      <w:hyperlink r:id="rId11" w:history="1">
        <w:r w:rsidRPr="00612634">
          <w:rPr>
            <w:bCs/>
            <w:color w:val="0088CC"/>
            <w:sz w:val="16"/>
            <w:szCs w:val="16"/>
            <w:u w:val="single"/>
          </w:rPr>
          <w:t>2018/1046</w:t>
        </w:r>
      </w:hyperlink>
      <w:r w:rsidRPr="00612634">
        <w:rPr>
          <w:sz w:val="16"/>
          <w:szCs w:val="16"/>
        </w:rPr>
        <w:t>.</w:t>
      </w:r>
    </w:p>
  </w:footnote>
  <w:footnote w:id="22">
    <w:p w14:paraId="482E0888" w14:textId="11DAA1E3" w:rsidR="000579AF" w:rsidRPr="00612634" w:rsidRDefault="000579AF" w:rsidP="00612634">
      <w:pPr>
        <w:pStyle w:val="FootnoteText"/>
        <w:spacing w:after="0"/>
        <w:ind w:left="284" w:hanging="284"/>
        <w:rPr>
          <w:sz w:val="16"/>
          <w:szCs w:val="16"/>
        </w:rPr>
      </w:pPr>
      <w:r w:rsidRPr="00612634">
        <w:rPr>
          <w:rStyle w:val="FootnoteReference"/>
          <w:sz w:val="16"/>
          <w:szCs w:val="16"/>
        </w:rPr>
        <w:footnoteRef/>
      </w:r>
      <w:r w:rsidRPr="00612634">
        <w:rPr>
          <w:sz w:val="16"/>
          <w:szCs w:val="16"/>
        </w:rPr>
        <w:t xml:space="preserve"> </w:t>
      </w:r>
      <w:r w:rsidRPr="00612634">
        <w:rPr>
          <w:sz w:val="16"/>
          <w:szCs w:val="16"/>
        </w:rPr>
        <w:tab/>
        <w:t>Id-</w:t>
      </w:r>
      <w:hyperlink r:id="rId12" w:history="1">
        <w:r w:rsidRPr="00612634">
          <w:rPr>
            <w:rStyle w:val="Hyperlink"/>
            <w:sz w:val="16"/>
            <w:szCs w:val="16"/>
          </w:rPr>
          <w:t>Deċiżjoni</w:t>
        </w:r>
      </w:hyperlink>
      <w:r w:rsidRPr="00612634">
        <w:rPr>
          <w:sz w:val="16"/>
          <w:szCs w:val="16"/>
        </w:rPr>
        <w:t xml:space="preserve"> tas-26 ta’ Marzu 2021 li tawtorizza l-użu ta’ somom f’daqqa għal azzjonijiet taħt il-Programm dwar iċ-Ċittadini, l-Ugwaljanza, id-Drittijiet u l-Valuri (2021-2027).</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CD7FEE" w14:textId="68511716" w:rsidR="000579AF" w:rsidRPr="00322207" w:rsidRDefault="00D47016" w:rsidP="00322207">
    <w:pPr>
      <w:tabs>
        <w:tab w:val="center" w:pos="4536"/>
        <w:tab w:val="right" w:pos="9072"/>
      </w:tabs>
      <w:spacing w:after="0"/>
      <w:rPr>
        <w:rFonts w:eastAsia="Calibri"/>
        <w:sz w:val="16"/>
      </w:rPr>
    </w:pPr>
    <w:r>
      <w:rPr>
        <w:sz w:val="16"/>
      </w:rPr>
      <w:t>Sejħa: [CERV-2022-CITIZENS-TOWN] — [Ġemellaġġ ta’ Bliet u Networks ta’ Bliet]</w:t>
    </w:r>
  </w:p>
  <w:p w14:paraId="15B1C007" w14:textId="77777777" w:rsidR="000579AF" w:rsidRPr="00322207" w:rsidRDefault="000579AF" w:rsidP="00322207">
    <w:pPr>
      <w:tabs>
        <w:tab w:val="center" w:pos="4536"/>
        <w:tab w:val="right" w:pos="9072"/>
      </w:tabs>
      <w:spacing w:after="0" w:line="276" w:lineRule="auto"/>
      <w:rPr>
        <w:rFonts w:eastAsia="Calibri"/>
        <w:sz w:val="16"/>
      </w:rPr>
    </w:pPr>
  </w:p>
  <w:p w14:paraId="010F2120" w14:textId="205373BA" w:rsidR="000579AF" w:rsidRPr="00C90797" w:rsidRDefault="000579AF" w:rsidP="00C90797">
    <w:pPr>
      <w:spacing w:after="0"/>
      <w:jc w:val="right"/>
      <w:rPr>
        <w:rFonts w:eastAsia="Calibri"/>
        <w:color w:val="808080"/>
        <w:sz w:val="16"/>
        <w:szCs w:val="16"/>
      </w:rPr>
    </w:pPr>
    <w:r>
      <w:rPr>
        <w:color w:val="4AA55B"/>
        <w:sz w:val="16"/>
      </w:rPr>
      <w:tab/>
    </w:r>
    <w:r>
      <w:rPr>
        <w:color w:val="7F7F7F"/>
        <w:sz w:val="16"/>
        <w:szCs w:val="16"/>
      </w:rPr>
      <w:t>Għotjiet tal-UE</w:t>
    </w:r>
    <w:r>
      <w:rPr>
        <w:color w:val="808080"/>
        <w:sz w:val="16"/>
        <w:szCs w:val="16"/>
      </w:rPr>
      <w:t xml:space="preserve">: </w:t>
    </w:r>
    <w:r>
      <w:rPr>
        <w:color w:val="7F7F7F"/>
        <w:sz w:val="16"/>
        <w:szCs w:val="16"/>
      </w:rPr>
      <w:t>Dokument tas-sejħa (CERV)</w:t>
    </w:r>
    <w:r>
      <w:rPr>
        <w:color w:val="808080"/>
        <w:sz w:val="16"/>
        <w:szCs w:val="16"/>
      </w:rPr>
      <w:t>: V1.0 – 16.11.2021</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B69273" w14:textId="5A6FCB6C" w:rsidR="000579AF" w:rsidRPr="005F35CF" w:rsidRDefault="000579AF" w:rsidP="007A412A">
    <w:pPr>
      <w:pStyle w:val="Header"/>
      <w:jc w:val="center"/>
      <w:rPr>
        <w:rFonts w:ascii="Arial" w:hAnsi="Arial"/>
        <w:color w:val="595959"/>
        <w:szCs w:val="24"/>
      </w:rPr>
    </w:pPr>
    <w:r>
      <w:rPr>
        <w:noProof/>
        <w:lang w:val="en-IE" w:eastAsia="en-IE"/>
      </w:rPr>
      <w:drawing>
        <wp:inline distT="0" distB="0" distL="0" distR="0" wp14:anchorId="4FA16163" wp14:editId="1ECA857D">
          <wp:extent cx="1922780" cy="914400"/>
          <wp:effectExtent l="0" t="0" r="0" b="0"/>
          <wp:docPr id="2" name="Picture 2" descr="Commission – coloured 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mmission – coloured embl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2780" cy="9144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D8EEC9" w14:textId="377CC7BB" w:rsidR="000579AF" w:rsidRDefault="000579AF" w:rsidP="00771274">
    <w:pPr>
      <w:pStyle w:val="Header"/>
      <w:tabs>
        <w:tab w:val="clear" w:pos="4153"/>
        <w:tab w:val="clear" w:pos="8306"/>
        <w:tab w:val="left" w:pos="2659"/>
      </w:tabs>
      <w:spacing w:after="0"/>
    </w:pPr>
    <w:r>
      <w:tab/>
    </w:r>
    <w:r>
      <w:rPr>
        <w:noProof/>
        <w:lang w:val="en-IE" w:eastAsia="en-IE"/>
      </w:rPr>
      <w:drawing>
        <wp:inline distT="0" distB="0" distL="0" distR="0" wp14:anchorId="097AAA03" wp14:editId="590F354E">
          <wp:extent cx="1922780" cy="914400"/>
          <wp:effectExtent l="0" t="0" r="0" b="0"/>
          <wp:docPr id="14" name="Picture 14" descr="Commission – coloured 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ommission – coloured embl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2780" cy="9144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B58F066"/>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013C926A"/>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2AE6C26"/>
    <w:multiLevelType w:val="hybridMultilevel"/>
    <w:tmpl w:val="2C38E760"/>
    <w:lvl w:ilvl="0" w:tplc="D2AEE564">
      <w:numFmt w:val="decimal"/>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3" w15:restartNumberingAfterBreak="0">
    <w:nsid w:val="036E4EC3"/>
    <w:multiLevelType w:val="hybridMultilevel"/>
    <w:tmpl w:val="8C984A6A"/>
    <w:lvl w:ilvl="0" w:tplc="2B5A9408">
      <w:start w:val="16"/>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F93CAB"/>
    <w:multiLevelType w:val="hybridMultilevel"/>
    <w:tmpl w:val="4FEEC344"/>
    <w:lvl w:ilvl="0" w:tplc="8DA6C392">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D8F54C3"/>
    <w:multiLevelType w:val="multilevel"/>
    <w:tmpl w:val="445AC056"/>
    <w:lvl w:ilvl="0">
      <w:start w:val="1"/>
      <w:numFmt w:val="bullet"/>
      <w:pStyle w:val="ListDash3"/>
      <w:lvlText w:val="–"/>
      <w:lvlJc w:val="left"/>
      <w:pPr>
        <w:tabs>
          <w:tab w:val="num" w:pos="1723"/>
        </w:tabs>
        <w:ind w:left="1723" w:hanging="283"/>
      </w:pPr>
      <w:rPr>
        <w:rFonts w:ascii="Times New Roman" w:hAnsi="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1B34387"/>
    <w:multiLevelType w:val="hybridMultilevel"/>
    <w:tmpl w:val="B17EC242"/>
    <w:lvl w:ilvl="0" w:tplc="FEAA60BA">
      <w:start w:val="1"/>
      <w:numFmt w:val="bullet"/>
      <w:lvlText w:val="·"/>
      <w:lvlJc w:val="left"/>
      <w:pPr>
        <w:ind w:left="720" w:hanging="360"/>
      </w:pPr>
      <w:rPr>
        <w:rFonts w:ascii="Symbol" w:hAnsi="Symbol" w:hint="default"/>
      </w:rPr>
    </w:lvl>
    <w:lvl w:ilvl="1" w:tplc="4880BB64">
      <w:start w:val="1"/>
      <w:numFmt w:val="bullet"/>
      <w:lvlText w:val="o"/>
      <w:lvlJc w:val="left"/>
      <w:pPr>
        <w:ind w:left="1440" w:hanging="360"/>
      </w:pPr>
      <w:rPr>
        <w:rFonts w:ascii="Courier New" w:hAnsi="Courier New" w:cs="Times New Roman" w:hint="default"/>
      </w:rPr>
    </w:lvl>
    <w:lvl w:ilvl="2" w:tplc="5F68A3DA">
      <w:start w:val="1"/>
      <w:numFmt w:val="bullet"/>
      <w:lvlText w:val=""/>
      <w:lvlJc w:val="left"/>
      <w:pPr>
        <w:ind w:left="2160" w:hanging="360"/>
      </w:pPr>
      <w:rPr>
        <w:rFonts w:ascii="Wingdings" w:hAnsi="Wingdings" w:hint="default"/>
      </w:rPr>
    </w:lvl>
    <w:lvl w:ilvl="3" w:tplc="8234825C">
      <w:start w:val="1"/>
      <w:numFmt w:val="bullet"/>
      <w:lvlText w:val=""/>
      <w:lvlJc w:val="left"/>
      <w:pPr>
        <w:ind w:left="2880" w:hanging="360"/>
      </w:pPr>
      <w:rPr>
        <w:rFonts w:ascii="Symbol" w:hAnsi="Symbol" w:hint="default"/>
      </w:rPr>
    </w:lvl>
    <w:lvl w:ilvl="4" w:tplc="92E26BB8">
      <w:start w:val="1"/>
      <w:numFmt w:val="bullet"/>
      <w:lvlText w:val="o"/>
      <w:lvlJc w:val="left"/>
      <w:pPr>
        <w:ind w:left="3600" w:hanging="360"/>
      </w:pPr>
      <w:rPr>
        <w:rFonts w:ascii="Courier New" w:hAnsi="Courier New" w:cs="Times New Roman" w:hint="default"/>
      </w:rPr>
    </w:lvl>
    <w:lvl w:ilvl="5" w:tplc="C94884C8">
      <w:start w:val="1"/>
      <w:numFmt w:val="bullet"/>
      <w:lvlText w:val=""/>
      <w:lvlJc w:val="left"/>
      <w:pPr>
        <w:ind w:left="4320" w:hanging="360"/>
      </w:pPr>
      <w:rPr>
        <w:rFonts w:ascii="Wingdings" w:hAnsi="Wingdings" w:hint="default"/>
      </w:rPr>
    </w:lvl>
    <w:lvl w:ilvl="6" w:tplc="7CAC58A4">
      <w:start w:val="1"/>
      <w:numFmt w:val="bullet"/>
      <w:lvlText w:val=""/>
      <w:lvlJc w:val="left"/>
      <w:pPr>
        <w:ind w:left="5040" w:hanging="360"/>
      </w:pPr>
      <w:rPr>
        <w:rFonts w:ascii="Symbol" w:hAnsi="Symbol" w:hint="default"/>
      </w:rPr>
    </w:lvl>
    <w:lvl w:ilvl="7" w:tplc="27DA3F58">
      <w:start w:val="1"/>
      <w:numFmt w:val="bullet"/>
      <w:lvlText w:val="o"/>
      <w:lvlJc w:val="left"/>
      <w:pPr>
        <w:ind w:left="5760" w:hanging="360"/>
      </w:pPr>
      <w:rPr>
        <w:rFonts w:ascii="Courier New" w:hAnsi="Courier New" w:cs="Times New Roman" w:hint="default"/>
      </w:rPr>
    </w:lvl>
    <w:lvl w:ilvl="8" w:tplc="7AC2F7E8">
      <w:start w:val="1"/>
      <w:numFmt w:val="bullet"/>
      <w:lvlText w:val=""/>
      <w:lvlJc w:val="left"/>
      <w:pPr>
        <w:ind w:left="6480" w:hanging="360"/>
      </w:pPr>
      <w:rPr>
        <w:rFonts w:ascii="Wingdings" w:hAnsi="Wingdings" w:hint="default"/>
      </w:rPr>
    </w:lvl>
  </w:abstractNum>
  <w:abstractNum w:abstractNumId="7" w15:restartNumberingAfterBreak="0">
    <w:nsid w:val="13B00C30"/>
    <w:multiLevelType w:val="singleLevel"/>
    <w:tmpl w:val="0FD0142C"/>
    <w:lvl w:ilvl="0">
      <w:start w:val="1"/>
      <w:numFmt w:val="bullet"/>
      <w:pStyle w:val="ListDash4"/>
      <w:lvlText w:val="–"/>
      <w:lvlJc w:val="left"/>
      <w:pPr>
        <w:tabs>
          <w:tab w:val="num" w:pos="1723"/>
        </w:tabs>
        <w:ind w:left="1723" w:hanging="283"/>
      </w:pPr>
      <w:rPr>
        <w:rFonts w:ascii="Times New Roman" w:hAnsi="Times New Roman"/>
      </w:rPr>
    </w:lvl>
  </w:abstractNum>
  <w:abstractNum w:abstractNumId="8" w15:restartNumberingAfterBreak="0">
    <w:nsid w:val="141800C7"/>
    <w:multiLevelType w:val="hybridMultilevel"/>
    <w:tmpl w:val="11706440"/>
    <w:lvl w:ilvl="0" w:tplc="24C6155C">
      <w:start w:val="1"/>
      <w:numFmt w:val="bullet"/>
      <w:lvlText w:val=""/>
      <w:lvlJc w:val="left"/>
      <w:pPr>
        <w:ind w:left="6042" w:hanging="360"/>
      </w:pPr>
      <w:rPr>
        <w:rFonts w:ascii="Symbol" w:hAnsi="Symbol" w:hint="default"/>
        <w:b/>
        <w:strike w:val="0"/>
        <w:dstrike w:val="0"/>
        <w:color w:val="auto"/>
        <w:sz w:val="24"/>
        <w:u w:val="none"/>
        <w:effect w:val="none"/>
      </w:rPr>
    </w:lvl>
    <w:lvl w:ilvl="1" w:tplc="44FE2B32">
      <w:start w:val="3"/>
      <w:numFmt w:val="bullet"/>
      <w:lvlText w:val="-"/>
      <w:lvlJc w:val="left"/>
      <w:pPr>
        <w:ind w:left="2400" w:hanging="360"/>
      </w:pPr>
      <w:rPr>
        <w:rFonts w:ascii="Times New Roman" w:eastAsia="Calibri" w:hAnsi="Times New Roman" w:cs="Times New Roman" w:hint="default"/>
        <w:color w:val="auto"/>
      </w:rPr>
    </w:lvl>
    <w:lvl w:ilvl="2" w:tplc="08090005">
      <w:start w:val="1"/>
      <w:numFmt w:val="bullet"/>
      <w:lvlText w:val=""/>
      <w:lvlJc w:val="left"/>
      <w:pPr>
        <w:ind w:left="3120" w:hanging="360"/>
      </w:pPr>
      <w:rPr>
        <w:rFonts w:ascii="Wingdings" w:hAnsi="Wingdings" w:hint="default"/>
      </w:rPr>
    </w:lvl>
    <w:lvl w:ilvl="3" w:tplc="08090001">
      <w:start w:val="1"/>
      <w:numFmt w:val="bullet"/>
      <w:lvlText w:val=""/>
      <w:lvlJc w:val="left"/>
      <w:pPr>
        <w:ind w:left="3840" w:hanging="360"/>
      </w:pPr>
      <w:rPr>
        <w:rFonts w:ascii="Symbol" w:hAnsi="Symbol" w:hint="default"/>
      </w:rPr>
    </w:lvl>
    <w:lvl w:ilvl="4" w:tplc="08090003" w:tentative="1">
      <w:start w:val="1"/>
      <w:numFmt w:val="bullet"/>
      <w:lvlText w:val="o"/>
      <w:lvlJc w:val="left"/>
      <w:pPr>
        <w:ind w:left="4560" w:hanging="360"/>
      </w:pPr>
      <w:rPr>
        <w:rFonts w:ascii="Courier New" w:hAnsi="Courier New" w:cs="Courier New" w:hint="default"/>
      </w:rPr>
    </w:lvl>
    <w:lvl w:ilvl="5" w:tplc="08090005" w:tentative="1">
      <w:start w:val="1"/>
      <w:numFmt w:val="bullet"/>
      <w:lvlText w:val=""/>
      <w:lvlJc w:val="left"/>
      <w:pPr>
        <w:ind w:left="5280" w:hanging="360"/>
      </w:pPr>
      <w:rPr>
        <w:rFonts w:ascii="Wingdings" w:hAnsi="Wingdings" w:hint="default"/>
      </w:rPr>
    </w:lvl>
    <w:lvl w:ilvl="6" w:tplc="08090001" w:tentative="1">
      <w:start w:val="1"/>
      <w:numFmt w:val="bullet"/>
      <w:lvlText w:val=""/>
      <w:lvlJc w:val="left"/>
      <w:pPr>
        <w:ind w:left="6000" w:hanging="360"/>
      </w:pPr>
      <w:rPr>
        <w:rFonts w:ascii="Symbol" w:hAnsi="Symbol" w:hint="default"/>
      </w:rPr>
    </w:lvl>
    <w:lvl w:ilvl="7" w:tplc="08090003" w:tentative="1">
      <w:start w:val="1"/>
      <w:numFmt w:val="bullet"/>
      <w:lvlText w:val="o"/>
      <w:lvlJc w:val="left"/>
      <w:pPr>
        <w:ind w:left="6720" w:hanging="360"/>
      </w:pPr>
      <w:rPr>
        <w:rFonts w:ascii="Courier New" w:hAnsi="Courier New" w:cs="Courier New" w:hint="default"/>
      </w:rPr>
    </w:lvl>
    <w:lvl w:ilvl="8" w:tplc="08090005" w:tentative="1">
      <w:start w:val="1"/>
      <w:numFmt w:val="bullet"/>
      <w:lvlText w:val=""/>
      <w:lvlJc w:val="left"/>
      <w:pPr>
        <w:ind w:left="7440" w:hanging="360"/>
      </w:pPr>
      <w:rPr>
        <w:rFonts w:ascii="Wingdings" w:hAnsi="Wingdings" w:hint="default"/>
      </w:rPr>
    </w:lvl>
  </w:abstractNum>
  <w:abstractNum w:abstractNumId="9" w15:restartNumberingAfterBreak="0">
    <w:nsid w:val="14C34250"/>
    <w:multiLevelType w:val="hybridMultilevel"/>
    <w:tmpl w:val="4852BEAE"/>
    <w:lvl w:ilvl="0" w:tplc="85F44E24">
      <w:start w:val="2"/>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9494262"/>
    <w:multiLevelType w:val="hybridMultilevel"/>
    <w:tmpl w:val="9F5C3216"/>
    <w:lvl w:ilvl="0" w:tplc="04E080B6">
      <w:start w:val="1"/>
      <w:numFmt w:val="bullet"/>
      <w:lvlText w:val=""/>
      <w:lvlJc w:val="left"/>
      <w:pPr>
        <w:ind w:left="720" w:hanging="360"/>
      </w:pPr>
      <w:rPr>
        <w:rFonts w:ascii="Symbol" w:hAnsi="Symbol" w:hint="default"/>
        <w:color w:val="595959"/>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B402B3C"/>
    <w:multiLevelType w:val="hybridMultilevel"/>
    <w:tmpl w:val="925C5806"/>
    <w:lvl w:ilvl="0" w:tplc="5F84B092">
      <w:start w:val="1"/>
      <w:numFmt w:val="bullet"/>
      <w:lvlText w:val=""/>
      <w:lvlJc w:val="left"/>
      <w:pPr>
        <w:ind w:left="720" w:hanging="360"/>
      </w:pPr>
      <w:rPr>
        <w:rFonts w:ascii="Symbol" w:hAnsi="Symbol" w:hint="default"/>
      </w:rPr>
    </w:lvl>
    <w:lvl w:ilvl="1" w:tplc="6D7A6886">
      <w:start w:val="1"/>
      <w:numFmt w:val="bullet"/>
      <w:lvlText w:val="o"/>
      <w:lvlJc w:val="left"/>
      <w:pPr>
        <w:ind w:left="1440" w:hanging="360"/>
      </w:pPr>
      <w:rPr>
        <w:rFonts w:ascii="Courier New" w:hAnsi="Courier New" w:cs="Times New Roman" w:hint="default"/>
      </w:rPr>
    </w:lvl>
    <w:lvl w:ilvl="2" w:tplc="540CB382">
      <w:start w:val="1"/>
      <w:numFmt w:val="bullet"/>
      <w:lvlText w:val=""/>
      <w:lvlJc w:val="left"/>
      <w:pPr>
        <w:ind w:left="2160" w:hanging="360"/>
      </w:pPr>
      <w:rPr>
        <w:rFonts w:ascii="Wingdings" w:hAnsi="Wingdings" w:hint="default"/>
      </w:rPr>
    </w:lvl>
    <w:lvl w:ilvl="3" w:tplc="18F6D324">
      <w:start w:val="1"/>
      <w:numFmt w:val="bullet"/>
      <w:lvlText w:val=""/>
      <w:lvlJc w:val="left"/>
      <w:pPr>
        <w:ind w:left="2880" w:hanging="360"/>
      </w:pPr>
      <w:rPr>
        <w:rFonts w:ascii="Symbol" w:hAnsi="Symbol" w:hint="default"/>
      </w:rPr>
    </w:lvl>
    <w:lvl w:ilvl="4" w:tplc="8D4AF8BA">
      <w:start w:val="1"/>
      <w:numFmt w:val="bullet"/>
      <w:lvlText w:val="o"/>
      <w:lvlJc w:val="left"/>
      <w:pPr>
        <w:ind w:left="3600" w:hanging="360"/>
      </w:pPr>
      <w:rPr>
        <w:rFonts w:ascii="Courier New" w:hAnsi="Courier New" w:cs="Times New Roman" w:hint="default"/>
      </w:rPr>
    </w:lvl>
    <w:lvl w:ilvl="5" w:tplc="9BF6974A">
      <w:start w:val="1"/>
      <w:numFmt w:val="bullet"/>
      <w:lvlText w:val=""/>
      <w:lvlJc w:val="left"/>
      <w:pPr>
        <w:ind w:left="4320" w:hanging="360"/>
      </w:pPr>
      <w:rPr>
        <w:rFonts w:ascii="Wingdings" w:hAnsi="Wingdings" w:hint="default"/>
      </w:rPr>
    </w:lvl>
    <w:lvl w:ilvl="6" w:tplc="953457D0">
      <w:start w:val="1"/>
      <w:numFmt w:val="bullet"/>
      <w:lvlText w:val=""/>
      <w:lvlJc w:val="left"/>
      <w:pPr>
        <w:ind w:left="5040" w:hanging="360"/>
      </w:pPr>
      <w:rPr>
        <w:rFonts w:ascii="Symbol" w:hAnsi="Symbol" w:hint="default"/>
      </w:rPr>
    </w:lvl>
    <w:lvl w:ilvl="7" w:tplc="2BA84904">
      <w:start w:val="1"/>
      <w:numFmt w:val="bullet"/>
      <w:lvlText w:val="o"/>
      <w:lvlJc w:val="left"/>
      <w:pPr>
        <w:ind w:left="5760" w:hanging="360"/>
      </w:pPr>
      <w:rPr>
        <w:rFonts w:ascii="Courier New" w:hAnsi="Courier New" w:cs="Times New Roman" w:hint="default"/>
      </w:rPr>
    </w:lvl>
    <w:lvl w:ilvl="8" w:tplc="7D52480A">
      <w:start w:val="1"/>
      <w:numFmt w:val="bullet"/>
      <w:lvlText w:val=""/>
      <w:lvlJc w:val="left"/>
      <w:pPr>
        <w:ind w:left="6480" w:hanging="360"/>
      </w:pPr>
      <w:rPr>
        <w:rFonts w:ascii="Wingdings" w:hAnsi="Wingdings" w:hint="default"/>
      </w:rPr>
    </w:lvl>
  </w:abstractNum>
  <w:abstractNum w:abstractNumId="12" w15:restartNumberingAfterBreak="0">
    <w:nsid w:val="1B511E85"/>
    <w:multiLevelType w:val="singleLevel"/>
    <w:tmpl w:val="82186D90"/>
    <w:lvl w:ilvl="0">
      <w:start w:val="1"/>
      <w:numFmt w:val="bullet"/>
      <w:pStyle w:val="ListBullet4"/>
      <w:lvlText w:val=""/>
      <w:lvlJc w:val="left"/>
      <w:pPr>
        <w:tabs>
          <w:tab w:val="num" w:pos="1723"/>
        </w:tabs>
        <w:ind w:left="1723" w:hanging="283"/>
      </w:pPr>
      <w:rPr>
        <w:rFonts w:ascii="Symbol" w:hAnsi="Symbol"/>
      </w:rPr>
    </w:lvl>
  </w:abstractNum>
  <w:abstractNum w:abstractNumId="13" w15:restartNumberingAfterBreak="0">
    <w:nsid w:val="1C7D1A8D"/>
    <w:multiLevelType w:val="singleLevel"/>
    <w:tmpl w:val="B086A94E"/>
    <w:lvl w:ilvl="0">
      <w:start w:val="1"/>
      <w:numFmt w:val="bullet"/>
      <w:pStyle w:val="ListBullet"/>
      <w:lvlText w:val=""/>
      <w:lvlJc w:val="left"/>
      <w:pPr>
        <w:tabs>
          <w:tab w:val="num" w:pos="283"/>
        </w:tabs>
        <w:ind w:left="283" w:hanging="283"/>
      </w:pPr>
      <w:rPr>
        <w:rFonts w:ascii="Symbol" w:hAnsi="Symbol"/>
      </w:rPr>
    </w:lvl>
  </w:abstractNum>
  <w:abstractNum w:abstractNumId="14" w15:restartNumberingAfterBreak="0">
    <w:nsid w:val="204774F5"/>
    <w:multiLevelType w:val="multilevel"/>
    <w:tmpl w:val="D9F42482"/>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hint="default"/>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272162AA"/>
    <w:multiLevelType w:val="hybridMultilevel"/>
    <w:tmpl w:val="D4BE07C6"/>
    <w:lvl w:ilvl="0" w:tplc="BE50AD9E">
      <w:start w:val="1"/>
      <w:numFmt w:val="bullet"/>
      <w:lvlText w:val=""/>
      <w:lvlJc w:val="left"/>
      <w:pPr>
        <w:ind w:left="720" w:hanging="360"/>
      </w:pPr>
      <w:rPr>
        <w:rFonts w:ascii="Symbol" w:hAnsi="Symbol" w:hint="default"/>
        <w:sz w:val="21"/>
        <w:szCs w:val="24"/>
      </w:rPr>
    </w:lvl>
    <w:lvl w:ilvl="1" w:tplc="96AE0BB8">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C352FFF"/>
    <w:multiLevelType w:val="hybridMultilevel"/>
    <w:tmpl w:val="548CD240"/>
    <w:lvl w:ilvl="0" w:tplc="69B23806">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0EE667A"/>
    <w:multiLevelType w:val="hybridMultilevel"/>
    <w:tmpl w:val="087A7580"/>
    <w:lvl w:ilvl="0" w:tplc="BE50AD9E">
      <w:start w:val="1"/>
      <w:numFmt w:val="bullet"/>
      <w:lvlText w:val=""/>
      <w:lvlJc w:val="left"/>
      <w:pPr>
        <w:ind w:left="720" w:hanging="360"/>
      </w:pPr>
      <w:rPr>
        <w:rFonts w:ascii="Symbol" w:hAnsi="Symbol" w:hint="default"/>
      </w:rPr>
    </w:lvl>
    <w:lvl w:ilvl="1" w:tplc="BE50AD9E">
      <w:start w:val="1"/>
      <w:numFmt w:val="bullet"/>
      <w:lvlText w:val=""/>
      <w:lvlJc w:val="left"/>
      <w:pPr>
        <w:ind w:left="1440" w:hanging="360"/>
      </w:pPr>
      <w:rPr>
        <w:rFonts w:ascii="Symbol" w:hAnsi="Symbol" w:hint="default"/>
        <w:sz w:val="21"/>
        <w:szCs w:val="24"/>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3B737DD"/>
    <w:multiLevelType w:val="hybridMultilevel"/>
    <w:tmpl w:val="5C64EC24"/>
    <w:lvl w:ilvl="0" w:tplc="9294DFBC">
      <w:numFmt w:val="bullet"/>
      <w:lvlText w:val="•"/>
      <w:lvlJc w:val="left"/>
      <w:pPr>
        <w:ind w:left="1080" w:hanging="720"/>
      </w:pPr>
      <w:rPr>
        <w:rFonts w:ascii="Verdana" w:eastAsia="Times New Roman" w:hAnsi="Verdana" w:cs="Times New Roman" w:hint="default"/>
      </w:rPr>
    </w:lvl>
    <w:lvl w:ilvl="1" w:tplc="BE50AD9E">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48475FA"/>
    <w:multiLevelType w:val="multilevel"/>
    <w:tmpl w:val="F65826E8"/>
    <w:lvl w:ilvl="0">
      <w:start w:val="1"/>
      <w:numFmt w:val="decimal"/>
      <w:pStyle w:val="ListNumber1"/>
      <w:lvlText w:val="(%1)"/>
      <w:lvlJc w:val="left"/>
      <w:pPr>
        <w:tabs>
          <w:tab w:val="num" w:pos="2149"/>
        </w:tabs>
        <w:ind w:left="2149" w:hanging="709"/>
      </w:pPr>
    </w:lvl>
    <w:lvl w:ilvl="1">
      <w:start w:val="1"/>
      <w:numFmt w:val="lowerLetter"/>
      <w:pStyle w:val="ListNumber1Level2"/>
      <w:lvlText w:val="(%2)"/>
      <w:lvlJc w:val="left"/>
      <w:pPr>
        <w:tabs>
          <w:tab w:val="num" w:pos="2857"/>
        </w:tabs>
        <w:ind w:left="2857" w:hanging="708"/>
      </w:pPr>
    </w:lvl>
    <w:lvl w:ilvl="2">
      <w:start w:val="1"/>
      <w:numFmt w:val="bullet"/>
      <w:pStyle w:val="ListNumber1Level3"/>
      <w:lvlText w:val="–"/>
      <w:lvlJc w:val="left"/>
      <w:pPr>
        <w:tabs>
          <w:tab w:val="num" w:pos="3566"/>
        </w:tabs>
        <w:ind w:left="3566" w:hanging="709"/>
      </w:pPr>
      <w:rPr>
        <w:rFonts w:ascii="Times New Roman" w:hAnsi="Times New Roman"/>
      </w:rPr>
    </w:lvl>
    <w:lvl w:ilvl="3">
      <w:start w:val="1"/>
      <w:numFmt w:val="bullet"/>
      <w:pStyle w:val="ListNumber1Level4"/>
      <w:lvlText w:val=""/>
      <w:lvlJc w:val="left"/>
      <w:pPr>
        <w:tabs>
          <w:tab w:val="num" w:pos="4275"/>
        </w:tabs>
        <w:ind w:left="427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35646B0E"/>
    <w:multiLevelType w:val="multilevel"/>
    <w:tmpl w:val="C51C4B2C"/>
    <w:lvl w:ilvl="0">
      <w:start w:val="1"/>
      <w:numFmt w:val="bullet"/>
      <w:pStyle w:val="ListBullet3"/>
      <w:lvlText w:val=""/>
      <w:lvlJc w:val="left"/>
      <w:pPr>
        <w:tabs>
          <w:tab w:val="num" w:pos="1723"/>
        </w:tabs>
        <w:ind w:left="172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8346497"/>
    <w:multiLevelType w:val="hybridMultilevel"/>
    <w:tmpl w:val="9DF6880C"/>
    <w:lvl w:ilvl="0" w:tplc="24C6155C">
      <w:start w:val="1"/>
      <w:numFmt w:val="bullet"/>
      <w:lvlText w:val=""/>
      <w:lvlJc w:val="left"/>
      <w:pPr>
        <w:ind w:left="720" w:hanging="360"/>
      </w:pPr>
      <w:rPr>
        <w:rFonts w:ascii="Symbol" w:hAnsi="Symbol" w:hint="default"/>
        <w:strike w:val="0"/>
        <w:dstrike w:val="0"/>
        <w:color w:val="auto"/>
        <w:sz w:val="24"/>
        <w:u w:val="none"/>
        <w:effect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8C641BA"/>
    <w:multiLevelType w:val="hybridMultilevel"/>
    <w:tmpl w:val="943A1348"/>
    <w:lvl w:ilvl="0" w:tplc="F1F85750">
      <w:start w:val="1"/>
      <w:numFmt w:val="bullet"/>
      <w:lvlText w:val=""/>
      <w:lvlJc w:val="left"/>
      <w:pPr>
        <w:ind w:left="720" w:hanging="360"/>
      </w:pPr>
      <w:rPr>
        <w:rFonts w:ascii="Symbol" w:hAnsi="Symbol" w:hint="default"/>
        <w:color w:val="59595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D3D7EE5"/>
    <w:multiLevelType w:val="hybridMultilevel"/>
    <w:tmpl w:val="5DF04E64"/>
    <w:lvl w:ilvl="0" w:tplc="BE50AD9E">
      <w:start w:val="1"/>
      <w:numFmt w:val="bullet"/>
      <w:lvlText w:val=""/>
      <w:lvlJc w:val="left"/>
      <w:pPr>
        <w:ind w:left="7023" w:hanging="360"/>
      </w:pPr>
      <w:rPr>
        <w:rFonts w:ascii="Symbol" w:hAnsi="Symbol" w:hint="default"/>
        <w:b/>
        <w:strike w:val="0"/>
        <w:dstrike w:val="0"/>
        <w:color w:val="auto"/>
        <w:sz w:val="24"/>
        <w:u w:val="none"/>
        <w:effect w:val="none"/>
      </w:rPr>
    </w:lvl>
    <w:lvl w:ilvl="1" w:tplc="44FE2B32">
      <w:start w:val="3"/>
      <w:numFmt w:val="bullet"/>
      <w:lvlText w:val="-"/>
      <w:lvlJc w:val="left"/>
      <w:pPr>
        <w:ind w:left="3381" w:hanging="360"/>
      </w:pPr>
      <w:rPr>
        <w:rFonts w:ascii="Times New Roman" w:eastAsia="Calibri" w:hAnsi="Times New Roman" w:cs="Times New Roman" w:hint="default"/>
        <w:color w:val="auto"/>
      </w:rPr>
    </w:lvl>
    <w:lvl w:ilvl="2" w:tplc="08090005">
      <w:start w:val="1"/>
      <w:numFmt w:val="bullet"/>
      <w:lvlText w:val=""/>
      <w:lvlJc w:val="left"/>
      <w:pPr>
        <w:ind w:left="4101" w:hanging="360"/>
      </w:pPr>
      <w:rPr>
        <w:rFonts w:ascii="Wingdings" w:hAnsi="Wingdings" w:hint="default"/>
      </w:rPr>
    </w:lvl>
    <w:lvl w:ilvl="3" w:tplc="08090001">
      <w:start w:val="1"/>
      <w:numFmt w:val="bullet"/>
      <w:lvlText w:val=""/>
      <w:lvlJc w:val="left"/>
      <w:pPr>
        <w:ind w:left="4821" w:hanging="360"/>
      </w:pPr>
      <w:rPr>
        <w:rFonts w:ascii="Symbol" w:hAnsi="Symbol" w:hint="default"/>
      </w:rPr>
    </w:lvl>
    <w:lvl w:ilvl="4" w:tplc="08090003" w:tentative="1">
      <w:start w:val="1"/>
      <w:numFmt w:val="bullet"/>
      <w:lvlText w:val="o"/>
      <w:lvlJc w:val="left"/>
      <w:pPr>
        <w:ind w:left="5541" w:hanging="360"/>
      </w:pPr>
      <w:rPr>
        <w:rFonts w:ascii="Courier New" w:hAnsi="Courier New" w:cs="Courier New" w:hint="default"/>
      </w:rPr>
    </w:lvl>
    <w:lvl w:ilvl="5" w:tplc="08090005" w:tentative="1">
      <w:start w:val="1"/>
      <w:numFmt w:val="bullet"/>
      <w:lvlText w:val=""/>
      <w:lvlJc w:val="left"/>
      <w:pPr>
        <w:ind w:left="6261" w:hanging="360"/>
      </w:pPr>
      <w:rPr>
        <w:rFonts w:ascii="Wingdings" w:hAnsi="Wingdings" w:hint="default"/>
      </w:rPr>
    </w:lvl>
    <w:lvl w:ilvl="6" w:tplc="08090001" w:tentative="1">
      <w:start w:val="1"/>
      <w:numFmt w:val="bullet"/>
      <w:lvlText w:val=""/>
      <w:lvlJc w:val="left"/>
      <w:pPr>
        <w:ind w:left="6981" w:hanging="360"/>
      </w:pPr>
      <w:rPr>
        <w:rFonts w:ascii="Symbol" w:hAnsi="Symbol" w:hint="default"/>
      </w:rPr>
    </w:lvl>
    <w:lvl w:ilvl="7" w:tplc="08090003" w:tentative="1">
      <w:start w:val="1"/>
      <w:numFmt w:val="bullet"/>
      <w:lvlText w:val="o"/>
      <w:lvlJc w:val="left"/>
      <w:pPr>
        <w:ind w:left="7701" w:hanging="360"/>
      </w:pPr>
      <w:rPr>
        <w:rFonts w:ascii="Courier New" w:hAnsi="Courier New" w:cs="Courier New" w:hint="default"/>
      </w:rPr>
    </w:lvl>
    <w:lvl w:ilvl="8" w:tplc="08090005" w:tentative="1">
      <w:start w:val="1"/>
      <w:numFmt w:val="bullet"/>
      <w:lvlText w:val=""/>
      <w:lvlJc w:val="left"/>
      <w:pPr>
        <w:ind w:left="8421" w:hanging="360"/>
      </w:pPr>
      <w:rPr>
        <w:rFonts w:ascii="Wingdings" w:hAnsi="Wingdings" w:hint="default"/>
      </w:rPr>
    </w:lvl>
  </w:abstractNum>
  <w:abstractNum w:abstractNumId="24" w15:restartNumberingAfterBreak="0">
    <w:nsid w:val="3E0216B9"/>
    <w:multiLevelType w:val="multilevel"/>
    <w:tmpl w:val="49C6B458"/>
    <w:lvl w:ilvl="0">
      <w:start w:val="1"/>
      <w:numFmt w:val="decimal"/>
      <w:lvlText w:val="%1."/>
      <w:lvlJc w:val="left"/>
      <w:pPr>
        <w:tabs>
          <w:tab w:val="num" w:pos="1440"/>
        </w:tabs>
        <w:ind w:left="1440" w:hanging="1440"/>
      </w:pPr>
      <w:rPr>
        <w:i w:val="0"/>
        <w:sz w:val="24"/>
        <w:szCs w:val="28"/>
      </w:rPr>
    </w:lvl>
    <w:lvl w:ilvl="1">
      <w:start w:val="1"/>
      <w:numFmt w:val="decimal"/>
      <w:lvlText w:val="%1.%2."/>
      <w:lvlJc w:val="left"/>
      <w:pPr>
        <w:tabs>
          <w:tab w:val="num" w:pos="1440"/>
        </w:tabs>
        <w:ind w:left="1440" w:hanging="1440"/>
      </w:pPr>
      <w:rPr>
        <w:rFonts w:ascii="Verdana" w:hAnsi="Verdana" w:hint="default"/>
        <w:b/>
        <w:sz w:val="22"/>
        <w:szCs w:val="22"/>
      </w:rPr>
    </w:lvl>
    <w:lvl w:ilvl="2">
      <w:start w:val="1"/>
      <w:numFmt w:val="decimal"/>
      <w:lvlText w:val="%1.%2.%3."/>
      <w:lvlJc w:val="left"/>
      <w:pPr>
        <w:tabs>
          <w:tab w:val="num" w:pos="1724"/>
        </w:tabs>
        <w:ind w:left="1724" w:hanging="1440"/>
      </w:pPr>
      <w:rPr>
        <w:i w:val="0"/>
        <w:sz w:val="24"/>
        <w:szCs w:val="24"/>
      </w:rPr>
    </w:lvl>
    <w:lvl w:ilvl="3">
      <w:start w:val="1"/>
      <w:numFmt w:val="decimal"/>
      <w:pStyle w:val="Heading4"/>
      <w:lvlText w:val="%1.%2.%3.%4."/>
      <w:lvlJc w:val="left"/>
      <w:pPr>
        <w:tabs>
          <w:tab w:val="num" w:pos="1440"/>
        </w:tabs>
        <w:ind w:left="1440" w:hanging="144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3E60361F"/>
    <w:multiLevelType w:val="hybridMultilevel"/>
    <w:tmpl w:val="DF28AE3E"/>
    <w:lvl w:ilvl="0" w:tplc="239695B4">
      <w:start w:val="1"/>
      <w:numFmt w:val="bullet"/>
      <w:lvlText w:val=""/>
      <w:lvlJc w:val="left"/>
      <w:pPr>
        <w:ind w:left="720" w:hanging="360"/>
      </w:pPr>
      <w:rPr>
        <w:rFonts w:ascii="Symbol" w:hAnsi="Symbol" w:hint="default"/>
      </w:rPr>
    </w:lvl>
    <w:lvl w:ilvl="1" w:tplc="A6523FA2">
      <w:start w:val="1"/>
      <w:numFmt w:val="bullet"/>
      <w:lvlText w:val="o"/>
      <w:lvlJc w:val="left"/>
      <w:pPr>
        <w:ind w:left="1440" w:hanging="360"/>
      </w:pPr>
      <w:rPr>
        <w:rFonts w:ascii="Courier New" w:hAnsi="Courier New" w:cs="Times New Roman" w:hint="default"/>
      </w:rPr>
    </w:lvl>
    <w:lvl w:ilvl="2" w:tplc="AE2A2790">
      <w:start w:val="1"/>
      <w:numFmt w:val="bullet"/>
      <w:lvlText w:val=""/>
      <w:lvlJc w:val="left"/>
      <w:pPr>
        <w:ind w:left="2160" w:hanging="360"/>
      </w:pPr>
      <w:rPr>
        <w:rFonts w:ascii="Wingdings" w:hAnsi="Wingdings" w:hint="default"/>
      </w:rPr>
    </w:lvl>
    <w:lvl w:ilvl="3" w:tplc="27403B40">
      <w:start w:val="1"/>
      <w:numFmt w:val="bullet"/>
      <w:lvlText w:val=""/>
      <w:lvlJc w:val="left"/>
      <w:pPr>
        <w:ind w:left="2880" w:hanging="360"/>
      </w:pPr>
      <w:rPr>
        <w:rFonts w:ascii="Symbol" w:hAnsi="Symbol" w:hint="default"/>
      </w:rPr>
    </w:lvl>
    <w:lvl w:ilvl="4" w:tplc="4E4AC0A0">
      <w:start w:val="1"/>
      <w:numFmt w:val="bullet"/>
      <w:lvlText w:val="o"/>
      <w:lvlJc w:val="left"/>
      <w:pPr>
        <w:ind w:left="3600" w:hanging="360"/>
      </w:pPr>
      <w:rPr>
        <w:rFonts w:ascii="Courier New" w:hAnsi="Courier New" w:cs="Times New Roman" w:hint="default"/>
      </w:rPr>
    </w:lvl>
    <w:lvl w:ilvl="5" w:tplc="419A324E">
      <w:start w:val="1"/>
      <w:numFmt w:val="bullet"/>
      <w:lvlText w:val=""/>
      <w:lvlJc w:val="left"/>
      <w:pPr>
        <w:ind w:left="4320" w:hanging="360"/>
      </w:pPr>
      <w:rPr>
        <w:rFonts w:ascii="Wingdings" w:hAnsi="Wingdings" w:hint="default"/>
      </w:rPr>
    </w:lvl>
    <w:lvl w:ilvl="6" w:tplc="4656E830">
      <w:start w:val="1"/>
      <w:numFmt w:val="bullet"/>
      <w:lvlText w:val=""/>
      <w:lvlJc w:val="left"/>
      <w:pPr>
        <w:ind w:left="5040" w:hanging="360"/>
      </w:pPr>
      <w:rPr>
        <w:rFonts w:ascii="Symbol" w:hAnsi="Symbol" w:hint="default"/>
      </w:rPr>
    </w:lvl>
    <w:lvl w:ilvl="7" w:tplc="12B2BECA">
      <w:start w:val="1"/>
      <w:numFmt w:val="bullet"/>
      <w:lvlText w:val="o"/>
      <w:lvlJc w:val="left"/>
      <w:pPr>
        <w:ind w:left="5760" w:hanging="360"/>
      </w:pPr>
      <w:rPr>
        <w:rFonts w:ascii="Courier New" w:hAnsi="Courier New" w:cs="Times New Roman" w:hint="default"/>
      </w:rPr>
    </w:lvl>
    <w:lvl w:ilvl="8" w:tplc="02C8FA5A">
      <w:start w:val="1"/>
      <w:numFmt w:val="bullet"/>
      <w:lvlText w:val=""/>
      <w:lvlJc w:val="left"/>
      <w:pPr>
        <w:ind w:left="6480" w:hanging="360"/>
      </w:pPr>
      <w:rPr>
        <w:rFonts w:ascii="Wingdings" w:hAnsi="Wingdings" w:hint="default"/>
      </w:rPr>
    </w:lvl>
  </w:abstractNum>
  <w:abstractNum w:abstractNumId="26" w15:restartNumberingAfterBreak="0">
    <w:nsid w:val="420D3041"/>
    <w:multiLevelType w:val="hybridMultilevel"/>
    <w:tmpl w:val="D00CEF7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7B64731"/>
    <w:multiLevelType w:val="hybridMultilevel"/>
    <w:tmpl w:val="E1C86960"/>
    <w:lvl w:ilvl="0" w:tplc="038A179E">
      <w:start w:val="1"/>
      <w:numFmt w:val="bullet"/>
      <w:pStyle w:val="ListDash2"/>
      <w:lvlText w:val="–"/>
      <w:lvlJc w:val="left"/>
      <w:pPr>
        <w:tabs>
          <w:tab w:val="num" w:pos="1723"/>
        </w:tabs>
        <w:ind w:left="1723" w:hanging="283"/>
      </w:pPr>
      <w:rPr>
        <w:rFonts w:ascii="Times New Roman" w:hAnsi="Times New Roman"/>
      </w:rPr>
    </w:lvl>
    <w:lvl w:ilvl="1" w:tplc="7C264ED0">
      <w:numFmt w:val="decimal"/>
      <w:lvlText w:val=""/>
      <w:lvlJc w:val="left"/>
    </w:lvl>
    <w:lvl w:ilvl="2" w:tplc="00D2EBD8">
      <w:numFmt w:val="decimal"/>
      <w:lvlText w:val=""/>
      <w:lvlJc w:val="left"/>
    </w:lvl>
    <w:lvl w:ilvl="3" w:tplc="676E3FC4">
      <w:numFmt w:val="decimal"/>
      <w:lvlText w:val=""/>
      <w:lvlJc w:val="left"/>
    </w:lvl>
    <w:lvl w:ilvl="4" w:tplc="A87C3F26">
      <w:numFmt w:val="decimal"/>
      <w:lvlText w:val=""/>
      <w:lvlJc w:val="left"/>
    </w:lvl>
    <w:lvl w:ilvl="5" w:tplc="E5627EE0">
      <w:numFmt w:val="decimal"/>
      <w:lvlText w:val=""/>
      <w:lvlJc w:val="left"/>
    </w:lvl>
    <w:lvl w:ilvl="6" w:tplc="D9E606CA">
      <w:numFmt w:val="decimal"/>
      <w:lvlText w:val=""/>
      <w:lvlJc w:val="left"/>
    </w:lvl>
    <w:lvl w:ilvl="7" w:tplc="DF82021A">
      <w:numFmt w:val="decimal"/>
      <w:lvlText w:val=""/>
      <w:lvlJc w:val="left"/>
    </w:lvl>
    <w:lvl w:ilvl="8" w:tplc="DDA6C10A">
      <w:numFmt w:val="decimal"/>
      <w:lvlText w:val=""/>
      <w:lvlJc w:val="left"/>
    </w:lvl>
  </w:abstractNum>
  <w:abstractNum w:abstractNumId="28" w15:restartNumberingAfterBreak="0">
    <w:nsid w:val="491C066E"/>
    <w:multiLevelType w:val="hybridMultilevel"/>
    <w:tmpl w:val="D5A26558"/>
    <w:lvl w:ilvl="0" w:tplc="8D7666F0">
      <w:start w:val="1"/>
      <w:numFmt w:val="lowerLetter"/>
      <w:lvlText w:val="%1)"/>
      <w:lvlJc w:val="left"/>
      <w:pPr>
        <w:ind w:left="720" w:hanging="360"/>
      </w:pPr>
      <w:rPr>
        <w:rFonts w:ascii="Verdana" w:hAnsi="Verdana" w:hint="default"/>
        <w:b w:val="0"/>
        <w:i w:val="0"/>
        <w:sz w:val="20"/>
        <w:szCs w:val="22"/>
        <w:u w:val="none"/>
      </w:rPr>
    </w:lvl>
    <w:lvl w:ilvl="1" w:tplc="8D7666F0">
      <w:start w:val="1"/>
      <w:numFmt w:val="lowerLetter"/>
      <w:lvlText w:val="%2)"/>
      <w:lvlJc w:val="left"/>
      <w:pPr>
        <w:ind w:left="1440" w:hanging="360"/>
      </w:pPr>
      <w:rPr>
        <w:rFonts w:ascii="Verdana" w:hAnsi="Verdana" w:hint="default"/>
        <w:b w:val="0"/>
        <w:i w:val="0"/>
        <w:sz w:val="20"/>
        <w:szCs w:val="22"/>
        <w:u w:val="none"/>
      </w:r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29" w15:restartNumberingAfterBreak="0">
    <w:nsid w:val="4C801BB6"/>
    <w:multiLevelType w:val="hybridMultilevel"/>
    <w:tmpl w:val="8F32D7DE"/>
    <w:lvl w:ilvl="0" w:tplc="BE50AD9E">
      <w:start w:val="1"/>
      <w:numFmt w:val="bullet"/>
      <w:lvlText w:val=""/>
      <w:lvlJc w:val="left"/>
      <w:pPr>
        <w:ind w:left="360" w:hanging="360"/>
      </w:pPr>
      <w:rPr>
        <w:rFonts w:ascii="Symbol" w:hAnsi="Symbol" w:hint="default"/>
      </w:rPr>
    </w:lvl>
    <w:lvl w:ilvl="1" w:tplc="BE50AD9E">
      <w:start w:val="1"/>
      <w:numFmt w:val="bullet"/>
      <w:lvlText w:val=""/>
      <w:lvlJc w:val="left"/>
      <w:pPr>
        <w:ind w:left="1080" w:hanging="360"/>
      </w:pPr>
      <w:rPr>
        <w:rFonts w:ascii="Symbol" w:hAnsi="Symbol" w:hint="default"/>
      </w:rPr>
    </w:lvl>
    <w:lvl w:ilvl="2" w:tplc="24C6155C">
      <w:start w:val="1"/>
      <w:numFmt w:val="bullet"/>
      <w:lvlText w:val=""/>
      <w:lvlJc w:val="left"/>
      <w:pPr>
        <w:ind w:left="1800" w:hanging="360"/>
      </w:pPr>
      <w:rPr>
        <w:rFonts w:ascii="Symbol" w:hAnsi="Symbol" w:hint="default"/>
      </w:rPr>
    </w:lvl>
    <w:lvl w:ilvl="3" w:tplc="24C6155C">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4DD22A24"/>
    <w:multiLevelType w:val="hybridMultilevel"/>
    <w:tmpl w:val="67A0E23E"/>
    <w:lvl w:ilvl="0" w:tplc="BE50AD9E">
      <w:start w:val="1"/>
      <w:numFmt w:val="bullet"/>
      <w:lvlText w:val=""/>
      <w:lvlJc w:val="left"/>
      <w:pPr>
        <w:ind w:left="6042" w:hanging="360"/>
      </w:pPr>
      <w:rPr>
        <w:rFonts w:ascii="Symbol" w:hAnsi="Symbol" w:hint="default"/>
        <w:b/>
        <w:strike w:val="0"/>
        <w:dstrike w:val="0"/>
        <w:color w:val="auto"/>
        <w:sz w:val="24"/>
        <w:u w:val="none"/>
        <w:effect w:val="none"/>
      </w:rPr>
    </w:lvl>
    <w:lvl w:ilvl="1" w:tplc="44FE2B32">
      <w:start w:val="3"/>
      <w:numFmt w:val="bullet"/>
      <w:lvlText w:val="-"/>
      <w:lvlJc w:val="left"/>
      <w:pPr>
        <w:ind w:left="2400" w:hanging="360"/>
      </w:pPr>
      <w:rPr>
        <w:rFonts w:ascii="Times New Roman" w:eastAsia="Calibri" w:hAnsi="Times New Roman" w:cs="Times New Roman" w:hint="default"/>
        <w:color w:val="auto"/>
      </w:rPr>
    </w:lvl>
    <w:lvl w:ilvl="2" w:tplc="08090005">
      <w:start w:val="1"/>
      <w:numFmt w:val="bullet"/>
      <w:lvlText w:val=""/>
      <w:lvlJc w:val="left"/>
      <w:pPr>
        <w:ind w:left="3120" w:hanging="360"/>
      </w:pPr>
      <w:rPr>
        <w:rFonts w:ascii="Wingdings" w:hAnsi="Wingdings" w:hint="default"/>
      </w:rPr>
    </w:lvl>
    <w:lvl w:ilvl="3" w:tplc="08090001">
      <w:start w:val="1"/>
      <w:numFmt w:val="bullet"/>
      <w:lvlText w:val=""/>
      <w:lvlJc w:val="left"/>
      <w:pPr>
        <w:ind w:left="3840" w:hanging="360"/>
      </w:pPr>
      <w:rPr>
        <w:rFonts w:ascii="Symbol" w:hAnsi="Symbol" w:hint="default"/>
      </w:rPr>
    </w:lvl>
    <w:lvl w:ilvl="4" w:tplc="08090003" w:tentative="1">
      <w:start w:val="1"/>
      <w:numFmt w:val="bullet"/>
      <w:lvlText w:val="o"/>
      <w:lvlJc w:val="left"/>
      <w:pPr>
        <w:ind w:left="4560" w:hanging="360"/>
      </w:pPr>
      <w:rPr>
        <w:rFonts w:ascii="Courier New" w:hAnsi="Courier New" w:cs="Courier New" w:hint="default"/>
      </w:rPr>
    </w:lvl>
    <w:lvl w:ilvl="5" w:tplc="08090005" w:tentative="1">
      <w:start w:val="1"/>
      <w:numFmt w:val="bullet"/>
      <w:lvlText w:val=""/>
      <w:lvlJc w:val="left"/>
      <w:pPr>
        <w:ind w:left="5280" w:hanging="360"/>
      </w:pPr>
      <w:rPr>
        <w:rFonts w:ascii="Wingdings" w:hAnsi="Wingdings" w:hint="default"/>
      </w:rPr>
    </w:lvl>
    <w:lvl w:ilvl="6" w:tplc="08090001" w:tentative="1">
      <w:start w:val="1"/>
      <w:numFmt w:val="bullet"/>
      <w:lvlText w:val=""/>
      <w:lvlJc w:val="left"/>
      <w:pPr>
        <w:ind w:left="6000" w:hanging="360"/>
      </w:pPr>
      <w:rPr>
        <w:rFonts w:ascii="Symbol" w:hAnsi="Symbol" w:hint="default"/>
      </w:rPr>
    </w:lvl>
    <w:lvl w:ilvl="7" w:tplc="08090003" w:tentative="1">
      <w:start w:val="1"/>
      <w:numFmt w:val="bullet"/>
      <w:lvlText w:val="o"/>
      <w:lvlJc w:val="left"/>
      <w:pPr>
        <w:ind w:left="6720" w:hanging="360"/>
      </w:pPr>
      <w:rPr>
        <w:rFonts w:ascii="Courier New" w:hAnsi="Courier New" w:cs="Courier New" w:hint="default"/>
      </w:rPr>
    </w:lvl>
    <w:lvl w:ilvl="8" w:tplc="08090005" w:tentative="1">
      <w:start w:val="1"/>
      <w:numFmt w:val="bullet"/>
      <w:lvlText w:val=""/>
      <w:lvlJc w:val="left"/>
      <w:pPr>
        <w:ind w:left="7440" w:hanging="360"/>
      </w:pPr>
      <w:rPr>
        <w:rFonts w:ascii="Wingdings" w:hAnsi="Wingdings" w:hint="default"/>
      </w:rPr>
    </w:lvl>
  </w:abstractNum>
  <w:abstractNum w:abstractNumId="31" w15:restartNumberingAfterBreak="0">
    <w:nsid w:val="500A42E9"/>
    <w:multiLevelType w:val="hybridMultilevel"/>
    <w:tmpl w:val="3BCC837E"/>
    <w:lvl w:ilvl="0" w:tplc="BE50AD9E">
      <w:start w:val="1"/>
      <w:numFmt w:val="bullet"/>
      <w:lvlText w:val=""/>
      <w:lvlJc w:val="left"/>
      <w:pPr>
        <w:ind w:left="1080" w:hanging="72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06041FE"/>
    <w:multiLevelType w:val="hybridMultilevel"/>
    <w:tmpl w:val="F96417D2"/>
    <w:lvl w:ilvl="0" w:tplc="69B23806">
      <w:start w:val="1"/>
      <w:numFmt w:val="bullet"/>
      <w:lvlText w:val=""/>
      <w:lvlJc w:val="left"/>
      <w:pPr>
        <w:ind w:left="720" w:hanging="360"/>
      </w:pPr>
      <w:rPr>
        <w:rFonts w:ascii="Symbol" w:hAnsi="Symbol" w:hint="default"/>
        <w:color w:val="auto"/>
      </w:rPr>
    </w:lvl>
    <w:lvl w:ilvl="1" w:tplc="8DA6C392">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0B45DE7"/>
    <w:multiLevelType w:val="hybridMultilevel"/>
    <w:tmpl w:val="53C4DB58"/>
    <w:lvl w:ilvl="0" w:tplc="EE3C0108">
      <w:start w:val="1"/>
      <w:numFmt w:val="decimal"/>
      <w:pStyle w:val="ListNumber4"/>
      <w:lvlText w:val="(%1)"/>
      <w:lvlJc w:val="left"/>
      <w:pPr>
        <w:tabs>
          <w:tab w:val="num" w:pos="2149"/>
        </w:tabs>
        <w:ind w:left="2149" w:hanging="709"/>
      </w:pPr>
    </w:lvl>
    <w:lvl w:ilvl="1" w:tplc="D8749A26">
      <w:start w:val="1"/>
      <w:numFmt w:val="lowerLetter"/>
      <w:pStyle w:val="ListNumber4Level2"/>
      <w:lvlText w:val="(%2)"/>
      <w:lvlJc w:val="left"/>
      <w:pPr>
        <w:tabs>
          <w:tab w:val="num" w:pos="2857"/>
        </w:tabs>
        <w:ind w:left="2857" w:hanging="708"/>
      </w:pPr>
    </w:lvl>
    <w:lvl w:ilvl="2" w:tplc="21AE8B46">
      <w:start w:val="1"/>
      <w:numFmt w:val="bullet"/>
      <w:pStyle w:val="ListNumber4Level3"/>
      <w:lvlText w:val="–"/>
      <w:lvlJc w:val="left"/>
      <w:pPr>
        <w:tabs>
          <w:tab w:val="num" w:pos="3566"/>
        </w:tabs>
        <w:ind w:left="3566" w:hanging="709"/>
      </w:pPr>
      <w:rPr>
        <w:rFonts w:ascii="Times New Roman" w:hAnsi="Times New Roman" w:hint="default"/>
      </w:rPr>
    </w:lvl>
    <w:lvl w:ilvl="3" w:tplc="99840AC4">
      <w:start w:val="1"/>
      <w:numFmt w:val="bullet"/>
      <w:pStyle w:val="ListNumber4Level4"/>
      <w:lvlText w:val=""/>
      <w:lvlJc w:val="left"/>
      <w:pPr>
        <w:tabs>
          <w:tab w:val="num" w:pos="4275"/>
        </w:tabs>
        <w:ind w:left="4275" w:hanging="709"/>
      </w:pPr>
      <w:rPr>
        <w:rFonts w:ascii="Symbol" w:hAnsi="Symbol" w:hint="default"/>
      </w:rPr>
    </w:lvl>
    <w:lvl w:ilvl="4" w:tplc="654EBFD8">
      <w:start w:val="1"/>
      <w:numFmt w:val="lowerLetter"/>
      <w:lvlText w:val="(%5)"/>
      <w:lvlJc w:val="left"/>
      <w:pPr>
        <w:tabs>
          <w:tab w:val="num" w:pos="1800"/>
        </w:tabs>
        <w:ind w:left="1800" w:hanging="360"/>
      </w:pPr>
    </w:lvl>
    <w:lvl w:ilvl="5" w:tplc="6DF8574A">
      <w:start w:val="1"/>
      <w:numFmt w:val="lowerRoman"/>
      <w:lvlText w:val="(%6)"/>
      <w:lvlJc w:val="left"/>
      <w:pPr>
        <w:tabs>
          <w:tab w:val="num" w:pos="2160"/>
        </w:tabs>
        <w:ind w:left="2160" w:hanging="360"/>
      </w:pPr>
    </w:lvl>
    <w:lvl w:ilvl="6" w:tplc="4ABA14C0">
      <w:start w:val="1"/>
      <w:numFmt w:val="decimal"/>
      <w:lvlText w:val="%7."/>
      <w:lvlJc w:val="left"/>
      <w:pPr>
        <w:tabs>
          <w:tab w:val="num" w:pos="2520"/>
        </w:tabs>
        <w:ind w:left="2520" w:hanging="360"/>
      </w:pPr>
    </w:lvl>
    <w:lvl w:ilvl="7" w:tplc="47D2BEBC">
      <w:start w:val="1"/>
      <w:numFmt w:val="lowerLetter"/>
      <w:lvlText w:val="%8."/>
      <w:lvlJc w:val="left"/>
      <w:pPr>
        <w:tabs>
          <w:tab w:val="num" w:pos="2880"/>
        </w:tabs>
        <w:ind w:left="2880" w:hanging="360"/>
      </w:pPr>
    </w:lvl>
    <w:lvl w:ilvl="8" w:tplc="CB2E1996">
      <w:start w:val="1"/>
      <w:numFmt w:val="lowerRoman"/>
      <w:lvlText w:val="%9."/>
      <w:lvlJc w:val="left"/>
      <w:pPr>
        <w:tabs>
          <w:tab w:val="num" w:pos="3240"/>
        </w:tabs>
        <w:ind w:left="3240" w:hanging="360"/>
      </w:pPr>
    </w:lvl>
  </w:abstractNum>
  <w:abstractNum w:abstractNumId="34" w15:restartNumberingAfterBreak="0">
    <w:nsid w:val="52106FC3"/>
    <w:multiLevelType w:val="hybridMultilevel"/>
    <w:tmpl w:val="A5BA5E8C"/>
    <w:lvl w:ilvl="0" w:tplc="E72635F0">
      <w:start w:val="1"/>
      <w:numFmt w:val="bullet"/>
      <w:pStyle w:val="ListBullet1"/>
      <w:lvlText w:val=""/>
      <w:lvlJc w:val="left"/>
      <w:pPr>
        <w:tabs>
          <w:tab w:val="num" w:pos="1723"/>
        </w:tabs>
        <w:ind w:left="1723" w:hanging="283"/>
      </w:pPr>
      <w:rPr>
        <w:rFonts w:ascii="Symbol" w:hAnsi="Symbol"/>
      </w:rPr>
    </w:lvl>
    <w:lvl w:ilvl="1" w:tplc="A2A40ACA">
      <w:numFmt w:val="decimal"/>
      <w:lvlText w:val=""/>
      <w:lvlJc w:val="left"/>
    </w:lvl>
    <w:lvl w:ilvl="2" w:tplc="626E7278">
      <w:numFmt w:val="decimal"/>
      <w:lvlText w:val=""/>
      <w:lvlJc w:val="left"/>
    </w:lvl>
    <w:lvl w:ilvl="3" w:tplc="EF52CEAC">
      <w:numFmt w:val="decimal"/>
      <w:lvlText w:val=""/>
      <w:lvlJc w:val="left"/>
    </w:lvl>
    <w:lvl w:ilvl="4" w:tplc="5AB65512">
      <w:numFmt w:val="decimal"/>
      <w:lvlText w:val=""/>
      <w:lvlJc w:val="left"/>
    </w:lvl>
    <w:lvl w:ilvl="5" w:tplc="EFB80F84">
      <w:numFmt w:val="decimal"/>
      <w:lvlText w:val=""/>
      <w:lvlJc w:val="left"/>
    </w:lvl>
    <w:lvl w:ilvl="6" w:tplc="AB7EABD2">
      <w:numFmt w:val="decimal"/>
      <w:lvlText w:val=""/>
      <w:lvlJc w:val="left"/>
    </w:lvl>
    <w:lvl w:ilvl="7" w:tplc="434E9688">
      <w:numFmt w:val="decimal"/>
      <w:lvlText w:val=""/>
      <w:lvlJc w:val="left"/>
    </w:lvl>
    <w:lvl w:ilvl="8" w:tplc="5B6A80F4">
      <w:numFmt w:val="decimal"/>
      <w:lvlText w:val=""/>
      <w:lvlJc w:val="left"/>
    </w:lvl>
  </w:abstractNum>
  <w:abstractNum w:abstractNumId="35" w15:restartNumberingAfterBreak="0">
    <w:nsid w:val="526B09AB"/>
    <w:multiLevelType w:val="hybridMultilevel"/>
    <w:tmpl w:val="463012AC"/>
    <w:lvl w:ilvl="0" w:tplc="24C6155C">
      <w:start w:val="1"/>
      <w:numFmt w:val="bullet"/>
      <w:lvlText w:val=""/>
      <w:lvlJc w:val="left"/>
      <w:pPr>
        <w:ind w:left="6042" w:hanging="360"/>
      </w:pPr>
      <w:rPr>
        <w:rFonts w:ascii="Symbol" w:hAnsi="Symbol" w:hint="default"/>
        <w:b/>
        <w:strike w:val="0"/>
        <w:dstrike w:val="0"/>
        <w:color w:val="auto"/>
        <w:sz w:val="24"/>
        <w:u w:val="none"/>
        <w:effect w:val="none"/>
      </w:rPr>
    </w:lvl>
    <w:lvl w:ilvl="1" w:tplc="44FE2B32">
      <w:start w:val="3"/>
      <w:numFmt w:val="bullet"/>
      <w:lvlText w:val="-"/>
      <w:lvlJc w:val="left"/>
      <w:pPr>
        <w:ind w:left="2400" w:hanging="360"/>
      </w:pPr>
      <w:rPr>
        <w:rFonts w:ascii="Times New Roman" w:eastAsia="Calibri" w:hAnsi="Times New Roman" w:cs="Times New Roman" w:hint="default"/>
        <w:color w:val="auto"/>
      </w:rPr>
    </w:lvl>
    <w:lvl w:ilvl="2" w:tplc="08090005">
      <w:start w:val="1"/>
      <w:numFmt w:val="bullet"/>
      <w:lvlText w:val=""/>
      <w:lvlJc w:val="left"/>
      <w:pPr>
        <w:ind w:left="3120" w:hanging="360"/>
      </w:pPr>
      <w:rPr>
        <w:rFonts w:ascii="Wingdings" w:hAnsi="Wingdings" w:hint="default"/>
      </w:rPr>
    </w:lvl>
    <w:lvl w:ilvl="3" w:tplc="08090001">
      <w:start w:val="1"/>
      <w:numFmt w:val="bullet"/>
      <w:lvlText w:val=""/>
      <w:lvlJc w:val="left"/>
      <w:pPr>
        <w:ind w:left="3840" w:hanging="360"/>
      </w:pPr>
      <w:rPr>
        <w:rFonts w:ascii="Symbol" w:hAnsi="Symbol" w:hint="default"/>
      </w:rPr>
    </w:lvl>
    <w:lvl w:ilvl="4" w:tplc="08090003" w:tentative="1">
      <w:start w:val="1"/>
      <w:numFmt w:val="bullet"/>
      <w:lvlText w:val="o"/>
      <w:lvlJc w:val="left"/>
      <w:pPr>
        <w:ind w:left="4560" w:hanging="360"/>
      </w:pPr>
      <w:rPr>
        <w:rFonts w:ascii="Courier New" w:hAnsi="Courier New" w:cs="Courier New" w:hint="default"/>
      </w:rPr>
    </w:lvl>
    <w:lvl w:ilvl="5" w:tplc="08090005" w:tentative="1">
      <w:start w:val="1"/>
      <w:numFmt w:val="bullet"/>
      <w:lvlText w:val=""/>
      <w:lvlJc w:val="left"/>
      <w:pPr>
        <w:ind w:left="5280" w:hanging="360"/>
      </w:pPr>
      <w:rPr>
        <w:rFonts w:ascii="Wingdings" w:hAnsi="Wingdings" w:hint="default"/>
      </w:rPr>
    </w:lvl>
    <w:lvl w:ilvl="6" w:tplc="08090001" w:tentative="1">
      <w:start w:val="1"/>
      <w:numFmt w:val="bullet"/>
      <w:lvlText w:val=""/>
      <w:lvlJc w:val="left"/>
      <w:pPr>
        <w:ind w:left="6000" w:hanging="360"/>
      </w:pPr>
      <w:rPr>
        <w:rFonts w:ascii="Symbol" w:hAnsi="Symbol" w:hint="default"/>
      </w:rPr>
    </w:lvl>
    <w:lvl w:ilvl="7" w:tplc="08090003" w:tentative="1">
      <w:start w:val="1"/>
      <w:numFmt w:val="bullet"/>
      <w:lvlText w:val="o"/>
      <w:lvlJc w:val="left"/>
      <w:pPr>
        <w:ind w:left="6720" w:hanging="360"/>
      </w:pPr>
      <w:rPr>
        <w:rFonts w:ascii="Courier New" w:hAnsi="Courier New" w:cs="Courier New" w:hint="default"/>
      </w:rPr>
    </w:lvl>
    <w:lvl w:ilvl="8" w:tplc="08090005" w:tentative="1">
      <w:start w:val="1"/>
      <w:numFmt w:val="bullet"/>
      <w:lvlText w:val=""/>
      <w:lvlJc w:val="left"/>
      <w:pPr>
        <w:ind w:left="7440" w:hanging="360"/>
      </w:pPr>
      <w:rPr>
        <w:rFonts w:ascii="Wingdings" w:hAnsi="Wingdings" w:hint="default"/>
      </w:rPr>
    </w:lvl>
  </w:abstractNum>
  <w:abstractNum w:abstractNumId="36" w15:restartNumberingAfterBreak="0">
    <w:nsid w:val="532C7B77"/>
    <w:multiLevelType w:val="hybridMultilevel"/>
    <w:tmpl w:val="632852C2"/>
    <w:lvl w:ilvl="0" w:tplc="BE50AD9E">
      <w:start w:val="1"/>
      <w:numFmt w:val="bullet"/>
      <w:lvlText w:val=""/>
      <w:lvlJc w:val="left"/>
      <w:pPr>
        <w:ind w:left="786" w:hanging="360"/>
      </w:pPr>
      <w:rPr>
        <w:rFonts w:ascii="Symbol" w:hAnsi="Symbol" w:hint="default"/>
        <w:strike w:val="0"/>
        <w:dstrike w:val="0"/>
        <w:color w:val="auto"/>
        <w:sz w:val="24"/>
        <w:u w:val="none"/>
        <w:effect w:val="none"/>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7" w15:restartNumberingAfterBreak="0">
    <w:nsid w:val="5CE46C29"/>
    <w:multiLevelType w:val="hybridMultilevel"/>
    <w:tmpl w:val="1A929C5E"/>
    <w:lvl w:ilvl="0" w:tplc="C86EA79A">
      <w:start w:val="1"/>
      <w:numFmt w:val="bullet"/>
      <w:pStyle w:val="ListBullet2"/>
      <w:lvlText w:val=""/>
      <w:lvlJc w:val="left"/>
      <w:pPr>
        <w:tabs>
          <w:tab w:val="num" w:pos="1723"/>
        </w:tabs>
        <w:ind w:left="1723" w:hanging="283"/>
      </w:pPr>
      <w:rPr>
        <w:rFonts w:ascii="Symbol" w:hAnsi="Symbol"/>
      </w:rPr>
    </w:lvl>
    <w:lvl w:ilvl="1" w:tplc="3F225D00">
      <w:numFmt w:val="decimal"/>
      <w:lvlText w:val=""/>
      <w:lvlJc w:val="left"/>
    </w:lvl>
    <w:lvl w:ilvl="2" w:tplc="6080728C">
      <w:numFmt w:val="decimal"/>
      <w:lvlText w:val=""/>
      <w:lvlJc w:val="left"/>
    </w:lvl>
    <w:lvl w:ilvl="3" w:tplc="C8A63B92">
      <w:numFmt w:val="decimal"/>
      <w:lvlText w:val=""/>
      <w:lvlJc w:val="left"/>
    </w:lvl>
    <w:lvl w:ilvl="4" w:tplc="CD3870E0">
      <w:numFmt w:val="decimal"/>
      <w:lvlText w:val=""/>
      <w:lvlJc w:val="left"/>
    </w:lvl>
    <w:lvl w:ilvl="5" w:tplc="BCF45F38">
      <w:numFmt w:val="decimal"/>
      <w:lvlText w:val=""/>
      <w:lvlJc w:val="left"/>
    </w:lvl>
    <w:lvl w:ilvl="6" w:tplc="5FE2F52E">
      <w:numFmt w:val="decimal"/>
      <w:lvlText w:val=""/>
      <w:lvlJc w:val="left"/>
    </w:lvl>
    <w:lvl w:ilvl="7" w:tplc="993402E2">
      <w:numFmt w:val="decimal"/>
      <w:lvlText w:val=""/>
      <w:lvlJc w:val="left"/>
    </w:lvl>
    <w:lvl w:ilvl="8" w:tplc="030A0664">
      <w:numFmt w:val="decimal"/>
      <w:lvlText w:val=""/>
      <w:lvlJc w:val="left"/>
    </w:lvl>
  </w:abstractNum>
  <w:abstractNum w:abstractNumId="38" w15:restartNumberingAfterBreak="0">
    <w:nsid w:val="628C6C8B"/>
    <w:multiLevelType w:val="hybridMultilevel"/>
    <w:tmpl w:val="D9A29BEA"/>
    <w:lvl w:ilvl="0" w:tplc="0A1E9640">
      <w:start w:val="1"/>
      <w:numFmt w:val="bullet"/>
      <w:pStyle w:val="ListDash"/>
      <w:lvlText w:val="–"/>
      <w:lvlJc w:val="left"/>
      <w:pPr>
        <w:tabs>
          <w:tab w:val="num" w:pos="283"/>
        </w:tabs>
        <w:ind w:left="283" w:hanging="283"/>
      </w:pPr>
      <w:rPr>
        <w:rFonts w:ascii="Times New Roman" w:hAnsi="Times New Roman"/>
      </w:rPr>
    </w:lvl>
    <w:lvl w:ilvl="1" w:tplc="C202729E">
      <w:numFmt w:val="decimal"/>
      <w:lvlText w:val=""/>
      <w:lvlJc w:val="left"/>
    </w:lvl>
    <w:lvl w:ilvl="2" w:tplc="BA8642BA">
      <w:numFmt w:val="decimal"/>
      <w:lvlText w:val=""/>
      <w:lvlJc w:val="left"/>
    </w:lvl>
    <w:lvl w:ilvl="3" w:tplc="43D48606">
      <w:numFmt w:val="decimal"/>
      <w:lvlText w:val=""/>
      <w:lvlJc w:val="left"/>
    </w:lvl>
    <w:lvl w:ilvl="4" w:tplc="1CC893D6">
      <w:numFmt w:val="decimal"/>
      <w:lvlText w:val=""/>
      <w:lvlJc w:val="left"/>
    </w:lvl>
    <w:lvl w:ilvl="5" w:tplc="F7341166">
      <w:numFmt w:val="decimal"/>
      <w:lvlText w:val=""/>
      <w:lvlJc w:val="left"/>
    </w:lvl>
    <w:lvl w:ilvl="6" w:tplc="CAAE128C">
      <w:numFmt w:val="decimal"/>
      <w:lvlText w:val=""/>
      <w:lvlJc w:val="left"/>
    </w:lvl>
    <w:lvl w:ilvl="7" w:tplc="D408AFE0">
      <w:numFmt w:val="decimal"/>
      <w:lvlText w:val=""/>
      <w:lvlJc w:val="left"/>
    </w:lvl>
    <w:lvl w:ilvl="8" w:tplc="D842D462">
      <w:numFmt w:val="decimal"/>
      <w:lvlText w:val=""/>
      <w:lvlJc w:val="left"/>
    </w:lvl>
  </w:abstractNum>
  <w:abstractNum w:abstractNumId="39" w15:restartNumberingAfterBreak="0">
    <w:nsid w:val="630D466A"/>
    <w:multiLevelType w:val="hybridMultilevel"/>
    <w:tmpl w:val="938CC7DE"/>
    <w:lvl w:ilvl="0" w:tplc="0AD28318">
      <w:numFmt w:val="decimal"/>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40" w15:restartNumberingAfterBreak="0">
    <w:nsid w:val="66CD13BD"/>
    <w:multiLevelType w:val="hybridMultilevel"/>
    <w:tmpl w:val="79B82EEA"/>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41" w15:restartNumberingAfterBreak="0">
    <w:nsid w:val="699543D1"/>
    <w:multiLevelType w:val="hybridMultilevel"/>
    <w:tmpl w:val="D5A60282"/>
    <w:lvl w:ilvl="0" w:tplc="B55E7CD0">
      <w:start w:val="1"/>
      <w:numFmt w:val="bullet"/>
      <w:pStyle w:val="ListDash1"/>
      <w:lvlText w:val="–"/>
      <w:lvlJc w:val="left"/>
      <w:pPr>
        <w:tabs>
          <w:tab w:val="num" w:pos="1723"/>
        </w:tabs>
        <w:ind w:left="1723" w:hanging="283"/>
      </w:pPr>
      <w:rPr>
        <w:rFonts w:ascii="Times New Roman" w:hAnsi="Times New Roman"/>
      </w:rPr>
    </w:lvl>
    <w:lvl w:ilvl="1" w:tplc="9976E3C8">
      <w:numFmt w:val="decimal"/>
      <w:lvlText w:val=""/>
      <w:lvlJc w:val="left"/>
    </w:lvl>
    <w:lvl w:ilvl="2" w:tplc="ECECE028">
      <w:numFmt w:val="decimal"/>
      <w:lvlText w:val=""/>
      <w:lvlJc w:val="left"/>
    </w:lvl>
    <w:lvl w:ilvl="3" w:tplc="13343134">
      <w:numFmt w:val="decimal"/>
      <w:lvlText w:val=""/>
      <w:lvlJc w:val="left"/>
    </w:lvl>
    <w:lvl w:ilvl="4" w:tplc="239C91A4">
      <w:numFmt w:val="decimal"/>
      <w:lvlText w:val=""/>
      <w:lvlJc w:val="left"/>
    </w:lvl>
    <w:lvl w:ilvl="5" w:tplc="C59210FE">
      <w:numFmt w:val="decimal"/>
      <w:lvlText w:val=""/>
      <w:lvlJc w:val="left"/>
    </w:lvl>
    <w:lvl w:ilvl="6" w:tplc="65447814">
      <w:numFmt w:val="decimal"/>
      <w:lvlText w:val=""/>
      <w:lvlJc w:val="left"/>
    </w:lvl>
    <w:lvl w:ilvl="7" w:tplc="17E4CECE">
      <w:numFmt w:val="decimal"/>
      <w:lvlText w:val=""/>
      <w:lvlJc w:val="left"/>
    </w:lvl>
    <w:lvl w:ilvl="8" w:tplc="4E324D6A">
      <w:numFmt w:val="decimal"/>
      <w:lvlText w:val=""/>
      <w:lvlJc w:val="left"/>
    </w:lvl>
  </w:abstractNum>
  <w:abstractNum w:abstractNumId="42" w15:restartNumberingAfterBreak="0">
    <w:nsid w:val="69CC7ACA"/>
    <w:multiLevelType w:val="hybridMultilevel"/>
    <w:tmpl w:val="C5749B60"/>
    <w:lvl w:ilvl="0" w:tplc="BE50AD9E">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3" w15:restartNumberingAfterBreak="0">
    <w:nsid w:val="6A7E3CD3"/>
    <w:multiLevelType w:val="hybridMultilevel"/>
    <w:tmpl w:val="598221D0"/>
    <w:lvl w:ilvl="0" w:tplc="080C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6D5A5E87"/>
    <w:multiLevelType w:val="hybridMultilevel"/>
    <w:tmpl w:val="3A58C910"/>
    <w:lvl w:ilvl="0" w:tplc="3CDE6F60">
      <w:start w:val="1"/>
      <w:numFmt w:val="decimal"/>
      <w:pStyle w:val="ListNumber3"/>
      <w:lvlText w:val="(%1)"/>
      <w:lvlJc w:val="left"/>
      <w:pPr>
        <w:tabs>
          <w:tab w:val="num" w:pos="2149"/>
        </w:tabs>
        <w:ind w:left="2149" w:hanging="709"/>
      </w:pPr>
    </w:lvl>
    <w:lvl w:ilvl="1" w:tplc="4724B3C4">
      <w:start w:val="1"/>
      <w:numFmt w:val="lowerLetter"/>
      <w:pStyle w:val="ListNumber3Level2"/>
      <w:lvlText w:val="(%2)"/>
      <w:lvlJc w:val="left"/>
      <w:pPr>
        <w:tabs>
          <w:tab w:val="num" w:pos="2857"/>
        </w:tabs>
        <w:ind w:left="2857" w:hanging="708"/>
      </w:pPr>
    </w:lvl>
    <w:lvl w:ilvl="2" w:tplc="E75672D8">
      <w:start w:val="1"/>
      <w:numFmt w:val="bullet"/>
      <w:pStyle w:val="ListNumber3Level3"/>
      <w:lvlText w:val="–"/>
      <w:lvlJc w:val="left"/>
      <w:pPr>
        <w:tabs>
          <w:tab w:val="num" w:pos="3566"/>
        </w:tabs>
        <w:ind w:left="3566" w:hanging="709"/>
      </w:pPr>
      <w:rPr>
        <w:rFonts w:ascii="Times New Roman" w:hAnsi="Times New Roman" w:hint="default"/>
      </w:rPr>
    </w:lvl>
    <w:lvl w:ilvl="3" w:tplc="582C2598">
      <w:start w:val="1"/>
      <w:numFmt w:val="bullet"/>
      <w:pStyle w:val="ListNumber3Level4"/>
      <w:lvlText w:val=""/>
      <w:lvlJc w:val="left"/>
      <w:pPr>
        <w:tabs>
          <w:tab w:val="num" w:pos="4275"/>
        </w:tabs>
        <w:ind w:left="4275" w:hanging="709"/>
      </w:pPr>
      <w:rPr>
        <w:rFonts w:ascii="Symbol" w:hAnsi="Symbol" w:hint="default"/>
      </w:rPr>
    </w:lvl>
    <w:lvl w:ilvl="4" w:tplc="BCE06DD8">
      <w:start w:val="1"/>
      <w:numFmt w:val="lowerLetter"/>
      <w:lvlText w:val="(%5)"/>
      <w:lvlJc w:val="left"/>
      <w:pPr>
        <w:tabs>
          <w:tab w:val="num" w:pos="1800"/>
        </w:tabs>
        <w:ind w:left="1800" w:hanging="360"/>
      </w:pPr>
    </w:lvl>
    <w:lvl w:ilvl="5" w:tplc="4FDE5DF6">
      <w:start w:val="1"/>
      <w:numFmt w:val="lowerRoman"/>
      <w:lvlText w:val="(%6)"/>
      <w:lvlJc w:val="left"/>
      <w:pPr>
        <w:tabs>
          <w:tab w:val="num" w:pos="2160"/>
        </w:tabs>
        <w:ind w:left="2160" w:hanging="360"/>
      </w:pPr>
    </w:lvl>
    <w:lvl w:ilvl="6" w:tplc="22301246">
      <w:start w:val="1"/>
      <w:numFmt w:val="decimal"/>
      <w:lvlText w:val="%7."/>
      <w:lvlJc w:val="left"/>
      <w:pPr>
        <w:tabs>
          <w:tab w:val="num" w:pos="2520"/>
        </w:tabs>
        <w:ind w:left="2520" w:hanging="360"/>
      </w:pPr>
    </w:lvl>
    <w:lvl w:ilvl="7" w:tplc="51D24918">
      <w:start w:val="1"/>
      <w:numFmt w:val="lowerLetter"/>
      <w:lvlText w:val="%8."/>
      <w:lvlJc w:val="left"/>
      <w:pPr>
        <w:tabs>
          <w:tab w:val="num" w:pos="2880"/>
        </w:tabs>
        <w:ind w:left="2880" w:hanging="360"/>
      </w:pPr>
    </w:lvl>
    <w:lvl w:ilvl="8" w:tplc="ADF2AA4C">
      <w:start w:val="1"/>
      <w:numFmt w:val="lowerRoman"/>
      <w:lvlText w:val="%9."/>
      <w:lvlJc w:val="left"/>
      <w:pPr>
        <w:tabs>
          <w:tab w:val="num" w:pos="3240"/>
        </w:tabs>
        <w:ind w:left="3240" w:hanging="360"/>
      </w:pPr>
    </w:lvl>
  </w:abstractNum>
  <w:abstractNum w:abstractNumId="45" w15:restartNumberingAfterBreak="0">
    <w:nsid w:val="6F1A03D0"/>
    <w:multiLevelType w:val="hybridMultilevel"/>
    <w:tmpl w:val="3AB00464"/>
    <w:lvl w:ilvl="0" w:tplc="BE50AD9E">
      <w:start w:val="1"/>
      <w:numFmt w:val="bullet"/>
      <w:lvlText w:val=""/>
      <w:lvlJc w:val="left"/>
      <w:pPr>
        <w:ind w:left="360" w:hanging="360"/>
      </w:pPr>
      <w:rPr>
        <w:rFonts w:ascii="Symbol" w:hAnsi="Symbol" w:hint="default"/>
      </w:rPr>
    </w:lvl>
    <w:lvl w:ilvl="1" w:tplc="BE50AD9E">
      <w:start w:val="1"/>
      <w:numFmt w:val="bullet"/>
      <w:lvlText w:val=""/>
      <w:lvlJc w:val="left"/>
      <w:pPr>
        <w:ind w:left="1080" w:hanging="360"/>
      </w:pPr>
      <w:rPr>
        <w:rFonts w:ascii="Symbol" w:hAnsi="Symbol" w:hint="default"/>
      </w:rPr>
    </w:lvl>
    <w:lvl w:ilvl="2" w:tplc="08090005">
      <w:start w:val="1"/>
      <w:numFmt w:val="bullet"/>
      <w:lvlText w:val=""/>
      <w:lvlJc w:val="left"/>
      <w:pPr>
        <w:ind w:left="1800" w:hanging="360"/>
      </w:pPr>
      <w:rPr>
        <w:rFonts w:ascii="Wingdings" w:hAnsi="Wingdings" w:hint="default"/>
      </w:rPr>
    </w:lvl>
    <w:lvl w:ilvl="3" w:tplc="24C6155C">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722A0FA3"/>
    <w:multiLevelType w:val="hybridMultilevel"/>
    <w:tmpl w:val="1D8E4896"/>
    <w:lvl w:ilvl="0" w:tplc="8DBE542A">
      <w:start w:val="1"/>
      <w:numFmt w:val="bullet"/>
      <w:lvlText w:val="o"/>
      <w:lvlJc w:val="left"/>
      <w:rPr>
        <w:rFonts w:ascii="Courier New" w:hAnsi="Courier New" w:cs="Courier New" w:hint="default"/>
        <w:b w:val="0"/>
        <w:bCs w:val="0"/>
        <w:i w:val="0"/>
        <w:iCs w:val="0"/>
        <w:smallCaps w:val="0"/>
        <w:strike w:val="0"/>
        <w:color w:val="595959"/>
        <w:spacing w:val="0"/>
        <w:w w:val="100"/>
        <w:position w:val="0"/>
        <w:sz w:val="22"/>
        <w:szCs w:val="22"/>
        <w:u w:val="none"/>
        <w:lang w:val="en-US" w:eastAsia="en-US" w:bidi="en-US"/>
      </w:rPr>
    </w:lvl>
    <w:lvl w:ilvl="1" w:tplc="60227D96">
      <w:numFmt w:val="decimal"/>
      <w:lvlText w:val=""/>
      <w:lvlJc w:val="left"/>
    </w:lvl>
    <w:lvl w:ilvl="2" w:tplc="828C9C76">
      <w:numFmt w:val="decimal"/>
      <w:lvlText w:val=""/>
      <w:lvlJc w:val="left"/>
    </w:lvl>
    <w:lvl w:ilvl="3" w:tplc="E598A570">
      <w:numFmt w:val="decimal"/>
      <w:lvlText w:val=""/>
      <w:lvlJc w:val="left"/>
    </w:lvl>
    <w:lvl w:ilvl="4" w:tplc="5596BD84">
      <w:numFmt w:val="decimal"/>
      <w:lvlText w:val=""/>
      <w:lvlJc w:val="left"/>
    </w:lvl>
    <w:lvl w:ilvl="5" w:tplc="EC8AF6D8">
      <w:numFmt w:val="decimal"/>
      <w:lvlText w:val=""/>
      <w:lvlJc w:val="left"/>
    </w:lvl>
    <w:lvl w:ilvl="6" w:tplc="5EE62D2C">
      <w:numFmt w:val="decimal"/>
      <w:lvlText w:val=""/>
      <w:lvlJc w:val="left"/>
    </w:lvl>
    <w:lvl w:ilvl="7" w:tplc="497C6DA8">
      <w:numFmt w:val="decimal"/>
      <w:lvlText w:val=""/>
      <w:lvlJc w:val="left"/>
    </w:lvl>
    <w:lvl w:ilvl="8" w:tplc="4A200BEE">
      <w:numFmt w:val="decimal"/>
      <w:lvlText w:val=""/>
      <w:lvlJc w:val="left"/>
    </w:lvl>
  </w:abstractNum>
  <w:abstractNum w:abstractNumId="47" w15:restartNumberingAfterBreak="0">
    <w:nsid w:val="732F1BDE"/>
    <w:multiLevelType w:val="hybridMultilevel"/>
    <w:tmpl w:val="E56E42B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8" w15:restartNumberingAfterBreak="0">
    <w:nsid w:val="757E2C4B"/>
    <w:multiLevelType w:val="hybridMultilevel"/>
    <w:tmpl w:val="0E9023D8"/>
    <w:lvl w:ilvl="0" w:tplc="24C6155C">
      <w:start w:val="1"/>
      <w:numFmt w:val="bullet"/>
      <w:lvlText w:val=""/>
      <w:lvlJc w:val="left"/>
      <w:pPr>
        <w:ind w:left="720" w:hanging="360"/>
      </w:pPr>
      <w:rPr>
        <w:rFonts w:ascii="Symbol" w:hAnsi="Symbol" w:hint="default"/>
      </w:rPr>
    </w:lvl>
    <w:lvl w:ilvl="1" w:tplc="24C6155C">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49" w15:restartNumberingAfterBreak="0">
    <w:nsid w:val="763A5E4B"/>
    <w:multiLevelType w:val="hybridMultilevel"/>
    <w:tmpl w:val="9BF8F262"/>
    <w:lvl w:ilvl="0" w:tplc="08B6A2BE">
      <w:start w:val="1"/>
      <w:numFmt w:val="decimal"/>
      <w:pStyle w:val="ListNumber2"/>
      <w:lvlText w:val="(%1)"/>
      <w:lvlJc w:val="left"/>
      <w:pPr>
        <w:tabs>
          <w:tab w:val="num" w:pos="2149"/>
        </w:tabs>
        <w:ind w:left="2149" w:hanging="709"/>
      </w:pPr>
    </w:lvl>
    <w:lvl w:ilvl="1" w:tplc="02E20676">
      <w:start w:val="1"/>
      <w:numFmt w:val="lowerLetter"/>
      <w:pStyle w:val="ListNumber2Level2"/>
      <w:lvlText w:val="(%2)"/>
      <w:lvlJc w:val="left"/>
      <w:pPr>
        <w:tabs>
          <w:tab w:val="num" w:pos="2857"/>
        </w:tabs>
        <w:ind w:left="2857" w:hanging="708"/>
      </w:pPr>
    </w:lvl>
    <w:lvl w:ilvl="2" w:tplc="2CB0D676">
      <w:start w:val="1"/>
      <w:numFmt w:val="bullet"/>
      <w:pStyle w:val="ListNumber2Level3"/>
      <w:lvlText w:val="–"/>
      <w:lvlJc w:val="left"/>
      <w:pPr>
        <w:tabs>
          <w:tab w:val="num" w:pos="3566"/>
        </w:tabs>
        <w:ind w:left="3566" w:hanging="709"/>
      </w:pPr>
      <w:rPr>
        <w:rFonts w:ascii="Times New Roman" w:hAnsi="Times New Roman" w:hint="default"/>
      </w:rPr>
    </w:lvl>
    <w:lvl w:ilvl="3" w:tplc="1758E3A2">
      <w:start w:val="1"/>
      <w:numFmt w:val="bullet"/>
      <w:pStyle w:val="ListNumber2Level4"/>
      <w:lvlText w:val=""/>
      <w:lvlJc w:val="left"/>
      <w:pPr>
        <w:tabs>
          <w:tab w:val="num" w:pos="4275"/>
        </w:tabs>
        <w:ind w:left="4275" w:hanging="709"/>
      </w:pPr>
      <w:rPr>
        <w:rFonts w:ascii="Symbol" w:hAnsi="Symbol" w:hint="default"/>
      </w:rPr>
    </w:lvl>
    <w:lvl w:ilvl="4" w:tplc="3E86EE16">
      <w:start w:val="1"/>
      <w:numFmt w:val="lowerLetter"/>
      <w:lvlText w:val="(%5)"/>
      <w:lvlJc w:val="left"/>
      <w:pPr>
        <w:tabs>
          <w:tab w:val="num" w:pos="1800"/>
        </w:tabs>
        <w:ind w:left="1800" w:hanging="360"/>
      </w:pPr>
    </w:lvl>
    <w:lvl w:ilvl="5" w:tplc="54666906">
      <w:start w:val="1"/>
      <w:numFmt w:val="lowerRoman"/>
      <w:lvlText w:val="(%6)"/>
      <w:lvlJc w:val="left"/>
      <w:pPr>
        <w:tabs>
          <w:tab w:val="num" w:pos="2160"/>
        </w:tabs>
        <w:ind w:left="2160" w:hanging="360"/>
      </w:pPr>
    </w:lvl>
    <w:lvl w:ilvl="6" w:tplc="A5F098B0">
      <w:start w:val="1"/>
      <w:numFmt w:val="decimal"/>
      <w:lvlText w:val="%7."/>
      <w:lvlJc w:val="left"/>
      <w:pPr>
        <w:tabs>
          <w:tab w:val="num" w:pos="2520"/>
        </w:tabs>
        <w:ind w:left="2520" w:hanging="360"/>
      </w:pPr>
    </w:lvl>
    <w:lvl w:ilvl="7" w:tplc="2EC2265A">
      <w:start w:val="1"/>
      <w:numFmt w:val="lowerLetter"/>
      <w:lvlText w:val="%8."/>
      <w:lvlJc w:val="left"/>
      <w:pPr>
        <w:tabs>
          <w:tab w:val="num" w:pos="2880"/>
        </w:tabs>
        <w:ind w:left="2880" w:hanging="360"/>
      </w:pPr>
    </w:lvl>
    <w:lvl w:ilvl="8" w:tplc="BBF2C824">
      <w:start w:val="1"/>
      <w:numFmt w:val="lowerRoman"/>
      <w:lvlText w:val="%9."/>
      <w:lvlJc w:val="left"/>
      <w:pPr>
        <w:tabs>
          <w:tab w:val="num" w:pos="3240"/>
        </w:tabs>
        <w:ind w:left="3240" w:hanging="360"/>
      </w:pPr>
    </w:lvl>
  </w:abstractNum>
  <w:abstractNum w:abstractNumId="50" w15:restartNumberingAfterBreak="0">
    <w:nsid w:val="792B473D"/>
    <w:multiLevelType w:val="hybridMultilevel"/>
    <w:tmpl w:val="15E08760"/>
    <w:lvl w:ilvl="0" w:tplc="FFFFFFFF">
      <w:start w:val="1"/>
      <w:numFmt w:val="bullet"/>
      <w:lvlText w:val=""/>
      <w:lvlJc w:val="left"/>
      <w:pPr>
        <w:ind w:left="927" w:hanging="360"/>
      </w:pPr>
      <w:rPr>
        <w:rFonts w:ascii="Symbol" w:hAnsi="Symbol" w:hint="default"/>
      </w:rPr>
    </w:lvl>
    <w:lvl w:ilvl="1" w:tplc="BE50AD9E">
      <w:start w:val="1"/>
      <w:numFmt w:val="bullet"/>
      <w:lvlText w:val=""/>
      <w:lvlJc w:val="left"/>
      <w:pPr>
        <w:ind w:left="1647" w:hanging="360"/>
      </w:pPr>
      <w:rPr>
        <w:rFonts w:ascii="Symbol" w:hAnsi="Symbol"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51" w15:restartNumberingAfterBreak="0">
    <w:nsid w:val="7A8B752A"/>
    <w:multiLevelType w:val="hybridMultilevel"/>
    <w:tmpl w:val="5E1E11F0"/>
    <w:lvl w:ilvl="0" w:tplc="BE50AD9E">
      <w:start w:val="1"/>
      <w:numFmt w:val="bullet"/>
      <w:lvlText w:val=""/>
      <w:lvlJc w:val="left"/>
      <w:pPr>
        <w:ind w:left="6042" w:hanging="360"/>
      </w:pPr>
      <w:rPr>
        <w:rFonts w:ascii="Symbol" w:hAnsi="Symbol" w:hint="default"/>
        <w:b/>
        <w:strike w:val="0"/>
        <w:dstrike w:val="0"/>
        <w:color w:val="auto"/>
        <w:sz w:val="20"/>
        <w:u w:val="none"/>
        <w:effect w:val="none"/>
      </w:rPr>
    </w:lvl>
    <w:lvl w:ilvl="1" w:tplc="44FE2B32">
      <w:start w:val="3"/>
      <w:numFmt w:val="bullet"/>
      <w:lvlText w:val="-"/>
      <w:lvlJc w:val="left"/>
      <w:pPr>
        <w:ind w:left="2400" w:hanging="360"/>
      </w:pPr>
      <w:rPr>
        <w:rFonts w:ascii="Times New Roman" w:eastAsia="Calibri" w:hAnsi="Times New Roman" w:cs="Times New Roman" w:hint="default"/>
        <w:color w:val="auto"/>
      </w:rPr>
    </w:lvl>
    <w:lvl w:ilvl="2" w:tplc="08090005">
      <w:start w:val="1"/>
      <w:numFmt w:val="bullet"/>
      <w:lvlText w:val=""/>
      <w:lvlJc w:val="left"/>
      <w:pPr>
        <w:ind w:left="3120" w:hanging="360"/>
      </w:pPr>
      <w:rPr>
        <w:rFonts w:ascii="Wingdings" w:hAnsi="Wingdings" w:hint="default"/>
      </w:rPr>
    </w:lvl>
    <w:lvl w:ilvl="3" w:tplc="08090001">
      <w:start w:val="1"/>
      <w:numFmt w:val="bullet"/>
      <w:lvlText w:val=""/>
      <w:lvlJc w:val="left"/>
      <w:pPr>
        <w:ind w:left="3840" w:hanging="360"/>
      </w:pPr>
      <w:rPr>
        <w:rFonts w:ascii="Symbol" w:hAnsi="Symbol" w:hint="default"/>
      </w:rPr>
    </w:lvl>
    <w:lvl w:ilvl="4" w:tplc="08090003" w:tentative="1">
      <w:start w:val="1"/>
      <w:numFmt w:val="bullet"/>
      <w:lvlText w:val="o"/>
      <w:lvlJc w:val="left"/>
      <w:pPr>
        <w:ind w:left="4560" w:hanging="360"/>
      </w:pPr>
      <w:rPr>
        <w:rFonts w:ascii="Courier New" w:hAnsi="Courier New" w:cs="Courier New" w:hint="default"/>
      </w:rPr>
    </w:lvl>
    <w:lvl w:ilvl="5" w:tplc="08090005" w:tentative="1">
      <w:start w:val="1"/>
      <w:numFmt w:val="bullet"/>
      <w:lvlText w:val=""/>
      <w:lvlJc w:val="left"/>
      <w:pPr>
        <w:ind w:left="5280" w:hanging="360"/>
      </w:pPr>
      <w:rPr>
        <w:rFonts w:ascii="Wingdings" w:hAnsi="Wingdings" w:hint="default"/>
      </w:rPr>
    </w:lvl>
    <w:lvl w:ilvl="6" w:tplc="08090001" w:tentative="1">
      <w:start w:val="1"/>
      <w:numFmt w:val="bullet"/>
      <w:lvlText w:val=""/>
      <w:lvlJc w:val="left"/>
      <w:pPr>
        <w:ind w:left="6000" w:hanging="360"/>
      </w:pPr>
      <w:rPr>
        <w:rFonts w:ascii="Symbol" w:hAnsi="Symbol" w:hint="default"/>
      </w:rPr>
    </w:lvl>
    <w:lvl w:ilvl="7" w:tplc="08090003" w:tentative="1">
      <w:start w:val="1"/>
      <w:numFmt w:val="bullet"/>
      <w:lvlText w:val="o"/>
      <w:lvlJc w:val="left"/>
      <w:pPr>
        <w:ind w:left="6720" w:hanging="360"/>
      </w:pPr>
      <w:rPr>
        <w:rFonts w:ascii="Courier New" w:hAnsi="Courier New" w:cs="Courier New" w:hint="default"/>
      </w:rPr>
    </w:lvl>
    <w:lvl w:ilvl="8" w:tplc="08090005" w:tentative="1">
      <w:start w:val="1"/>
      <w:numFmt w:val="bullet"/>
      <w:lvlText w:val=""/>
      <w:lvlJc w:val="left"/>
      <w:pPr>
        <w:ind w:left="7440" w:hanging="360"/>
      </w:pPr>
      <w:rPr>
        <w:rFonts w:ascii="Wingdings" w:hAnsi="Wingdings" w:hint="default"/>
      </w:rPr>
    </w:lvl>
  </w:abstractNum>
  <w:abstractNum w:abstractNumId="52" w15:restartNumberingAfterBreak="0">
    <w:nsid w:val="7B6658A8"/>
    <w:multiLevelType w:val="hybridMultilevel"/>
    <w:tmpl w:val="B910093C"/>
    <w:lvl w:ilvl="0" w:tplc="BE50AD9E">
      <w:start w:val="1"/>
      <w:numFmt w:val="bullet"/>
      <w:lvlText w:val=""/>
      <w:lvlJc w:val="left"/>
      <w:pPr>
        <w:ind w:left="6042" w:hanging="360"/>
      </w:pPr>
      <w:rPr>
        <w:rFonts w:ascii="Symbol" w:hAnsi="Symbol" w:hint="default"/>
        <w:b/>
        <w:strike w:val="0"/>
        <w:dstrike w:val="0"/>
        <w:color w:val="auto"/>
        <w:sz w:val="20"/>
        <w:u w:val="none"/>
        <w:effect w:val="none"/>
      </w:rPr>
    </w:lvl>
    <w:lvl w:ilvl="1" w:tplc="44FE2B32">
      <w:start w:val="3"/>
      <w:numFmt w:val="bullet"/>
      <w:lvlText w:val="-"/>
      <w:lvlJc w:val="left"/>
      <w:pPr>
        <w:ind w:left="2400" w:hanging="360"/>
      </w:pPr>
      <w:rPr>
        <w:rFonts w:ascii="Times New Roman" w:eastAsia="Calibri" w:hAnsi="Times New Roman" w:cs="Times New Roman" w:hint="default"/>
        <w:color w:val="auto"/>
      </w:rPr>
    </w:lvl>
    <w:lvl w:ilvl="2" w:tplc="08090005">
      <w:start w:val="1"/>
      <w:numFmt w:val="bullet"/>
      <w:lvlText w:val=""/>
      <w:lvlJc w:val="left"/>
      <w:pPr>
        <w:ind w:left="3120" w:hanging="360"/>
      </w:pPr>
      <w:rPr>
        <w:rFonts w:ascii="Wingdings" w:hAnsi="Wingdings" w:hint="default"/>
      </w:rPr>
    </w:lvl>
    <w:lvl w:ilvl="3" w:tplc="08090001">
      <w:start w:val="1"/>
      <w:numFmt w:val="bullet"/>
      <w:lvlText w:val=""/>
      <w:lvlJc w:val="left"/>
      <w:pPr>
        <w:ind w:left="3840" w:hanging="360"/>
      </w:pPr>
      <w:rPr>
        <w:rFonts w:ascii="Symbol" w:hAnsi="Symbol" w:hint="default"/>
      </w:rPr>
    </w:lvl>
    <w:lvl w:ilvl="4" w:tplc="08090003" w:tentative="1">
      <w:start w:val="1"/>
      <w:numFmt w:val="bullet"/>
      <w:lvlText w:val="o"/>
      <w:lvlJc w:val="left"/>
      <w:pPr>
        <w:ind w:left="4560" w:hanging="360"/>
      </w:pPr>
      <w:rPr>
        <w:rFonts w:ascii="Courier New" w:hAnsi="Courier New" w:cs="Courier New" w:hint="default"/>
      </w:rPr>
    </w:lvl>
    <w:lvl w:ilvl="5" w:tplc="08090005" w:tentative="1">
      <w:start w:val="1"/>
      <w:numFmt w:val="bullet"/>
      <w:lvlText w:val=""/>
      <w:lvlJc w:val="left"/>
      <w:pPr>
        <w:ind w:left="5280" w:hanging="360"/>
      </w:pPr>
      <w:rPr>
        <w:rFonts w:ascii="Wingdings" w:hAnsi="Wingdings" w:hint="default"/>
      </w:rPr>
    </w:lvl>
    <w:lvl w:ilvl="6" w:tplc="08090001" w:tentative="1">
      <w:start w:val="1"/>
      <w:numFmt w:val="bullet"/>
      <w:lvlText w:val=""/>
      <w:lvlJc w:val="left"/>
      <w:pPr>
        <w:ind w:left="6000" w:hanging="360"/>
      </w:pPr>
      <w:rPr>
        <w:rFonts w:ascii="Symbol" w:hAnsi="Symbol" w:hint="default"/>
      </w:rPr>
    </w:lvl>
    <w:lvl w:ilvl="7" w:tplc="08090003" w:tentative="1">
      <w:start w:val="1"/>
      <w:numFmt w:val="bullet"/>
      <w:lvlText w:val="o"/>
      <w:lvlJc w:val="left"/>
      <w:pPr>
        <w:ind w:left="6720" w:hanging="360"/>
      </w:pPr>
      <w:rPr>
        <w:rFonts w:ascii="Courier New" w:hAnsi="Courier New" w:cs="Courier New" w:hint="default"/>
      </w:rPr>
    </w:lvl>
    <w:lvl w:ilvl="8" w:tplc="08090005" w:tentative="1">
      <w:start w:val="1"/>
      <w:numFmt w:val="bullet"/>
      <w:lvlText w:val=""/>
      <w:lvlJc w:val="left"/>
      <w:pPr>
        <w:ind w:left="7440" w:hanging="360"/>
      </w:pPr>
      <w:rPr>
        <w:rFonts w:ascii="Wingdings" w:hAnsi="Wingdings" w:hint="default"/>
      </w:rPr>
    </w:lvl>
  </w:abstractNum>
  <w:num w:numId="1">
    <w:abstractNumId w:val="1"/>
  </w:num>
  <w:num w:numId="2">
    <w:abstractNumId w:val="0"/>
  </w:num>
  <w:num w:numId="3">
    <w:abstractNumId w:val="24"/>
  </w:num>
  <w:num w:numId="4">
    <w:abstractNumId w:val="13"/>
  </w:num>
  <w:num w:numId="5">
    <w:abstractNumId w:val="34"/>
  </w:num>
  <w:num w:numId="6">
    <w:abstractNumId w:val="37"/>
  </w:num>
  <w:num w:numId="7">
    <w:abstractNumId w:val="20"/>
  </w:num>
  <w:num w:numId="8">
    <w:abstractNumId w:val="12"/>
  </w:num>
  <w:num w:numId="9">
    <w:abstractNumId w:val="38"/>
  </w:num>
  <w:num w:numId="10">
    <w:abstractNumId w:val="41"/>
  </w:num>
  <w:num w:numId="11">
    <w:abstractNumId w:val="27"/>
  </w:num>
  <w:num w:numId="12">
    <w:abstractNumId w:val="5"/>
  </w:num>
  <w:num w:numId="13">
    <w:abstractNumId w:val="7"/>
  </w:num>
  <w:num w:numId="14">
    <w:abstractNumId w:val="19"/>
  </w:num>
  <w:num w:numId="15">
    <w:abstractNumId w:val="14"/>
  </w:num>
  <w:num w:numId="16">
    <w:abstractNumId w:val="49"/>
  </w:num>
  <w:num w:numId="17">
    <w:abstractNumId w:val="44"/>
  </w:num>
  <w:num w:numId="18">
    <w:abstractNumId w:val="33"/>
  </w:num>
  <w:num w:numId="19">
    <w:abstractNumId w:val="45"/>
  </w:num>
  <w:num w:numId="20">
    <w:abstractNumId w:val="29"/>
  </w:num>
  <w:num w:numId="21">
    <w:abstractNumId w:val="15"/>
  </w:num>
  <w:num w:numId="22">
    <w:abstractNumId w:val="50"/>
  </w:num>
  <w:num w:numId="23">
    <w:abstractNumId w:val="26"/>
  </w:num>
  <w:num w:numId="24">
    <w:abstractNumId w:val="16"/>
  </w:num>
  <w:num w:numId="25">
    <w:abstractNumId w:val="10"/>
  </w:num>
  <w:num w:numId="26">
    <w:abstractNumId w:val="22"/>
  </w:num>
  <w:num w:numId="27">
    <w:abstractNumId w:val="46"/>
  </w:num>
  <w:num w:numId="28">
    <w:abstractNumId w:val="47"/>
  </w:num>
  <w:num w:numId="29">
    <w:abstractNumId w:val="31"/>
  </w:num>
  <w:num w:numId="30">
    <w:abstractNumId w:val="43"/>
  </w:num>
  <w:num w:numId="31">
    <w:abstractNumId w:val="30"/>
  </w:num>
  <w:num w:numId="32">
    <w:abstractNumId w:val="4"/>
  </w:num>
  <w:num w:numId="33">
    <w:abstractNumId w:val="23"/>
  </w:num>
  <w:num w:numId="34">
    <w:abstractNumId w:val="35"/>
  </w:num>
  <w:num w:numId="35">
    <w:abstractNumId w:val="21"/>
  </w:num>
  <w:num w:numId="36">
    <w:abstractNumId w:val="51"/>
  </w:num>
  <w:num w:numId="37">
    <w:abstractNumId w:val="52"/>
  </w:num>
  <w:num w:numId="38">
    <w:abstractNumId w:val="36"/>
  </w:num>
  <w:num w:numId="39">
    <w:abstractNumId w:val="8"/>
  </w:num>
  <w:num w:numId="40">
    <w:abstractNumId w:val="32"/>
  </w:num>
  <w:num w:numId="41">
    <w:abstractNumId w:val="18"/>
  </w:num>
  <w:num w:numId="42">
    <w:abstractNumId w:val="17"/>
  </w:num>
  <w:num w:numId="43">
    <w:abstractNumId w:val="9"/>
  </w:num>
  <w:num w:numId="44">
    <w:abstractNumId w:val="42"/>
  </w:num>
  <w:num w:numId="45">
    <w:abstractNumId w:val="48"/>
  </w:num>
  <w:num w:numId="46">
    <w:abstractNumId w:val="3"/>
  </w:num>
  <w:num w:numId="47">
    <w:abstractNumId w:val="25"/>
  </w:num>
  <w:num w:numId="48">
    <w:abstractNumId w:val="40"/>
  </w:num>
  <w:num w:numId="49">
    <w:abstractNumId w:val="11"/>
  </w:num>
  <w:num w:numId="50">
    <w:abstractNumId w:val="6"/>
  </w:num>
  <w:num w:numId="51">
    <w:abstractNumId w:val="17"/>
  </w:num>
  <w:num w:numId="52">
    <w:abstractNumId w:val="51"/>
  </w:num>
  <w:num w:numId="53">
    <w:abstractNumId w:val="52"/>
  </w:num>
  <w:num w:numId="54">
    <w:abstractNumId w:val="39"/>
  </w:num>
  <w:num w:numId="55">
    <w:abstractNumId w:val="2"/>
  </w:num>
  <w:num w:numId="56">
    <w:abstractNumId w:val="28"/>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activeWritingStyle w:appName="MSWord" w:lang="en-IE" w:vendorID="64" w:dllVersion="6" w:nlCheck="1" w:checkStyle="1"/>
  <w:activeWritingStyle w:appName="MSWord" w:lang="en-GB" w:vendorID="64" w:dllVersion="6" w:nlCheck="1" w:checkStyle="1"/>
  <w:activeWritingStyle w:appName="MSWord" w:lang="en-US" w:vendorID="64" w:dllVersion="6" w:nlCheck="1" w:checkStyle="1"/>
  <w:activeWritingStyle w:appName="MSWord" w:lang="fr-BE" w:vendorID="64" w:dllVersion="6" w:nlCheck="1" w:checkStyle="0"/>
  <w:activeWritingStyle w:appName="MSWord" w:lang="en-GB" w:vendorID="64" w:dllVersion="4096" w:nlCheck="1" w:checkStyle="0"/>
  <w:activeWritingStyle w:appName="MSWord" w:lang="en-US" w:vendorID="64" w:dllVersion="4096" w:nlCheck="1" w:checkStyle="0"/>
  <w:activeWritingStyle w:appName="MSWord" w:lang="en-IE" w:vendorID="64" w:dllVersion="4096" w:nlCheck="1" w:checkStyle="0"/>
  <w:activeWritingStyle w:appName="MSWord" w:lang="fr-BE" w:vendorID="64" w:dllVersion="4096" w:nlCheck="1" w:checkStyle="0"/>
  <w:activeWritingStyle w:appName="MSWord" w:lang="en-US" w:vendorID="64" w:dllVersion="131078" w:nlCheck="1" w:checkStyle="1"/>
  <w:attachedTemplate r:id="rId1"/>
  <w:doNotTrackFormatting/>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SPE"/>
  </w:docVars>
  <w:rsids>
    <w:rsidRoot w:val="002D3B73"/>
    <w:rsid w:val="0000051B"/>
    <w:rsid w:val="00000525"/>
    <w:rsid w:val="00000A48"/>
    <w:rsid w:val="00000A5A"/>
    <w:rsid w:val="0000139E"/>
    <w:rsid w:val="00001DD9"/>
    <w:rsid w:val="00001F8C"/>
    <w:rsid w:val="00003286"/>
    <w:rsid w:val="000035EC"/>
    <w:rsid w:val="000037EF"/>
    <w:rsid w:val="00003FA6"/>
    <w:rsid w:val="000048FF"/>
    <w:rsid w:val="00004B82"/>
    <w:rsid w:val="00005C2E"/>
    <w:rsid w:val="000106C7"/>
    <w:rsid w:val="00010FB3"/>
    <w:rsid w:val="000110C1"/>
    <w:rsid w:val="0001201B"/>
    <w:rsid w:val="00012DE2"/>
    <w:rsid w:val="00012E3D"/>
    <w:rsid w:val="00012F11"/>
    <w:rsid w:val="0001352B"/>
    <w:rsid w:val="000141AD"/>
    <w:rsid w:val="0001483A"/>
    <w:rsid w:val="000159B8"/>
    <w:rsid w:val="0001642E"/>
    <w:rsid w:val="00017CFE"/>
    <w:rsid w:val="000202D7"/>
    <w:rsid w:val="000207FE"/>
    <w:rsid w:val="0002123A"/>
    <w:rsid w:val="0002138E"/>
    <w:rsid w:val="00022D50"/>
    <w:rsid w:val="00023D49"/>
    <w:rsid w:val="0002436C"/>
    <w:rsid w:val="000259B5"/>
    <w:rsid w:val="00027143"/>
    <w:rsid w:val="0003074D"/>
    <w:rsid w:val="00032658"/>
    <w:rsid w:val="000327FC"/>
    <w:rsid w:val="00032BE9"/>
    <w:rsid w:val="00033DEA"/>
    <w:rsid w:val="000347CD"/>
    <w:rsid w:val="00034DB1"/>
    <w:rsid w:val="00035C88"/>
    <w:rsid w:val="00037DE7"/>
    <w:rsid w:val="000403DA"/>
    <w:rsid w:val="000406B2"/>
    <w:rsid w:val="0004070D"/>
    <w:rsid w:val="000409E8"/>
    <w:rsid w:val="00040B22"/>
    <w:rsid w:val="00040C05"/>
    <w:rsid w:val="00040EE2"/>
    <w:rsid w:val="00042813"/>
    <w:rsid w:val="00042873"/>
    <w:rsid w:val="00042C91"/>
    <w:rsid w:val="000430E6"/>
    <w:rsid w:val="00043815"/>
    <w:rsid w:val="000441AC"/>
    <w:rsid w:val="00044AB8"/>
    <w:rsid w:val="00044C55"/>
    <w:rsid w:val="00045CDD"/>
    <w:rsid w:val="0004651F"/>
    <w:rsid w:val="00047391"/>
    <w:rsid w:val="000476F5"/>
    <w:rsid w:val="00050892"/>
    <w:rsid w:val="000519CE"/>
    <w:rsid w:val="000533A2"/>
    <w:rsid w:val="00053E40"/>
    <w:rsid w:val="000540F7"/>
    <w:rsid w:val="00054936"/>
    <w:rsid w:val="00055750"/>
    <w:rsid w:val="00055DFD"/>
    <w:rsid w:val="00055DFF"/>
    <w:rsid w:val="000564AA"/>
    <w:rsid w:val="00056563"/>
    <w:rsid w:val="00056731"/>
    <w:rsid w:val="000574C6"/>
    <w:rsid w:val="000579AF"/>
    <w:rsid w:val="00057FF3"/>
    <w:rsid w:val="000603B7"/>
    <w:rsid w:val="0006041C"/>
    <w:rsid w:val="00062A81"/>
    <w:rsid w:val="00063141"/>
    <w:rsid w:val="000631BD"/>
    <w:rsid w:val="0006410B"/>
    <w:rsid w:val="0006529A"/>
    <w:rsid w:val="0006612A"/>
    <w:rsid w:val="00066732"/>
    <w:rsid w:val="000669DF"/>
    <w:rsid w:val="00066C05"/>
    <w:rsid w:val="00067BF2"/>
    <w:rsid w:val="00067F09"/>
    <w:rsid w:val="000705E3"/>
    <w:rsid w:val="00070E82"/>
    <w:rsid w:val="00071CBE"/>
    <w:rsid w:val="000720E9"/>
    <w:rsid w:val="00072B1A"/>
    <w:rsid w:val="00072FAA"/>
    <w:rsid w:val="0007449D"/>
    <w:rsid w:val="000748C0"/>
    <w:rsid w:val="00076EE7"/>
    <w:rsid w:val="000775A9"/>
    <w:rsid w:val="00077DA3"/>
    <w:rsid w:val="0008000A"/>
    <w:rsid w:val="00080676"/>
    <w:rsid w:val="00080CD4"/>
    <w:rsid w:val="00081050"/>
    <w:rsid w:val="00083038"/>
    <w:rsid w:val="000844D0"/>
    <w:rsid w:val="00084A8B"/>
    <w:rsid w:val="00084F8A"/>
    <w:rsid w:val="00085A43"/>
    <w:rsid w:val="00085C68"/>
    <w:rsid w:val="00085D55"/>
    <w:rsid w:val="00086B61"/>
    <w:rsid w:val="000874E2"/>
    <w:rsid w:val="000877BA"/>
    <w:rsid w:val="000900C2"/>
    <w:rsid w:val="00090A5C"/>
    <w:rsid w:val="00090C7F"/>
    <w:rsid w:val="00091DCA"/>
    <w:rsid w:val="00092B41"/>
    <w:rsid w:val="0009406D"/>
    <w:rsid w:val="000940AB"/>
    <w:rsid w:val="00095DCB"/>
    <w:rsid w:val="000961CB"/>
    <w:rsid w:val="00096F77"/>
    <w:rsid w:val="0009731E"/>
    <w:rsid w:val="000A2D67"/>
    <w:rsid w:val="000A44D2"/>
    <w:rsid w:val="000A52A2"/>
    <w:rsid w:val="000A7529"/>
    <w:rsid w:val="000B0E7F"/>
    <w:rsid w:val="000B1110"/>
    <w:rsid w:val="000B1BA5"/>
    <w:rsid w:val="000B3314"/>
    <w:rsid w:val="000B3566"/>
    <w:rsid w:val="000B3B01"/>
    <w:rsid w:val="000B4A09"/>
    <w:rsid w:val="000B4B19"/>
    <w:rsid w:val="000B5D31"/>
    <w:rsid w:val="000B616B"/>
    <w:rsid w:val="000B6CED"/>
    <w:rsid w:val="000B7AAC"/>
    <w:rsid w:val="000C0763"/>
    <w:rsid w:val="000C07E1"/>
    <w:rsid w:val="000C16B4"/>
    <w:rsid w:val="000C1E59"/>
    <w:rsid w:val="000C25DF"/>
    <w:rsid w:val="000C270E"/>
    <w:rsid w:val="000C3756"/>
    <w:rsid w:val="000C3922"/>
    <w:rsid w:val="000C4CCF"/>
    <w:rsid w:val="000C4EB7"/>
    <w:rsid w:val="000C6DE8"/>
    <w:rsid w:val="000C7A98"/>
    <w:rsid w:val="000C7B7C"/>
    <w:rsid w:val="000D1C8D"/>
    <w:rsid w:val="000D3C05"/>
    <w:rsid w:val="000D4912"/>
    <w:rsid w:val="000D50F6"/>
    <w:rsid w:val="000D51E7"/>
    <w:rsid w:val="000D56C6"/>
    <w:rsid w:val="000D5E35"/>
    <w:rsid w:val="000D6EA6"/>
    <w:rsid w:val="000D76FB"/>
    <w:rsid w:val="000D7BF7"/>
    <w:rsid w:val="000D7F89"/>
    <w:rsid w:val="000E019B"/>
    <w:rsid w:val="000E1047"/>
    <w:rsid w:val="000E1ECB"/>
    <w:rsid w:val="000E2A38"/>
    <w:rsid w:val="000E2BBE"/>
    <w:rsid w:val="000E44DA"/>
    <w:rsid w:val="000E45DE"/>
    <w:rsid w:val="000E5797"/>
    <w:rsid w:val="000E7913"/>
    <w:rsid w:val="000F0038"/>
    <w:rsid w:val="000F05DF"/>
    <w:rsid w:val="000F076B"/>
    <w:rsid w:val="000F12E4"/>
    <w:rsid w:val="000F1647"/>
    <w:rsid w:val="000F2BA5"/>
    <w:rsid w:val="000F2CDF"/>
    <w:rsid w:val="000F42B6"/>
    <w:rsid w:val="000F4465"/>
    <w:rsid w:val="000F4F5F"/>
    <w:rsid w:val="000F5190"/>
    <w:rsid w:val="000F7C97"/>
    <w:rsid w:val="00100A73"/>
    <w:rsid w:val="00100E82"/>
    <w:rsid w:val="0010315E"/>
    <w:rsid w:val="00103386"/>
    <w:rsid w:val="00104A19"/>
    <w:rsid w:val="00105745"/>
    <w:rsid w:val="00106AA7"/>
    <w:rsid w:val="00110267"/>
    <w:rsid w:val="00110F16"/>
    <w:rsid w:val="00110FFB"/>
    <w:rsid w:val="00112304"/>
    <w:rsid w:val="001126AE"/>
    <w:rsid w:val="00113044"/>
    <w:rsid w:val="00113B96"/>
    <w:rsid w:val="00114C13"/>
    <w:rsid w:val="001154D2"/>
    <w:rsid w:val="001160B5"/>
    <w:rsid w:val="00116930"/>
    <w:rsid w:val="00117796"/>
    <w:rsid w:val="00120B0A"/>
    <w:rsid w:val="001213F5"/>
    <w:rsid w:val="00122451"/>
    <w:rsid w:val="00122581"/>
    <w:rsid w:val="00124050"/>
    <w:rsid w:val="00124570"/>
    <w:rsid w:val="00124700"/>
    <w:rsid w:val="00125355"/>
    <w:rsid w:val="00126429"/>
    <w:rsid w:val="00126457"/>
    <w:rsid w:val="0013083E"/>
    <w:rsid w:val="001308C1"/>
    <w:rsid w:val="00130A12"/>
    <w:rsid w:val="0013108F"/>
    <w:rsid w:val="00131E3D"/>
    <w:rsid w:val="0013220F"/>
    <w:rsid w:val="00132D48"/>
    <w:rsid w:val="0013453E"/>
    <w:rsid w:val="0013535F"/>
    <w:rsid w:val="001353AE"/>
    <w:rsid w:val="00135608"/>
    <w:rsid w:val="00137215"/>
    <w:rsid w:val="0013737B"/>
    <w:rsid w:val="001411B2"/>
    <w:rsid w:val="001414A1"/>
    <w:rsid w:val="00141525"/>
    <w:rsid w:val="001419A7"/>
    <w:rsid w:val="001423B4"/>
    <w:rsid w:val="00142C5E"/>
    <w:rsid w:val="0014507F"/>
    <w:rsid w:val="001459B6"/>
    <w:rsid w:val="00146F2C"/>
    <w:rsid w:val="001472F2"/>
    <w:rsid w:val="001474DC"/>
    <w:rsid w:val="0014766E"/>
    <w:rsid w:val="00150E42"/>
    <w:rsid w:val="001517B5"/>
    <w:rsid w:val="00153478"/>
    <w:rsid w:val="0015357F"/>
    <w:rsid w:val="00153739"/>
    <w:rsid w:val="00153A24"/>
    <w:rsid w:val="00153B98"/>
    <w:rsid w:val="0015466F"/>
    <w:rsid w:val="0015637F"/>
    <w:rsid w:val="00157676"/>
    <w:rsid w:val="001576C9"/>
    <w:rsid w:val="00160B9C"/>
    <w:rsid w:val="00161D60"/>
    <w:rsid w:val="0016264E"/>
    <w:rsid w:val="00162E65"/>
    <w:rsid w:val="001635D2"/>
    <w:rsid w:val="00163978"/>
    <w:rsid w:val="00163D11"/>
    <w:rsid w:val="0016419A"/>
    <w:rsid w:val="00164967"/>
    <w:rsid w:val="00165594"/>
    <w:rsid w:val="0016636F"/>
    <w:rsid w:val="0016763E"/>
    <w:rsid w:val="001676F2"/>
    <w:rsid w:val="001700CE"/>
    <w:rsid w:val="001726C0"/>
    <w:rsid w:val="00172ED6"/>
    <w:rsid w:val="001748F1"/>
    <w:rsid w:val="00175DFA"/>
    <w:rsid w:val="00176C03"/>
    <w:rsid w:val="001779E7"/>
    <w:rsid w:val="0018247A"/>
    <w:rsid w:val="001829E2"/>
    <w:rsid w:val="00182DAD"/>
    <w:rsid w:val="0018363C"/>
    <w:rsid w:val="00183AE4"/>
    <w:rsid w:val="00183D94"/>
    <w:rsid w:val="00184020"/>
    <w:rsid w:val="001843A6"/>
    <w:rsid w:val="001861E8"/>
    <w:rsid w:val="00186842"/>
    <w:rsid w:val="00187D00"/>
    <w:rsid w:val="001902B0"/>
    <w:rsid w:val="001908CC"/>
    <w:rsid w:val="00193767"/>
    <w:rsid w:val="00193DFE"/>
    <w:rsid w:val="00196064"/>
    <w:rsid w:val="0019779F"/>
    <w:rsid w:val="001A072F"/>
    <w:rsid w:val="001A1008"/>
    <w:rsid w:val="001A2CE3"/>
    <w:rsid w:val="001A46FD"/>
    <w:rsid w:val="001A6421"/>
    <w:rsid w:val="001A6893"/>
    <w:rsid w:val="001A6F61"/>
    <w:rsid w:val="001A7098"/>
    <w:rsid w:val="001B0962"/>
    <w:rsid w:val="001B1FCC"/>
    <w:rsid w:val="001B2045"/>
    <w:rsid w:val="001B2811"/>
    <w:rsid w:val="001B2CB1"/>
    <w:rsid w:val="001B3E9F"/>
    <w:rsid w:val="001B474E"/>
    <w:rsid w:val="001B502B"/>
    <w:rsid w:val="001B50C2"/>
    <w:rsid w:val="001B5BE8"/>
    <w:rsid w:val="001B6BA4"/>
    <w:rsid w:val="001B6BCF"/>
    <w:rsid w:val="001B7701"/>
    <w:rsid w:val="001B7B9F"/>
    <w:rsid w:val="001C00CC"/>
    <w:rsid w:val="001C0AD9"/>
    <w:rsid w:val="001C0E99"/>
    <w:rsid w:val="001C1672"/>
    <w:rsid w:val="001C2FB2"/>
    <w:rsid w:val="001C3263"/>
    <w:rsid w:val="001C3D41"/>
    <w:rsid w:val="001C475C"/>
    <w:rsid w:val="001C4949"/>
    <w:rsid w:val="001C4C95"/>
    <w:rsid w:val="001C500C"/>
    <w:rsid w:val="001C5EA3"/>
    <w:rsid w:val="001C662D"/>
    <w:rsid w:val="001C6816"/>
    <w:rsid w:val="001C72D4"/>
    <w:rsid w:val="001C7B38"/>
    <w:rsid w:val="001D0AB4"/>
    <w:rsid w:val="001D0E54"/>
    <w:rsid w:val="001D2DE2"/>
    <w:rsid w:val="001D30CB"/>
    <w:rsid w:val="001D31BD"/>
    <w:rsid w:val="001D43BB"/>
    <w:rsid w:val="001D4463"/>
    <w:rsid w:val="001D55FB"/>
    <w:rsid w:val="001D5814"/>
    <w:rsid w:val="001E01C6"/>
    <w:rsid w:val="001E04FA"/>
    <w:rsid w:val="001E0C5C"/>
    <w:rsid w:val="001E15BE"/>
    <w:rsid w:val="001E1800"/>
    <w:rsid w:val="001E1AEC"/>
    <w:rsid w:val="001E1BE2"/>
    <w:rsid w:val="001E1CBA"/>
    <w:rsid w:val="001E255E"/>
    <w:rsid w:val="001E2740"/>
    <w:rsid w:val="001E2EBB"/>
    <w:rsid w:val="001E2F81"/>
    <w:rsid w:val="001E30E9"/>
    <w:rsid w:val="001E3955"/>
    <w:rsid w:val="001E3EA8"/>
    <w:rsid w:val="001E4200"/>
    <w:rsid w:val="001E4B93"/>
    <w:rsid w:val="001E5AB8"/>
    <w:rsid w:val="001E5EE2"/>
    <w:rsid w:val="001E6C28"/>
    <w:rsid w:val="001E7636"/>
    <w:rsid w:val="001E79F5"/>
    <w:rsid w:val="001F0617"/>
    <w:rsid w:val="001F0FF9"/>
    <w:rsid w:val="001F1744"/>
    <w:rsid w:val="001F2C8E"/>
    <w:rsid w:val="001F3514"/>
    <w:rsid w:val="001F41D6"/>
    <w:rsid w:val="001F48DD"/>
    <w:rsid w:val="001F496B"/>
    <w:rsid w:val="001F5633"/>
    <w:rsid w:val="001F5C93"/>
    <w:rsid w:val="001F5F4B"/>
    <w:rsid w:val="001F71FE"/>
    <w:rsid w:val="001F7AA8"/>
    <w:rsid w:val="002009C9"/>
    <w:rsid w:val="00200E9E"/>
    <w:rsid w:val="002021BA"/>
    <w:rsid w:val="0020287A"/>
    <w:rsid w:val="00202AF1"/>
    <w:rsid w:val="00203A19"/>
    <w:rsid w:val="00203BEE"/>
    <w:rsid w:val="002043EA"/>
    <w:rsid w:val="002043F8"/>
    <w:rsid w:val="0020658B"/>
    <w:rsid w:val="002075A1"/>
    <w:rsid w:val="002076E6"/>
    <w:rsid w:val="00207BC7"/>
    <w:rsid w:val="002102D6"/>
    <w:rsid w:val="002106EC"/>
    <w:rsid w:val="0021096D"/>
    <w:rsid w:val="00211623"/>
    <w:rsid w:val="00211FA8"/>
    <w:rsid w:val="00212608"/>
    <w:rsid w:val="002126F7"/>
    <w:rsid w:val="00213368"/>
    <w:rsid w:val="00215EBF"/>
    <w:rsid w:val="00215FE6"/>
    <w:rsid w:val="002162FB"/>
    <w:rsid w:val="00216695"/>
    <w:rsid w:val="00216B86"/>
    <w:rsid w:val="00216E4E"/>
    <w:rsid w:val="00217CDB"/>
    <w:rsid w:val="00217F79"/>
    <w:rsid w:val="002213F5"/>
    <w:rsid w:val="002223F4"/>
    <w:rsid w:val="00222569"/>
    <w:rsid w:val="002249CB"/>
    <w:rsid w:val="00224B98"/>
    <w:rsid w:val="00225CDB"/>
    <w:rsid w:val="002262D8"/>
    <w:rsid w:val="00226925"/>
    <w:rsid w:val="00226E81"/>
    <w:rsid w:val="00227897"/>
    <w:rsid w:val="00227920"/>
    <w:rsid w:val="00227E2C"/>
    <w:rsid w:val="00227F45"/>
    <w:rsid w:val="00230B1A"/>
    <w:rsid w:val="002316D2"/>
    <w:rsid w:val="00232672"/>
    <w:rsid w:val="00232714"/>
    <w:rsid w:val="00232AAB"/>
    <w:rsid w:val="002331E1"/>
    <w:rsid w:val="00233324"/>
    <w:rsid w:val="002335B4"/>
    <w:rsid w:val="002337F3"/>
    <w:rsid w:val="00233DD6"/>
    <w:rsid w:val="0023435A"/>
    <w:rsid w:val="00234787"/>
    <w:rsid w:val="0023497E"/>
    <w:rsid w:val="00234D67"/>
    <w:rsid w:val="0023505E"/>
    <w:rsid w:val="00235136"/>
    <w:rsid w:val="00235353"/>
    <w:rsid w:val="002367CF"/>
    <w:rsid w:val="00237101"/>
    <w:rsid w:val="002379D7"/>
    <w:rsid w:val="00240B89"/>
    <w:rsid w:val="00241A83"/>
    <w:rsid w:val="00245408"/>
    <w:rsid w:val="00246005"/>
    <w:rsid w:val="0024698E"/>
    <w:rsid w:val="00251391"/>
    <w:rsid w:val="00251717"/>
    <w:rsid w:val="00251796"/>
    <w:rsid w:val="00251A4A"/>
    <w:rsid w:val="002525BF"/>
    <w:rsid w:val="002530F5"/>
    <w:rsid w:val="00253342"/>
    <w:rsid w:val="00254BF2"/>
    <w:rsid w:val="00255991"/>
    <w:rsid w:val="00255B9B"/>
    <w:rsid w:val="00255D06"/>
    <w:rsid w:val="0025760C"/>
    <w:rsid w:val="00260449"/>
    <w:rsid w:val="00260EAA"/>
    <w:rsid w:val="002617A8"/>
    <w:rsid w:val="00263630"/>
    <w:rsid w:val="00264DEA"/>
    <w:rsid w:val="00265517"/>
    <w:rsid w:val="00265DC9"/>
    <w:rsid w:val="00267060"/>
    <w:rsid w:val="00267836"/>
    <w:rsid w:val="00267F07"/>
    <w:rsid w:val="002708CB"/>
    <w:rsid w:val="00271AB7"/>
    <w:rsid w:val="002729E1"/>
    <w:rsid w:val="00272B57"/>
    <w:rsid w:val="00272BB5"/>
    <w:rsid w:val="00272D41"/>
    <w:rsid w:val="00273127"/>
    <w:rsid w:val="00273926"/>
    <w:rsid w:val="00273AA8"/>
    <w:rsid w:val="00275734"/>
    <w:rsid w:val="00275C13"/>
    <w:rsid w:val="00275F15"/>
    <w:rsid w:val="00276A20"/>
    <w:rsid w:val="00276AD7"/>
    <w:rsid w:val="00277012"/>
    <w:rsid w:val="00280015"/>
    <w:rsid w:val="00281602"/>
    <w:rsid w:val="00281EE3"/>
    <w:rsid w:val="00281FD3"/>
    <w:rsid w:val="002831DC"/>
    <w:rsid w:val="0028341F"/>
    <w:rsid w:val="002838AF"/>
    <w:rsid w:val="00283FD1"/>
    <w:rsid w:val="002848E9"/>
    <w:rsid w:val="00285FAD"/>
    <w:rsid w:val="00286CD6"/>
    <w:rsid w:val="00287A04"/>
    <w:rsid w:val="00287C90"/>
    <w:rsid w:val="00287DA1"/>
    <w:rsid w:val="00290E14"/>
    <w:rsid w:val="00292B1E"/>
    <w:rsid w:val="002940C5"/>
    <w:rsid w:val="002944ED"/>
    <w:rsid w:val="00294E84"/>
    <w:rsid w:val="0029520E"/>
    <w:rsid w:val="00295890"/>
    <w:rsid w:val="002961CB"/>
    <w:rsid w:val="00296418"/>
    <w:rsid w:val="00296BAF"/>
    <w:rsid w:val="002A0310"/>
    <w:rsid w:val="002A0377"/>
    <w:rsid w:val="002A0D54"/>
    <w:rsid w:val="002A0D8F"/>
    <w:rsid w:val="002A2349"/>
    <w:rsid w:val="002A2DCC"/>
    <w:rsid w:val="002A32D8"/>
    <w:rsid w:val="002A3A8F"/>
    <w:rsid w:val="002A40EA"/>
    <w:rsid w:val="002A4C1A"/>
    <w:rsid w:val="002A58F5"/>
    <w:rsid w:val="002A6432"/>
    <w:rsid w:val="002A65C3"/>
    <w:rsid w:val="002A73C4"/>
    <w:rsid w:val="002A7E19"/>
    <w:rsid w:val="002B0EB1"/>
    <w:rsid w:val="002B160C"/>
    <w:rsid w:val="002B1C03"/>
    <w:rsid w:val="002B1E9E"/>
    <w:rsid w:val="002B457A"/>
    <w:rsid w:val="002B46C0"/>
    <w:rsid w:val="002B4F5E"/>
    <w:rsid w:val="002B5BD3"/>
    <w:rsid w:val="002B5DFF"/>
    <w:rsid w:val="002B5F2A"/>
    <w:rsid w:val="002B5FF8"/>
    <w:rsid w:val="002B620A"/>
    <w:rsid w:val="002B6833"/>
    <w:rsid w:val="002B7DA9"/>
    <w:rsid w:val="002C0EE6"/>
    <w:rsid w:val="002C0FED"/>
    <w:rsid w:val="002C10A7"/>
    <w:rsid w:val="002C1210"/>
    <w:rsid w:val="002C20A1"/>
    <w:rsid w:val="002C23D9"/>
    <w:rsid w:val="002C2980"/>
    <w:rsid w:val="002C2F1C"/>
    <w:rsid w:val="002C4129"/>
    <w:rsid w:val="002C4532"/>
    <w:rsid w:val="002C4717"/>
    <w:rsid w:val="002C50CE"/>
    <w:rsid w:val="002C533F"/>
    <w:rsid w:val="002C59EC"/>
    <w:rsid w:val="002C6F35"/>
    <w:rsid w:val="002C767E"/>
    <w:rsid w:val="002C7B37"/>
    <w:rsid w:val="002D033E"/>
    <w:rsid w:val="002D0C6B"/>
    <w:rsid w:val="002D1390"/>
    <w:rsid w:val="002D27D8"/>
    <w:rsid w:val="002D2A17"/>
    <w:rsid w:val="002D34E3"/>
    <w:rsid w:val="002D38BA"/>
    <w:rsid w:val="002D3B73"/>
    <w:rsid w:val="002D4583"/>
    <w:rsid w:val="002D5C6E"/>
    <w:rsid w:val="002D5FF3"/>
    <w:rsid w:val="002D6FA3"/>
    <w:rsid w:val="002E0795"/>
    <w:rsid w:val="002E161C"/>
    <w:rsid w:val="002E1642"/>
    <w:rsid w:val="002E166B"/>
    <w:rsid w:val="002E432D"/>
    <w:rsid w:val="002E58E3"/>
    <w:rsid w:val="002E5DAF"/>
    <w:rsid w:val="002E5F62"/>
    <w:rsid w:val="002E648A"/>
    <w:rsid w:val="002E64EF"/>
    <w:rsid w:val="002E66FE"/>
    <w:rsid w:val="002E6A2B"/>
    <w:rsid w:val="002E7203"/>
    <w:rsid w:val="002F1583"/>
    <w:rsid w:val="002F1E99"/>
    <w:rsid w:val="002F2FA5"/>
    <w:rsid w:val="002F5CEF"/>
    <w:rsid w:val="002F5F41"/>
    <w:rsid w:val="002F62D3"/>
    <w:rsid w:val="002F6C8E"/>
    <w:rsid w:val="002F749B"/>
    <w:rsid w:val="002F7EBB"/>
    <w:rsid w:val="0030065F"/>
    <w:rsid w:val="00300B20"/>
    <w:rsid w:val="003010B4"/>
    <w:rsid w:val="00301FE1"/>
    <w:rsid w:val="00304D48"/>
    <w:rsid w:val="00304EAE"/>
    <w:rsid w:val="0030558C"/>
    <w:rsid w:val="00306761"/>
    <w:rsid w:val="003069C4"/>
    <w:rsid w:val="00306BA1"/>
    <w:rsid w:val="00306E47"/>
    <w:rsid w:val="00307C01"/>
    <w:rsid w:val="00307C2C"/>
    <w:rsid w:val="00310A7B"/>
    <w:rsid w:val="00310FF1"/>
    <w:rsid w:val="003113BA"/>
    <w:rsid w:val="00311927"/>
    <w:rsid w:val="00311E4D"/>
    <w:rsid w:val="00312A94"/>
    <w:rsid w:val="0031505F"/>
    <w:rsid w:val="003164D2"/>
    <w:rsid w:val="00320922"/>
    <w:rsid w:val="00321BAD"/>
    <w:rsid w:val="00322207"/>
    <w:rsid w:val="00322FF6"/>
    <w:rsid w:val="003242ED"/>
    <w:rsid w:val="00324907"/>
    <w:rsid w:val="00326330"/>
    <w:rsid w:val="0032716B"/>
    <w:rsid w:val="00330493"/>
    <w:rsid w:val="00330BDA"/>
    <w:rsid w:val="00330C5F"/>
    <w:rsid w:val="00331565"/>
    <w:rsid w:val="0033172F"/>
    <w:rsid w:val="00331A7C"/>
    <w:rsid w:val="00331D11"/>
    <w:rsid w:val="00331DA4"/>
    <w:rsid w:val="00332576"/>
    <w:rsid w:val="00334426"/>
    <w:rsid w:val="00334A57"/>
    <w:rsid w:val="00335282"/>
    <w:rsid w:val="003355ED"/>
    <w:rsid w:val="00337943"/>
    <w:rsid w:val="00340303"/>
    <w:rsid w:val="00340A6F"/>
    <w:rsid w:val="003438B0"/>
    <w:rsid w:val="00343F5C"/>
    <w:rsid w:val="003445B7"/>
    <w:rsid w:val="00344979"/>
    <w:rsid w:val="0034512F"/>
    <w:rsid w:val="00350A5F"/>
    <w:rsid w:val="0035258B"/>
    <w:rsid w:val="00352749"/>
    <w:rsid w:val="00352D94"/>
    <w:rsid w:val="00354247"/>
    <w:rsid w:val="003554D8"/>
    <w:rsid w:val="00355AA9"/>
    <w:rsid w:val="00356109"/>
    <w:rsid w:val="00357478"/>
    <w:rsid w:val="003577AB"/>
    <w:rsid w:val="00360B0F"/>
    <w:rsid w:val="00360DB7"/>
    <w:rsid w:val="003611DE"/>
    <w:rsid w:val="00361B67"/>
    <w:rsid w:val="00361E4C"/>
    <w:rsid w:val="00362228"/>
    <w:rsid w:val="00362DC6"/>
    <w:rsid w:val="0036370D"/>
    <w:rsid w:val="00364E24"/>
    <w:rsid w:val="00365131"/>
    <w:rsid w:val="00365722"/>
    <w:rsid w:val="0036681E"/>
    <w:rsid w:val="00366F83"/>
    <w:rsid w:val="003679CC"/>
    <w:rsid w:val="00367C90"/>
    <w:rsid w:val="00370644"/>
    <w:rsid w:val="00370822"/>
    <w:rsid w:val="003711D5"/>
    <w:rsid w:val="0037136D"/>
    <w:rsid w:val="00371666"/>
    <w:rsid w:val="003719A3"/>
    <w:rsid w:val="00371F9B"/>
    <w:rsid w:val="003723B9"/>
    <w:rsid w:val="00372A37"/>
    <w:rsid w:val="00372CBD"/>
    <w:rsid w:val="003754DD"/>
    <w:rsid w:val="003755AF"/>
    <w:rsid w:val="00376DCA"/>
    <w:rsid w:val="003772C3"/>
    <w:rsid w:val="0038046E"/>
    <w:rsid w:val="003829CC"/>
    <w:rsid w:val="00383B16"/>
    <w:rsid w:val="0038460A"/>
    <w:rsid w:val="003851DF"/>
    <w:rsid w:val="003853C8"/>
    <w:rsid w:val="003867AC"/>
    <w:rsid w:val="00386D0C"/>
    <w:rsid w:val="00387C5A"/>
    <w:rsid w:val="00392518"/>
    <w:rsid w:val="00393A61"/>
    <w:rsid w:val="00394579"/>
    <w:rsid w:val="00394787"/>
    <w:rsid w:val="00394AAD"/>
    <w:rsid w:val="00395054"/>
    <w:rsid w:val="00395473"/>
    <w:rsid w:val="0039604C"/>
    <w:rsid w:val="003961E3"/>
    <w:rsid w:val="00396223"/>
    <w:rsid w:val="00396DE5"/>
    <w:rsid w:val="003A0D64"/>
    <w:rsid w:val="003A176D"/>
    <w:rsid w:val="003A212F"/>
    <w:rsid w:val="003A2E53"/>
    <w:rsid w:val="003A3372"/>
    <w:rsid w:val="003A3FD0"/>
    <w:rsid w:val="003A4148"/>
    <w:rsid w:val="003A4575"/>
    <w:rsid w:val="003A47F8"/>
    <w:rsid w:val="003A715F"/>
    <w:rsid w:val="003B09DE"/>
    <w:rsid w:val="003B0F74"/>
    <w:rsid w:val="003B1405"/>
    <w:rsid w:val="003B1582"/>
    <w:rsid w:val="003B178A"/>
    <w:rsid w:val="003B264C"/>
    <w:rsid w:val="003B32E9"/>
    <w:rsid w:val="003B4B40"/>
    <w:rsid w:val="003B5707"/>
    <w:rsid w:val="003B6715"/>
    <w:rsid w:val="003B7331"/>
    <w:rsid w:val="003C0A79"/>
    <w:rsid w:val="003C2252"/>
    <w:rsid w:val="003C26DC"/>
    <w:rsid w:val="003C3B59"/>
    <w:rsid w:val="003C3F4B"/>
    <w:rsid w:val="003C5C9B"/>
    <w:rsid w:val="003C67AF"/>
    <w:rsid w:val="003C6B28"/>
    <w:rsid w:val="003C730A"/>
    <w:rsid w:val="003C7CBB"/>
    <w:rsid w:val="003D1DEB"/>
    <w:rsid w:val="003D2AA7"/>
    <w:rsid w:val="003D3330"/>
    <w:rsid w:val="003D3369"/>
    <w:rsid w:val="003D34A7"/>
    <w:rsid w:val="003D3B6A"/>
    <w:rsid w:val="003D41B5"/>
    <w:rsid w:val="003D4771"/>
    <w:rsid w:val="003D5920"/>
    <w:rsid w:val="003D5D72"/>
    <w:rsid w:val="003D6480"/>
    <w:rsid w:val="003D69DA"/>
    <w:rsid w:val="003D6D73"/>
    <w:rsid w:val="003E00C8"/>
    <w:rsid w:val="003E0309"/>
    <w:rsid w:val="003E0560"/>
    <w:rsid w:val="003E05B4"/>
    <w:rsid w:val="003E06B2"/>
    <w:rsid w:val="003E0820"/>
    <w:rsid w:val="003E0BEB"/>
    <w:rsid w:val="003E2FD9"/>
    <w:rsid w:val="003E316A"/>
    <w:rsid w:val="003E31C6"/>
    <w:rsid w:val="003E3699"/>
    <w:rsid w:val="003E37CB"/>
    <w:rsid w:val="003E4D65"/>
    <w:rsid w:val="003E5A36"/>
    <w:rsid w:val="003E7C49"/>
    <w:rsid w:val="003F067A"/>
    <w:rsid w:val="003F0C0A"/>
    <w:rsid w:val="003F24E7"/>
    <w:rsid w:val="003F2D19"/>
    <w:rsid w:val="003F3371"/>
    <w:rsid w:val="003F3479"/>
    <w:rsid w:val="003F3649"/>
    <w:rsid w:val="003F39D2"/>
    <w:rsid w:val="003F3B36"/>
    <w:rsid w:val="003F56D1"/>
    <w:rsid w:val="003F639F"/>
    <w:rsid w:val="003F75AA"/>
    <w:rsid w:val="003F79A6"/>
    <w:rsid w:val="00400B20"/>
    <w:rsid w:val="004024EC"/>
    <w:rsid w:val="00402508"/>
    <w:rsid w:val="004037C4"/>
    <w:rsid w:val="00403B3A"/>
    <w:rsid w:val="0040586A"/>
    <w:rsid w:val="0040589D"/>
    <w:rsid w:val="00405FC0"/>
    <w:rsid w:val="00406905"/>
    <w:rsid w:val="00407269"/>
    <w:rsid w:val="00407ACF"/>
    <w:rsid w:val="00410071"/>
    <w:rsid w:val="004101B3"/>
    <w:rsid w:val="0041062C"/>
    <w:rsid w:val="0041083A"/>
    <w:rsid w:val="00410FA2"/>
    <w:rsid w:val="00411A36"/>
    <w:rsid w:val="004128FF"/>
    <w:rsid w:val="00413349"/>
    <w:rsid w:val="004143E6"/>
    <w:rsid w:val="00414CC3"/>
    <w:rsid w:val="00414FC5"/>
    <w:rsid w:val="00415040"/>
    <w:rsid w:val="00415ABA"/>
    <w:rsid w:val="00416404"/>
    <w:rsid w:val="00416CB5"/>
    <w:rsid w:val="0041720D"/>
    <w:rsid w:val="00417249"/>
    <w:rsid w:val="004176C8"/>
    <w:rsid w:val="00417F25"/>
    <w:rsid w:val="00421A53"/>
    <w:rsid w:val="00422FE5"/>
    <w:rsid w:val="004233D4"/>
    <w:rsid w:val="004239B1"/>
    <w:rsid w:val="00423E86"/>
    <w:rsid w:val="00424BCF"/>
    <w:rsid w:val="00424FB5"/>
    <w:rsid w:val="00424FD8"/>
    <w:rsid w:val="004255C9"/>
    <w:rsid w:val="004259A8"/>
    <w:rsid w:val="00425BCE"/>
    <w:rsid w:val="00430D18"/>
    <w:rsid w:val="00430DBF"/>
    <w:rsid w:val="00431177"/>
    <w:rsid w:val="0043128A"/>
    <w:rsid w:val="0043197C"/>
    <w:rsid w:val="00432CB9"/>
    <w:rsid w:val="00433592"/>
    <w:rsid w:val="00435348"/>
    <w:rsid w:val="004369FD"/>
    <w:rsid w:val="004371EE"/>
    <w:rsid w:val="004374ED"/>
    <w:rsid w:val="004403D3"/>
    <w:rsid w:val="004405F0"/>
    <w:rsid w:val="00440CB7"/>
    <w:rsid w:val="004418C7"/>
    <w:rsid w:val="0044312F"/>
    <w:rsid w:val="004433CF"/>
    <w:rsid w:val="004445E3"/>
    <w:rsid w:val="00445C60"/>
    <w:rsid w:val="00445C7B"/>
    <w:rsid w:val="00447716"/>
    <w:rsid w:val="00447B43"/>
    <w:rsid w:val="00447CF5"/>
    <w:rsid w:val="00447FA0"/>
    <w:rsid w:val="00450006"/>
    <w:rsid w:val="00450AB1"/>
    <w:rsid w:val="0045120F"/>
    <w:rsid w:val="004530AE"/>
    <w:rsid w:val="00453C2A"/>
    <w:rsid w:val="00453F2C"/>
    <w:rsid w:val="004568AA"/>
    <w:rsid w:val="00456BF0"/>
    <w:rsid w:val="004575B9"/>
    <w:rsid w:val="00460C4C"/>
    <w:rsid w:val="00462AC2"/>
    <w:rsid w:val="00463462"/>
    <w:rsid w:val="004636A3"/>
    <w:rsid w:val="0046495B"/>
    <w:rsid w:val="00464BE2"/>
    <w:rsid w:val="00464E7E"/>
    <w:rsid w:val="0046574F"/>
    <w:rsid w:val="004657E0"/>
    <w:rsid w:val="00465C62"/>
    <w:rsid w:val="0046713C"/>
    <w:rsid w:val="00467975"/>
    <w:rsid w:val="004679F2"/>
    <w:rsid w:val="00467F3D"/>
    <w:rsid w:val="00470840"/>
    <w:rsid w:val="00470CD4"/>
    <w:rsid w:val="004721BB"/>
    <w:rsid w:val="004729C4"/>
    <w:rsid w:val="00473B5A"/>
    <w:rsid w:val="00474F7B"/>
    <w:rsid w:val="00476648"/>
    <w:rsid w:val="00476BF1"/>
    <w:rsid w:val="0047776D"/>
    <w:rsid w:val="00480250"/>
    <w:rsid w:val="004804E3"/>
    <w:rsid w:val="00480C00"/>
    <w:rsid w:val="00480DEE"/>
    <w:rsid w:val="00480F4A"/>
    <w:rsid w:val="00481036"/>
    <w:rsid w:val="0048103F"/>
    <w:rsid w:val="00481ABA"/>
    <w:rsid w:val="00481D22"/>
    <w:rsid w:val="00482173"/>
    <w:rsid w:val="00483663"/>
    <w:rsid w:val="004838D8"/>
    <w:rsid w:val="00484A26"/>
    <w:rsid w:val="00484C34"/>
    <w:rsid w:val="00484EEC"/>
    <w:rsid w:val="004854C3"/>
    <w:rsid w:val="0048592A"/>
    <w:rsid w:val="00486C71"/>
    <w:rsid w:val="004872A5"/>
    <w:rsid w:val="00487DD1"/>
    <w:rsid w:val="0049105D"/>
    <w:rsid w:val="00491491"/>
    <w:rsid w:val="00492AB2"/>
    <w:rsid w:val="00492E32"/>
    <w:rsid w:val="00493027"/>
    <w:rsid w:val="004941EE"/>
    <w:rsid w:val="0049436F"/>
    <w:rsid w:val="00494E0C"/>
    <w:rsid w:val="0049524A"/>
    <w:rsid w:val="004966AF"/>
    <w:rsid w:val="004A0F49"/>
    <w:rsid w:val="004A0FF9"/>
    <w:rsid w:val="004A12F6"/>
    <w:rsid w:val="004A3506"/>
    <w:rsid w:val="004A4299"/>
    <w:rsid w:val="004A47F3"/>
    <w:rsid w:val="004A4A2F"/>
    <w:rsid w:val="004A50B2"/>
    <w:rsid w:val="004A5568"/>
    <w:rsid w:val="004A5C02"/>
    <w:rsid w:val="004A6DA6"/>
    <w:rsid w:val="004A7EE2"/>
    <w:rsid w:val="004B0632"/>
    <w:rsid w:val="004B3884"/>
    <w:rsid w:val="004B3D8D"/>
    <w:rsid w:val="004B3FF4"/>
    <w:rsid w:val="004B4431"/>
    <w:rsid w:val="004B4644"/>
    <w:rsid w:val="004B5D8F"/>
    <w:rsid w:val="004B656C"/>
    <w:rsid w:val="004B71C1"/>
    <w:rsid w:val="004B7E74"/>
    <w:rsid w:val="004C227D"/>
    <w:rsid w:val="004C3274"/>
    <w:rsid w:val="004C3708"/>
    <w:rsid w:val="004C3714"/>
    <w:rsid w:val="004C38A5"/>
    <w:rsid w:val="004C38EF"/>
    <w:rsid w:val="004C3B70"/>
    <w:rsid w:val="004C4D86"/>
    <w:rsid w:val="004C50BC"/>
    <w:rsid w:val="004C52CA"/>
    <w:rsid w:val="004C580F"/>
    <w:rsid w:val="004C6739"/>
    <w:rsid w:val="004C74B9"/>
    <w:rsid w:val="004C7933"/>
    <w:rsid w:val="004C7F26"/>
    <w:rsid w:val="004D0252"/>
    <w:rsid w:val="004D1A80"/>
    <w:rsid w:val="004D1C5D"/>
    <w:rsid w:val="004D29DC"/>
    <w:rsid w:val="004D3031"/>
    <w:rsid w:val="004D3345"/>
    <w:rsid w:val="004D4582"/>
    <w:rsid w:val="004D47EB"/>
    <w:rsid w:val="004D50AA"/>
    <w:rsid w:val="004D58AF"/>
    <w:rsid w:val="004D61CE"/>
    <w:rsid w:val="004D6A8F"/>
    <w:rsid w:val="004D6E09"/>
    <w:rsid w:val="004E0D0B"/>
    <w:rsid w:val="004E1FE8"/>
    <w:rsid w:val="004E2520"/>
    <w:rsid w:val="004E252C"/>
    <w:rsid w:val="004E31A1"/>
    <w:rsid w:val="004E3313"/>
    <w:rsid w:val="004E368D"/>
    <w:rsid w:val="004E3F9E"/>
    <w:rsid w:val="004E4956"/>
    <w:rsid w:val="004E562F"/>
    <w:rsid w:val="004E5815"/>
    <w:rsid w:val="004E5DDD"/>
    <w:rsid w:val="004E666E"/>
    <w:rsid w:val="004E6E2A"/>
    <w:rsid w:val="004E7351"/>
    <w:rsid w:val="004F0A46"/>
    <w:rsid w:val="004F0F5C"/>
    <w:rsid w:val="004F0F95"/>
    <w:rsid w:val="004F11F8"/>
    <w:rsid w:val="004F17FB"/>
    <w:rsid w:val="004F215D"/>
    <w:rsid w:val="004F2655"/>
    <w:rsid w:val="004F2AD7"/>
    <w:rsid w:val="004F2B24"/>
    <w:rsid w:val="004F3579"/>
    <w:rsid w:val="004F4573"/>
    <w:rsid w:val="004F567E"/>
    <w:rsid w:val="004F5A35"/>
    <w:rsid w:val="004F67D6"/>
    <w:rsid w:val="00500DB3"/>
    <w:rsid w:val="005017A9"/>
    <w:rsid w:val="0050192C"/>
    <w:rsid w:val="0050217F"/>
    <w:rsid w:val="005021DA"/>
    <w:rsid w:val="00502D61"/>
    <w:rsid w:val="00503830"/>
    <w:rsid w:val="00503E39"/>
    <w:rsid w:val="0050564B"/>
    <w:rsid w:val="005056C4"/>
    <w:rsid w:val="005056E3"/>
    <w:rsid w:val="005057AA"/>
    <w:rsid w:val="005069FD"/>
    <w:rsid w:val="00510B7E"/>
    <w:rsid w:val="00511AFE"/>
    <w:rsid w:val="005124D8"/>
    <w:rsid w:val="00512ED6"/>
    <w:rsid w:val="005130D1"/>
    <w:rsid w:val="005139EE"/>
    <w:rsid w:val="00513B01"/>
    <w:rsid w:val="00513C67"/>
    <w:rsid w:val="0051495B"/>
    <w:rsid w:val="00516990"/>
    <w:rsid w:val="00516CE9"/>
    <w:rsid w:val="005177B9"/>
    <w:rsid w:val="00517B96"/>
    <w:rsid w:val="00517DDA"/>
    <w:rsid w:val="00520435"/>
    <w:rsid w:val="00520672"/>
    <w:rsid w:val="00521321"/>
    <w:rsid w:val="00521861"/>
    <w:rsid w:val="00521E96"/>
    <w:rsid w:val="005224A7"/>
    <w:rsid w:val="00523F5C"/>
    <w:rsid w:val="00524312"/>
    <w:rsid w:val="00524A7C"/>
    <w:rsid w:val="00524AEC"/>
    <w:rsid w:val="00524E9C"/>
    <w:rsid w:val="00524F18"/>
    <w:rsid w:val="00525B0A"/>
    <w:rsid w:val="00525EA4"/>
    <w:rsid w:val="0052619E"/>
    <w:rsid w:val="005262B6"/>
    <w:rsid w:val="005268B5"/>
    <w:rsid w:val="00526C3C"/>
    <w:rsid w:val="00526CED"/>
    <w:rsid w:val="005279BA"/>
    <w:rsid w:val="00527AC2"/>
    <w:rsid w:val="00531568"/>
    <w:rsid w:val="00533E74"/>
    <w:rsid w:val="00534454"/>
    <w:rsid w:val="005349BE"/>
    <w:rsid w:val="00534B3F"/>
    <w:rsid w:val="00535501"/>
    <w:rsid w:val="00535D88"/>
    <w:rsid w:val="005368DF"/>
    <w:rsid w:val="00536A72"/>
    <w:rsid w:val="00536AE5"/>
    <w:rsid w:val="005374C9"/>
    <w:rsid w:val="00540408"/>
    <w:rsid w:val="005409BA"/>
    <w:rsid w:val="00541C07"/>
    <w:rsid w:val="00541D60"/>
    <w:rsid w:val="00541DA7"/>
    <w:rsid w:val="0054222A"/>
    <w:rsid w:val="005422EA"/>
    <w:rsid w:val="00542F1C"/>
    <w:rsid w:val="00543394"/>
    <w:rsid w:val="00544348"/>
    <w:rsid w:val="0054443A"/>
    <w:rsid w:val="0054444E"/>
    <w:rsid w:val="00544DAC"/>
    <w:rsid w:val="00546332"/>
    <w:rsid w:val="005463DF"/>
    <w:rsid w:val="00546DD7"/>
    <w:rsid w:val="005472B1"/>
    <w:rsid w:val="00547324"/>
    <w:rsid w:val="00547BBA"/>
    <w:rsid w:val="005501B8"/>
    <w:rsid w:val="00551A3E"/>
    <w:rsid w:val="00551E2D"/>
    <w:rsid w:val="005544AC"/>
    <w:rsid w:val="00554ED5"/>
    <w:rsid w:val="00555C2A"/>
    <w:rsid w:val="00557037"/>
    <w:rsid w:val="005571F2"/>
    <w:rsid w:val="00557219"/>
    <w:rsid w:val="00557885"/>
    <w:rsid w:val="005579E1"/>
    <w:rsid w:val="00560625"/>
    <w:rsid w:val="00560BD8"/>
    <w:rsid w:val="00560F9D"/>
    <w:rsid w:val="005616E6"/>
    <w:rsid w:val="005620CD"/>
    <w:rsid w:val="005636A7"/>
    <w:rsid w:val="00563E36"/>
    <w:rsid w:val="0056439B"/>
    <w:rsid w:val="00566371"/>
    <w:rsid w:val="005664DA"/>
    <w:rsid w:val="00566DC2"/>
    <w:rsid w:val="00566FD9"/>
    <w:rsid w:val="0056756C"/>
    <w:rsid w:val="0056758D"/>
    <w:rsid w:val="005710E5"/>
    <w:rsid w:val="005718C8"/>
    <w:rsid w:val="00571EC3"/>
    <w:rsid w:val="00572075"/>
    <w:rsid w:val="00573402"/>
    <w:rsid w:val="00573DD1"/>
    <w:rsid w:val="00574A2D"/>
    <w:rsid w:val="00575FDF"/>
    <w:rsid w:val="005764E8"/>
    <w:rsid w:val="00577C24"/>
    <w:rsid w:val="005802F4"/>
    <w:rsid w:val="00580417"/>
    <w:rsid w:val="00580F68"/>
    <w:rsid w:val="005822CA"/>
    <w:rsid w:val="00582E08"/>
    <w:rsid w:val="005834BE"/>
    <w:rsid w:val="00583CB8"/>
    <w:rsid w:val="00584316"/>
    <w:rsid w:val="00584CD8"/>
    <w:rsid w:val="0058666B"/>
    <w:rsid w:val="00586A26"/>
    <w:rsid w:val="0058799E"/>
    <w:rsid w:val="005906A6"/>
    <w:rsid w:val="00590F35"/>
    <w:rsid w:val="00591C2E"/>
    <w:rsid w:val="0059258C"/>
    <w:rsid w:val="00593F0C"/>
    <w:rsid w:val="0059459C"/>
    <w:rsid w:val="00596FFA"/>
    <w:rsid w:val="00597CCB"/>
    <w:rsid w:val="00597E79"/>
    <w:rsid w:val="005A0402"/>
    <w:rsid w:val="005A1518"/>
    <w:rsid w:val="005A1588"/>
    <w:rsid w:val="005A2014"/>
    <w:rsid w:val="005A21A0"/>
    <w:rsid w:val="005A34ED"/>
    <w:rsid w:val="005A3754"/>
    <w:rsid w:val="005A51C3"/>
    <w:rsid w:val="005A543F"/>
    <w:rsid w:val="005A6DF4"/>
    <w:rsid w:val="005A717A"/>
    <w:rsid w:val="005A7643"/>
    <w:rsid w:val="005A7B1E"/>
    <w:rsid w:val="005B0B1A"/>
    <w:rsid w:val="005B1B1A"/>
    <w:rsid w:val="005B2812"/>
    <w:rsid w:val="005B2A03"/>
    <w:rsid w:val="005B30C6"/>
    <w:rsid w:val="005B387C"/>
    <w:rsid w:val="005B4F3D"/>
    <w:rsid w:val="005B55B8"/>
    <w:rsid w:val="005B5B58"/>
    <w:rsid w:val="005B6AAE"/>
    <w:rsid w:val="005B6E73"/>
    <w:rsid w:val="005B7545"/>
    <w:rsid w:val="005C1535"/>
    <w:rsid w:val="005C3782"/>
    <w:rsid w:val="005C3A23"/>
    <w:rsid w:val="005C41F3"/>
    <w:rsid w:val="005C59D8"/>
    <w:rsid w:val="005C626D"/>
    <w:rsid w:val="005C6FC4"/>
    <w:rsid w:val="005C784E"/>
    <w:rsid w:val="005D16B4"/>
    <w:rsid w:val="005D1DCD"/>
    <w:rsid w:val="005D23EE"/>
    <w:rsid w:val="005D2CCB"/>
    <w:rsid w:val="005D2DA8"/>
    <w:rsid w:val="005D2FD4"/>
    <w:rsid w:val="005D30D4"/>
    <w:rsid w:val="005D31FA"/>
    <w:rsid w:val="005D3F74"/>
    <w:rsid w:val="005D44D0"/>
    <w:rsid w:val="005D4615"/>
    <w:rsid w:val="005D4693"/>
    <w:rsid w:val="005D4E8E"/>
    <w:rsid w:val="005D53CF"/>
    <w:rsid w:val="005D543A"/>
    <w:rsid w:val="005D55CF"/>
    <w:rsid w:val="005D5981"/>
    <w:rsid w:val="005D6631"/>
    <w:rsid w:val="005D7303"/>
    <w:rsid w:val="005D7CB2"/>
    <w:rsid w:val="005E0ACA"/>
    <w:rsid w:val="005E0FAD"/>
    <w:rsid w:val="005E1FE7"/>
    <w:rsid w:val="005E233B"/>
    <w:rsid w:val="005E3615"/>
    <w:rsid w:val="005E363C"/>
    <w:rsid w:val="005E4378"/>
    <w:rsid w:val="005E447B"/>
    <w:rsid w:val="005E5D68"/>
    <w:rsid w:val="005E6063"/>
    <w:rsid w:val="005E6551"/>
    <w:rsid w:val="005E7737"/>
    <w:rsid w:val="005E7B90"/>
    <w:rsid w:val="005F08FC"/>
    <w:rsid w:val="005F0EF2"/>
    <w:rsid w:val="005F20DB"/>
    <w:rsid w:val="005F35A8"/>
    <w:rsid w:val="005F3C2C"/>
    <w:rsid w:val="005F47DE"/>
    <w:rsid w:val="005F4D5E"/>
    <w:rsid w:val="005F534F"/>
    <w:rsid w:val="005F5C18"/>
    <w:rsid w:val="005F5D33"/>
    <w:rsid w:val="005F5E44"/>
    <w:rsid w:val="005F7319"/>
    <w:rsid w:val="005F7B9C"/>
    <w:rsid w:val="005F7FCC"/>
    <w:rsid w:val="006004D2"/>
    <w:rsid w:val="00600A46"/>
    <w:rsid w:val="00600EEA"/>
    <w:rsid w:val="006010BA"/>
    <w:rsid w:val="006016AA"/>
    <w:rsid w:val="006026A3"/>
    <w:rsid w:val="00603850"/>
    <w:rsid w:val="00603CF1"/>
    <w:rsid w:val="006046FD"/>
    <w:rsid w:val="00604B3E"/>
    <w:rsid w:val="00604EC0"/>
    <w:rsid w:val="00604FA0"/>
    <w:rsid w:val="00605221"/>
    <w:rsid w:val="00605D4F"/>
    <w:rsid w:val="0060629E"/>
    <w:rsid w:val="00606CD2"/>
    <w:rsid w:val="006071A7"/>
    <w:rsid w:val="006118FA"/>
    <w:rsid w:val="00611CA3"/>
    <w:rsid w:val="00611E28"/>
    <w:rsid w:val="00612634"/>
    <w:rsid w:val="00612ECF"/>
    <w:rsid w:val="00613EBF"/>
    <w:rsid w:val="006142A5"/>
    <w:rsid w:val="006149F6"/>
    <w:rsid w:val="0061544D"/>
    <w:rsid w:val="00615B82"/>
    <w:rsid w:val="00616089"/>
    <w:rsid w:val="0061648D"/>
    <w:rsid w:val="00616D6E"/>
    <w:rsid w:val="0061767B"/>
    <w:rsid w:val="00617F75"/>
    <w:rsid w:val="006206D7"/>
    <w:rsid w:val="00620DD0"/>
    <w:rsid w:val="006218DA"/>
    <w:rsid w:val="0062273B"/>
    <w:rsid w:val="00622A1F"/>
    <w:rsid w:val="00623078"/>
    <w:rsid w:val="006235EB"/>
    <w:rsid w:val="006238A9"/>
    <w:rsid w:val="00623D2A"/>
    <w:rsid w:val="006241E7"/>
    <w:rsid w:val="006243D0"/>
    <w:rsid w:val="00624941"/>
    <w:rsid w:val="00624EF9"/>
    <w:rsid w:val="006258BA"/>
    <w:rsid w:val="00625B4C"/>
    <w:rsid w:val="006262BB"/>
    <w:rsid w:val="006276A8"/>
    <w:rsid w:val="00630174"/>
    <w:rsid w:val="006312EF"/>
    <w:rsid w:val="00631868"/>
    <w:rsid w:val="006318BA"/>
    <w:rsid w:val="00631A4A"/>
    <w:rsid w:val="00631B5A"/>
    <w:rsid w:val="00633326"/>
    <w:rsid w:val="00633811"/>
    <w:rsid w:val="00634676"/>
    <w:rsid w:val="00635404"/>
    <w:rsid w:val="00636459"/>
    <w:rsid w:val="006367F2"/>
    <w:rsid w:val="00637C88"/>
    <w:rsid w:val="00640BD7"/>
    <w:rsid w:val="00641D36"/>
    <w:rsid w:val="00642048"/>
    <w:rsid w:val="00642572"/>
    <w:rsid w:val="00642650"/>
    <w:rsid w:val="00642769"/>
    <w:rsid w:val="00643041"/>
    <w:rsid w:val="00643CFC"/>
    <w:rsid w:val="006444B9"/>
    <w:rsid w:val="00644A3A"/>
    <w:rsid w:val="00644B4A"/>
    <w:rsid w:val="00644E7B"/>
    <w:rsid w:val="006455A9"/>
    <w:rsid w:val="006456B7"/>
    <w:rsid w:val="006471EB"/>
    <w:rsid w:val="0064752C"/>
    <w:rsid w:val="006511C4"/>
    <w:rsid w:val="00651353"/>
    <w:rsid w:val="00651B25"/>
    <w:rsid w:val="00651DB0"/>
    <w:rsid w:val="0065207E"/>
    <w:rsid w:val="006526A5"/>
    <w:rsid w:val="006527A4"/>
    <w:rsid w:val="00653541"/>
    <w:rsid w:val="00653789"/>
    <w:rsid w:val="00654814"/>
    <w:rsid w:val="00654AF2"/>
    <w:rsid w:val="00654B7A"/>
    <w:rsid w:val="00654C55"/>
    <w:rsid w:val="006557E6"/>
    <w:rsid w:val="00655C06"/>
    <w:rsid w:val="00656CD7"/>
    <w:rsid w:val="00657B32"/>
    <w:rsid w:val="00657ECA"/>
    <w:rsid w:val="0066007A"/>
    <w:rsid w:val="006609DB"/>
    <w:rsid w:val="00660EA8"/>
    <w:rsid w:val="006623D6"/>
    <w:rsid w:val="006629E7"/>
    <w:rsid w:val="00664BE9"/>
    <w:rsid w:val="00664F4F"/>
    <w:rsid w:val="00665256"/>
    <w:rsid w:val="006652B8"/>
    <w:rsid w:val="00665391"/>
    <w:rsid w:val="006654DE"/>
    <w:rsid w:val="006667ED"/>
    <w:rsid w:val="00666B16"/>
    <w:rsid w:val="00666E11"/>
    <w:rsid w:val="00670035"/>
    <w:rsid w:val="00670A9E"/>
    <w:rsid w:val="0067161E"/>
    <w:rsid w:val="00671752"/>
    <w:rsid w:val="00671C1A"/>
    <w:rsid w:val="00671D68"/>
    <w:rsid w:val="00671E3C"/>
    <w:rsid w:val="006727DB"/>
    <w:rsid w:val="00672E2F"/>
    <w:rsid w:val="00673398"/>
    <w:rsid w:val="00674179"/>
    <w:rsid w:val="0067455C"/>
    <w:rsid w:val="00674D50"/>
    <w:rsid w:val="00674DE6"/>
    <w:rsid w:val="00676206"/>
    <w:rsid w:val="00676E32"/>
    <w:rsid w:val="00676FB4"/>
    <w:rsid w:val="006771D1"/>
    <w:rsid w:val="00677403"/>
    <w:rsid w:val="00680756"/>
    <w:rsid w:val="00681690"/>
    <w:rsid w:val="0068190B"/>
    <w:rsid w:val="00682420"/>
    <w:rsid w:val="00682D6E"/>
    <w:rsid w:val="00682D91"/>
    <w:rsid w:val="00682F24"/>
    <w:rsid w:val="00683BCF"/>
    <w:rsid w:val="00683E57"/>
    <w:rsid w:val="00684A76"/>
    <w:rsid w:val="00686978"/>
    <w:rsid w:val="00686C74"/>
    <w:rsid w:val="006874A1"/>
    <w:rsid w:val="006876F8"/>
    <w:rsid w:val="00687F1D"/>
    <w:rsid w:val="00690560"/>
    <w:rsid w:val="0069161E"/>
    <w:rsid w:val="00692A4A"/>
    <w:rsid w:val="00692AF3"/>
    <w:rsid w:val="00692CDE"/>
    <w:rsid w:val="0069312C"/>
    <w:rsid w:val="0069324F"/>
    <w:rsid w:val="00693FD8"/>
    <w:rsid w:val="00694CCC"/>
    <w:rsid w:val="00697866"/>
    <w:rsid w:val="006A0DB8"/>
    <w:rsid w:val="006A25E0"/>
    <w:rsid w:val="006A2FB2"/>
    <w:rsid w:val="006A3894"/>
    <w:rsid w:val="006A4616"/>
    <w:rsid w:val="006A5007"/>
    <w:rsid w:val="006A54FC"/>
    <w:rsid w:val="006A60E1"/>
    <w:rsid w:val="006A6322"/>
    <w:rsid w:val="006A71C4"/>
    <w:rsid w:val="006A7545"/>
    <w:rsid w:val="006B0009"/>
    <w:rsid w:val="006B1AF0"/>
    <w:rsid w:val="006B226C"/>
    <w:rsid w:val="006B2482"/>
    <w:rsid w:val="006B2744"/>
    <w:rsid w:val="006B47BE"/>
    <w:rsid w:val="006B542A"/>
    <w:rsid w:val="006B6615"/>
    <w:rsid w:val="006B739D"/>
    <w:rsid w:val="006B7807"/>
    <w:rsid w:val="006B79E9"/>
    <w:rsid w:val="006C018E"/>
    <w:rsid w:val="006C04DC"/>
    <w:rsid w:val="006C0FBE"/>
    <w:rsid w:val="006C15A9"/>
    <w:rsid w:val="006C28D7"/>
    <w:rsid w:val="006C2D98"/>
    <w:rsid w:val="006C358B"/>
    <w:rsid w:val="006C3E12"/>
    <w:rsid w:val="006C5066"/>
    <w:rsid w:val="006C5768"/>
    <w:rsid w:val="006C6030"/>
    <w:rsid w:val="006C71CA"/>
    <w:rsid w:val="006D0B30"/>
    <w:rsid w:val="006D16C6"/>
    <w:rsid w:val="006D22B3"/>
    <w:rsid w:val="006D3248"/>
    <w:rsid w:val="006D3B46"/>
    <w:rsid w:val="006D52C9"/>
    <w:rsid w:val="006D55B1"/>
    <w:rsid w:val="006E0336"/>
    <w:rsid w:val="006E2A2A"/>
    <w:rsid w:val="006E36A4"/>
    <w:rsid w:val="006E38A9"/>
    <w:rsid w:val="006E39B9"/>
    <w:rsid w:val="006E3DE2"/>
    <w:rsid w:val="006E495F"/>
    <w:rsid w:val="006E4AEE"/>
    <w:rsid w:val="006E54E1"/>
    <w:rsid w:val="006E74C9"/>
    <w:rsid w:val="006F03B2"/>
    <w:rsid w:val="006F0478"/>
    <w:rsid w:val="006F137B"/>
    <w:rsid w:val="006F156E"/>
    <w:rsid w:val="006F18E6"/>
    <w:rsid w:val="006F1CE9"/>
    <w:rsid w:val="006F201C"/>
    <w:rsid w:val="006F2DBF"/>
    <w:rsid w:val="006F3878"/>
    <w:rsid w:val="006F4531"/>
    <w:rsid w:val="006F484D"/>
    <w:rsid w:val="006F58BD"/>
    <w:rsid w:val="006F6C37"/>
    <w:rsid w:val="006F6DCF"/>
    <w:rsid w:val="006F7CFD"/>
    <w:rsid w:val="0070044A"/>
    <w:rsid w:val="00703DF7"/>
    <w:rsid w:val="0070479F"/>
    <w:rsid w:val="00705BA8"/>
    <w:rsid w:val="00705FEB"/>
    <w:rsid w:val="00706677"/>
    <w:rsid w:val="00706BC3"/>
    <w:rsid w:val="007107C6"/>
    <w:rsid w:val="007112CE"/>
    <w:rsid w:val="0071138E"/>
    <w:rsid w:val="00711523"/>
    <w:rsid w:val="007126FD"/>
    <w:rsid w:val="007141CB"/>
    <w:rsid w:val="0071428A"/>
    <w:rsid w:val="00714345"/>
    <w:rsid w:val="00714DDD"/>
    <w:rsid w:val="007156D2"/>
    <w:rsid w:val="007162E1"/>
    <w:rsid w:val="007171E6"/>
    <w:rsid w:val="00720CB3"/>
    <w:rsid w:val="00722888"/>
    <w:rsid w:val="0072312A"/>
    <w:rsid w:val="00723167"/>
    <w:rsid w:val="00724B29"/>
    <w:rsid w:val="0072792C"/>
    <w:rsid w:val="007303E9"/>
    <w:rsid w:val="00731A6D"/>
    <w:rsid w:val="00731CDC"/>
    <w:rsid w:val="00731D94"/>
    <w:rsid w:val="00732079"/>
    <w:rsid w:val="0073229C"/>
    <w:rsid w:val="00732512"/>
    <w:rsid w:val="007325C4"/>
    <w:rsid w:val="00732A4F"/>
    <w:rsid w:val="00734AEB"/>
    <w:rsid w:val="00736C6F"/>
    <w:rsid w:val="007371F8"/>
    <w:rsid w:val="0074010C"/>
    <w:rsid w:val="007413EB"/>
    <w:rsid w:val="00741682"/>
    <w:rsid w:val="00741F4D"/>
    <w:rsid w:val="0074229C"/>
    <w:rsid w:val="007426B0"/>
    <w:rsid w:val="00743E49"/>
    <w:rsid w:val="0074458A"/>
    <w:rsid w:val="0074476D"/>
    <w:rsid w:val="00744BBC"/>
    <w:rsid w:val="00744C20"/>
    <w:rsid w:val="00746633"/>
    <w:rsid w:val="00746CFC"/>
    <w:rsid w:val="00747C62"/>
    <w:rsid w:val="007502F1"/>
    <w:rsid w:val="00750472"/>
    <w:rsid w:val="007507E6"/>
    <w:rsid w:val="00750A15"/>
    <w:rsid w:val="0075170E"/>
    <w:rsid w:val="007518E7"/>
    <w:rsid w:val="00751EA6"/>
    <w:rsid w:val="0075255C"/>
    <w:rsid w:val="007525F4"/>
    <w:rsid w:val="00752D71"/>
    <w:rsid w:val="0075380A"/>
    <w:rsid w:val="0075433E"/>
    <w:rsid w:val="00755068"/>
    <w:rsid w:val="007554A9"/>
    <w:rsid w:val="00755607"/>
    <w:rsid w:val="00756662"/>
    <w:rsid w:val="00757159"/>
    <w:rsid w:val="007574E6"/>
    <w:rsid w:val="00757C59"/>
    <w:rsid w:val="00761EFB"/>
    <w:rsid w:val="00762230"/>
    <w:rsid w:val="00762400"/>
    <w:rsid w:val="00763267"/>
    <w:rsid w:val="00764030"/>
    <w:rsid w:val="007654F8"/>
    <w:rsid w:val="00765601"/>
    <w:rsid w:val="00766A37"/>
    <w:rsid w:val="0076737E"/>
    <w:rsid w:val="0077111C"/>
    <w:rsid w:val="00771274"/>
    <w:rsid w:val="00772620"/>
    <w:rsid w:val="0077298D"/>
    <w:rsid w:val="00772F99"/>
    <w:rsid w:val="0077300A"/>
    <w:rsid w:val="0077340E"/>
    <w:rsid w:val="00774448"/>
    <w:rsid w:val="00774559"/>
    <w:rsid w:val="00774727"/>
    <w:rsid w:val="007747C5"/>
    <w:rsid w:val="0077494B"/>
    <w:rsid w:val="00774D15"/>
    <w:rsid w:val="00774DF6"/>
    <w:rsid w:val="0077513B"/>
    <w:rsid w:val="00775996"/>
    <w:rsid w:val="00776410"/>
    <w:rsid w:val="00776A60"/>
    <w:rsid w:val="00777929"/>
    <w:rsid w:val="00780DBC"/>
    <w:rsid w:val="00781631"/>
    <w:rsid w:val="00781A0E"/>
    <w:rsid w:val="00781B27"/>
    <w:rsid w:val="007835FC"/>
    <w:rsid w:val="00783B85"/>
    <w:rsid w:val="00785E3A"/>
    <w:rsid w:val="00786C3F"/>
    <w:rsid w:val="0078771C"/>
    <w:rsid w:val="007903BC"/>
    <w:rsid w:val="00790E00"/>
    <w:rsid w:val="0079201A"/>
    <w:rsid w:val="0079258F"/>
    <w:rsid w:val="007926FA"/>
    <w:rsid w:val="00792736"/>
    <w:rsid w:val="0079408F"/>
    <w:rsid w:val="0079481B"/>
    <w:rsid w:val="00795629"/>
    <w:rsid w:val="00795A87"/>
    <w:rsid w:val="00796FE7"/>
    <w:rsid w:val="00797449"/>
    <w:rsid w:val="007A10F4"/>
    <w:rsid w:val="007A124A"/>
    <w:rsid w:val="007A1DB0"/>
    <w:rsid w:val="007A28DC"/>
    <w:rsid w:val="007A2CE7"/>
    <w:rsid w:val="007A32C9"/>
    <w:rsid w:val="007A34FC"/>
    <w:rsid w:val="007A412A"/>
    <w:rsid w:val="007A466F"/>
    <w:rsid w:val="007A4E97"/>
    <w:rsid w:val="007A5CED"/>
    <w:rsid w:val="007B0835"/>
    <w:rsid w:val="007B0D45"/>
    <w:rsid w:val="007B28BE"/>
    <w:rsid w:val="007B3F30"/>
    <w:rsid w:val="007B40D1"/>
    <w:rsid w:val="007B4F9E"/>
    <w:rsid w:val="007B50CC"/>
    <w:rsid w:val="007B557A"/>
    <w:rsid w:val="007B5B04"/>
    <w:rsid w:val="007B5D7F"/>
    <w:rsid w:val="007B5DAF"/>
    <w:rsid w:val="007B63D0"/>
    <w:rsid w:val="007B65CD"/>
    <w:rsid w:val="007B694E"/>
    <w:rsid w:val="007B74CA"/>
    <w:rsid w:val="007B7F35"/>
    <w:rsid w:val="007B7FDC"/>
    <w:rsid w:val="007C129E"/>
    <w:rsid w:val="007C1687"/>
    <w:rsid w:val="007C1BE1"/>
    <w:rsid w:val="007C1E0D"/>
    <w:rsid w:val="007C203E"/>
    <w:rsid w:val="007C37E2"/>
    <w:rsid w:val="007C3973"/>
    <w:rsid w:val="007C41C8"/>
    <w:rsid w:val="007C4A8B"/>
    <w:rsid w:val="007C52F1"/>
    <w:rsid w:val="007C5C6E"/>
    <w:rsid w:val="007C616D"/>
    <w:rsid w:val="007C75BC"/>
    <w:rsid w:val="007C7C0F"/>
    <w:rsid w:val="007D1F54"/>
    <w:rsid w:val="007D20C6"/>
    <w:rsid w:val="007D230F"/>
    <w:rsid w:val="007D23E3"/>
    <w:rsid w:val="007D2612"/>
    <w:rsid w:val="007D3D23"/>
    <w:rsid w:val="007D4818"/>
    <w:rsid w:val="007D4F29"/>
    <w:rsid w:val="007D638C"/>
    <w:rsid w:val="007D6BBF"/>
    <w:rsid w:val="007D7670"/>
    <w:rsid w:val="007E034A"/>
    <w:rsid w:val="007E0427"/>
    <w:rsid w:val="007E1697"/>
    <w:rsid w:val="007E174C"/>
    <w:rsid w:val="007E2137"/>
    <w:rsid w:val="007E21FD"/>
    <w:rsid w:val="007E2B67"/>
    <w:rsid w:val="007E376F"/>
    <w:rsid w:val="007E484C"/>
    <w:rsid w:val="007E569A"/>
    <w:rsid w:val="007E5CA1"/>
    <w:rsid w:val="007E5FF7"/>
    <w:rsid w:val="007E6808"/>
    <w:rsid w:val="007E6BA0"/>
    <w:rsid w:val="007E749F"/>
    <w:rsid w:val="007E7C4D"/>
    <w:rsid w:val="007F02E5"/>
    <w:rsid w:val="007F073F"/>
    <w:rsid w:val="007F0C28"/>
    <w:rsid w:val="007F10E7"/>
    <w:rsid w:val="007F225F"/>
    <w:rsid w:val="007F22F7"/>
    <w:rsid w:val="007F2725"/>
    <w:rsid w:val="007F3354"/>
    <w:rsid w:val="007F3889"/>
    <w:rsid w:val="007F3928"/>
    <w:rsid w:val="007F3A33"/>
    <w:rsid w:val="007F6354"/>
    <w:rsid w:val="007F78E9"/>
    <w:rsid w:val="008002FA"/>
    <w:rsid w:val="00800E94"/>
    <w:rsid w:val="008015CC"/>
    <w:rsid w:val="00801F80"/>
    <w:rsid w:val="00802BBC"/>
    <w:rsid w:val="00802D82"/>
    <w:rsid w:val="008040D1"/>
    <w:rsid w:val="00804FF8"/>
    <w:rsid w:val="00805CDD"/>
    <w:rsid w:val="00807292"/>
    <w:rsid w:val="0081060D"/>
    <w:rsid w:val="0081074A"/>
    <w:rsid w:val="0081075D"/>
    <w:rsid w:val="00810A03"/>
    <w:rsid w:val="00811502"/>
    <w:rsid w:val="008125C9"/>
    <w:rsid w:val="00812FBF"/>
    <w:rsid w:val="008133F5"/>
    <w:rsid w:val="008138BA"/>
    <w:rsid w:val="008138D1"/>
    <w:rsid w:val="008159CE"/>
    <w:rsid w:val="00816413"/>
    <w:rsid w:val="00821962"/>
    <w:rsid w:val="00821FEB"/>
    <w:rsid w:val="008246AA"/>
    <w:rsid w:val="00824768"/>
    <w:rsid w:val="00824952"/>
    <w:rsid w:val="00824987"/>
    <w:rsid w:val="00824B80"/>
    <w:rsid w:val="00825162"/>
    <w:rsid w:val="008255E9"/>
    <w:rsid w:val="008265EF"/>
    <w:rsid w:val="00826C03"/>
    <w:rsid w:val="0082724F"/>
    <w:rsid w:val="008272F3"/>
    <w:rsid w:val="00830A3D"/>
    <w:rsid w:val="00830D5E"/>
    <w:rsid w:val="00830E63"/>
    <w:rsid w:val="008316B1"/>
    <w:rsid w:val="00831954"/>
    <w:rsid w:val="00831A4F"/>
    <w:rsid w:val="00832213"/>
    <w:rsid w:val="0083246D"/>
    <w:rsid w:val="00832AA9"/>
    <w:rsid w:val="00833337"/>
    <w:rsid w:val="008340FE"/>
    <w:rsid w:val="008341B3"/>
    <w:rsid w:val="00835164"/>
    <w:rsid w:val="00835670"/>
    <w:rsid w:val="0083731A"/>
    <w:rsid w:val="00837FA4"/>
    <w:rsid w:val="0084030A"/>
    <w:rsid w:val="00840F59"/>
    <w:rsid w:val="00841E94"/>
    <w:rsid w:val="008420D4"/>
    <w:rsid w:val="00842367"/>
    <w:rsid w:val="00842DFB"/>
    <w:rsid w:val="00843C38"/>
    <w:rsid w:val="00844EDB"/>
    <w:rsid w:val="00844F8E"/>
    <w:rsid w:val="00845575"/>
    <w:rsid w:val="0084666C"/>
    <w:rsid w:val="0084678C"/>
    <w:rsid w:val="0084765B"/>
    <w:rsid w:val="00847E71"/>
    <w:rsid w:val="008514C7"/>
    <w:rsid w:val="00851E37"/>
    <w:rsid w:val="008523DB"/>
    <w:rsid w:val="00852C40"/>
    <w:rsid w:val="0085393C"/>
    <w:rsid w:val="008543F6"/>
    <w:rsid w:val="00854BCD"/>
    <w:rsid w:val="00855D97"/>
    <w:rsid w:val="0085668A"/>
    <w:rsid w:val="00856E7B"/>
    <w:rsid w:val="0086024E"/>
    <w:rsid w:val="008618C0"/>
    <w:rsid w:val="0086397D"/>
    <w:rsid w:val="0086432C"/>
    <w:rsid w:val="0086598B"/>
    <w:rsid w:val="0086772C"/>
    <w:rsid w:val="008678CD"/>
    <w:rsid w:val="00867C05"/>
    <w:rsid w:val="008701CE"/>
    <w:rsid w:val="0087095E"/>
    <w:rsid w:val="00871398"/>
    <w:rsid w:val="00871F59"/>
    <w:rsid w:val="0087354F"/>
    <w:rsid w:val="00874AFD"/>
    <w:rsid w:val="00874D78"/>
    <w:rsid w:val="00875BB5"/>
    <w:rsid w:val="00875C5F"/>
    <w:rsid w:val="00875D2E"/>
    <w:rsid w:val="00876180"/>
    <w:rsid w:val="00876693"/>
    <w:rsid w:val="00877924"/>
    <w:rsid w:val="0088112F"/>
    <w:rsid w:val="008814FB"/>
    <w:rsid w:val="00881EBA"/>
    <w:rsid w:val="008823F6"/>
    <w:rsid w:val="00882768"/>
    <w:rsid w:val="00884C69"/>
    <w:rsid w:val="00885375"/>
    <w:rsid w:val="00885F14"/>
    <w:rsid w:val="008869B6"/>
    <w:rsid w:val="00887331"/>
    <w:rsid w:val="00890183"/>
    <w:rsid w:val="008907BD"/>
    <w:rsid w:val="00890A15"/>
    <w:rsid w:val="00890C95"/>
    <w:rsid w:val="008917AF"/>
    <w:rsid w:val="00891A55"/>
    <w:rsid w:val="00892458"/>
    <w:rsid w:val="00892642"/>
    <w:rsid w:val="00893332"/>
    <w:rsid w:val="008934FA"/>
    <w:rsid w:val="008936B8"/>
    <w:rsid w:val="00893B13"/>
    <w:rsid w:val="00894F92"/>
    <w:rsid w:val="008958A0"/>
    <w:rsid w:val="008961E0"/>
    <w:rsid w:val="008967FD"/>
    <w:rsid w:val="008975C9"/>
    <w:rsid w:val="008A0398"/>
    <w:rsid w:val="008A08EE"/>
    <w:rsid w:val="008A0A01"/>
    <w:rsid w:val="008A0DE0"/>
    <w:rsid w:val="008A1BC3"/>
    <w:rsid w:val="008A1F70"/>
    <w:rsid w:val="008A2093"/>
    <w:rsid w:val="008A2A0C"/>
    <w:rsid w:val="008A3F8E"/>
    <w:rsid w:val="008A406C"/>
    <w:rsid w:val="008A45CA"/>
    <w:rsid w:val="008A483B"/>
    <w:rsid w:val="008A4860"/>
    <w:rsid w:val="008A56D2"/>
    <w:rsid w:val="008B06C5"/>
    <w:rsid w:val="008B100A"/>
    <w:rsid w:val="008B13F1"/>
    <w:rsid w:val="008B1F42"/>
    <w:rsid w:val="008B23B3"/>
    <w:rsid w:val="008B2433"/>
    <w:rsid w:val="008B2566"/>
    <w:rsid w:val="008B2AE2"/>
    <w:rsid w:val="008B30EA"/>
    <w:rsid w:val="008B5590"/>
    <w:rsid w:val="008B5715"/>
    <w:rsid w:val="008B590C"/>
    <w:rsid w:val="008B6B85"/>
    <w:rsid w:val="008C0F8C"/>
    <w:rsid w:val="008C2A2F"/>
    <w:rsid w:val="008C31CE"/>
    <w:rsid w:val="008C334F"/>
    <w:rsid w:val="008C3D9D"/>
    <w:rsid w:val="008C4755"/>
    <w:rsid w:val="008C58B6"/>
    <w:rsid w:val="008C6F8F"/>
    <w:rsid w:val="008C7F3F"/>
    <w:rsid w:val="008D0264"/>
    <w:rsid w:val="008D1490"/>
    <w:rsid w:val="008D14DC"/>
    <w:rsid w:val="008D2D3C"/>
    <w:rsid w:val="008D3191"/>
    <w:rsid w:val="008D31F6"/>
    <w:rsid w:val="008D357E"/>
    <w:rsid w:val="008D3E14"/>
    <w:rsid w:val="008D44D1"/>
    <w:rsid w:val="008D4CEF"/>
    <w:rsid w:val="008D6C30"/>
    <w:rsid w:val="008D6F09"/>
    <w:rsid w:val="008D7360"/>
    <w:rsid w:val="008D7F37"/>
    <w:rsid w:val="008E1A87"/>
    <w:rsid w:val="008E1F99"/>
    <w:rsid w:val="008E2FA3"/>
    <w:rsid w:val="008E3C7B"/>
    <w:rsid w:val="008E4FE9"/>
    <w:rsid w:val="008E5007"/>
    <w:rsid w:val="008E5A7E"/>
    <w:rsid w:val="008E5E46"/>
    <w:rsid w:val="008E5ED9"/>
    <w:rsid w:val="008E699D"/>
    <w:rsid w:val="008E7B20"/>
    <w:rsid w:val="008E7F84"/>
    <w:rsid w:val="008F05C0"/>
    <w:rsid w:val="008F0D17"/>
    <w:rsid w:val="008F0ED2"/>
    <w:rsid w:val="008F1B78"/>
    <w:rsid w:val="008F22D2"/>
    <w:rsid w:val="008F27B9"/>
    <w:rsid w:val="008F2C1D"/>
    <w:rsid w:val="008F36CE"/>
    <w:rsid w:val="008F44CD"/>
    <w:rsid w:val="008F44DE"/>
    <w:rsid w:val="008F4965"/>
    <w:rsid w:val="008F4A23"/>
    <w:rsid w:val="008F4A88"/>
    <w:rsid w:val="008F59E0"/>
    <w:rsid w:val="008F61EC"/>
    <w:rsid w:val="008F7D65"/>
    <w:rsid w:val="008F7F92"/>
    <w:rsid w:val="0090225F"/>
    <w:rsid w:val="00902697"/>
    <w:rsid w:val="009035F2"/>
    <w:rsid w:val="00903B12"/>
    <w:rsid w:val="00903F3F"/>
    <w:rsid w:val="00904018"/>
    <w:rsid w:val="00904473"/>
    <w:rsid w:val="00904912"/>
    <w:rsid w:val="00905D4D"/>
    <w:rsid w:val="00906C25"/>
    <w:rsid w:val="009117C5"/>
    <w:rsid w:val="00911C93"/>
    <w:rsid w:val="00911E7D"/>
    <w:rsid w:val="00912369"/>
    <w:rsid w:val="00912372"/>
    <w:rsid w:val="00912404"/>
    <w:rsid w:val="00912766"/>
    <w:rsid w:val="00913BD0"/>
    <w:rsid w:val="0091480A"/>
    <w:rsid w:val="0091507B"/>
    <w:rsid w:val="009150A0"/>
    <w:rsid w:val="00915126"/>
    <w:rsid w:val="0091527B"/>
    <w:rsid w:val="00916192"/>
    <w:rsid w:val="009164A9"/>
    <w:rsid w:val="0091731A"/>
    <w:rsid w:val="00917C30"/>
    <w:rsid w:val="00917DB4"/>
    <w:rsid w:val="00920160"/>
    <w:rsid w:val="0092016C"/>
    <w:rsid w:val="0092017B"/>
    <w:rsid w:val="0092146B"/>
    <w:rsid w:val="00921D5D"/>
    <w:rsid w:val="009226C3"/>
    <w:rsid w:val="00922748"/>
    <w:rsid w:val="00922769"/>
    <w:rsid w:val="0092325F"/>
    <w:rsid w:val="009235DC"/>
    <w:rsid w:val="00924362"/>
    <w:rsid w:val="009248E3"/>
    <w:rsid w:val="0092504C"/>
    <w:rsid w:val="00927E57"/>
    <w:rsid w:val="0093038B"/>
    <w:rsid w:val="00930985"/>
    <w:rsid w:val="00930D04"/>
    <w:rsid w:val="009328B6"/>
    <w:rsid w:val="009331BA"/>
    <w:rsid w:val="0093325A"/>
    <w:rsid w:val="0093379C"/>
    <w:rsid w:val="00933F3B"/>
    <w:rsid w:val="00933F52"/>
    <w:rsid w:val="00934283"/>
    <w:rsid w:val="0093644B"/>
    <w:rsid w:val="00937D4E"/>
    <w:rsid w:val="00940515"/>
    <w:rsid w:val="00940A8D"/>
    <w:rsid w:val="00940FDE"/>
    <w:rsid w:val="00941044"/>
    <w:rsid w:val="00941602"/>
    <w:rsid w:val="00941676"/>
    <w:rsid w:val="009419CA"/>
    <w:rsid w:val="00942A22"/>
    <w:rsid w:val="00942BB9"/>
    <w:rsid w:val="00943292"/>
    <w:rsid w:val="00943FF6"/>
    <w:rsid w:val="0094597E"/>
    <w:rsid w:val="00946457"/>
    <w:rsid w:val="00952464"/>
    <w:rsid w:val="009529BE"/>
    <w:rsid w:val="00952A60"/>
    <w:rsid w:val="00952D8E"/>
    <w:rsid w:val="00952FDB"/>
    <w:rsid w:val="009540B6"/>
    <w:rsid w:val="00954148"/>
    <w:rsid w:val="00954378"/>
    <w:rsid w:val="0095485F"/>
    <w:rsid w:val="00954D4E"/>
    <w:rsid w:val="00955423"/>
    <w:rsid w:val="00955786"/>
    <w:rsid w:val="00955D93"/>
    <w:rsid w:val="009579FC"/>
    <w:rsid w:val="009604A9"/>
    <w:rsid w:val="009613C5"/>
    <w:rsid w:val="00961E86"/>
    <w:rsid w:val="0096248E"/>
    <w:rsid w:val="009644AC"/>
    <w:rsid w:val="00964627"/>
    <w:rsid w:val="00964CEF"/>
    <w:rsid w:val="00965369"/>
    <w:rsid w:val="0096549C"/>
    <w:rsid w:val="009659E7"/>
    <w:rsid w:val="00965D18"/>
    <w:rsid w:val="00966069"/>
    <w:rsid w:val="0096691B"/>
    <w:rsid w:val="009700B2"/>
    <w:rsid w:val="009704FF"/>
    <w:rsid w:val="009710D8"/>
    <w:rsid w:val="0097177E"/>
    <w:rsid w:val="00971780"/>
    <w:rsid w:val="00971DFD"/>
    <w:rsid w:val="009720DB"/>
    <w:rsid w:val="00972CEB"/>
    <w:rsid w:val="0097311F"/>
    <w:rsid w:val="00974D17"/>
    <w:rsid w:val="009757BC"/>
    <w:rsid w:val="00975A34"/>
    <w:rsid w:val="0097600C"/>
    <w:rsid w:val="00976899"/>
    <w:rsid w:val="00977508"/>
    <w:rsid w:val="00977618"/>
    <w:rsid w:val="0098039D"/>
    <w:rsid w:val="00980998"/>
    <w:rsid w:val="00981CAD"/>
    <w:rsid w:val="00982532"/>
    <w:rsid w:val="00982B47"/>
    <w:rsid w:val="00982B51"/>
    <w:rsid w:val="00982C03"/>
    <w:rsid w:val="00983BC0"/>
    <w:rsid w:val="00985A98"/>
    <w:rsid w:val="00985AB1"/>
    <w:rsid w:val="009860F1"/>
    <w:rsid w:val="009862C3"/>
    <w:rsid w:val="009866A7"/>
    <w:rsid w:val="009869F1"/>
    <w:rsid w:val="00986A4A"/>
    <w:rsid w:val="00986AA2"/>
    <w:rsid w:val="00987086"/>
    <w:rsid w:val="00987376"/>
    <w:rsid w:val="0098767D"/>
    <w:rsid w:val="0098791D"/>
    <w:rsid w:val="00987A03"/>
    <w:rsid w:val="00987F4B"/>
    <w:rsid w:val="0099063F"/>
    <w:rsid w:val="00990FF8"/>
    <w:rsid w:val="009910D3"/>
    <w:rsid w:val="0099157F"/>
    <w:rsid w:val="00991692"/>
    <w:rsid w:val="00991F9D"/>
    <w:rsid w:val="0099263C"/>
    <w:rsid w:val="00992A26"/>
    <w:rsid w:val="009933F6"/>
    <w:rsid w:val="009952EC"/>
    <w:rsid w:val="009955C9"/>
    <w:rsid w:val="00995EC8"/>
    <w:rsid w:val="0099672A"/>
    <w:rsid w:val="00996856"/>
    <w:rsid w:val="00997299"/>
    <w:rsid w:val="009A167A"/>
    <w:rsid w:val="009A22C6"/>
    <w:rsid w:val="009A2B08"/>
    <w:rsid w:val="009A2DEB"/>
    <w:rsid w:val="009A2EB7"/>
    <w:rsid w:val="009A3283"/>
    <w:rsid w:val="009A4762"/>
    <w:rsid w:val="009A4A08"/>
    <w:rsid w:val="009A54AA"/>
    <w:rsid w:val="009A57EA"/>
    <w:rsid w:val="009A5F02"/>
    <w:rsid w:val="009B076E"/>
    <w:rsid w:val="009B2350"/>
    <w:rsid w:val="009B273D"/>
    <w:rsid w:val="009B3251"/>
    <w:rsid w:val="009B4ECF"/>
    <w:rsid w:val="009B617F"/>
    <w:rsid w:val="009C148E"/>
    <w:rsid w:val="009C2F5F"/>
    <w:rsid w:val="009C3DB9"/>
    <w:rsid w:val="009C453A"/>
    <w:rsid w:val="009C572B"/>
    <w:rsid w:val="009C65D6"/>
    <w:rsid w:val="009C6A77"/>
    <w:rsid w:val="009C6B57"/>
    <w:rsid w:val="009C78E7"/>
    <w:rsid w:val="009C7F6F"/>
    <w:rsid w:val="009C7FC2"/>
    <w:rsid w:val="009D01F7"/>
    <w:rsid w:val="009D0585"/>
    <w:rsid w:val="009D17D3"/>
    <w:rsid w:val="009D21BF"/>
    <w:rsid w:val="009D32F8"/>
    <w:rsid w:val="009D4FC3"/>
    <w:rsid w:val="009D6322"/>
    <w:rsid w:val="009D7754"/>
    <w:rsid w:val="009D791C"/>
    <w:rsid w:val="009D7CA9"/>
    <w:rsid w:val="009D7CBA"/>
    <w:rsid w:val="009D7DE4"/>
    <w:rsid w:val="009E08C3"/>
    <w:rsid w:val="009E0B19"/>
    <w:rsid w:val="009E0E8F"/>
    <w:rsid w:val="009E0F0D"/>
    <w:rsid w:val="009E1814"/>
    <w:rsid w:val="009E1BA1"/>
    <w:rsid w:val="009E209A"/>
    <w:rsid w:val="009E2BC2"/>
    <w:rsid w:val="009E33A3"/>
    <w:rsid w:val="009E491C"/>
    <w:rsid w:val="009E49B4"/>
    <w:rsid w:val="009E564A"/>
    <w:rsid w:val="009E6900"/>
    <w:rsid w:val="009E6AE8"/>
    <w:rsid w:val="009E6E4E"/>
    <w:rsid w:val="009F009E"/>
    <w:rsid w:val="009F0186"/>
    <w:rsid w:val="009F04DB"/>
    <w:rsid w:val="009F1DC8"/>
    <w:rsid w:val="009F229A"/>
    <w:rsid w:val="009F2C08"/>
    <w:rsid w:val="009F51AC"/>
    <w:rsid w:val="009F5235"/>
    <w:rsid w:val="009F5905"/>
    <w:rsid w:val="009F675F"/>
    <w:rsid w:val="009F683C"/>
    <w:rsid w:val="009F6C61"/>
    <w:rsid w:val="009F7CE9"/>
    <w:rsid w:val="00A00AB5"/>
    <w:rsid w:val="00A01654"/>
    <w:rsid w:val="00A01F5F"/>
    <w:rsid w:val="00A0271E"/>
    <w:rsid w:val="00A02B74"/>
    <w:rsid w:val="00A02BFD"/>
    <w:rsid w:val="00A03082"/>
    <w:rsid w:val="00A038ED"/>
    <w:rsid w:val="00A03CCF"/>
    <w:rsid w:val="00A03CD2"/>
    <w:rsid w:val="00A04B6B"/>
    <w:rsid w:val="00A04C1D"/>
    <w:rsid w:val="00A054C3"/>
    <w:rsid w:val="00A05C5B"/>
    <w:rsid w:val="00A06BBF"/>
    <w:rsid w:val="00A07DD8"/>
    <w:rsid w:val="00A1039B"/>
    <w:rsid w:val="00A11091"/>
    <w:rsid w:val="00A11EC4"/>
    <w:rsid w:val="00A1311A"/>
    <w:rsid w:val="00A14120"/>
    <w:rsid w:val="00A15626"/>
    <w:rsid w:val="00A16FE1"/>
    <w:rsid w:val="00A21C99"/>
    <w:rsid w:val="00A2214E"/>
    <w:rsid w:val="00A228AA"/>
    <w:rsid w:val="00A2422B"/>
    <w:rsid w:val="00A2572D"/>
    <w:rsid w:val="00A25ACE"/>
    <w:rsid w:val="00A26646"/>
    <w:rsid w:val="00A30385"/>
    <w:rsid w:val="00A30FF5"/>
    <w:rsid w:val="00A318F7"/>
    <w:rsid w:val="00A32077"/>
    <w:rsid w:val="00A322D7"/>
    <w:rsid w:val="00A32612"/>
    <w:rsid w:val="00A32895"/>
    <w:rsid w:val="00A329F7"/>
    <w:rsid w:val="00A3376A"/>
    <w:rsid w:val="00A347F0"/>
    <w:rsid w:val="00A34802"/>
    <w:rsid w:val="00A35812"/>
    <w:rsid w:val="00A3598A"/>
    <w:rsid w:val="00A35C76"/>
    <w:rsid w:val="00A35D36"/>
    <w:rsid w:val="00A362F4"/>
    <w:rsid w:val="00A36D6F"/>
    <w:rsid w:val="00A378AB"/>
    <w:rsid w:val="00A37CB3"/>
    <w:rsid w:val="00A40AEE"/>
    <w:rsid w:val="00A4150D"/>
    <w:rsid w:val="00A4393E"/>
    <w:rsid w:val="00A464AB"/>
    <w:rsid w:val="00A47C3A"/>
    <w:rsid w:val="00A47F83"/>
    <w:rsid w:val="00A508ED"/>
    <w:rsid w:val="00A509A5"/>
    <w:rsid w:val="00A50AEF"/>
    <w:rsid w:val="00A52249"/>
    <w:rsid w:val="00A53E20"/>
    <w:rsid w:val="00A54C2F"/>
    <w:rsid w:val="00A55E10"/>
    <w:rsid w:val="00A56471"/>
    <w:rsid w:val="00A57D8F"/>
    <w:rsid w:val="00A57F61"/>
    <w:rsid w:val="00A60B48"/>
    <w:rsid w:val="00A60D92"/>
    <w:rsid w:val="00A60E54"/>
    <w:rsid w:val="00A619D1"/>
    <w:rsid w:val="00A62F56"/>
    <w:rsid w:val="00A63A8D"/>
    <w:rsid w:val="00A65948"/>
    <w:rsid w:val="00A66A11"/>
    <w:rsid w:val="00A66E73"/>
    <w:rsid w:val="00A67DF3"/>
    <w:rsid w:val="00A70843"/>
    <w:rsid w:val="00A70963"/>
    <w:rsid w:val="00A71306"/>
    <w:rsid w:val="00A71487"/>
    <w:rsid w:val="00A717A8"/>
    <w:rsid w:val="00A71B7D"/>
    <w:rsid w:val="00A727C8"/>
    <w:rsid w:val="00A73503"/>
    <w:rsid w:val="00A74894"/>
    <w:rsid w:val="00A75244"/>
    <w:rsid w:val="00A7560D"/>
    <w:rsid w:val="00A756C6"/>
    <w:rsid w:val="00A76856"/>
    <w:rsid w:val="00A80495"/>
    <w:rsid w:val="00A80D47"/>
    <w:rsid w:val="00A812AF"/>
    <w:rsid w:val="00A82601"/>
    <w:rsid w:val="00A82A40"/>
    <w:rsid w:val="00A82A58"/>
    <w:rsid w:val="00A8317E"/>
    <w:rsid w:val="00A83BA4"/>
    <w:rsid w:val="00A83E3B"/>
    <w:rsid w:val="00A83E7E"/>
    <w:rsid w:val="00A84159"/>
    <w:rsid w:val="00A84C73"/>
    <w:rsid w:val="00A85AE2"/>
    <w:rsid w:val="00A85B6B"/>
    <w:rsid w:val="00A85CC8"/>
    <w:rsid w:val="00A863FA"/>
    <w:rsid w:val="00A86519"/>
    <w:rsid w:val="00A86D0E"/>
    <w:rsid w:val="00A90E6D"/>
    <w:rsid w:val="00A9139A"/>
    <w:rsid w:val="00A91468"/>
    <w:rsid w:val="00A93637"/>
    <w:rsid w:val="00A93C4C"/>
    <w:rsid w:val="00A94F4F"/>
    <w:rsid w:val="00A95D21"/>
    <w:rsid w:val="00A95E1B"/>
    <w:rsid w:val="00A9686B"/>
    <w:rsid w:val="00A96C1B"/>
    <w:rsid w:val="00A97867"/>
    <w:rsid w:val="00A97D07"/>
    <w:rsid w:val="00AA028E"/>
    <w:rsid w:val="00AA0338"/>
    <w:rsid w:val="00AA0769"/>
    <w:rsid w:val="00AA0FEF"/>
    <w:rsid w:val="00AA2B7A"/>
    <w:rsid w:val="00AA2C39"/>
    <w:rsid w:val="00AA3789"/>
    <w:rsid w:val="00AA3E41"/>
    <w:rsid w:val="00AA550A"/>
    <w:rsid w:val="00AB1E1D"/>
    <w:rsid w:val="00AB1FA2"/>
    <w:rsid w:val="00AB27A8"/>
    <w:rsid w:val="00AB2F53"/>
    <w:rsid w:val="00AB3535"/>
    <w:rsid w:val="00AB388E"/>
    <w:rsid w:val="00AB3FE1"/>
    <w:rsid w:val="00AB4343"/>
    <w:rsid w:val="00AB45C5"/>
    <w:rsid w:val="00AB5199"/>
    <w:rsid w:val="00AB60B1"/>
    <w:rsid w:val="00AB6A88"/>
    <w:rsid w:val="00AB6C6C"/>
    <w:rsid w:val="00AB6F4F"/>
    <w:rsid w:val="00AB78BF"/>
    <w:rsid w:val="00AC00E9"/>
    <w:rsid w:val="00AC175E"/>
    <w:rsid w:val="00AC187E"/>
    <w:rsid w:val="00AC2775"/>
    <w:rsid w:val="00AC3EE9"/>
    <w:rsid w:val="00AC444E"/>
    <w:rsid w:val="00AC4F1D"/>
    <w:rsid w:val="00AC643E"/>
    <w:rsid w:val="00AC755E"/>
    <w:rsid w:val="00AC77E8"/>
    <w:rsid w:val="00AC7B1B"/>
    <w:rsid w:val="00AD043E"/>
    <w:rsid w:val="00AD0E7E"/>
    <w:rsid w:val="00AD2684"/>
    <w:rsid w:val="00AD27B4"/>
    <w:rsid w:val="00AD2ABF"/>
    <w:rsid w:val="00AD34CB"/>
    <w:rsid w:val="00AD39F9"/>
    <w:rsid w:val="00AD584E"/>
    <w:rsid w:val="00AD59F8"/>
    <w:rsid w:val="00AD5FA9"/>
    <w:rsid w:val="00AD64BE"/>
    <w:rsid w:val="00AD6576"/>
    <w:rsid w:val="00AD723B"/>
    <w:rsid w:val="00AD770D"/>
    <w:rsid w:val="00AE0F2A"/>
    <w:rsid w:val="00AE12B0"/>
    <w:rsid w:val="00AE188D"/>
    <w:rsid w:val="00AE2B4D"/>
    <w:rsid w:val="00AE4100"/>
    <w:rsid w:val="00AE555B"/>
    <w:rsid w:val="00AE5C30"/>
    <w:rsid w:val="00AE64C9"/>
    <w:rsid w:val="00AE684B"/>
    <w:rsid w:val="00AE70EF"/>
    <w:rsid w:val="00AE7886"/>
    <w:rsid w:val="00AE7E1C"/>
    <w:rsid w:val="00AF0C79"/>
    <w:rsid w:val="00AF11FB"/>
    <w:rsid w:val="00AF1AC3"/>
    <w:rsid w:val="00AF1F1A"/>
    <w:rsid w:val="00AF20CA"/>
    <w:rsid w:val="00AF23D1"/>
    <w:rsid w:val="00AF32E6"/>
    <w:rsid w:val="00AF3C11"/>
    <w:rsid w:val="00AF3E59"/>
    <w:rsid w:val="00AF41ED"/>
    <w:rsid w:val="00AF4219"/>
    <w:rsid w:val="00AF5714"/>
    <w:rsid w:val="00AF5E5A"/>
    <w:rsid w:val="00AF6761"/>
    <w:rsid w:val="00AF68D5"/>
    <w:rsid w:val="00AF75BD"/>
    <w:rsid w:val="00AF7C74"/>
    <w:rsid w:val="00B00300"/>
    <w:rsid w:val="00B004CB"/>
    <w:rsid w:val="00B00662"/>
    <w:rsid w:val="00B00FCF"/>
    <w:rsid w:val="00B0103B"/>
    <w:rsid w:val="00B017E5"/>
    <w:rsid w:val="00B0269C"/>
    <w:rsid w:val="00B02821"/>
    <w:rsid w:val="00B0465C"/>
    <w:rsid w:val="00B06002"/>
    <w:rsid w:val="00B064BD"/>
    <w:rsid w:val="00B06872"/>
    <w:rsid w:val="00B07FAD"/>
    <w:rsid w:val="00B103C0"/>
    <w:rsid w:val="00B11BC0"/>
    <w:rsid w:val="00B13DBA"/>
    <w:rsid w:val="00B142A6"/>
    <w:rsid w:val="00B14EF5"/>
    <w:rsid w:val="00B15328"/>
    <w:rsid w:val="00B159A8"/>
    <w:rsid w:val="00B16723"/>
    <w:rsid w:val="00B16D8A"/>
    <w:rsid w:val="00B2086B"/>
    <w:rsid w:val="00B21D14"/>
    <w:rsid w:val="00B21F85"/>
    <w:rsid w:val="00B22F79"/>
    <w:rsid w:val="00B241BD"/>
    <w:rsid w:val="00B24B35"/>
    <w:rsid w:val="00B24D1D"/>
    <w:rsid w:val="00B25D95"/>
    <w:rsid w:val="00B263DE"/>
    <w:rsid w:val="00B264E6"/>
    <w:rsid w:val="00B27706"/>
    <w:rsid w:val="00B3014C"/>
    <w:rsid w:val="00B30966"/>
    <w:rsid w:val="00B313B6"/>
    <w:rsid w:val="00B31960"/>
    <w:rsid w:val="00B31972"/>
    <w:rsid w:val="00B3253A"/>
    <w:rsid w:val="00B327E7"/>
    <w:rsid w:val="00B34582"/>
    <w:rsid w:val="00B34E8C"/>
    <w:rsid w:val="00B3649F"/>
    <w:rsid w:val="00B41972"/>
    <w:rsid w:val="00B41E81"/>
    <w:rsid w:val="00B42145"/>
    <w:rsid w:val="00B42F5D"/>
    <w:rsid w:val="00B42FC6"/>
    <w:rsid w:val="00B43097"/>
    <w:rsid w:val="00B43184"/>
    <w:rsid w:val="00B44ED9"/>
    <w:rsid w:val="00B45127"/>
    <w:rsid w:val="00B455FE"/>
    <w:rsid w:val="00B45779"/>
    <w:rsid w:val="00B4695C"/>
    <w:rsid w:val="00B46BB0"/>
    <w:rsid w:val="00B47148"/>
    <w:rsid w:val="00B4733D"/>
    <w:rsid w:val="00B47C1D"/>
    <w:rsid w:val="00B50DF8"/>
    <w:rsid w:val="00B5194C"/>
    <w:rsid w:val="00B51D0D"/>
    <w:rsid w:val="00B526CA"/>
    <w:rsid w:val="00B5281A"/>
    <w:rsid w:val="00B53840"/>
    <w:rsid w:val="00B53AA5"/>
    <w:rsid w:val="00B53B32"/>
    <w:rsid w:val="00B54502"/>
    <w:rsid w:val="00B54D19"/>
    <w:rsid w:val="00B5525F"/>
    <w:rsid w:val="00B5544F"/>
    <w:rsid w:val="00B56133"/>
    <w:rsid w:val="00B56B56"/>
    <w:rsid w:val="00B56B63"/>
    <w:rsid w:val="00B57534"/>
    <w:rsid w:val="00B6066D"/>
    <w:rsid w:val="00B6075E"/>
    <w:rsid w:val="00B612F2"/>
    <w:rsid w:val="00B6184E"/>
    <w:rsid w:val="00B61DAF"/>
    <w:rsid w:val="00B63826"/>
    <w:rsid w:val="00B63BD8"/>
    <w:rsid w:val="00B64001"/>
    <w:rsid w:val="00B6417C"/>
    <w:rsid w:val="00B6437F"/>
    <w:rsid w:val="00B672EE"/>
    <w:rsid w:val="00B673F3"/>
    <w:rsid w:val="00B675E7"/>
    <w:rsid w:val="00B703B7"/>
    <w:rsid w:val="00B70489"/>
    <w:rsid w:val="00B7081A"/>
    <w:rsid w:val="00B7199D"/>
    <w:rsid w:val="00B71FD5"/>
    <w:rsid w:val="00B7214C"/>
    <w:rsid w:val="00B72CA5"/>
    <w:rsid w:val="00B730E0"/>
    <w:rsid w:val="00B7349E"/>
    <w:rsid w:val="00B75FA0"/>
    <w:rsid w:val="00B76294"/>
    <w:rsid w:val="00B76417"/>
    <w:rsid w:val="00B76E4A"/>
    <w:rsid w:val="00B773BB"/>
    <w:rsid w:val="00B80740"/>
    <w:rsid w:val="00B808FA"/>
    <w:rsid w:val="00B80C2A"/>
    <w:rsid w:val="00B81657"/>
    <w:rsid w:val="00B827D7"/>
    <w:rsid w:val="00B82C9C"/>
    <w:rsid w:val="00B836FF"/>
    <w:rsid w:val="00B83821"/>
    <w:rsid w:val="00B84124"/>
    <w:rsid w:val="00B84C6D"/>
    <w:rsid w:val="00B85204"/>
    <w:rsid w:val="00B8563B"/>
    <w:rsid w:val="00B857EE"/>
    <w:rsid w:val="00B870D7"/>
    <w:rsid w:val="00B8773D"/>
    <w:rsid w:val="00B9007C"/>
    <w:rsid w:val="00B90B4C"/>
    <w:rsid w:val="00B91DF9"/>
    <w:rsid w:val="00B9295E"/>
    <w:rsid w:val="00B929AF"/>
    <w:rsid w:val="00B93D17"/>
    <w:rsid w:val="00B949B5"/>
    <w:rsid w:val="00B95670"/>
    <w:rsid w:val="00B9631B"/>
    <w:rsid w:val="00B96DCB"/>
    <w:rsid w:val="00BA0343"/>
    <w:rsid w:val="00BA0482"/>
    <w:rsid w:val="00BA0AF9"/>
    <w:rsid w:val="00BA16BA"/>
    <w:rsid w:val="00BA26DF"/>
    <w:rsid w:val="00BA38DB"/>
    <w:rsid w:val="00BA3BAB"/>
    <w:rsid w:val="00BA41D4"/>
    <w:rsid w:val="00BA4F02"/>
    <w:rsid w:val="00BA5378"/>
    <w:rsid w:val="00BA5437"/>
    <w:rsid w:val="00BA57BE"/>
    <w:rsid w:val="00BA6752"/>
    <w:rsid w:val="00BA69DD"/>
    <w:rsid w:val="00BA6D7E"/>
    <w:rsid w:val="00BA7EB3"/>
    <w:rsid w:val="00BA7FF0"/>
    <w:rsid w:val="00BB0516"/>
    <w:rsid w:val="00BB0823"/>
    <w:rsid w:val="00BB1B94"/>
    <w:rsid w:val="00BB40BA"/>
    <w:rsid w:val="00BB54C5"/>
    <w:rsid w:val="00BB63ED"/>
    <w:rsid w:val="00BB74B0"/>
    <w:rsid w:val="00BB761E"/>
    <w:rsid w:val="00BC06B3"/>
    <w:rsid w:val="00BC06E5"/>
    <w:rsid w:val="00BC0BC9"/>
    <w:rsid w:val="00BC0C23"/>
    <w:rsid w:val="00BC0D60"/>
    <w:rsid w:val="00BC0F75"/>
    <w:rsid w:val="00BC20F4"/>
    <w:rsid w:val="00BC378F"/>
    <w:rsid w:val="00BC5759"/>
    <w:rsid w:val="00BC5E2B"/>
    <w:rsid w:val="00BC6280"/>
    <w:rsid w:val="00BC6341"/>
    <w:rsid w:val="00BC6762"/>
    <w:rsid w:val="00BC6AA7"/>
    <w:rsid w:val="00BC6FF4"/>
    <w:rsid w:val="00BC72DC"/>
    <w:rsid w:val="00BC74FD"/>
    <w:rsid w:val="00BC77C3"/>
    <w:rsid w:val="00BC77D2"/>
    <w:rsid w:val="00BC7CEC"/>
    <w:rsid w:val="00BD43F5"/>
    <w:rsid w:val="00BD5BC1"/>
    <w:rsid w:val="00BD5FB0"/>
    <w:rsid w:val="00BD67F7"/>
    <w:rsid w:val="00BD7C62"/>
    <w:rsid w:val="00BD7E37"/>
    <w:rsid w:val="00BE09D3"/>
    <w:rsid w:val="00BE0EB6"/>
    <w:rsid w:val="00BE4197"/>
    <w:rsid w:val="00BE471D"/>
    <w:rsid w:val="00BE48CC"/>
    <w:rsid w:val="00BE4BCE"/>
    <w:rsid w:val="00BE4CEF"/>
    <w:rsid w:val="00BE537C"/>
    <w:rsid w:val="00BE632C"/>
    <w:rsid w:val="00BE6627"/>
    <w:rsid w:val="00BE67B6"/>
    <w:rsid w:val="00BE6F8B"/>
    <w:rsid w:val="00BE7E07"/>
    <w:rsid w:val="00BF07C4"/>
    <w:rsid w:val="00BF109A"/>
    <w:rsid w:val="00BF18FE"/>
    <w:rsid w:val="00BF2F05"/>
    <w:rsid w:val="00BF2F2D"/>
    <w:rsid w:val="00BF3DDD"/>
    <w:rsid w:val="00BF4033"/>
    <w:rsid w:val="00BF4CF1"/>
    <w:rsid w:val="00BF4D1C"/>
    <w:rsid w:val="00BF5947"/>
    <w:rsid w:val="00BF5F74"/>
    <w:rsid w:val="00BF64FB"/>
    <w:rsid w:val="00BF671E"/>
    <w:rsid w:val="00BF69B0"/>
    <w:rsid w:val="00BF7239"/>
    <w:rsid w:val="00C00DC1"/>
    <w:rsid w:val="00C017D2"/>
    <w:rsid w:val="00C01E49"/>
    <w:rsid w:val="00C026E6"/>
    <w:rsid w:val="00C02A6F"/>
    <w:rsid w:val="00C02CD4"/>
    <w:rsid w:val="00C038C5"/>
    <w:rsid w:val="00C03E41"/>
    <w:rsid w:val="00C046A4"/>
    <w:rsid w:val="00C04FD7"/>
    <w:rsid w:val="00C05874"/>
    <w:rsid w:val="00C06118"/>
    <w:rsid w:val="00C07571"/>
    <w:rsid w:val="00C07C07"/>
    <w:rsid w:val="00C07D4F"/>
    <w:rsid w:val="00C07DC2"/>
    <w:rsid w:val="00C104A0"/>
    <w:rsid w:val="00C10E45"/>
    <w:rsid w:val="00C11817"/>
    <w:rsid w:val="00C11C2F"/>
    <w:rsid w:val="00C12D2A"/>
    <w:rsid w:val="00C13C90"/>
    <w:rsid w:val="00C13FD2"/>
    <w:rsid w:val="00C15793"/>
    <w:rsid w:val="00C16D93"/>
    <w:rsid w:val="00C17FFC"/>
    <w:rsid w:val="00C208B6"/>
    <w:rsid w:val="00C208C8"/>
    <w:rsid w:val="00C20D32"/>
    <w:rsid w:val="00C22177"/>
    <w:rsid w:val="00C237F7"/>
    <w:rsid w:val="00C2396C"/>
    <w:rsid w:val="00C23A1F"/>
    <w:rsid w:val="00C23CC0"/>
    <w:rsid w:val="00C24FE6"/>
    <w:rsid w:val="00C25C6D"/>
    <w:rsid w:val="00C25D2B"/>
    <w:rsid w:val="00C2761F"/>
    <w:rsid w:val="00C32CEB"/>
    <w:rsid w:val="00C3341E"/>
    <w:rsid w:val="00C33D61"/>
    <w:rsid w:val="00C35405"/>
    <w:rsid w:val="00C3565C"/>
    <w:rsid w:val="00C35C41"/>
    <w:rsid w:val="00C35FDF"/>
    <w:rsid w:val="00C361FB"/>
    <w:rsid w:val="00C362F5"/>
    <w:rsid w:val="00C365B4"/>
    <w:rsid w:val="00C36932"/>
    <w:rsid w:val="00C36F1F"/>
    <w:rsid w:val="00C4054E"/>
    <w:rsid w:val="00C406C2"/>
    <w:rsid w:val="00C41B03"/>
    <w:rsid w:val="00C41E84"/>
    <w:rsid w:val="00C430A3"/>
    <w:rsid w:val="00C442EE"/>
    <w:rsid w:val="00C4477F"/>
    <w:rsid w:val="00C44A40"/>
    <w:rsid w:val="00C44D66"/>
    <w:rsid w:val="00C45A7B"/>
    <w:rsid w:val="00C46052"/>
    <w:rsid w:val="00C46378"/>
    <w:rsid w:val="00C464F3"/>
    <w:rsid w:val="00C46B74"/>
    <w:rsid w:val="00C47725"/>
    <w:rsid w:val="00C477B1"/>
    <w:rsid w:val="00C47EAF"/>
    <w:rsid w:val="00C50357"/>
    <w:rsid w:val="00C50389"/>
    <w:rsid w:val="00C506C4"/>
    <w:rsid w:val="00C50DC1"/>
    <w:rsid w:val="00C50F86"/>
    <w:rsid w:val="00C51461"/>
    <w:rsid w:val="00C517A7"/>
    <w:rsid w:val="00C51A9B"/>
    <w:rsid w:val="00C51E37"/>
    <w:rsid w:val="00C5286D"/>
    <w:rsid w:val="00C54482"/>
    <w:rsid w:val="00C55BB8"/>
    <w:rsid w:val="00C56028"/>
    <w:rsid w:val="00C56244"/>
    <w:rsid w:val="00C576B0"/>
    <w:rsid w:val="00C577C7"/>
    <w:rsid w:val="00C579D1"/>
    <w:rsid w:val="00C60A62"/>
    <w:rsid w:val="00C6171B"/>
    <w:rsid w:val="00C61D45"/>
    <w:rsid w:val="00C621EF"/>
    <w:rsid w:val="00C62BD4"/>
    <w:rsid w:val="00C64674"/>
    <w:rsid w:val="00C65E77"/>
    <w:rsid w:val="00C66F75"/>
    <w:rsid w:val="00C67B80"/>
    <w:rsid w:val="00C722E2"/>
    <w:rsid w:val="00C73430"/>
    <w:rsid w:val="00C73C1B"/>
    <w:rsid w:val="00C74B49"/>
    <w:rsid w:val="00C75485"/>
    <w:rsid w:val="00C75A45"/>
    <w:rsid w:val="00C75E22"/>
    <w:rsid w:val="00C76084"/>
    <w:rsid w:val="00C764B3"/>
    <w:rsid w:val="00C76B32"/>
    <w:rsid w:val="00C8061E"/>
    <w:rsid w:val="00C806D7"/>
    <w:rsid w:val="00C808EE"/>
    <w:rsid w:val="00C80B62"/>
    <w:rsid w:val="00C811BF"/>
    <w:rsid w:val="00C82072"/>
    <w:rsid w:val="00C82433"/>
    <w:rsid w:val="00C83C09"/>
    <w:rsid w:val="00C85519"/>
    <w:rsid w:val="00C86026"/>
    <w:rsid w:val="00C8657D"/>
    <w:rsid w:val="00C86D26"/>
    <w:rsid w:val="00C8774B"/>
    <w:rsid w:val="00C878BA"/>
    <w:rsid w:val="00C9027A"/>
    <w:rsid w:val="00C90311"/>
    <w:rsid w:val="00C90797"/>
    <w:rsid w:val="00C909EF"/>
    <w:rsid w:val="00C90F39"/>
    <w:rsid w:val="00C93535"/>
    <w:rsid w:val="00C93C87"/>
    <w:rsid w:val="00C96229"/>
    <w:rsid w:val="00C971BD"/>
    <w:rsid w:val="00C971DA"/>
    <w:rsid w:val="00CA0814"/>
    <w:rsid w:val="00CA178C"/>
    <w:rsid w:val="00CA28CE"/>
    <w:rsid w:val="00CA2E5A"/>
    <w:rsid w:val="00CA3110"/>
    <w:rsid w:val="00CA43C6"/>
    <w:rsid w:val="00CA4C88"/>
    <w:rsid w:val="00CA599D"/>
    <w:rsid w:val="00CA64FC"/>
    <w:rsid w:val="00CA67E0"/>
    <w:rsid w:val="00CA6B15"/>
    <w:rsid w:val="00CA7530"/>
    <w:rsid w:val="00CB07A3"/>
    <w:rsid w:val="00CB0884"/>
    <w:rsid w:val="00CB16AB"/>
    <w:rsid w:val="00CB1F10"/>
    <w:rsid w:val="00CB2C89"/>
    <w:rsid w:val="00CB2D32"/>
    <w:rsid w:val="00CB2F51"/>
    <w:rsid w:val="00CB3924"/>
    <w:rsid w:val="00CB49AD"/>
    <w:rsid w:val="00CB6057"/>
    <w:rsid w:val="00CB6FAF"/>
    <w:rsid w:val="00CB712F"/>
    <w:rsid w:val="00CB7C23"/>
    <w:rsid w:val="00CB7CB3"/>
    <w:rsid w:val="00CC07C9"/>
    <w:rsid w:val="00CC0A06"/>
    <w:rsid w:val="00CC111D"/>
    <w:rsid w:val="00CC12F2"/>
    <w:rsid w:val="00CC2315"/>
    <w:rsid w:val="00CC2C3E"/>
    <w:rsid w:val="00CC50FC"/>
    <w:rsid w:val="00CC56F9"/>
    <w:rsid w:val="00CC5DBC"/>
    <w:rsid w:val="00CC5F68"/>
    <w:rsid w:val="00CC76D9"/>
    <w:rsid w:val="00CD03FD"/>
    <w:rsid w:val="00CD068A"/>
    <w:rsid w:val="00CD08E0"/>
    <w:rsid w:val="00CD13A9"/>
    <w:rsid w:val="00CD1DB1"/>
    <w:rsid w:val="00CD3157"/>
    <w:rsid w:val="00CD31FB"/>
    <w:rsid w:val="00CD4422"/>
    <w:rsid w:val="00CD4A8C"/>
    <w:rsid w:val="00CD52FE"/>
    <w:rsid w:val="00CD65E8"/>
    <w:rsid w:val="00CD6C4F"/>
    <w:rsid w:val="00CD7517"/>
    <w:rsid w:val="00CD7727"/>
    <w:rsid w:val="00CD798C"/>
    <w:rsid w:val="00CD7CF0"/>
    <w:rsid w:val="00CE0B67"/>
    <w:rsid w:val="00CE1011"/>
    <w:rsid w:val="00CE1CBA"/>
    <w:rsid w:val="00CE2CE0"/>
    <w:rsid w:val="00CE39DF"/>
    <w:rsid w:val="00CE3DE2"/>
    <w:rsid w:val="00CE510A"/>
    <w:rsid w:val="00CE64E8"/>
    <w:rsid w:val="00CE685D"/>
    <w:rsid w:val="00CE69B7"/>
    <w:rsid w:val="00CE6D50"/>
    <w:rsid w:val="00CF035F"/>
    <w:rsid w:val="00CF06D4"/>
    <w:rsid w:val="00CF172C"/>
    <w:rsid w:val="00CF2375"/>
    <w:rsid w:val="00CF2CFC"/>
    <w:rsid w:val="00CF3058"/>
    <w:rsid w:val="00CF49F2"/>
    <w:rsid w:val="00CF651C"/>
    <w:rsid w:val="00CF711A"/>
    <w:rsid w:val="00CF7A6F"/>
    <w:rsid w:val="00D0024A"/>
    <w:rsid w:val="00D0034E"/>
    <w:rsid w:val="00D004C7"/>
    <w:rsid w:val="00D009EB"/>
    <w:rsid w:val="00D012F6"/>
    <w:rsid w:val="00D01BDD"/>
    <w:rsid w:val="00D01D07"/>
    <w:rsid w:val="00D02502"/>
    <w:rsid w:val="00D03618"/>
    <w:rsid w:val="00D03D85"/>
    <w:rsid w:val="00D04E5C"/>
    <w:rsid w:val="00D05573"/>
    <w:rsid w:val="00D05B63"/>
    <w:rsid w:val="00D0636D"/>
    <w:rsid w:val="00D0667C"/>
    <w:rsid w:val="00D0772D"/>
    <w:rsid w:val="00D07E00"/>
    <w:rsid w:val="00D100A2"/>
    <w:rsid w:val="00D100D6"/>
    <w:rsid w:val="00D10734"/>
    <w:rsid w:val="00D10C44"/>
    <w:rsid w:val="00D11111"/>
    <w:rsid w:val="00D11251"/>
    <w:rsid w:val="00D11B31"/>
    <w:rsid w:val="00D11D3E"/>
    <w:rsid w:val="00D12409"/>
    <w:rsid w:val="00D12AB1"/>
    <w:rsid w:val="00D13C44"/>
    <w:rsid w:val="00D14E4D"/>
    <w:rsid w:val="00D15072"/>
    <w:rsid w:val="00D150DA"/>
    <w:rsid w:val="00D1529C"/>
    <w:rsid w:val="00D154B2"/>
    <w:rsid w:val="00D16BC1"/>
    <w:rsid w:val="00D16E0B"/>
    <w:rsid w:val="00D16ED8"/>
    <w:rsid w:val="00D16FF3"/>
    <w:rsid w:val="00D206D8"/>
    <w:rsid w:val="00D20E76"/>
    <w:rsid w:val="00D21026"/>
    <w:rsid w:val="00D21641"/>
    <w:rsid w:val="00D216E6"/>
    <w:rsid w:val="00D22174"/>
    <w:rsid w:val="00D22257"/>
    <w:rsid w:val="00D22642"/>
    <w:rsid w:val="00D2655B"/>
    <w:rsid w:val="00D300D5"/>
    <w:rsid w:val="00D316B7"/>
    <w:rsid w:val="00D31A6F"/>
    <w:rsid w:val="00D32546"/>
    <w:rsid w:val="00D3407A"/>
    <w:rsid w:val="00D345BD"/>
    <w:rsid w:val="00D35C30"/>
    <w:rsid w:val="00D36E20"/>
    <w:rsid w:val="00D37470"/>
    <w:rsid w:val="00D37706"/>
    <w:rsid w:val="00D406B8"/>
    <w:rsid w:val="00D414DB"/>
    <w:rsid w:val="00D422C1"/>
    <w:rsid w:val="00D42784"/>
    <w:rsid w:val="00D43991"/>
    <w:rsid w:val="00D44222"/>
    <w:rsid w:val="00D46C73"/>
    <w:rsid w:val="00D47016"/>
    <w:rsid w:val="00D4744C"/>
    <w:rsid w:val="00D51B6C"/>
    <w:rsid w:val="00D52D15"/>
    <w:rsid w:val="00D52E93"/>
    <w:rsid w:val="00D538CD"/>
    <w:rsid w:val="00D54C56"/>
    <w:rsid w:val="00D55EA5"/>
    <w:rsid w:val="00D5626C"/>
    <w:rsid w:val="00D56A5E"/>
    <w:rsid w:val="00D571F9"/>
    <w:rsid w:val="00D6006E"/>
    <w:rsid w:val="00D60EFE"/>
    <w:rsid w:val="00D611F0"/>
    <w:rsid w:val="00D62B27"/>
    <w:rsid w:val="00D62BA2"/>
    <w:rsid w:val="00D62CA2"/>
    <w:rsid w:val="00D63883"/>
    <w:rsid w:val="00D63AF4"/>
    <w:rsid w:val="00D64601"/>
    <w:rsid w:val="00D66780"/>
    <w:rsid w:val="00D70F4F"/>
    <w:rsid w:val="00D7114C"/>
    <w:rsid w:val="00D71AF9"/>
    <w:rsid w:val="00D72653"/>
    <w:rsid w:val="00D72C60"/>
    <w:rsid w:val="00D73898"/>
    <w:rsid w:val="00D73F27"/>
    <w:rsid w:val="00D73FA0"/>
    <w:rsid w:val="00D74BA3"/>
    <w:rsid w:val="00D7578B"/>
    <w:rsid w:val="00D7768E"/>
    <w:rsid w:val="00D77F61"/>
    <w:rsid w:val="00D8061E"/>
    <w:rsid w:val="00D80DF0"/>
    <w:rsid w:val="00D8152C"/>
    <w:rsid w:val="00D8171A"/>
    <w:rsid w:val="00D818B9"/>
    <w:rsid w:val="00D82000"/>
    <w:rsid w:val="00D8291A"/>
    <w:rsid w:val="00D83297"/>
    <w:rsid w:val="00D83A05"/>
    <w:rsid w:val="00D8462D"/>
    <w:rsid w:val="00D84DC3"/>
    <w:rsid w:val="00D84E69"/>
    <w:rsid w:val="00D85421"/>
    <w:rsid w:val="00D85AAF"/>
    <w:rsid w:val="00D8632F"/>
    <w:rsid w:val="00D865E4"/>
    <w:rsid w:val="00D86BEF"/>
    <w:rsid w:val="00D87245"/>
    <w:rsid w:val="00D87EBC"/>
    <w:rsid w:val="00D900A1"/>
    <w:rsid w:val="00D9083A"/>
    <w:rsid w:val="00D90C35"/>
    <w:rsid w:val="00D9124D"/>
    <w:rsid w:val="00D93377"/>
    <w:rsid w:val="00D9439C"/>
    <w:rsid w:val="00D9492C"/>
    <w:rsid w:val="00D964B4"/>
    <w:rsid w:val="00D96B1C"/>
    <w:rsid w:val="00D97542"/>
    <w:rsid w:val="00DA11A3"/>
    <w:rsid w:val="00DA2512"/>
    <w:rsid w:val="00DA2554"/>
    <w:rsid w:val="00DA3B87"/>
    <w:rsid w:val="00DA41CF"/>
    <w:rsid w:val="00DA44FA"/>
    <w:rsid w:val="00DA4F49"/>
    <w:rsid w:val="00DA5021"/>
    <w:rsid w:val="00DA592C"/>
    <w:rsid w:val="00DA6156"/>
    <w:rsid w:val="00DB02A4"/>
    <w:rsid w:val="00DB110C"/>
    <w:rsid w:val="00DB14A8"/>
    <w:rsid w:val="00DB2588"/>
    <w:rsid w:val="00DB4494"/>
    <w:rsid w:val="00DB458C"/>
    <w:rsid w:val="00DB5278"/>
    <w:rsid w:val="00DB5FBF"/>
    <w:rsid w:val="00DC1C43"/>
    <w:rsid w:val="00DC3A61"/>
    <w:rsid w:val="00DC4301"/>
    <w:rsid w:val="00DC47B2"/>
    <w:rsid w:val="00DC4BA1"/>
    <w:rsid w:val="00DC5513"/>
    <w:rsid w:val="00DC58CC"/>
    <w:rsid w:val="00DC6275"/>
    <w:rsid w:val="00DC7977"/>
    <w:rsid w:val="00DD02A8"/>
    <w:rsid w:val="00DD0B2F"/>
    <w:rsid w:val="00DD137E"/>
    <w:rsid w:val="00DD1ABC"/>
    <w:rsid w:val="00DD1EE1"/>
    <w:rsid w:val="00DD305E"/>
    <w:rsid w:val="00DD32AC"/>
    <w:rsid w:val="00DD3835"/>
    <w:rsid w:val="00DD51A6"/>
    <w:rsid w:val="00DD6438"/>
    <w:rsid w:val="00DD6FB7"/>
    <w:rsid w:val="00DD70D8"/>
    <w:rsid w:val="00DD743D"/>
    <w:rsid w:val="00DE056C"/>
    <w:rsid w:val="00DE09D3"/>
    <w:rsid w:val="00DE0C98"/>
    <w:rsid w:val="00DE2663"/>
    <w:rsid w:val="00DE2B34"/>
    <w:rsid w:val="00DE34E3"/>
    <w:rsid w:val="00DE39DA"/>
    <w:rsid w:val="00DE3CAD"/>
    <w:rsid w:val="00DE4B7C"/>
    <w:rsid w:val="00DE53D8"/>
    <w:rsid w:val="00DE6A43"/>
    <w:rsid w:val="00DE7AA8"/>
    <w:rsid w:val="00DE7BF6"/>
    <w:rsid w:val="00DE7CFF"/>
    <w:rsid w:val="00DF0E43"/>
    <w:rsid w:val="00DF0EF9"/>
    <w:rsid w:val="00DF1A7E"/>
    <w:rsid w:val="00DF3371"/>
    <w:rsid w:val="00DF630B"/>
    <w:rsid w:val="00DF64DF"/>
    <w:rsid w:val="00E00AC6"/>
    <w:rsid w:val="00E00D5B"/>
    <w:rsid w:val="00E020A3"/>
    <w:rsid w:val="00E02338"/>
    <w:rsid w:val="00E0235B"/>
    <w:rsid w:val="00E0239A"/>
    <w:rsid w:val="00E02DF9"/>
    <w:rsid w:val="00E02E47"/>
    <w:rsid w:val="00E0396C"/>
    <w:rsid w:val="00E0419F"/>
    <w:rsid w:val="00E04BE3"/>
    <w:rsid w:val="00E05E56"/>
    <w:rsid w:val="00E05E63"/>
    <w:rsid w:val="00E069EF"/>
    <w:rsid w:val="00E06B02"/>
    <w:rsid w:val="00E06D4B"/>
    <w:rsid w:val="00E06E65"/>
    <w:rsid w:val="00E06F7E"/>
    <w:rsid w:val="00E10A9A"/>
    <w:rsid w:val="00E112CB"/>
    <w:rsid w:val="00E1340F"/>
    <w:rsid w:val="00E13560"/>
    <w:rsid w:val="00E14BAE"/>
    <w:rsid w:val="00E172CB"/>
    <w:rsid w:val="00E174BC"/>
    <w:rsid w:val="00E17677"/>
    <w:rsid w:val="00E200CF"/>
    <w:rsid w:val="00E21261"/>
    <w:rsid w:val="00E21D18"/>
    <w:rsid w:val="00E22357"/>
    <w:rsid w:val="00E24A9E"/>
    <w:rsid w:val="00E25526"/>
    <w:rsid w:val="00E255E1"/>
    <w:rsid w:val="00E25904"/>
    <w:rsid w:val="00E25DA4"/>
    <w:rsid w:val="00E26F74"/>
    <w:rsid w:val="00E27052"/>
    <w:rsid w:val="00E27239"/>
    <w:rsid w:val="00E275F3"/>
    <w:rsid w:val="00E27D61"/>
    <w:rsid w:val="00E30ACA"/>
    <w:rsid w:val="00E30E8D"/>
    <w:rsid w:val="00E30F85"/>
    <w:rsid w:val="00E31D05"/>
    <w:rsid w:val="00E332C5"/>
    <w:rsid w:val="00E343E3"/>
    <w:rsid w:val="00E3443B"/>
    <w:rsid w:val="00E34DA8"/>
    <w:rsid w:val="00E35598"/>
    <w:rsid w:val="00E35F87"/>
    <w:rsid w:val="00E363CA"/>
    <w:rsid w:val="00E36DFC"/>
    <w:rsid w:val="00E36E8F"/>
    <w:rsid w:val="00E36F56"/>
    <w:rsid w:val="00E40081"/>
    <w:rsid w:val="00E40823"/>
    <w:rsid w:val="00E4089E"/>
    <w:rsid w:val="00E40F64"/>
    <w:rsid w:val="00E42C21"/>
    <w:rsid w:val="00E43171"/>
    <w:rsid w:val="00E434B2"/>
    <w:rsid w:val="00E437CD"/>
    <w:rsid w:val="00E46B38"/>
    <w:rsid w:val="00E473D0"/>
    <w:rsid w:val="00E50534"/>
    <w:rsid w:val="00E5287C"/>
    <w:rsid w:val="00E5375C"/>
    <w:rsid w:val="00E5627D"/>
    <w:rsid w:val="00E600C1"/>
    <w:rsid w:val="00E6072B"/>
    <w:rsid w:val="00E60C13"/>
    <w:rsid w:val="00E614DB"/>
    <w:rsid w:val="00E62203"/>
    <w:rsid w:val="00E62FDC"/>
    <w:rsid w:val="00E631CF"/>
    <w:rsid w:val="00E63603"/>
    <w:rsid w:val="00E636D8"/>
    <w:rsid w:val="00E63A6A"/>
    <w:rsid w:val="00E63E75"/>
    <w:rsid w:val="00E6504D"/>
    <w:rsid w:val="00E659CF"/>
    <w:rsid w:val="00E65DCA"/>
    <w:rsid w:val="00E67C6C"/>
    <w:rsid w:val="00E70B50"/>
    <w:rsid w:val="00E70D56"/>
    <w:rsid w:val="00E72EA4"/>
    <w:rsid w:val="00E738BE"/>
    <w:rsid w:val="00E73BD2"/>
    <w:rsid w:val="00E7434D"/>
    <w:rsid w:val="00E74815"/>
    <w:rsid w:val="00E74F80"/>
    <w:rsid w:val="00E751E8"/>
    <w:rsid w:val="00E752E3"/>
    <w:rsid w:val="00E7536C"/>
    <w:rsid w:val="00E756F8"/>
    <w:rsid w:val="00E75A81"/>
    <w:rsid w:val="00E76045"/>
    <w:rsid w:val="00E818A1"/>
    <w:rsid w:val="00E81913"/>
    <w:rsid w:val="00E81CEB"/>
    <w:rsid w:val="00E827F4"/>
    <w:rsid w:val="00E83660"/>
    <w:rsid w:val="00E83685"/>
    <w:rsid w:val="00E84163"/>
    <w:rsid w:val="00E842E2"/>
    <w:rsid w:val="00E85189"/>
    <w:rsid w:val="00E853BD"/>
    <w:rsid w:val="00E854EF"/>
    <w:rsid w:val="00E85551"/>
    <w:rsid w:val="00E856A2"/>
    <w:rsid w:val="00E85905"/>
    <w:rsid w:val="00E85C9D"/>
    <w:rsid w:val="00E85E35"/>
    <w:rsid w:val="00E86856"/>
    <w:rsid w:val="00E87A4D"/>
    <w:rsid w:val="00E90295"/>
    <w:rsid w:val="00E91728"/>
    <w:rsid w:val="00E92215"/>
    <w:rsid w:val="00E92298"/>
    <w:rsid w:val="00E94DFF"/>
    <w:rsid w:val="00E95AAC"/>
    <w:rsid w:val="00E967C0"/>
    <w:rsid w:val="00E96C09"/>
    <w:rsid w:val="00EA008A"/>
    <w:rsid w:val="00EA0EA3"/>
    <w:rsid w:val="00EA1493"/>
    <w:rsid w:val="00EA1C52"/>
    <w:rsid w:val="00EA2535"/>
    <w:rsid w:val="00EA29EB"/>
    <w:rsid w:val="00EA31D2"/>
    <w:rsid w:val="00EA357F"/>
    <w:rsid w:val="00EA35E9"/>
    <w:rsid w:val="00EA57CC"/>
    <w:rsid w:val="00EA5AD3"/>
    <w:rsid w:val="00EA5DCC"/>
    <w:rsid w:val="00EA6475"/>
    <w:rsid w:val="00EA6739"/>
    <w:rsid w:val="00EA6E68"/>
    <w:rsid w:val="00EB1AD2"/>
    <w:rsid w:val="00EB1C74"/>
    <w:rsid w:val="00EB3A41"/>
    <w:rsid w:val="00EB3CF0"/>
    <w:rsid w:val="00EB3DA7"/>
    <w:rsid w:val="00EB457F"/>
    <w:rsid w:val="00EB4583"/>
    <w:rsid w:val="00EB6396"/>
    <w:rsid w:val="00EB664A"/>
    <w:rsid w:val="00EC0315"/>
    <w:rsid w:val="00EC1067"/>
    <w:rsid w:val="00EC1206"/>
    <w:rsid w:val="00EC1923"/>
    <w:rsid w:val="00EC1AC0"/>
    <w:rsid w:val="00EC1B5F"/>
    <w:rsid w:val="00EC1C0E"/>
    <w:rsid w:val="00EC3F4A"/>
    <w:rsid w:val="00EC4A05"/>
    <w:rsid w:val="00EC4BC8"/>
    <w:rsid w:val="00EC75B9"/>
    <w:rsid w:val="00ED0A20"/>
    <w:rsid w:val="00ED1B4C"/>
    <w:rsid w:val="00ED1E83"/>
    <w:rsid w:val="00ED20BF"/>
    <w:rsid w:val="00ED23C5"/>
    <w:rsid w:val="00ED28C8"/>
    <w:rsid w:val="00ED29EE"/>
    <w:rsid w:val="00ED35AA"/>
    <w:rsid w:val="00ED368B"/>
    <w:rsid w:val="00ED47DA"/>
    <w:rsid w:val="00ED5285"/>
    <w:rsid w:val="00ED577B"/>
    <w:rsid w:val="00ED5CAD"/>
    <w:rsid w:val="00ED6A73"/>
    <w:rsid w:val="00EE003B"/>
    <w:rsid w:val="00EE0196"/>
    <w:rsid w:val="00EE0FCF"/>
    <w:rsid w:val="00EE255A"/>
    <w:rsid w:val="00EE2B7E"/>
    <w:rsid w:val="00EE2BCF"/>
    <w:rsid w:val="00EE2D56"/>
    <w:rsid w:val="00EE3DC7"/>
    <w:rsid w:val="00EE5732"/>
    <w:rsid w:val="00EE5CE7"/>
    <w:rsid w:val="00EE5E67"/>
    <w:rsid w:val="00EE64EB"/>
    <w:rsid w:val="00EE6E5E"/>
    <w:rsid w:val="00EE7294"/>
    <w:rsid w:val="00EE7E60"/>
    <w:rsid w:val="00EF0536"/>
    <w:rsid w:val="00EF0648"/>
    <w:rsid w:val="00EF14AD"/>
    <w:rsid w:val="00EF1EAD"/>
    <w:rsid w:val="00EF2C35"/>
    <w:rsid w:val="00EF36CA"/>
    <w:rsid w:val="00EF3875"/>
    <w:rsid w:val="00EF3FA6"/>
    <w:rsid w:val="00EF4CB8"/>
    <w:rsid w:val="00EF4F3E"/>
    <w:rsid w:val="00EF5018"/>
    <w:rsid w:val="00EF5958"/>
    <w:rsid w:val="00EF6489"/>
    <w:rsid w:val="00EF68DD"/>
    <w:rsid w:val="00EF6C7D"/>
    <w:rsid w:val="00EF73DA"/>
    <w:rsid w:val="00F01415"/>
    <w:rsid w:val="00F02594"/>
    <w:rsid w:val="00F02792"/>
    <w:rsid w:val="00F03BF5"/>
    <w:rsid w:val="00F046E5"/>
    <w:rsid w:val="00F05D59"/>
    <w:rsid w:val="00F06704"/>
    <w:rsid w:val="00F06F2D"/>
    <w:rsid w:val="00F114D2"/>
    <w:rsid w:val="00F117CE"/>
    <w:rsid w:val="00F11F01"/>
    <w:rsid w:val="00F1265F"/>
    <w:rsid w:val="00F12977"/>
    <w:rsid w:val="00F133FF"/>
    <w:rsid w:val="00F134FF"/>
    <w:rsid w:val="00F13697"/>
    <w:rsid w:val="00F13BF4"/>
    <w:rsid w:val="00F13FB6"/>
    <w:rsid w:val="00F141DB"/>
    <w:rsid w:val="00F14350"/>
    <w:rsid w:val="00F14364"/>
    <w:rsid w:val="00F146B5"/>
    <w:rsid w:val="00F15D2B"/>
    <w:rsid w:val="00F15D46"/>
    <w:rsid w:val="00F16873"/>
    <w:rsid w:val="00F17574"/>
    <w:rsid w:val="00F17989"/>
    <w:rsid w:val="00F17CAD"/>
    <w:rsid w:val="00F210CD"/>
    <w:rsid w:val="00F21C6C"/>
    <w:rsid w:val="00F243C2"/>
    <w:rsid w:val="00F255C8"/>
    <w:rsid w:val="00F25A83"/>
    <w:rsid w:val="00F25AA8"/>
    <w:rsid w:val="00F26AA9"/>
    <w:rsid w:val="00F27074"/>
    <w:rsid w:val="00F27847"/>
    <w:rsid w:val="00F27C5B"/>
    <w:rsid w:val="00F30224"/>
    <w:rsid w:val="00F302D2"/>
    <w:rsid w:val="00F32A85"/>
    <w:rsid w:val="00F3327B"/>
    <w:rsid w:val="00F33B21"/>
    <w:rsid w:val="00F33B77"/>
    <w:rsid w:val="00F359B1"/>
    <w:rsid w:val="00F35AD1"/>
    <w:rsid w:val="00F35DC1"/>
    <w:rsid w:val="00F36D50"/>
    <w:rsid w:val="00F37B1F"/>
    <w:rsid w:val="00F41992"/>
    <w:rsid w:val="00F41A23"/>
    <w:rsid w:val="00F42364"/>
    <w:rsid w:val="00F42B4F"/>
    <w:rsid w:val="00F433BC"/>
    <w:rsid w:val="00F434FC"/>
    <w:rsid w:val="00F45120"/>
    <w:rsid w:val="00F4607C"/>
    <w:rsid w:val="00F46341"/>
    <w:rsid w:val="00F468B9"/>
    <w:rsid w:val="00F468E0"/>
    <w:rsid w:val="00F46931"/>
    <w:rsid w:val="00F4778B"/>
    <w:rsid w:val="00F50938"/>
    <w:rsid w:val="00F50BEB"/>
    <w:rsid w:val="00F50F6A"/>
    <w:rsid w:val="00F516AA"/>
    <w:rsid w:val="00F516D0"/>
    <w:rsid w:val="00F5224C"/>
    <w:rsid w:val="00F52256"/>
    <w:rsid w:val="00F52289"/>
    <w:rsid w:val="00F53D8A"/>
    <w:rsid w:val="00F54837"/>
    <w:rsid w:val="00F549DE"/>
    <w:rsid w:val="00F556B0"/>
    <w:rsid w:val="00F55BAC"/>
    <w:rsid w:val="00F55E7F"/>
    <w:rsid w:val="00F565A9"/>
    <w:rsid w:val="00F57E16"/>
    <w:rsid w:val="00F6018D"/>
    <w:rsid w:val="00F61588"/>
    <w:rsid w:val="00F61836"/>
    <w:rsid w:val="00F61C3B"/>
    <w:rsid w:val="00F630C5"/>
    <w:rsid w:val="00F6423B"/>
    <w:rsid w:val="00F65302"/>
    <w:rsid w:val="00F6611E"/>
    <w:rsid w:val="00F669AD"/>
    <w:rsid w:val="00F669EA"/>
    <w:rsid w:val="00F66F63"/>
    <w:rsid w:val="00F72560"/>
    <w:rsid w:val="00F72C59"/>
    <w:rsid w:val="00F736AE"/>
    <w:rsid w:val="00F747ED"/>
    <w:rsid w:val="00F75DC1"/>
    <w:rsid w:val="00F75E73"/>
    <w:rsid w:val="00F77400"/>
    <w:rsid w:val="00F77E2E"/>
    <w:rsid w:val="00F815B4"/>
    <w:rsid w:val="00F81E91"/>
    <w:rsid w:val="00F8213B"/>
    <w:rsid w:val="00F82473"/>
    <w:rsid w:val="00F8288C"/>
    <w:rsid w:val="00F82DA5"/>
    <w:rsid w:val="00F82FF9"/>
    <w:rsid w:val="00F84BA1"/>
    <w:rsid w:val="00F84FF8"/>
    <w:rsid w:val="00F8552B"/>
    <w:rsid w:val="00F86AB3"/>
    <w:rsid w:val="00F86F63"/>
    <w:rsid w:val="00F87215"/>
    <w:rsid w:val="00F87C48"/>
    <w:rsid w:val="00F90971"/>
    <w:rsid w:val="00F90D8B"/>
    <w:rsid w:val="00F90DEE"/>
    <w:rsid w:val="00F91388"/>
    <w:rsid w:val="00F919ED"/>
    <w:rsid w:val="00F92EEC"/>
    <w:rsid w:val="00F931A3"/>
    <w:rsid w:val="00F942CF"/>
    <w:rsid w:val="00F94450"/>
    <w:rsid w:val="00F94DC4"/>
    <w:rsid w:val="00F9543E"/>
    <w:rsid w:val="00F963F4"/>
    <w:rsid w:val="00F96780"/>
    <w:rsid w:val="00F96E2C"/>
    <w:rsid w:val="00F96E92"/>
    <w:rsid w:val="00F975A5"/>
    <w:rsid w:val="00F9780D"/>
    <w:rsid w:val="00FA1014"/>
    <w:rsid w:val="00FA12A1"/>
    <w:rsid w:val="00FA1594"/>
    <w:rsid w:val="00FA1E3B"/>
    <w:rsid w:val="00FA1E73"/>
    <w:rsid w:val="00FA404D"/>
    <w:rsid w:val="00FA4200"/>
    <w:rsid w:val="00FA50BD"/>
    <w:rsid w:val="00FA51ED"/>
    <w:rsid w:val="00FA7ECD"/>
    <w:rsid w:val="00FB02DF"/>
    <w:rsid w:val="00FB0F81"/>
    <w:rsid w:val="00FB20F0"/>
    <w:rsid w:val="00FB2202"/>
    <w:rsid w:val="00FB43D0"/>
    <w:rsid w:val="00FB44B8"/>
    <w:rsid w:val="00FB463E"/>
    <w:rsid w:val="00FB5320"/>
    <w:rsid w:val="00FB72CA"/>
    <w:rsid w:val="00FB7748"/>
    <w:rsid w:val="00FB7CCD"/>
    <w:rsid w:val="00FC1E0B"/>
    <w:rsid w:val="00FC1FAF"/>
    <w:rsid w:val="00FC207A"/>
    <w:rsid w:val="00FC3269"/>
    <w:rsid w:val="00FC5CF4"/>
    <w:rsid w:val="00FC5DE9"/>
    <w:rsid w:val="00FC5F9B"/>
    <w:rsid w:val="00FC63AC"/>
    <w:rsid w:val="00FC6A86"/>
    <w:rsid w:val="00FC6B6C"/>
    <w:rsid w:val="00FC6E1F"/>
    <w:rsid w:val="00FC6FD4"/>
    <w:rsid w:val="00FC72DC"/>
    <w:rsid w:val="00FD2D65"/>
    <w:rsid w:val="00FD3012"/>
    <w:rsid w:val="00FD475D"/>
    <w:rsid w:val="00FD4B42"/>
    <w:rsid w:val="00FD4F03"/>
    <w:rsid w:val="00FD5310"/>
    <w:rsid w:val="00FD5563"/>
    <w:rsid w:val="00FD5E52"/>
    <w:rsid w:val="00FD62A6"/>
    <w:rsid w:val="00FD68EC"/>
    <w:rsid w:val="00FD7D41"/>
    <w:rsid w:val="00FE2BCA"/>
    <w:rsid w:val="00FE2CB5"/>
    <w:rsid w:val="00FE3268"/>
    <w:rsid w:val="00FE3717"/>
    <w:rsid w:val="00FE3C66"/>
    <w:rsid w:val="00FE475D"/>
    <w:rsid w:val="00FE4BCD"/>
    <w:rsid w:val="00FE53A7"/>
    <w:rsid w:val="00FE58D1"/>
    <w:rsid w:val="00FE5E20"/>
    <w:rsid w:val="00FE7328"/>
    <w:rsid w:val="00FE7AAE"/>
    <w:rsid w:val="00FE7C81"/>
    <w:rsid w:val="00FE7FEA"/>
    <w:rsid w:val="00FE7FF6"/>
    <w:rsid w:val="00FF08DE"/>
    <w:rsid w:val="00FF1831"/>
    <w:rsid w:val="00FF234C"/>
    <w:rsid w:val="00FF361F"/>
    <w:rsid w:val="00FF4756"/>
    <w:rsid w:val="00FF4E49"/>
    <w:rsid w:val="00FF5A6E"/>
    <w:rsid w:val="00FF630A"/>
    <w:rsid w:val="00FF679B"/>
    <w:rsid w:val="00FF6B30"/>
    <w:rsid w:val="00FF6FD2"/>
    <w:rsid w:val="00FF7039"/>
    <w:rsid w:val="025A6FD9"/>
    <w:rsid w:val="0279852D"/>
    <w:rsid w:val="028D0F54"/>
    <w:rsid w:val="0311D669"/>
    <w:rsid w:val="066B3BFB"/>
    <w:rsid w:val="069521FF"/>
    <w:rsid w:val="076471EE"/>
    <w:rsid w:val="08490F3F"/>
    <w:rsid w:val="084CAA5A"/>
    <w:rsid w:val="08562850"/>
    <w:rsid w:val="0888FAB2"/>
    <w:rsid w:val="08F18FD1"/>
    <w:rsid w:val="0981AC2D"/>
    <w:rsid w:val="0A532016"/>
    <w:rsid w:val="0B0A5BAE"/>
    <w:rsid w:val="0B25046F"/>
    <w:rsid w:val="0B4C0DA4"/>
    <w:rsid w:val="0DBA8B15"/>
    <w:rsid w:val="0DC60665"/>
    <w:rsid w:val="0F23F793"/>
    <w:rsid w:val="0FFCE76C"/>
    <w:rsid w:val="100AE301"/>
    <w:rsid w:val="105DA16F"/>
    <w:rsid w:val="10759C76"/>
    <w:rsid w:val="11103CD2"/>
    <w:rsid w:val="11775458"/>
    <w:rsid w:val="1184D4BF"/>
    <w:rsid w:val="11E71DBA"/>
    <w:rsid w:val="12082736"/>
    <w:rsid w:val="126D8E91"/>
    <w:rsid w:val="127297B2"/>
    <w:rsid w:val="13594CD2"/>
    <w:rsid w:val="13FE6E03"/>
    <w:rsid w:val="141F7796"/>
    <w:rsid w:val="1456E6C1"/>
    <w:rsid w:val="14D5D42D"/>
    <w:rsid w:val="167AF227"/>
    <w:rsid w:val="1689B5CD"/>
    <w:rsid w:val="16F7F3EB"/>
    <w:rsid w:val="176F7390"/>
    <w:rsid w:val="181493B3"/>
    <w:rsid w:val="181CBDA7"/>
    <w:rsid w:val="1B18F7B8"/>
    <w:rsid w:val="1B490911"/>
    <w:rsid w:val="1B4EFD5E"/>
    <w:rsid w:val="1B55A348"/>
    <w:rsid w:val="1C5202EA"/>
    <w:rsid w:val="1CDA0322"/>
    <w:rsid w:val="1F5EBF46"/>
    <w:rsid w:val="22E6764D"/>
    <w:rsid w:val="23A2AC68"/>
    <w:rsid w:val="245606DB"/>
    <w:rsid w:val="245A0DFA"/>
    <w:rsid w:val="2533B356"/>
    <w:rsid w:val="256BE950"/>
    <w:rsid w:val="25D79715"/>
    <w:rsid w:val="2828770F"/>
    <w:rsid w:val="29503A65"/>
    <w:rsid w:val="29E5526D"/>
    <w:rsid w:val="2A2619CA"/>
    <w:rsid w:val="2B1DE3B1"/>
    <w:rsid w:val="2B2EF0EE"/>
    <w:rsid w:val="2CD52B9D"/>
    <w:rsid w:val="2CF8E18F"/>
    <w:rsid w:val="2D36EDF9"/>
    <w:rsid w:val="2DB83F99"/>
    <w:rsid w:val="2E2070DD"/>
    <w:rsid w:val="2EDDC100"/>
    <w:rsid w:val="3051E3BE"/>
    <w:rsid w:val="312BCB97"/>
    <w:rsid w:val="324B7DE6"/>
    <w:rsid w:val="32E92D4C"/>
    <w:rsid w:val="33224B1C"/>
    <w:rsid w:val="3429D429"/>
    <w:rsid w:val="3517061B"/>
    <w:rsid w:val="36A44D6C"/>
    <w:rsid w:val="3703558D"/>
    <w:rsid w:val="37807627"/>
    <w:rsid w:val="37F924EA"/>
    <w:rsid w:val="39C8F76D"/>
    <w:rsid w:val="3A6666B5"/>
    <w:rsid w:val="3A92473C"/>
    <w:rsid w:val="3B5EB27E"/>
    <w:rsid w:val="3B900FD4"/>
    <w:rsid w:val="3BBCE1E2"/>
    <w:rsid w:val="3D8A2044"/>
    <w:rsid w:val="401A51CE"/>
    <w:rsid w:val="408716C7"/>
    <w:rsid w:val="41129025"/>
    <w:rsid w:val="412B1C95"/>
    <w:rsid w:val="41F3C200"/>
    <w:rsid w:val="42BB08A3"/>
    <w:rsid w:val="447ED48F"/>
    <w:rsid w:val="4657B9EC"/>
    <w:rsid w:val="469AB140"/>
    <w:rsid w:val="4AE5094D"/>
    <w:rsid w:val="4AEEBC59"/>
    <w:rsid w:val="4BE74A46"/>
    <w:rsid w:val="4C17007C"/>
    <w:rsid w:val="4CDFF5A4"/>
    <w:rsid w:val="4CE82AA0"/>
    <w:rsid w:val="4D8F8A84"/>
    <w:rsid w:val="4EFE48BA"/>
    <w:rsid w:val="528B9426"/>
    <w:rsid w:val="52D94C98"/>
    <w:rsid w:val="531D1497"/>
    <w:rsid w:val="5354BD9E"/>
    <w:rsid w:val="53DCC8D9"/>
    <w:rsid w:val="53F6DE82"/>
    <w:rsid w:val="54EE852D"/>
    <w:rsid w:val="553AAC1D"/>
    <w:rsid w:val="55697007"/>
    <w:rsid w:val="55E3A550"/>
    <w:rsid w:val="55E5382E"/>
    <w:rsid w:val="5628D09C"/>
    <w:rsid w:val="5A0A8866"/>
    <w:rsid w:val="5A764CA2"/>
    <w:rsid w:val="5E22177D"/>
    <w:rsid w:val="5E66E419"/>
    <w:rsid w:val="5E997141"/>
    <w:rsid w:val="5FB2D9F4"/>
    <w:rsid w:val="5FB5DB98"/>
    <w:rsid w:val="5FD3230C"/>
    <w:rsid w:val="5FF16E68"/>
    <w:rsid w:val="60C22A3F"/>
    <w:rsid w:val="6102C078"/>
    <w:rsid w:val="620F13E5"/>
    <w:rsid w:val="62101FB1"/>
    <w:rsid w:val="63770060"/>
    <w:rsid w:val="63844EF1"/>
    <w:rsid w:val="63A8BCDD"/>
    <w:rsid w:val="63D1A1E3"/>
    <w:rsid w:val="64998290"/>
    <w:rsid w:val="64EEDC0D"/>
    <w:rsid w:val="659748FB"/>
    <w:rsid w:val="67843A21"/>
    <w:rsid w:val="68ACC2EA"/>
    <w:rsid w:val="69CB1990"/>
    <w:rsid w:val="6B1AAF69"/>
    <w:rsid w:val="6B44805B"/>
    <w:rsid w:val="6B4E9EA0"/>
    <w:rsid w:val="6B763879"/>
    <w:rsid w:val="6C7DCFD5"/>
    <w:rsid w:val="6C8676F1"/>
    <w:rsid w:val="6E4169D8"/>
    <w:rsid w:val="70008092"/>
    <w:rsid w:val="7030409B"/>
    <w:rsid w:val="70A29351"/>
    <w:rsid w:val="71A0426A"/>
    <w:rsid w:val="71F9414F"/>
    <w:rsid w:val="730FFEC4"/>
    <w:rsid w:val="735DEE06"/>
    <w:rsid w:val="73CCB6B0"/>
    <w:rsid w:val="749C386B"/>
    <w:rsid w:val="74A0351F"/>
    <w:rsid w:val="74AF42E8"/>
    <w:rsid w:val="74ECE3D5"/>
    <w:rsid w:val="76CCB272"/>
    <w:rsid w:val="77501A39"/>
    <w:rsid w:val="77F65B91"/>
    <w:rsid w:val="78014D5B"/>
    <w:rsid w:val="78BB3376"/>
    <w:rsid w:val="798607D1"/>
    <w:rsid w:val="7A1506A9"/>
    <w:rsid w:val="7A3D673F"/>
    <w:rsid w:val="7B307D95"/>
    <w:rsid w:val="7B7634D1"/>
    <w:rsid w:val="7BB4FF62"/>
    <w:rsid w:val="7CFD2F89"/>
    <w:rsid w:val="7EABDF9A"/>
    <w:rsid w:val="7F1EB6CB"/>
    <w:rsid w:val="7F6AF924"/>
    <w:rsid w:val="7FFAD71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32FFC272"/>
  <w15:chartTrackingRefBased/>
  <w15:docId w15:val="{2A35A26C-DA8D-486C-8B9E-ADC71DC5D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mt-MT" w:eastAsia="fr-B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iPriority="99" w:unhideWhenUsed="1"/>
    <w:lsdException w:name="page number" w:semiHidden="1" w:uiPriority="99"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Emphasis" w:uiPriority="20"/>
    <w:lsdException w:name="Document Map" w:semiHidden="1" w:unhideWhenUsed="1"/>
    <w:lsdException w:name="Plain Text" w:semiHidden="1"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Theme" w:semiHidden="1" w:uiPriority="99"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7534"/>
    <w:pPr>
      <w:spacing w:after="200"/>
      <w:jc w:val="both"/>
    </w:pPr>
    <w:rPr>
      <w:rFonts w:ascii="Verdana" w:hAnsi="Verdana"/>
      <w:lang w:eastAsia="en-US"/>
    </w:rPr>
  </w:style>
  <w:style w:type="paragraph" w:styleId="Heading1">
    <w:name w:val="heading 1"/>
    <w:basedOn w:val="Normal"/>
    <w:next w:val="Text1"/>
    <w:link w:val="Heading1Char"/>
    <w:qFormat/>
    <w:rsid w:val="00692CDE"/>
    <w:pPr>
      <w:widowControl w:val="0"/>
      <w:outlineLvl w:val="0"/>
    </w:pPr>
    <w:rPr>
      <w:b/>
      <w:color w:val="A50021"/>
    </w:rPr>
  </w:style>
  <w:style w:type="paragraph" w:styleId="Heading2">
    <w:name w:val="heading 2"/>
    <w:basedOn w:val="Normal"/>
    <w:next w:val="Text2"/>
    <w:link w:val="Heading2Char"/>
    <w:qFormat/>
    <w:rsid w:val="006E495F"/>
    <w:pPr>
      <w:widowControl w:val="0"/>
      <w:outlineLvl w:val="1"/>
    </w:pPr>
    <w:rPr>
      <w:b/>
      <w:color w:val="A50021"/>
    </w:rPr>
  </w:style>
  <w:style w:type="paragraph" w:styleId="Heading3">
    <w:name w:val="heading 3"/>
    <w:basedOn w:val="Normal"/>
    <w:next w:val="Text3"/>
    <w:link w:val="Heading3Char"/>
    <w:qFormat/>
    <w:rsid w:val="00510B7E"/>
    <w:pPr>
      <w:widowControl w:val="0"/>
      <w:outlineLvl w:val="2"/>
    </w:pPr>
    <w:rPr>
      <w:i/>
      <w:color w:val="A50021"/>
      <w:u w:val="single"/>
    </w:rPr>
  </w:style>
  <w:style w:type="paragraph" w:styleId="Heading4">
    <w:name w:val="heading 4"/>
    <w:basedOn w:val="Normal"/>
    <w:next w:val="Text4"/>
    <w:pPr>
      <w:keepNext/>
      <w:numPr>
        <w:ilvl w:val="3"/>
        <w:numId w:val="3"/>
      </w:numPr>
      <w:outlineLvl w:val="3"/>
    </w:pPr>
  </w:style>
  <w:style w:type="paragraph" w:styleId="Heading5">
    <w:name w:val="heading 5"/>
    <w:basedOn w:val="Normal"/>
    <w:next w:val="Normal"/>
    <w:pPr>
      <w:tabs>
        <w:tab w:val="num" w:pos="0"/>
      </w:tabs>
      <w:spacing w:before="240" w:after="60"/>
      <w:outlineLvl w:val="4"/>
    </w:pPr>
    <w:rPr>
      <w:rFonts w:ascii="Arial" w:hAnsi="Arial"/>
      <w:sz w:val="22"/>
    </w:rPr>
  </w:style>
  <w:style w:type="paragraph" w:styleId="Heading6">
    <w:name w:val="heading 6"/>
    <w:basedOn w:val="Normal"/>
    <w:next w:val="Normal"/>
    <w:pPr>
      <w:tabs>
        <w:tab w:val="num" w:pos="0"/>
      </w:tabs>
      <w:spacing w:before="240" w:after="60"/>
      <w:outlineLvl w:val="5"/>
    </w:pPr>
    <w:rPr>
      <w:rFonts w:ascii="Arial" w:hAnsi="Arial"/>
      <w:i/>
      <w:sz w:val="22"/>
    </w:rPr>
  </w:style>
  <w:style w:type="paragraph" w:styleId="Heading7">
    <w:name w:val="heading 7"/>
    <w:basedOn w:val="Normal"/>
    <w:next w:val="Normal"/>
    <w:pPr>
      <w:tabs>
        <w:tab w:val="num" w:pos="0"/>
      </w:tabs>
      <w:spacing w:before="240" w:after="60"/>
      <w:outlineLvl w:val="6"/>
    </w:pPr>
    <w:rPr>
      <w:rFonts w:ascii="Arial" w:hAnsi="Arial"/>
    </w:rPr>
  </w:style>
  <w:style w:type="paragraph" w:styleId="Heading8">
    <w:name w:val="heading 8"/>
    <w:basedOn w:val="Normal"/>
    <w:next w:val="Normal"/>
    <w:pPr>
      <w:tabs>
        <w:tab w:val="num" w:pos="0"/>
      </w:tabs>
      <w:spacing w:before="240" w:after="60"/>
      <w:outlineLvl w:val="7"/>
    </w:pPr>
    <w:rPr>
      <w:rFonts w:ascii="Arial" w:hAnsi="Arial"/>
      <w:i/>
    </w:rPr>
  </w:style>
  <w:style w:type="paragraph" w:styleId="Heading9">
    <w:name w:val="heading 9"/>
    <w:basedOn w:val="Normal"/>
    <w:next w:val="Normal"/>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link w:val="Text1Char"/>
    <w:pPr>
      <w:tabs>
        <w:tab w:val="left" w:pos="2160"/>
      </w:tabs>
      <w:ind w:left="1440"/>
    </w:pPr>
  </w:style>
  <w:style w:type="paragraph" w:customStyle="1" w:styleId="Text2">
    <w:name w:val="Text 2"/>
    <w:basedOn w:val="Normal"/>
    <w:link w:val="Text2Car"/>
    <w:pPr>
      <w:tabs>
        <w:tab w:val="left" w:pos="2160"/>
      </w:tabs>
      <w:ind w:left="1440"/>
    </w:pPr>
  </w:style>
  <w:style w:type="paragraph" w:customStyle="1" w:styleId="Text3">
    <w:name w:val="Text 3"/>
    <w:basedOn w:val="Normal"/>
    <w:pPr>
      <w:tabs>
        <w:tab w:val="left" w:pos="2160"/>
      </w:tabs>
      <w:ind w:left="1440"/>
    </w:pPr>
  </w:style>
  <w:style w:type="paragraph" w:customStyle="1" w:styleId="Text4">
    <w:name w:val="Text 4"/>
    <w:basedOn w:val="Normal"/>
    <w:pPr>
      <w:tabs>
        <w:tab w:val="left" w:pos="2160"/>
      </w:tabs>
      <w:ind w:left="1440"/>
    </w:pPr>
  </w:style>
  <w:style w:type="paragraph" w:styleId="BlockText">
    <w:name w:val="Block Text"/>
    <w:basedOn w:val="Normal"/>
    <w:semiHidden/>
    <w:pPr>
      <w:spacing w:after="120"/>
      <w:ind w:left="1440" w:right="1440"/>
    </w:pPr>
  </w:style>
  <w:style w:type="paragraph" w:styleId="BodyText">
    <w:name w:val="Body Text"/>
    <w:basedOn w:val="Normal"/>
    <w:link w:val="BodyTextChar"/>
    <w:uiPriority w:val="1"/>
    <w:pPr>
      <w:spacing w:after="12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rPr>
  </w:style>
  <w:style w:type="paragraph" w:styleId="BodyTextFirstIndent">
    <w:name w:val="Body Text First Indent"/>
    <w:basedOn w:val="BodyText"/>
    <w:semiHidden/>
    <w:pPr>
      <w:ind w:firstLine="210"/>
    </w:pPr>
  </w:style>
  <w:style w:type="paragraph" w:styleId="BodyTextIndent">
    <w:name w:val="Body Text Indent"/>
    <w:basedOn w:val="Normal"/>
    <w:link w:val="BodyTextIndentChar"/>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6"/>
    </w:rPr>
  </w:style>
  <w:style w:type="paragraph" w:styleId="Caption">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rPr>
  </w:style>
  <w:style w:type="paragraph" w:styleId="Closing">
    <w:name w:val="Closing"/>
    <w:basedOn w:val="Normal"/>
    <w:semiHidden/>
    <w:pPr>
      <w:ind w:left="4252"/>
    </w:pPr>
  </w:style>
  <w:style w:type="paragraph" w:styleId="CommentText">
    <w:name w:val="annotation text"/>
    <w:basedOn w:val="Normal"/>
    <w:link w:val="CommentTextChar"/>
    <w:uiPriority w:val="99"/>
  </w:style>
  <w:style w:type="paragraph" w:styleId="Date">
    <w:name w:val="Date"/>
    <w:basedOn w:val="Normal"/>
    <w:next w:val="References"/>
    <w:semiHidden/>
    <w:pPr>
      <w:spacing w:after="0"/>
      <w:ind w:left="5103" w:right="-567"/>
      <w:jc w:val="left"/>
    </w:pPr>
    <w:rPr>
      <w:sz w:val="24"/>
    </w:rPr>
  </w:style>
  <w:style w:type="paragraph" w:customStyle="1" w:styleId="References">
    <w:name w:val="References"/>
    <w:basedOn w:val="Normal"/>
    <w:next w:val="Normal"/>
    <w:pPr>
      <w:ind w:left="5103"/>
      <w:jc w:val="left"/>
    </w:pPr>
  </w:style>
  <w:style w:type="paragraph" w:styleId="DocumentMap">
    <w:name w:val="Document Map"/>
    <w:basedOn w:val="Normal"/>
    <w:semiHidden/>
    <w:pPr>
      <w:shd w:val="clear" w:color="auto" w:fill="000080"/>
    </w:pPr>
    <w:rPr>
      <w:rFonts w:ascii="Tahoma" w:hAnsi="Tahoma"/>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spacing w:after="0"/>
    </w:pPr>
    <w:rPr>
      <w:sz w:val="24"/>
    </w:rPr>
  </w:style>
  <w:style w:type="paragraph" w:styleId="EnvelopeReturn">
    <w:name w:val="envelope return"/>
    <w:basedOn w:val="Normal"/>
    <w:semiHidden/>
    <w:pPr>
      <w:spacing w:after="0"/>
    </w:p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aliases w:val="Footnote Text Char2,Footnote Text Char1 Char,Footnote Text Char2 Char Char,Footnote Text Char1 Char Char Char,Footnote Text Char2 Char Char Char Char,Footnote Text Char Char1 Char Char Char Char,Footnote Text Char1,Schriftart: 9 pt,FoodNot"/>
    <w:basedOn w:val="Normal"/>
    <w:link w:val="FootnoteTextChar"/>
    <w:pPr>
      <w:ind w:left="357" w:hanging="357"/>
    </w:p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80" w:hanging="280"/>
    </w:pPr>
  </w:style>
  <w:style w:type="paragraph" w:styleId="Index2">
    <w:name w:val="index 2"/>
    <w:basedOn w:val="Normal"/>
    <w:next w:val="Normal"/>
    <w:autoRedefine/>
    <w:semiHidden/>
    <w:pPr>
      <w:ind w:left="560" w:hanging="280"/>
    </w:pPr>
  </w:style>
  <w:style w:type="paragraph" w:styleId="Index3">
    <w:name w:val="index 3"/>
    <w:basedOn w:val="Normal"/>
    <w:next w:val="Normal"/>
    <w:autoRedefine/>
    <w:semiHidden/>
    <w:pPr>
      <w:ind w:left="840" w:hanging="280"/>
    </w:pPr>
  </w:style>
  <w:style w:type="paragraph" w:styleId="Index4">
    <w:name w:val="index 4"/>
    <w:basedOn w:val="Normal"/>
    <w:next w:val="Normal"/>
    <w:autoRedefine/>
    <w:semiHidden/>
    <w:pPr>
      <w:ind w:left="1120" w:hanging="280"/>
    </w:pPr>
  </w:style>
  <w:style w:type="paragraph" w:styleId="Index5">
    <w:name w:val="index 5"/>
    <w:basedOn w:val="Normal"/>
    <w:next w:val="Normal"/>
    <w:autoRedefine/>
    <w:semiHidden/>
    <w:pPr>
      <w:ind w:left="1400" w:hanging="280"/>
    </w:pPr>
  </w:style>
  <w:style w:type="paragraph" w:styleId="Index6">
    <w:name w:val="index 6"/>
    <w:basedOn w:val="Normal"/>
    <w:next w:val="Normal"/>
    <w:autoRedefine/>
    <w:semiHidden/>
    <w:pPr>
      <w:ind w:left="1680" w:hanging="280"/>
    </w:pPr>
  </w:style>
  <w:style w:type="paragraph" w:styleId="Index7">
    <w:name w:val="index 7"/>
    <w:basedOn w:val="Normal"/>
    <w:next w:val="Normal"/>
    <w:autoRedefine/>
    <w:semiHidden/>
    <w:pPr>
      <w:ind w:left="1960" w:hanging="280"/>
    </w:pPr>
  </w:style>
  <w:style w:type="paragraph" w:styleId="Index8">
    <w:name w:val="index 8"/>
    <w:basedOn w:val="Normal"/>
    <w:next w:val="Normal"/>
    <w:autoRedefine/>
    <w:semiHidden/>
    <w:pPr>
      <w:ind w:left="2240" w:hanging="280"/>
    </w:pPr>
  </w:style>
  <w:style w:type="paragraph" w:styleId="Index9">
    <w:name w:val="index 9"/>
    <w:basedOn w:val="Normal"/>
    <w:next w:val="Normal"/>
    <w:autoRedefine/>
    <w:semiHidden/>
    <w:pPr>
      <w:ind w:left="2520" w:hanging="280"/>
    </w:pPr>
  </w:style>
  <w:style w:type="paragraph" w:styleId="IndexHeading">
    <w:name w:val="index heading"/>
    <w:basedOn w:val="Normal"/>
    <w:next w:val="Index1"/>
    <w:semiHidden/>
    <w:rPr>
      <w:rFonts w:ascii="Arial" w:hAnsi="Arial"/>
      <w:b/>
    </w:rPr>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semiHidden/>
    <w:pPr>
      <w:numPr>
        <w:numId w:val="4"/>
      </w:numPr>
    </w:pPr>
  </w:style>
  <w:style w:type="paragraph" w:styleId="ListBullet2">
    <w:name w:val="List Bullet 2"/>
    <w:basedOn w:val="Text2"/>
    <w:semiHidden/>
    <w:pPr>
      <w:numPr>
        <w:numId w:val="6"/>
      </w:numPr>
      <w:tabs>
        <w:tab w:val="clear" w:pos="2160"/>
      </w:tabs>
    </w:pPr>
  </w:style>
  <w:style w:type="paragraph" w:styleId="ListBullet3">
    <w:name w:val="List Bullet 3"/>
    <w:basedOn w:val="Text3"/>
    <w:semiHidden/>
    <w:pPr>
      <w:numPr>
        <w:numId w:val="7"/>
      </w:numPr>
      <w:tabs>
        <w:tab w:val="clear" w:pos="2160"/>
      </w:tabs>
    </w:pPr>
  </w:style>
  <w:style w:type="paragraph" w:styleId="ListBullet4">
    <w:name w:val="List Bullet 4"/>
    <w:basedOn w:val="Text4"/>
    <w:semiHidden/>
    <w:pPr>
      <w:numPr>
        <w:numId w:val="8"/>
      </w:numPr>
      <w:tabs>
        <w:tab w:val="clear" w:pos="2160"/>
      </w:tabs>
    </w:pPr>
  </w:style>
  <w:style w:type="paragraph" w:styleId="ListBullet5">
    <w:name w:val="List Bullet 5"/>
    <w:basedOn w:val="Normal"/>
    <w:autoRedefine/>
    <w:semiHidden/>
    <w:pPr>
      <w:numPr>
        <w:numId w:val="1"/>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pPr>
      <w:numPr>
        <w:numId w:val="15"/>
      </w:numPr>
    </w:pPr>
  </w:style>
  <w:style w:type="paragraph" w:styleId="ListNumber2">
    <w:name w:val="List Number 2"/>
    <w:basedOn w:val="Text2"/>
    <w:semiHidden/>
    <w:pPr>
      <w:numPr>
        <w:numId w:val="16"/>
      </w:numPr>
    </w:pPr>
  </w:style>
  <w:style w:type="paragraph" w:styleId="ListNumber3">
    <w:name w:val="List Number 3"/>
    <w:basedOn w:val="Text3"/>
    <w:semiHidden/>
    <w:pPr>
      <w:numPr>
        <w:numId w:val="17"/>
      </w:numPr>
    </w:pPr>
  </w:style>
  <w:style w:type="paragraph" w:styleId="ListNumber4">
    <w:name w:val="List Number 4"/>
    <w:basedOn w:val="Text4"/>
    <w:semiHidden/>
    <w:pPr>
      <w:numPr>
        <w:numId w:val="18"/>
      </w:numPr>
    </w:pPr>
  </w:style>
  <w:style w:type="paragraph" w:styleId="ListNumber5">
    <w:name w:val="List Number 5"/>
    <w:basedOn w:val="Normal"/>
    <w:semiHidden/>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4"/>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customStyle="1" w:styleId="NumPar1">
    <w:name w:val="NumPar 1"/>
    <w:basedOn w:val="Heading1"/>
    <w:next w:val="Text1"/>
    <w:pPr>
      <w:outlineLvl w:val="9"/>
    </w:pPr>
    <w:rPr>
      <w:b w:val="0"/>
      <w:smallCaps/>
    </w:rPr>
  </w:style>
  <w:style w:type="paragraph" w:customStyle="1" w:styleId="NumPar2">
    <w:name w:val="NumPar 2"/>
    <w:basedOn w:val="Heading2"/>
    <w:next w:val="Text2"/>
    <w:pPr>
      <w:outlineLvl w:val="9"/>
    </w:pPr>
    <w:rPr>
      <w:b w:val="0"/>
    </w:rPr>
  </w:style>
  <w:style w:type="paragraph" w:customStyle="1" w:styleId="NumPar3">
    <w:name w:val="NumPar 3"/>
    <w:basedOn w:val="Heading3"/>
    <w:next w:val="Text3"/>
    <w:pPr>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semiHidden/>
    <w:rPr>
      <w:rFonts w:ascii="Courier New" w:hAnsi="Courier New"/>
    </w:rPr>
  </w:style>
  <w:style w:type="paragraph" w:styleId="Salutation">
    <w:name w:val="Salutation"/>
    <w:basedOn w:val="Normal"/>
    <w:next w:val="Normal"/>
    <w:semiHidden/>
  </w:style>
  <w:style w:type="paragraph" w:styleId="Signature">
    <w:name w:val="Signature"/>
    <w:basedOn w:val="Normal"/>
    <w:semiHidden/>
    <w:pPr>
      <w:ind w:left="4252"/>
    </w:pPr>
  </w:style>
  <w:style w:type="paragraph" w:customStyle="1" w:styleId="Subject">
    <w:name w:val="Subject"/>
    <w:basedOn w:val="Normal"/>
    <w:next w:val="Normal"/>
    <w:pPr>
      <w:spacing w:after="480"/>
      <w:ind w:left="1191" w:hanging="1191"/>
      <w:jc w:val="left"/>
    </w:pPr>
    <w:rPr>
      <w:b/>
    </w:rPr>
  </w:style>
  <w:style w:type="paragraph" w:styleId="Subtitle">
    <w:name w:val="Subtitle"/>
    <w:basedOn w:val="Normal"/>
    <w:pPr>
      <w:spacing w:after="60"/>
      <w:jc w:val="center"/>
      <w:outlineLvl w:val="1"/>
    </w:pPr>
    <w:rPr>
      <w:rFonts w:ascii="Arial" w:hAnsi="Arial"/>
      <w:sz w:val="24"/>
    </w:rPr>
  </w:style>
  <w:style w:type="paragraph" w:styleId="TableofAuthorities">
    <w:name w:val="table of authorities"/>
    <w:basedOn w:val="Normal"/>
    <w:next w:val="Normal"/>
    <w:semiHidden/>
    <w:pPr>
      <w:ind w:left="280" w:hanging="280"/>
    </w:pPr>
  </w:style>
  <w:style w:type="paragraph" w:styleId="TableofFigures">
    <w:name w:val="table of figures"/>
    <w:basedOn w:val="Normal"/>
    <w:next w:val="Normal"/>
    <w:semiHidden/>
    <w:pPr>
      <w:ind w:left="560" w:hanging="560"/>
    </w:pPr>
  </w:style>
  <w:style w:type="paragraph" w:styleId="Title">
    <w:name w:val="Title"/>
    <w:basedOn w:val="Normal"/>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sz w:val="24"/>
    </w:rPr>
  </w:style>
  <w:style w:type="paragraph" w:styleId="TOC1">
    <w:name w:val="toc 1"/>
    <w:basedOn w:val="Normal"/>
    <w:next w:val="Normal"/>
    <w:uiPriority w:val="39"/>
    <w:qFormat/>
    <w:rsid w:val="00A57D8F"/>
    <w:pPr>
      <w:tabs>
        <w:tab w:val="right" w:leader="dot" w:pos="8640"/>
      </w:tabs>
      <w:spacing w:before="60" w:after="60"/>
      <w:ind w:left="482" w:right="720" w:hanging="482"/>
    </w:pPr>
    <w:rPr>
      <w:sz w:val="16"/>
    </w:rPr>
  </w:style>
  <w:style w:type="paragraph" w:styleId="TOC2">
    <w:name w:val="toc 2"/>
    <w:basedOn w:val="Normal"/>
    <w:next w:val="Normal"/>
    <w:uiPriority w:val="39"/>
    <w:qFormat/>
    <w:rsid w:val="00A57D8F"/>
    <w:pPr>
      <w:tabs>
        <w:tab w:val="right" w:leader="dot" w:pos="8640"/>
      </w:tabs>
      <w:spacing w:before="60" w:after="60"/>
      <w:ind w:left="568" w:right="720" w:hanging="284"/>
    </w:pPr>
    <w:rPr>
      <w:noProof/>
      <w:sz w:val="16"/>
    </w:rPr>
  </w:style>
  <w:style w:type="paragraph" w:styleId="TOC3">
    <w:name w:val="toc 3"/>
    <w:basedOn w:val="TOC2"/>
    <w:next w:val="Normal"/>
    <w:uiPriority w:val="39"/>
    <w:qFormat/>
    <w:rsid w:val="00A57D8F"/>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400"/>
    </w:pPr>
  </w:style>
  <w:style w:type="paragraph" w:styleId="TOC7">
    <w:name w:val="toc 7"/>
    <w:basedOn w:val="Normal"/>
    <w:next w:val="Normal"/>
    <w:autoRedefine/>
    <w:semiHidden/>
    <w:pPr>
      <w:ind w:left="1680"/>
    </w:pPr>
  </w:style>
  <w:style w:type="paragraph" w:styleId="TOC8">
    <w:name w:val="toc 8"/>
    <w:basedOn w:val="Normal"/>
    <w:next w:val="Normal"/>
    <w:autoRedefine/>
    <w:semiHidden/>
    <w:pPr>
      <w:ind w:left="1960"/>
    </w:pPr>
  </w:style>
  <w:style w:type="paragraph" w:styleId="TOC9">
    <w:name w:val="toc 9"/>
    <w:basedOn w:val="Normal"/>
    <w:next w:val="Normal"/>
    <w:autoRedefine/>
    <w:semiHidden/>
    <w:pPr>
      <w:ind w:left="2240"/>
    </w:pPr>
  </w:style>
  <w:style w:type="paragraph" w:customStyle="1" w:styleId="ListBullet1">
    <w:name w:val="List Bullet 1"/>
    <w:basedOn w:val="Text1"/>
    <w:pPr>
      <w:numPr>
        <w:numId w:val="5"/>
      </w:numPr>
      <w:tabs>
        <w:tab w:val="clear" w:pos="2160"/>
      </w:tabs>
    </w:pPr>
  </w:style>
  <w:style w:type="paragraph" w:customStyle="1" w:styleId="ListDash">
    <w:name w:val="List Dash"/>
    <w:basedOn w:val="Normal"/>
    <w:pPr>
      <w:numPr>
        <w:numId w:val="9"/>
      </w:numPr>
    </w:pPr>
  </w:style>
  <w:style w:type="paragraph" w:customStyle="1" w:styleId="ListDash1">
    <w:name w:val="List Dash 1"/>
    <w:basedOn w:val="Text1"/>
    <w:pPr>
      <w:numPr>
        <w:numId w:val="10"/>
      </w:numPr>
      <w:tabs>
        <w:tab w:val="clear" w:pos="2160"/>
      </w:tabs>
    </w:pPr>
  </w:style>
  <w:style w:type="paragraph" w:customStyle="1" w:styleId="ListDash2">
    <w:name w:val="List Dash 2"/>
    <w:basedOn w:val="Text2"/>
    <w:pPr>
      <w:numPr>
        <w:numId w:val="11"/>
      </w:numPr>
      <w:tabs>
        <w:tab w:val="clear" w:pos="2160"/>
      </w:tabs>
    </w:pPr>
  </w:style>
  <w:style w:type="paragraph" w:customStyle="1" w:styleId="ListDash3">
    <w:name w:val="List Dash 3"/>
    <w:basedOn w:val="Text3"/>
    <w:pPr>
      <w:numPr>
        <w:numId w:val="12"/>
      </w:numPr>
      <w:tabs>
        <w:tab w:val="clear" w:pos="2160"/>
      </w:tabs>
    </w:pPr>
  </w:style>
  <w:style w:type="paragraph" w:customStyle="1" w:styleId="ListDash4">
    <w:name w:val="List Dash 4"/>
    <w:basedOn w:val="Text4"/>
    <w:pPr>
      <w:numPr>
        <w:numId w:val="13"/>
      </w:numPr>
      <w:tabs>
        <w:tab w:val="clear" w:pos="2160"/>
      </w:tabs>
    </w:pPr>
  </w:style>
  <w:style w:type="paragraph" w:customStyle="1" w:styleId="ListNumberLevel2">
    <w:name w:val="List Number (Level 2)"/>
    <w:basedOn w:val="Normal"/>
    <w:pPr>
      <w:numPr>
        <w:ilvl w:val="1"/>
        <w:numId w:val="15"/>
      </w:numPr>
    </w:pPr>
  </w:style>
  <w:style w:type="paragraph" w:customStyle="1" w:styleId="ListNumberLevel3">
    <w:name w:val="List Number (Level 3)"/>
    <w:basedOn w:val="Normal"/>
    <w:pPr>
      <w:numPr>
        <w:ilvl w:val="2"/>
        <w:numId w:val="15"/>
      </w:numPr>
    </w:pPr>
  </w:style>
  <w:style w:type="paragraph" w:customStyle="1" w:styleId="ListNumberLevel4">
    <w:name w:val="List Number (Level 4)"/>
    <w:basedOn w:val="Normal"/>
    <w:pPr>
      <w:numPr>
        <w:ilvl w:val="3"/>
        <w:numId w:val="15"/>
      </w:numPr>
    </w:pPr>
  </w:style>
  <w:style w:type="paragraph" w:customStyle="1" w:styleId="ListNumber1">
    <w:name w:val="List Number 1"/>
    <w:basedOn w:val="Text1"/>
    <w:pPr>
      <w:numPr>
        <w:numId w:val="14"/>
      </w:numPr>
    </w:pPr>
  </w:style>
  <w:style w:type="paragraph" w:customStyle="1" w:styleId="ListNumber1Level2">
    <w:name w:val="List Number 1 (Level 2)"/>
    <w:basedOn w:val="Text1"/>
    <w:pPr>
      <w:numPr>
        <w:ilvl w:val="1"/>
        <w:numId w:val="14"/>
      </w:numPr>
      <w:tabs>
        <w:tab w:val="clear" w:pos="2160"/>
      </w:tabs>
    </w:pPr>
  </w:style>
  <w:style w:type="paragraph" w:customStyle="1" w:styleId="ListNumber1Level3">
    <w:name w:val="List Number 1 (Level 3)"/>
    <w:basedOn w:val="Text1"/>
    <w:pPr>
      <w:numPr>
        <w:ilvl w:val="2"/>
        <w:numId w:val="14"/>
      </w:numPr>
      <w:tabs>
        <w:tab w:val="clear" w:pos="2160"/>
      </w:tabs>
    </w:pPr>
  </w:style>
  <w:style w:type="paragraph" w:customStyle="1" w:styleId="ListNumber1Level4">
    <w:name w:val="List Number 1 (Level 4)"/>
    <w:basedOn w:val="Text1"/>
    <w:pPr>
      <w:numPr>
        <w:ilvl w:val="3"/>
        <w:numId w:val="14"/>
      </w:numPr>
      <w:tabs>
        <w:tab w:val="clear" w:pos="2160"/>
      </w:tabs>
    </w:pPr>
  </w:style>
  <w:style w:type="paragraph" w:customStyle="1" w:styleId="ListNumber2Level2">
    <w:name w:val="List Number 2 (Level 2)"/>
    <w:basedOn w:val="Text2"/>
    <w:pPr>
      <w:numPr>
        <w:ilvl w:val="1"/>
        <w:numId w:val="16"/>
      </w:numPr>
      <w:tabs>
        <w:tab w:val="clear" w:pos="2160"/>
      </w:tabs>
    </w:pPr>
  </w:style>
  <w:style w:type="paragraph" w:customStyle="1" w:styleId="ListNumber2Level3">
    <w:name w:val="List Number 2 (Level 3)"/>
    <w:basedOn w:val="Text2"/>
    <w:pPr>
      <w:numPr>
        <w:ilvl w:val="2"/>
        <w:numId w:val="16"/>
      </w:numPr>
      <w:tabs>
        <w:tab w:val="clear" w:pos="2160"/>
      </w:tabs>
    </w:pPr>
  </w:style>
  <w:style w:type="paragraph" w:customStyle="1" w:styleId="ListNumber2Level4">
    <w:name w:val="List Number 2 (Level 4)"/>
    <w:basedOn w:val="Text2"/>
    <w:pPr>
      <w:numPr>
        <w:ilvl w:val="3"/>
        <w:numId w:val="16"/>
      </w:numPr>
      <w:tabs>
        <w:tab w:val="clear" w:pos="2160"/>
      </w:tabs>
    </w:pPr>
  </w:style>
  <w:style w:type="paragraph" w:customStyle="1" w:styleId="ListNumber3Level2">
    <w:name w:val="List Number 3 (Level 2)"/>
    <w:basedOn w:val="Text3"/>
    <w:pPr>
      <w:numPr>
        <w:ilvl w:val="1"/>
        <w:numId w:val="17"/>
      </w:numPr>
      <w:tabs>
        <w:tab w:val="clear" w:pos="2160"/>
      </w:tabs>
    </w:pPr>
  </w:style>
  <w:style w:type="paragraph" w:customStyle="1" w:styleId="ListNumber3Level3">
    <w:name w:val="List Number 3 (Level 3)"/>
    <w:basedOn w:val="Text3"/>
    <w:pPr>
      <w:numPr>
        <w:ilvl w:val="2"/>
        <w:numId w:val="17"/>
      </w:numPr>
      <w:tabs>
        <w:tab w:val="clear" w:pos="2160"/>
      </w:tabs>
    </w:pPr>
  </w:style>
  <w:style w:type="paragraph" w:customStyle="1" w:styleId="ListNumber3Level4">
    <w:name w:val="List Number 3 (Level 4)"/>
    <w:basedOn w:val="Text3"/>
    <w:pPr>
      <w:numPr>
        <w:ilvl w:val="3"/>
        <w:numId w:val="17"/>
      </w:numPr>
      <w:tabs>
        <w:tab w:val="clear" w:pos="2160"/>
      </w:tabs>
    </w:pPr>
  </w:style>
  <w:style w:type="paragraph" w:customStyle="1" w:styleId="ListNumber4Level2">
    <w:name w:val="List Number 4 (Level 2)"/>
    <w:basedOn w:val="Text4"/>
    <w:pPr>
      <w:numPr>
        <w:ilvl w:val="1"/>
        <w:numId w:val="18"/>
      </w:numPr>
      <w:tabs>
        <w:tab w:val="clear" w:pos="2160"/>
      </w:tabs>
    </w:pPr>
  </w:style>
  <w:style w:type="paragraph" w:customStyle="1" w:styleId="ListNumber4Level3">
    <w:name w:val="List Number 4 (Level 3)"/>
    <w:basedOn w:val="Text4"/>
    <w:pPr>
      <w:numPr>
        <w:ilvl w:val="2"/>
        <w:numId w:val="18"/>
      </w:numPr>
      <w:tabs>
        <w:tab w:val="clear" w:pos="2160"/>
      </w:tabs>
    </w:pPr>
  </w:style>
  <w:style w:type="paragraph" w:customStyle="1" w:styleId="ListNumber4Level4">
    <w:name w:val="List Number 4 (Level 4)"/>
    <w:basedOn w:val="Text4"/>
    <w:pPr>
      <w:numPr>
        <w:ilvl w:val="3"/>
        <w:numId w:val="18"/>
      </w:numPr>
      <w:tabs>
        <w:tab w:val="clear" w:pos="2160"/>
      </w:tabs>
    </w:pPr>
  </w:style>
  <w:style w:type="paragraph" w:styleId="TOCHeading">
    <w:name w:val="TOC Heading"/>
    <w:basedOn w:val="Normal"/>
    <w:next w:val="Normal"/>
    <w:qFormat/>
    <w:pPr>
      <w:keepNext/>
      <w:spacing w:before="240"/>
      <w:jc w:val="center"/>
    </w:pPr>
    <w:rPr>
      <w:b/>
    </w:rPr>
  </w:style>
  <w:style w:type="character" w:customStyle="1" w:styleId="FooterChar">
    <w:name w:val="Footer Char"/>
    <w:link w:val="Footer"/>
    <w:uiPriority w:val="99"/>
    <w:rsid w:val="002D3B73"/>
    <w:rPr>
      <w:rFonts w:ascii="Arial" w:hAnsi="Arial"/>
      <w:sz w:val="16"/>
      <w:lang w:eastAsia="en-US"/>
    </w:rPr>
  </w:style>
  <w:style w:type="paragraph" w:customStyle="1" w:styleId="ZCom">
    <w:name w:val="Z_Com"/>
    <w:basedOn w:val="Normal"/>
    <w:next w:val="ZDGName"/>
    <w:uiPriority w:val="99"/>
    <w:rsid w:val="002D3B73"/>
    <w:pPr>
      <w:widowControl w:val="0"/>
      <w:autoSpaceDE w:val="0"/>
      <w:autoSpaceDN w:val="0"/>
      <w:spacing w:after="0"/>
      <w:ind w:right="85"/>
    </w:pPr>
    <w:rPr>
      <w:rFonts w:ascii="Arial" w:hAnsi="Arial" w:cs="Arial"/>
      <w:sz w:val="24"/>
      <w:szCs w:val="24"/>
      <w:lang w:eastAsia="en-GB"/>
    </w:rPr>
  </w:style>
  <w:style w:type="paragraph" w:customStyle="1" w:styleId="ZDGName">
    <w:name w:val="Z_DGName"/>
    <w:basedOn w:val="Normal"/>
    <w:uiPriority w:val="99"/>
    <w:rsid w:val="002D3B73"/>
    <w:pPr>
      <w:widowControl w:val="0"/>
      <w:autoSpaceDE w:val="0"/>
      <w:autoSpaceDN w:val="0"/>
      <w:spacing w:after="0"/>
      <w:ind w:right="85"/>
      <w:jc w:val="left"/>
    </w:pPr>
    <w:rPr>
      <w:rFonts w:ascii="Arial" w:hAnsi="Arial" w:cs="Arial"/>
      <w:sz w:val="16"/>
      <w:szCs w:val="16"/>
      <w:lang w:eastAsia="en-GB"/>
    </w:rPr>
  </w:style>
  <w:style w:type="character" w:customStyle="1" w:styleId="HeaderChar">
    <w:name w:val="Header Char"/>
    <w:link w:val="Header"/>
    <w:uiPriority w:val="99"/>
    <w:rsid w:val="002D3B73"/>
    <w:rPr>
      <w:sz w:val="28"/>
      <w:lang w:eastAsia="en-US"/>
    </w:rPr>
  </w:style>
  <w:style w:type="paragraph" w:styleId="BalloonText">
    <w:name w:val="Balloon Text"/>
    <w:basedOn w:val="Normal"/>
    <w:link w:val="BalloonTextChar"/>
    <w:uiPriority w:val="99"/>
    <w:semiHidden/>
    <w:unhideWhenUsed/>
    <w:rsid w:val="00B02821"/>
    <w:pPr>
      <w:spacing w:after="0"/>
    </w:pPr>
    <w:rPr>
      <w:rFonts w:ascii="Tahoma" w:hAnsi="Tahoma" w:cs="Tahoma"/>
      <w:sz w:val="16"/>
      <w:szCs w:val="16"/>
    </w:rPr>
  </w:style>
  <w:style w:type="character" w:customStyle="1" w:styleId="BalloonTextChar">
    <w:name w:val="Balloon Text Char"/>
    <w:link w:val="BalloonText"/>
    <w:uiPriority w:val="99"/>
    <w:semiHidden/>
    <w:rsid w:val="00B02821"/>
    <w:rPr>
      <w:rFonts w:ascii="Tahoma" w:hAnsi="Tahoma" w:cs="Tahoma"/>
      <w:sz w:val="16"/>
      <w:szCs w:val="16"/>
      <w:lang w:eastAsia="en-US"/>
    </w:rPr>
  </w:style>
  <w:style w:type="character" w:styleId="FootnoteReference">
    <w:name w:val="footnote reference"/>
    <w:aliases w:val=" BVI fnr,BVI fnr, BVI fnr Car Car,BVI fnr Car, BVI fnr Car Car Car Car, BVI fnr Car Car Car Car Char,Footnote symbol,Footnote reference number,Footnote,Times 10 Point,Exposant 3 Point,Ref,de nota al pie,note TESI,SUPERS,EN Footnote te"/>
    <w:link w:val="Char2"/>
    <w:uiPriority w:val="99"/>
    <w:unhideWhenUsed/>
    <w:qFormat/>
    <w:rsid w:val="00CC12F2"/>
    <w:rPr>
      <w:vertAlign w:val="superscript"/>
    </w:rPr>
  </w:style>
  <w:style w:type="table" w:styleId="TableGrid">
    <w:name w:val="Table Grid"/>
    <w:basedOn w:val="TableNormal"/>
    <w:rsid w:val="00415A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rsid w:val="00386D0C"/>
    <w:pPr>
      <w:spacing w:after="160" w:line="240" w:lineRule="exact"/>
      <w:jc w:val="left"/>
    </w:pPr>
    <w:rPr>
      <w:rFonts w:ascii="Tahoma" w:hAnsi="Tahoma"/>
    </w:rPr>
  </w:style>
  <w:style w:type="character" w:customStyle="1" w:styleId="FootnoteTextChar">
    <w:name w:val="Footnote Text Char"/>
    <w:aliases w:val="Footnote Text Char2 Char,Footnote Text Char1 Char Char,Footnote Text Char2 Char Char Char,Footnote Text Char1 Char Char Char Char,Footnote Text Char2 Char Char Char Char Char,Footnote Text Char Char1 Char Char Char Char Char"/>
    <w:link w:val="FootnoteText"/>
    <w:locked/>
    <w:rsid w:val="00165594"/>
    <w:rPr>
      <w:lang w:eastAsia="en-US"/>
    </w:rPr>
  </w:style>
  <w:style w:type="character" w:styleId="Hyperlink">
    <w:name w:val="Hyperlink"/>
    <w:uiPriority w:val="99"/>
    <w:rsid w:val="00E04BE3"/>
    <w:rPr>
      <w:rFonts w:cs="Times New Roman"/>
      <w:color w:val="0088CC"/>
      <w:u w:val="single"/>
    </w:rPr>
  </w:style>
  <w:style w:type="paragraph" w:styleId="ListParagraph">
    <w:name w:val="List Paragraph"/>
    <w:aliases w:val="Bullet List,FooterText,List Paragraph1,Colorful List Accent 1,numbered,Paragraphe de liste1,列出段落,列出段落1,Bulletr List Paragraph,List Paragraph2,List Paragraph21,Párrafo de lista1,Parágrafo da Lista1,リスト段落1,Plan,Dot pt,F5 List Paragraph,Ha"/>
    <w:basedOn w:val="Normal"/>
    <w:link w:val="ListParagraphChar"/>
    <w:uiPriority w:val="34"/>
    <w:qFormat/>
    <w:rsid w:val="000B4B19"/>
    <w:pPr>
      <w:spacing w:after="0"/>
      <w:ind w:left="720"/>
      <w:contextualSpacing/>
      <w:jc w:val="left"/>
    </w:pPr>
    <w:rPr>
      <w:snapToGrid w:val="0"/>
      <w:sz w:val="24"/>
      <w:szCs w:val="24"/>
      <w:lang w:eastAsia="en-GB"/>
    </w:rPr>
  </w:style>
  <w:style w:type="character" w:styleId="FollowedHyperlink">
    <w:name w:val="FollowedHyperlink"/>
    <w:uiPriority w:val="99"/>
    <w:semiHidden/>
    <w:unhideWhenUsed/>
    <w:rsid w:val="0093325A"/>
    <w:rPr>
      <w:color w:val="800080"/>
      <w:u w:val="single"/>
    </w:rPr>
  </w:style>
  <w:style w:type="character" w:styleId="CommentReference">
    <w:name w:val="annotation reference"/>
    <w:uiPriority w:val="99"/>
    <w:unhideWhenUsed/>
    <w:rsid w:val="003961E3"/>
    <w:rPr>
      <w:sz w:val="16"/>
      <w:szCs w:val="16"/>
    </w:rPr>
  </w:style>
  <w:style w:type="paragraph" w:styleId="CommentSubject">
    <w:name w:val="annotation subject"/>
    <w:basedOn w:val="CommentText"/>
    <w:next w:val="CommentText"/>
    <w:link w:val="CommentSubjectChar"/>
    <w:uiPriority w:val="99"/>
    <w:semiHidden/>
    <w:unhideWhenUsed/>
    <w:rsid w:val="003961E3"/>
    <w:rPr>
      <w:b/>
      <w:bCs/>
    </w:rPr>
  </w:style>
  <w:style w:type="character" w:customStyle="1" w:styleId="CommentTextChar">
    <w:name w:val="Comment Text Char"/>
    <w:link w:val="CommentText"/>
    <w:uiPriority w:val="99"/>
    <w:rsid w:val="003961E3"/>
    <w:rPr>
      <w:lang w:eastAsia="en-US"/>
    </w:rPr>
  </w:style>
  <w:style w:type="character" w:customStyle="1" w:styleId="CommentSubjectChar">
    <w:name w:val="Comment Subject Char"/>
    <w:link w:val="CommentSubject"/>
    <w:uiPriority w:val="99"/>
    <w:semiHidden/>
    <w:rsid w:val="003961E3"/>
    <w:rPr>
      <w:b/>
      <w:bCs/>
      <w:lang w:eastAsia="en-US"/>
    </w:rPr>
  </w:style>
  <w:style w:type="paragraph" w:styleId="Revision">
    <w:name w:val="Revision"/>
    <w:hidden/>
    <w:uiPriority w:val="99"/>
    <w:semiHidden/>
    <w:rsid w:val="003961E3"/>
    <w:rPr>
      <w:sz w:val="28"/>
      <w:lang w:eastAsia="en-US"/>
    </w:rPr>
  </w:style>
  <w:style w:type="character" w:customStyle="1" w:styleId="Heading1Char">
    <w:name w:val="Heading 1 Char"/>
    <w:link w:val="Heading1"/>
    <w:rsid w:val="00692CDE"/>
    <w:rPr>
      <w:rFonts w:ascii="Verdana" w:hAnsi="Verdana"/>
      <w:b/>
      <w:color w:val="A50021"/>
      <w:lang w:eastAsia="en-US"/>
    </w:rPr>
  </w:style>
  <w:style w:type="character" w:customStyle="1" w:styleId="Heading2Char">
    <w:name w:val="Heading 2 Char"/>
    <w:link w:val="Heading2"/>
    <w:rsid w:val="006E495F"/>
    <w:rPr>
      <w:rFonts w:ascii="Verdana" w:hAnsi="Verdana"/>
      <w:b/>
      <w:color w:val="A50021"/>
      <w:lang w:eastAsia="en-US"/>
    </w:rPr>
  </w:style>
  <w:style w:type="paragraph" w:customStyle="1" w:styleId="Default">
    <w:name w:val="Default"/>
    <w:link w:val="DefaultChar"/>
    <w:rsid w:val="008514C7"/>
    <w:pPr>
      <w:autoSpaceDE w:val="0"/>
      <w:autoSpaceDN w:val="0"/>
      <w:adjustRightInd w:val="0"/>
    </w:pPr>
    <w:rPr>
      <w:color w:val="000000"/>
      <w:sz w:val="24"/>
      <w:szCs w:val="24"/>
      <w:lang w:eastAsia="en-GB"/>
    </w:rPr>
  </w:style>
  <w:style w:type="paragraph" w:customStyle="1" w:styleId="CM1">
    <w:name w:val="CM1"/>
    <w:basedOn w:val="Default"/>
    <w:next w:val="Default"/>
    <w:uiPriority w:val="99"/>
    <w:rsid w:val="00845575"/>
    <w:rPr>
      <w:rFonts w:ascii="EUAlbertina" w:hAnsi="EUAlbertina"/>
      <w:color w:val="auto"/>
    </w:rPr>
  </w:style>
  <w:style w:type="paragraph" w:customStyle="1" w:styleId="CM3">
    <w:name w:val="CM3"/>
    <w:basedOn w:val="Default"/>
    <w:next w:val="Default"/>
    <w:uiPriority w:val="99"/>
    <w:rsid w:val="00845575"/>
    <w:rPr>
      <w:rFonts w:ascii="EUAlbertina" w:hAnsi="EUAlbertina"/>
      <w:color w:val="auto"/>
    </w:rPr>
  </w:style>
  <w:style w:type="character" w:customStyle="1" w:styleId="DefaultChar">
    <w:name w:val="Default Char"/>
    <w:link w:val="Default"/>
    <w:rsid w:val="00C62BD4"/>
    <w:rPr>
      <w:color w:val="000000"/>
      <w:sz w:val="24"/>
      <w:szCs w:val="24"/>
    </w:rPr>
  </w:style>
  <w:style w:type="paragraph" w:customStyle="1" w:styleId="Pagedecouverture">
    <w:name w:val="Page de couverture"/>
    <w:basedOn w:val="Normal"/>
    <w:next w:val="Normal"/>
    <w:rsid w:val="00B773BB"/>
    <w:pPr>
      <w:spacing w:after="0"/>
    </w:pPr>
    <w:rPr>
      <w:rFonts w:eastAsia="Calibri"/>
      <w:sz w:val="24"/>
      <w:szCs w:val="22"/>
    </w:rPr>
  </w:style>
  <w:style w:type="paragraph" w:customStyle="1" w:styleId="Char2">
    <w:name w:val="Char2"/>
    <w:basedOn w:val="Normal"/>
    <w:link w:val="FootnoteReference"/>
    <w:uiPriority w:val="99"/>
    <w:rsid w:val="003B7331"/>
    <w:pPr>
      <w:spacing w:after="160" w:line="240" w:lineRule="exact"/>
      <w:jc w:val="left"/>
    </w:pPr>
    <w:rPr>
      <w:vertAlign w:val="superscript"/>
      <w:lang w:eastAsia="en-GB"/>
    </w:rPr>
  </w:style>
  <w:style w:type="character" w:customStyle="1" w:styleId="BodyTextChar">
    <w:name w:val="Body Text Char"/>
    <w:link w:val="BodyText"/>
    <w:uiPriority w:val="1"/>
    <w:rsid w:val="007502F1"/>
    <w:rPr>
      <w:sz w:val="28"/>
      <w:lang w:eastAsia="en-US"/>
    </w:rPr>
  </w:style>
  <w:style w:type="paragraph" w:customStyle="1" w:styleId="TableParagraph">
    <w:name w:val="Table Paragraph"/>
    <w:basedOn w:val="Normal"/>
    <w:uiPriority w:val="1"/>
    <w:rsid w:val="0044312F"/>
    <w:pPr>
      <w:widowControl w:val="0"/>
      <w:spacing w:before="79" w:after="0"/>
      <w:ind w:left="103"/>
      <w:jc w:val="left"/>
    </w:pPr>
    <w:rPr>
      <w:rFonts w:eastAsia="Verdana" w:cs="Verdana"/>
      <w:sz w:val="22"/>
      <w:szCs w:val="22"/>
    </w:rPr>
  </w:style>
  <w:style w:type="character" w:customStyle="1" w:styleId="Text1Char">
    <w:name w:val="Text 1 Char"/>
    <w:link w:val="Text1"/>
    <w:rsid w:val="004B4644"/>
    <w:rPr>
      <w:sz w:val="28"/>
      <w:lang w:eastAsia="en-US"/>
    </w:rPr>
  </w:style>
  <w:style w:type="character" w:customStyle="1" w:styleId="Bodytext20">
    <w:name w:val="Body text (2)_"/>
    <w:rsid w:val="00544DAC"/>
    <w:rPr>
      <w:b w:val="0"/>
      <w:bCs w:val="0"/>
      <w:i w:val="0"/>
      <w:iCs w:val="0"/>
      <w:smallCaps w:val="0"/>
      <w:strike w:val="0"/>
      <w:sz w:val="22"/>
      <w:szCs w:val="22"/>
      <w:u w:val="none"/>
    </w:rPr>
  </w:style>
  <w:style w:type="character" w:customStyle="1" w:styleId="Bodytext21">
    <w:name w:val="Body text (2)"/>
    <w:rsid w:val="00544DAC"/>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mt-MT" w:eastAsia="en-US" w:bidi="en-US"/>
    </w:rPr>
  </w:style>
  <w:style w:type="character" w:customStyle="1" w:styleId="Heading20">
    <w:name w:val="Heading #2_"/>
    <w:link w:val="Heading21"/>
    <w:rsid w:val="00544DAC"/>
    <w:rPr>
      <w:sz w:val="22"/>
      <w:szCs w:val="22"/>
      <w:shd w:val="clear" w:color="auto" w:fill="FFFFFF"/>
    </w:rPr>
  </w:style>
  <w:style w:type="paragraph" w:customStyle="1" w:styleId="Heading21">
    <w:name w:val="Heading #2"/>
    <w:basedOn w:val="Normal"/>
    <w:link w:val="Heading20"/>
    <w:rsid w:val="00544DAC"/>
    <w:pPr>
      <w:widowControl w:val="0"/>
      <w:shd w:val="clear" w:color="auto" w:fill="FFFFFF"/>
      <w:spacing w:after="0" w:line="514" w:lineRule="exact"/>
      <w:ind w:hanging="600"/>
      <w:outlineLvl w:val="1"/>
    </w:pPr>
    <w:rPr>
      <w:rFonts w:ascii="Times New Roman" w:hAnsi="Times New Roman"/>
      <w:sz w:val="22"/>
      <w:szCs w:val="22"/>
      <w:lang w:eastAsia="en-GB"/>
    </w:rPr>
  </w:style>
  <w:style w:type="character" w:customStyle="1" w:styleId="Text2Car">
    <w:name w:val="Text 2 Car"/>
    <w:link w:val="Text2"/>
    <w:rsid w:val="00BC77D2"/>
    <w:rPr>
      <w:rFonts w:ascii="Verdana" w:hAnsi="Verdana"/>
      <w:lang w:eastAsia="en-US"/>
    </w:rPr>
  </w:style>
  <w:style w:type="character" w:customStyle="1" w:styleId="Heading3Char">
    <w:name w:val="Heading 3 Char"/>
    <w:link w:val="Heading3"/>
    <w:rsid w:val="00510B7E"/>
    <w:rPr>
      <w:rFonts w:ascii="Verdana" w:hAnsi="Verdana"/>
      <w:i/>
      <w:color w:val="A50021"/>
      <w:u w:val="single"/>
      <w:lang w:eastAsia="en-US"/>
    </w:rPr>
  </w:style>
  <w:style w:type="character" w:customStyle="1" w:styleId="ListParagraphChar">
    <w:name w:val="List Paragraph Char"/>
    <w:aliases w:val="Bullet List Char,FooterText Char,List Paragraph1 Char,Colorful List Accent 1 Char,numbered Char,Paragraphe de liste1 Char,列出段落 Char,列出段落1 Char,Bulletr List Paragraph Char,List Paragraph2 Char,List Paragraph21 Char,リスト段落1 Char,Ha Char"/>
    <w:link w:val="ListParagraph"/>
    <w:uiPriority w:val="34"/>
    <w:rsid w:val="002C50CE"/>
    <w:rPr>
      <w:rFonts w:ascii="Verdana" w:hAnsi="Verdana"/>
      <w:snapToGrid w:val="0"/>
      <w:sz w:val="24"/>
      <w:szCs w:val="24"/>
    </w:rPr>
  </w:style>
  <w:style w:type="character" w:customStyle="1" w:styleId="iceouttxt36">
    <w:name w:val="iceouttxt36"/>
    <w:rsid w:val="002D1390"/>
    <w:rPr>
      <w:rFonts w:ascii="Times New Roman" w:hAnsi="Times New Roman" w:cs="Times New Roman" w:hint="default"/>
      <w:bdr w:val="none" w:sz="0" w:space="0" w:color="auto" w:frame="1"/>
      <w:vertAlign w:val="baseline"/>
    </w:rPr>
  </w:style>
  <w:style w:type="paragraph" w:customStyle="1" w:styleId="1">
    <w:name w:val="1"/>
    <w:basedOn w:val="Normal"/>
    <w:uiPriority w:val="99"/>
    <w:qFormat/>
    <w:rsid w:val="002D1390"/>
    <w:pPr>
      <w:spacing w:after="160" w:line="240" w:lineRule="exact"/>
      <w:jc w:val="left"/>
    </w:pPr>
    <w:rPr>
      <w:rFonts w:ascii="Times New Roman" w:hAnsi="Times New Roman"/>
      <w:vertAlign w:val="superscript"/>
      <w:lang w:eastAsia="en-GB"/>
    </w:rPr>
  </w:style>
  <w:style w:type="character" w:customStyle="1" w:styleId="BodyTextIndentChar">
    <w:name w:val="Body Text Indent Char"/>
    <w:link w:val="BodyTextIndent"/>
    <w:semiHidden/>
    <w:rsid w:val="00A53E20"/>
    <w:rPr>
      <w:rFonts w:ascii="Verdana" w:hAnsi="Verdana"/>
      <w:lang w:eastAsia="en-US"/>
    </w:rPr>
  </w:style>
  <w:style w:type="paragraph" w:customStyle="1" w:styleId="Body">
    <w:name w:val="Body"/>
    <w:rsid w:val="00510B7E"/>
    <w:pPr>
      <w:pBdr>
        <w:top w:val="nil"/>
        <w:left w:val="nil"/>
        <w:bottom w:val="nil"/>
        <w:right w:val="nil"/>
        <w:between w:val="nil"/>
        <w:bar w:val="nil"/>
      </w:pBdr>
      <w:spacing w:after="200"/>
      <w:jc w:val="both"/>
    </w:pPr>
    <w:rPr>
      <w:rFonts w:ascii="Verdana" w:eastAsia="Arial Unicode MS" w:hAnsi="Verdana" w:cs="Arial Unicode MS"/>
      <w:color w:val="000000"/>
      <w:u w:color="000000"/>
      <w:bdr w:val="nil"/>
      <w:lang w:eastAsia="en-GB"/>
    </w:rPr>
  </w:style>
  <w:style w:type="character" w:customStyle="1" w:styleId="Hyperlink3">
    <w:name w:val="Hyperlink.3"/>
    <w:rsid w:val="00510B7E"/>
  </w:style>
  <w:style w:type="paragraph" w:customStyle="1" w:styleId="footnote1">
    <w:name w:val="footnote1"/>
    <w:basedOn w:val="Normal"/>
    <w:qFormat/>
    <w:rsid w:val="00C909EF"/>
    <w:pPr>
      <w:spacing w:after="0"/>
      <w:ind w:left="720" w:hanging="720"/>
    </w:pPr>
    <w:rPr>
      <w:rFonts w:ascii="Times New Roman" w:hAnsi="Times New Roman"/>
      <w:szCs w:val="22"/>
      <w:lang w:eastAsia="en-GB"/>
    </w:rPr>
  </w:style>
  <w:style w:type="paragraph" w:styleId="NormalWeb">
    <w:name w:val="Normal (Web)"/>
    <w:basedOn w:val="Normal"/>
    <w:uiPriority w:val="99"/>
    <w:semiHidden/>
    <w:unhideWhenUsed/>
    <w:rsid w:val="00832213"/>
    <w:pPr>
      <w:spacing w:before="100" w:beforeAutospacing="1" w:after="100" w:afterAutospacing="1"/>
      <w:jc w:val="left"/>
    </w:pPr>
    <w:rPr>
      <w:rFonts w:ascii="Times New Roman" w:hAnsi="Times New Roman"/>
      <w:sz w:val="24"/>
      <w:szCs w:val="24"/>
      <w:lang w:eastAsia="en-GB"/>
    </w:rPr>
  </w:style>
  <w:style w:type="paragraph" w:customStyle="1" w:styleId="paragraph">
    <w:name w:val="paragraph"/>
    <w:basedOn w:val="Normal"/>
    <w:rsid w:val="008B1F42"/>
    <w:pPr>
      <w:spacing w:before="100" w:beforeAutospacing="1" w:after="100" w:afterAutospacing="1"/>
      <w:jc w:val="left"/>
    </w:pPr>
    <w:rPr>
      <w:rFonts w:ascii="Times New Roman" w:hAnsi="Times New Roman"/>
      <w:sz w:val="24"/>
      <w:szCs w:val="24"/>
      <w:lang w:eastAsia="fr-BE"/>
    </w:rPr>
  </w:style>
  <w:style w:type="character" w:customStyle="1" w:styleId="normaltextrun">
    <w:name w:val="normaltextrun"/>
    <w:rsid w:val="008B1F42"/>
  </w:style>
  <w:style w:type="character" w:customStyle="1" w:styleId="eop">
    <w:name w:val="eop"/>
    <w:rsid w:val="008B1F42"/>
  </w:style>
  <w:style w:type="table" w:customStyle="1" w:styleId="TableLetterhead">
    <w:name w:val="Table Letterhead"/>
    <w:basedOn w:val="TableNormal"/>
    <w:semiHidden/>
    <w:rsid w:val="0062273B"/>
    <w:rPr>
      <w:sz w:val="24"/>
    </w:rPr>
    <w:tblPr>
      <w:tblCellMar>
        <w:left w:w="0" w:type="dxa"/>
        <w:bottom w:w="34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068761">
      <w:bodyDiv w:val="1"/>
      <w:marLeft w:val="0"/>
      <w:marRight w:val="0"/>
      <w:marTop w:val="0"/>
      <w:marBottom w:val="0"/>
      <w:divBdr>
        <w:top w:val="none" w:sz="0" w:space="0" w:color="auto"/>
        <w:left w:val="none" w:sz="0" w:space="0" w:color="auto"/>
        <w:bottom w:val="none" w:sz="0" w:space="0" w:color="auto"/>
        <w:right w:val="none" w:sz="0" w:space="0" w:color="auto"/>
      </w:divBdr>
      <w:divsChild>
        <w:div w:id="95683694">
          <w:marLeft w:val="0"/>
          <w:marRight w:val="0"/>
          <w:marTop w:val="0"/>
          <w:marBottom w:val="0"/>
          <w:divBdr>
            <w:top w:val="none" w:sz="0" w:space="0" w:color="auto"/>
            <w:left w:val="none" w:sz="0" w:space="0" w:color="auto"/>
            <w:bottom w:val="none" w:sz="0" w:space="0" w:color="auto"/>
            <w:right w:val="none" w:sz="0" w:space="0" w:color="auto"/>
          </w:divBdr>
        </w:div>
      </w:divsChild>
    </w:div>
    <w:div w:id="38669110">
      <w:bodyDiv w:val="1"/>
      <w:marLeft w:val="0"/>
      <w:marRight w:val="0"/>
      <w:marTop w:val="0"/>
      <w:marBottom w:val="0"/>
      <w:divBdr>
        <w:top w:val="none" w:sz="0" w:space="0" w:color="auto"/>
        <w:left w:val="none" w:sz="0" w:space="0" w:color="auto"/>
        <w:bottom w:val="none" w:sz="0" w:space="0" w:color="auto"/>
        <w:right w:val="none" w:sz="0" w:space="0" w:color="auto"/>
      </w:divBdr>
    </w:div>
    <w:div w:id="90123816">
      <w:bodyDiv w:val="1"/>
      <w:marLeft w:val="0"/>
      <w:marRight w:val="0"/>
      <w:marTop w:val="0"/>
      <w:marBottom w:val="0"/>
      <w:divBdr>
        <w:top w:val="none" w:sz="0" w:space="0" w:color="auto"/>
        <w:left w:val="none" w:sz="0" w:space="0" w:color="auto"/>
        <w:bottom w:val="none" w:sz="0" w:space="0" w:color="auto"/>
        <w:right w:val="none" w:sz="0" w:space="0" w:color="auto"/>
      </w:divBdr>
    </w:div>
    <w:div w:id="103040698">
      <w:bodyDiv w:val="1"/>
      <w:marLeft w:val="0"/>
      <w:marRight w:val="0"/>
      <w:marTop w:val="0"/>
      <w:marBottom w:val="0"/>
      <w:divBdr>
        <w:top w:val="none" w:sz="0" w:space="0" w:color="auto"/>
        <w:left w:val="none" w:sz="0" w:space="0" w:color="auto"/>
        <w:bottom w:val="none" w:sz="0" w:space="0" w:color="auto"/>
        <w:right w:val="none" w:sz="0" w:space="0" w:color="auto"/>
      </w:divBdr>
    </w:div>
    <w:div w:id="141432808">
      <w:bodyDiv w:val="1"/>
      <w:marLeft w:val="0"/>
      <w:marRight w:val="0"/>
      <w:marTop w:val="0"/>
      <w:marBottom w:val="0"/>
      <w:divBdr>
        <w:top w:val="none" w:sz="0" w:space="0" w:color="auto"/>
        <w:left w:val="none" w:sz="0" w:space="0" w:color="auto"/>
        <w:bottom w:val="none" w:sz="0" w:space="0" w:color="auto"/>
        <w:right w:val="none" w:sz="0" w:space="0" w:color="auto"/>
      </w:divBdr>
    </w:div>
    <w:div w:id="176887031">
      <w:bodyDiv w:val="1"/>
      <w:marLeft w:val="0"/>
      <w:marRight w:val="0"/>
      <w:marTop w:val="0"/>
      <w:marBottom w:val="0"/>
      <w:divBdr>
        <w:top w:val="none" w:sz="0" w:space="0" w:color="auto"/>
        <w:left w:val="none" w:sz="0" w:space="0" w:color="auto"/>
        <w:bottom w:val="none" w:sz="0" w:space="0" w:color="auto"/>
        <w:right w:val="none" w:sz="0" w:space="0" w:color="auto"/>
      </w:divBdr>
    </w:div>
    <w:div w:id="190265158">
      <w:bodyDiv w:val="1"/>
      <w:marLeft w:val="0"/>
      <w:marRight w:val="0"/>
      <w:marTop w:val="0"/>
      <w:marBottom w:val="0"/>
      <w:divBdr>
        <w:top w:val="none" w:sz="0" w:space="0" w:color="auto"/>
        <w:left w:val="none" w:sz="0" w:space="0" w:color="auto"/>
        <w:bottom w:val="none" w:sz="0" w:space="0" w:color="auto"/>
        <w:right w:val="none" w:sz="0" w:space="0" w:color="auto"/>
      </w:divBdr>
    </w:div>
    <w:div w:id="210846157">
      <w:bodyDiv w:val="1"/>
      <w:marLeft w:val="0"/>
      <w:marRight w:val="0"/>
      <w:marTop w:val="0"/>
      <w:marBottom w:val="0"/>
      <w:divBdr>
        <w:top w:val="none" w:sz="0" w:space="0" w:color="auto"/>
        <w:left w:val="none" w:sz="0" w:space="0" w:color="auto"/>
        <w:bottom w:val="none" w:sz="0" w:space="0" w:color="auto"/>
        <w:right w:val="none" w:sz="0" w:space="0" w:color="auto"/>
      </w:divBdr>
    </w:div>
    <w:div w:id="211692104">
      <w:bodyDiv w:val="1"/>
      <w:marLeft w:val="0"/>
      <w:marRight w:val="0"/>
      <w:marTop w:val="0"/>
      <w:marBottom w:val="0"/>
      <w:divBdr>
        <w:top w:val="none" w:sz="0" w:space="0" w:color="auto"/>
        <w:left w:val="none" w:sz="0" w:space="0" w:color="auto"/>
        <w:bottom w:val="none" w:sz="0" w:space="0" w:color="auto"/>
        <w:right w:val="none" w:sz="0" w:space="0" w:color="auto"/>
      </w:divBdr>
    </w:div>
    <w:div w:id="219949969">
      <w:bodyDiv w:val="1"/>
      <w:marLeft w:val="0"/>
      <w:marRight w:val="0"/>
      <w:marTop w:val="0"/>
      <w:marBottom w:val="0"/>
      <w:divBdr>
        <w:top w:val="none" w:sz="0" w:space="0" w:color="auto"/>
        <w:left w:val="none" w:sz="0" w:space="0" w:color="auto"/>
        <w:bottom w:val="none" w:sz="0" w:space="0" w:color="auto"/>
        <w:right w:val="none" w:sz="0" w:space="0" w:color="auto"/>
      </w:divBdr>
    </w:div>
    <w:div w:id="221603459">
      <w:bodyDiv w:val="1"/>
      <w:marLeft w:val="0"/>
      <w:marRight w:val="0"/>
      <w:marTop w:val="0"/>
      <w:marBottom w:val="0"/>
      <w:divBdr>
        <w:top w:val="none" w:sz="0" w:space="0" w:color="auto"/>
        <w:left w:val="none" w:sz="0" w:space="0" w:color="auto"/>
        <w:bottom w:val="none" w:sz="0" w:space="0" w:color="auto"/>
        <w:right w:val="none" w:sz="0" w:space="0" w:color="auto"/>
      </w:divBdr>
    </w:div>
    <w:div w:id="227038112">
      <w:bodyDiv w:val="1"/>
      <w:marLeft w:val="0"/>
      <w:marRight w:val="0"/>
      <w:marTop w:val="0"/>
      <w:marBottom w:val="0"/>
      <w:divBdr>
        <w:top w:val="none" w:sz="0" w:space="0" w:color="auto"/>
        <w:left w:val="none" w:sz="0" w:space="0" w:color="auto"/>
        <w:bottom w:val="none" w:sz="0" w:space="0" w:color="auto"/>
        <w:right w:val="none" w:sz="0" w:space="0" w:color="auto"/>
      </w:divBdr>
      <w:divsChild>
        <w:div w:id="1323775610">
          <w:marLeft w:val="0"/>
          <w:marRight w:val="0"/>
          <w:marTop w:val="0"/>
          <w:marBottom w:val="0"/>
          <w:divBdr>
            <w:top w:val="none" w:sz="0" w:space="0" w:color="auto"/>
            <w:left w:val="none" w:sz="0" w:space="0" w:color="auto"/>
            <w:bottom w:val="none" w:sz="0" w:space="0" w:color="auto"/>
            <w:right w:val="none" w:sz="0" w:space="0" w:color="auto"/>
          </w:divBdr>
        </w:div>
      </w:divsChild>
    </w:div>
    <w:div w:id="262030436">
      <w:bodyDiv w:val="1"/>
      <w:marLeft w:val="0"/>
      <w:marRight w:val="0"/>
      <w:marTop w:val="0"/>
      <w:marBottom w:val="0"/>
      <w:divBdr>
        <w:top w:val="none" w:sz="0" w:space="0" w:color="auto"/>
        <w:left w:val="none" w:sz="0" w:space="0" w:color="auto"/>
        <w:bottom w:val="none" w:sz="0" w:space="0" w:color="auto"/>
        <w:right w:val="none" w:sz="0" w:space="0" w:color="auto"/>
      </w:divBdr>
    </w:div>
    <w:div w:id="359743173">
      <w:bodyDiv w:val="1"/>
      <w:marLeft w:val="0"/>
      <w:marRight w:val="0"/>
      <w:marTop w:val="0"/>
      <w:marBottom w:val="0"/>
      <w:divBdr>
        <w:top w:val="none" w:sz="0" w:space="0" w:color="auto"/>
        <w:left w:val="none" w:sz="0" w:space="0" w:color="auto"/>
        <w:bottom w:val="none" w:sz="0" w:space="0" w:color="auto"/>
        <w:right w:val="none" w:sz="0" w:space="0" w:color="auto"/>
      </w:divBdr>
    </w:div>
    <w:div w:id="409469453">
      <w:bodyDiv w:val="1"/>
      <w:marLeft w:val="0"/>
      <w:marRight w:val="0"/>
      <w:marTop w:val="0"/>
      <w:marBottom w:val="0"/>
      <w:divBdr>
        <w:top w:val="none" w:sz="0" w:space="0" w:color="auto"/>
        <w:left w:val="none" w:sz="0" w:space="0" w:color="auto"/>
        <w:bottom w:val="none" w:sz="0" w:space="0" w:color="auto"/>
        <w:right w:val="none" w:sz="0" w:space="0" w:color="auto"/>
      </w:divBdr>
    </w:div>
    <w:div w:id="419571455">
      <w:bodyDiv w:val="1"/>
      <w:marLeft w:val="0"/>
      <w:marRight w:val="0"/>
      <w:marTop w:val="0"/>
      <w:marBottom w:val="0"/>
      <w:divBdr>
        <w:top w:val="none" w:sz="0" w:space="0" w:color="auto"/>
        <w:left w:val="none" w:sz="0" w:space="0" w:color="auto"/>
        <w:bottom w:val="none" w:sz="0" w:space="0" w:color="auto"/>
        <w:right w:val="none" w:sz="0" w:space="0" w:color="auto"/>
      </w:divBdr>
    </w:div>
    <w:div w:id="424419585">
      <w:bodyDiv w:val="1"/>
      <w:marLeft w:val="0"/>
      <w:marRight w:val="0"/>
      <w:marTop w:val="0"/>
      <w:marBottom w:val="0"/>
      <w:divBdr>
        <w:top w:val="none" w:sz="0" w:space="0" w:color="auto"/>
        <w:left w:val="none" w:sz="0" w:space="0" w:color="auto"/>
        <w:bottom w:val="none" w:sz="0" w:space="0" w:color="auto"/>
        <w:right w:val="none" w:sz="0" w:space="0" w:color="auto"/>
      </w:divBdr>
    </w:div>
    <w:div w:id="447773217">
      <w:bodyDiv w:val="1"/>
      <w:marLeft w:val="0"/>
      <w:marRight w:val="0"/>
      <w:marTop w:val="0"/>
      <w:marBottom w:val="0"/>
      <w:divBdr>
        <w:top w:val="none" w:sz="0" w:space="0" w:color="auto"/>
        <w:left w:val="none" w:sz="0" w:space="0" w:color="auto"/>
        <w:bottom w:val="none" w:sz="0" w:space="0" w:color="auto"/>
        <w:right w:val="none" w:sz="0" w:space="0" w:color="auto"/>
      </w:divBdr>
    </w:div>
    <w:div w:id="533690867">
      <w:bodyDiv w:val="1"/>
      <w:marLeft w:val="0"/>
      <w:marRight w:val="0"/>
      <w:marTop w:val="0"/>
      <w:marBottom w:val="0"/>
      <w:divBdr>
        <w:top w:val="none" w:sz="0" w:space="0" w:color="auto"/>
        <w:left w:val="none" w:sz="0" w:space="0" w:color="auto"/>
        <w:bottom w:val="none" w:sz="0" w:space="0" w:color="auto"/>
        <w:right w:val="none" w:sz="0" w:space="0" w:color="auto"/>
      </w:divBdr>
      <w:divsChild>
        <w:div w:id="772475555">
          <w:marLeft w:val="0"/>
          <w:marRight w:val="0"/>
          <w:marTop w:val="0"/>
          <w:marBottom w:val="0"/>
          <w:divBdr>
            <w:top w:val="none" w:sz="0" w:space="0" w:color="auto"/>
            <w:left w:val="none" w:sz="0" w:space="0" w:color="auto"/>
            <w:bottom w:val="none" w:sz="0" w:space="0" w:color="auto"/>
            <w:right w:val="none" w:sz="0" w:space="0" w:color="auto"/>
          </w:divBdr>
        </w:div>
      </w:divsChild>
    </w:div>
    <w:div w:id="570122764">
      <w:bodyDiv w:val="1"/>
      <w:marLeft w:val="0"/>
      <w:marRight w:val="0"/>
      <w:marTop w:val="0"/>
      <w:marBottom w:val="0"/>
      <w:divBdr>
        <w:top w:val="none" w:sz="0" w:space="0" w:color="auto"/>
        <w:left w:val="none" w:sz="0" w:space="0" w:color="auto"/>
        <w:bottom w:val="none" w:sz="0" w:space="0" w:color="auto"/>
        <w:right w:val="none" w:sz="0" w:space="0" w:color="auto"/>
      </w:divBdr>
    </w:div>
    <w:div w:id="611135809">
      <w:bodyDiv w:val="1"/>
      <w:marLeft w:val="0"/>
      <w:marRight w:val="0"/>
      <w:marTop w:val="0"/>
      <w:marBottom w:val="0"/>
      <w:divBdr>
        <w:top w:val="none" w:sz="0" w:space="0" w:color="auto"/>
        <w:left w:val="none" w:sz="0" w:space="0" w:color="auto"/>
        <w:bottom w:val="none" w:sz="0" w:space="0" w:color="auto"/>
        <w:right w:val="none" w:sz="0" w:space="0" w:color="auto"/>
      </w:divBdr>
    </w:div>
    <w:div w:id="616529841">
      <w:bodyDiv w:val="1"/>
      <w:marLeft w:val="0"/>
      <w:marRight w:val="0"/>
      <w:marTop w:val="0"/>
      <w:marBottom w:val="0"/>
      <w:divBdr>
        <w:top w:val="none" w:sz="0" w:space="0" w:color="auto"/>
        <w:left w:val="none" w:sz="0" w:space="0" w:color="auto"/>
        <w:bottom w:val="none" w:sz="0" w:space="0" w:color="auto"/>
        <w:right w:val="none" w:sz="0" w:space="0" w:color="auto"/>
      </w:divBdr>
    </w:div>
    <w:div w:id="630791554">
      <w:bodyDiv w:val="1"/>
      <w:marLeft w:val="0"/>
      <w:marRight w:val="0"/>
      <w:marTop w:val="0"/>
      <w:marBottom w:val="0"/>
      <w:divBdr>
        <w:top w:val="none" w:sz="0" w:space="0" w:color="auto"/>
        <w:left w:val="none" w:sz="0" w:space="0" w:color="auto"/>
        <w:bottom w:val="none" w:sz="0" w:space="0" w:color="auto"/>
        <w:right w:val="none" w:sz="0" w:space="0" w:color="auto"/>
      </w:divBdr>
    </w:div>
    <w:div w:id="631522879">
      <w:bodyDiv w:val="1"/>
      <w:marLeft w:val="0"/>
      <w:marRight w:val="0"/>
      <w:marTop w:val="0"/>
      <w:marBottom w:val="0"/>
      <w:divBdr>
        <w:top w:val="none" w:sz="0" w:space="0" w:color="auto"/>
        <w:left w:val="none" w:sz="0" w:space="0" w:color="auto"/>
        <w:bottom w:val="none" w:sz="0" w:space="0" w:color="auto"/>
        <w:right w:val="none" w:sz="0" w:space="0" w:color="auto"/>
      </w:divBdr>
    </w:div>
    <w:div w:id="666978706">
      <w:bodyDiv w:val="1"/>
      <w:marLeft w:val="0"/>
      <w:marRight w:val="0"/>
      <w:marTop w:val="0"/>
      <w:marBottom w:val="0"/>
      <w:divBdr>
        <w:top w:val="none" w:sz="0" w:space="0" w:color="auto"/>
        <w:left w:val="none" w:sz="0" w:space="0" w:color="auto"/>
        <w:bottom w:val="none" w:sz="0" w:space="0" w:color="auto"/>
        <w:right w:val="none" w:sz="0" w:space="0" w:color="auto"/>
      </w:divBdr>
    </w:div>
    <w:div w:id="668796837">
      <w:bodyDiv w:val="1"/>
      <w:marLeft w:val="0"/>
      <w:marRight w:val="0"/>
      <w:marTop w:val="0"/>
      <w:marBottom w:val="0"/>
      <w:divBdr>
        <w:top w:val="none" w:sz="0" w:space="0" w:color="auto"/>
        <w:left w:val="none" w:sz="0" w:space="0" w:color="auto"/>
        <w:bottom w:val="none" w:sz="0" w:space="0" w:color="auto"/>
        <w:right w:val="none" w:sz="0" w:space="0" w:color="auto"/>
      </w:divBdr>
    </w:div>
    <w:div w:id="672874959">
      <w:bodyDiv w:val="1"/>
      <w:marLeft w:val="0"/>
      <w:marRight w:val="0"/>
      <w:marTop w:val="0"/>
      <w:marBottom w:val="0"/>
      <w:divBdr>
        <w:top w:val="none" w:sz="0" w:space="0" w:color="auto"/>
        <w:left w:val="none" w:sz="0" w:space="0" w:color="auto"/>
        <w:bottom w:val="none" w:sz="0" w:space="0" w:color="auto"/>
        <w:right w:val="none" w:sz="0" w:space="0" w:color="auto"/>
      </w:divBdr>
    </w:div>
    <w:div w:id="724332788">
      <w:bodyDiv w:val="1"/>
      <w:marLeft w:val="0"/>
      <w:marRight w:val="0"/>
      <w:marTop w:val="0"/>
      <w:marBottom w:val="0"/>
      <w:divBdr>
        <w:top w:val="none" w:sz="0" w:space="0" w:color="auto"/>
        <w:left w:val="none" w:sz="0" w:space="0" w:color="auto"/>
        <w:bottom w:val="none" w:sz="0" w:space="0" w:color="auto"/>
        <w:right w:val="none" w:sz="0" w:space="0" w:color="auto"/>
      </w:divBdr>
    </w:div>
    <w:div w:id="724571305">
      <w:bodyDiv w:val="1"/>
      <w:marLeft w:val="0"/>
      <w:marRight w:val="0"/>
      <w:marTop w:val="0"/>
      <w:marBottom w:val="0"/>
      <w:divBdr>
        <w:top w:val="none" w:sz="0" w:space="0" w:color="auto"/>
        <w:left w:val="none" w:sz="0" w:space="0" w:color="auto"/>
        <w:bottom w:val="none" w:sz="0" w:space="0" w:color="auto"/>
        <w:right w:val="none" w:sz="0" w:space="0" w:color="auto"/>
      </w:divBdr>
    </w:div>
    <w:div w:id="726759194">
      <w:bodyDiv w:val="1"/>
      <w:marLeft w:val="0"/>
      <w:marRight w:val="0"/>
      <w:marTop w:val="0"/>
      <w:marBottom w:val="0"/>
      <w:divBdr>
        <w:top w:val="none" w:sz="0" w:space="0" w:color="auto"/>
        <w:left w:val="none" w:sz="0" w:space="0" w:color="auto"/>
        <w:bottom w:val="none" w:sz="0" w:space="0" w:color="auto"/>
        <w:right w:val="none" w:sz="0" w:space="0" w:color="auto"/>
      </w:divBdr>
    </w:div>
    <w:div w:id="788429702">
      <w:bodyDiv w:val="1"/>
      <w:marLeft w:val="0"/>
      <w:marRight w:val="0"/>
      <w:marTop w:val="0"/>
      <w:marBottom w:val="0"/>
      <w:divBdr>
        <w:top w:val="none" w:sz="0" w:space="0" w:color="auto"/>
        <w:left w:val="none" w:sz="0" w:space="0" w:color="auto"/>
        <w:bottom w:val="none" w:sz="0" w:space="0" w:color="auto"/>
        <w:right w:val="none" w:sz="0" w:space="0" w:color="auto"/>
      </w:divBdr>
    </w:div>
    <w:div w:id="796067230">
      <w:bodyDiv w:val="1"/>
      <w:marLeft w:val="0"/>
      <w:marRight w:val="0"/>
      <w:marTop w:val="0"/>
      <w:marBottom w:val="0"/>
      <w:divBdr>
        <w:top w:val="none" w:sz="0" w:space="0" w:color="auto"/>
        <w:left w:val="none" w:sz="0" w:space="0" w:color="auto"/>
        <w:bottom w:val="none" w:sz="0" w:space="0" w:color="auto"/>
        <w:right w:val="none" w:sz="0" w:space="0" w:color="auto"/>
      </w:divBdr>
    </w:div>
    <w:div w:id="821583369">
      <w:bodyDiv w:val="1"/>
      <w:marLeft w:val="0"/>
      <w:marRight w:val="0"/>
      <w:marTop w:val="0"/>
      <w:marBottom w:val="0"/>
      <w:divBdr>
        <w:top w:val="none" w:sz="0" w:space="0" w:color="auto"/>
        <w:left w:val="none" w:sz="0" w:space="0" w:color="auto"/>
        <w:bottom w:val="none" w:sz="0" w:space="0" w:color="auto"/>
        <w:right w:val="none" w:sz="0" w:space="0" w:color="auto"/>
      </w:divBdr>
    </w:div>
    <w:div w:id="854685111">
      <w:bodyDiv w:val="1"/>
      <w:marLeft w:val="0"/>
      <w:marRight w:val="0"/>
      <w:marTop w:val="0"/>
      <w:marBottom w:val="0"/>
      <w:divBdr>
        <w:top w:val="none" w:sz="0" w:space="0" w:color="auto"/>
        <w:left w:val="none" w:sz="0" w:space="0" w:color="auto"/>
        <w:bottom w:val="none" w:sz="0" w:space="0" w:color="auto"/>
        <w:right w:val="none" w:sz="0" w:space="0" w:color="auto"/>
      </w:divBdr>
    </w:div>
    <w:div w:id="894436173">
      <w:bodyDiv w:val="1"/>
      <w:marLeft w:val="0"/>
      <w:marRight w:val="0"/>
      <w:marTop w:val="0"/>
      <w:marBottom w:val="0"/>
      <w:divBdr>
        <w:top w:val="none" w:sz="0" w:space="0" w:color="auto"/>
        <w:left w:val="none" w:sz="0" w:space="0" w:color="auto"/>
        <w:bottom w:val="none" w:sz="0" w:space="0" w:color="auto"/>
        <w:right w:val="none" w:sz="0" w:space="0" w:color="auto"/>
      </w:divBdr>
    </w:div>
    <w:div w:id="895354809">
      <w:bodyDiv w:val="1"/>
      <w:marLeft w:val="0"/>
      <w:marRight w:val="0"/>
      <w:marTop w:val="0"/>
      <w:marBottom w:val="0"/>
      <w:divBdr>
        <w:top w:val="none" w:sz="0" w:space="0" w:color="auto"/>
        <w:left w:val="none" w:sz="0" w:space="0" w:color="auto"/>
        <w:bottom w:val="none" w:sz="0" w:space="0" w:color="auto"/>
        <w:right w:val="none" w:sz="0" w:space="0" w:color="auto"/>
      </w:divBdr>
    </w:div>
    <w:div w:id="997726798">
      <w:bodyDiv w:val="1"/>
      <w:marLeft w:val="0"/>
      <w:marRight w:val="0"/>
      <w:marTop w:val="0"/>
      <w:marBottom w:val="0"/>
      <w:divBdr>
        <w:top w:val="none" w:sz="0" w:space="0" w:color="auto"/>
        <w:left w:val="none" w:sz="0" w:space="0" w:color="auto"/>
        <w:bottom w:val="none" w:sz="0" w:space="0" w:color="auto"/>
        <w:right w:val="none" w:sz="0" w:space="0" w:color="auto"/>
      </w:divBdr>
    </w:div>
    <w:div w:id="1109156641">
      <w:bodyDiv w:val="1"/>
      <w:marLeft w:val="0"/>
      <w:marRight w:val="0"/>
      <w:marTop w:val="0"/>
      <w:marBottom w:val="0"/>
      <w:divBdr>
        <w:top w:val="none" w:sz="0" w:space="0" w:color="auto"/>
        <w:left w:val="none" w:sz="0" w:space="0" w:color="auto"/>
        <w:bottom w:val="none" w:sz="0" w:space="0" w:color="auto"/>
        <w:right w:val="none" w:sz="0" w:space="0" w:color="auto"/>
      </w:divBdr>
    </w:div>
    <w:div w:id="1145196951">
      <w:bodyDiv w:val="1"/>
      <w:marLeft w:val="0"/>
      <w:marRight w:val="0"/>
      <w:marTop w:val="0"/>
      <w:marBottom w:val="0"/>
      <w:divBdr>
        <w:top w:val="none" w:sz="0" w:space="0" w:color="auto"/>
        <w:left w:val="none" w:sz="0" w:space="0" w:color="auto"/>
        <w:bottom w:val="none" w:sz="0" w:space="0" w:color="auto"/>
        <w:right w:val="none" w:sz="0" w:space="0" w:color="auto"/>
      </w:divBdr>
    </w:div>
    <w:div w:id="1156262582">
      <w:bodyDiv w:val="1"/>
      <w:marLeft w:val="0"/>
      <w:marRight w:val="0"/>
      <w:marTop w:val="0"/>
      <w:marBottom w:val="0"/>
      <w:divBdr>
        <w:top w:val="none" w:sz="0" w:space="0" w:color="auto"/>
        <w:left w:val="none" w:sz="0" w:space="0" w:color="auto"/>
        <w:bottom w:val="none" w:sz="0" w:space="0" w:color="auto"/>
        <w:right w:val="none" w:sz="0" w:space="0" w:color="auto"/>
      </w:divBdr>
    </w:div>
    <w:div w:id="1173647993">
      <w:bodyDiv w:val="1"/>
      <w:marLeft w:val="0"/>
      <w:marRight w:val="0"/>
      <w:marTop w:val="0"/>
      <w:marBottom w:val="0"/>
      <w:divBdr>
        <w:top w:val="none" w:sz="0" w:space="0" w:color="auto"/>
        <w:left w:val="none" w:sz="0" w:space="0" w:color="auto"/>
        <w:bottom w:val="none" w:sz="0" w:space="0" w:color="auto"/>
        <w:right w:val="none" w:sz="0" w:space="0" w:color="auto"/>
      </w:divBdr>
    </w:div>
    <w:div w:id="1250698026">
      <w:bodyDiv w:val="1"/>
      <w:marLeft w:val="0"/>
      <w:marRight w:val="0"/>
      <w:marTop w:val="0"/>
      <w:marBottom w:val="0"/>
      <w:divBdr>
        <w:top w:val="none" w:sz="0" w:space="0" w:color="auto"/>
        <w:left w:val="none" w:sz="0" w:space="0" w:color="auto"/>
        <w:bottom w:val="none" w:sz="0" w:space="0" w:color="auto"/>
        <w:right w:val="none" w:sz="0" w:space="0" w:color="auto"/>
      </w:divBdr>
    </w:div>
    <w:div w:id="1256867543">
      <w:bodyDiv w:val="1"/>
      <w:marLeft w:val="0"/>
      <w:marRight w:val="0"/>
      <w:marTop w:val="0"/>
      <w:marBottom w:val="0"/>
      <w:divBdr>
        <w:top w:val="none" w:sz="0" w:space="0" w:color="auto"/>
        <w:left w:val="none" w:sz="0" w:space="0" w:color="auto"/>
        <w:bottom w:val="none" w:sz="0" w:space="0" w:color="auto"/>
        <w:right w:val="none" w:sz="0" w:space="0" w:color="auto"/>
      </w:divBdr>
    </w:div>
    <w:div w:id="1360471180">
      <w:bodyDiv w:val="1"/>
      <w:marLeft w:val="0"/>
      <w:marRight w:val="0"/>
      <w:marTop w:val="0"/>
      <w:marBottom w:val="0"/>
      <w:divBdr>
        <w:top w:val="none" w:sz="0" w:space="0" w:color="auto"/>
        <w:left w:val="none" w:sz="0" w:space="0" w:color="auto"/>
        <w:bottom w:val="none" w:sz="0" w:space="0" w:color="auto"/>
        <w:right w:val="none" w:sz="0" w:space="0" w:color="auto"/>
      </w:divBdr>
    </w:div>
    <w:div w:id="1384131897">
      <w:bodyDiv w:val="1"/>
      <w:marLeft w:val="0"/>
      <w:marRight w:val="0"/>
      <w:marTop w:val="0"/>
      <w:marBottom w:val="0"/>
      <w:divBdr>
        <w:top w:val="none" w:sz="0" w:space="0" w:color="auto"/>
        <w:left w:val="none" w:sz="0" w:space="0" w:color="auto"/>
        <w:bottom w:val="none" w:sz="0" w:space="0" w:color="auto"/>
        <w:right w:val="none" w:sz="0" w:space="0" w:color="auto"/>
      </w:divBdr>
    </w:div>
    <w:div w:id="1451827119">
      <w:bodyDiv w:val="1"/>
      <w:marLeft w:val="0"/>
      <w:marRight w:val="0"/>
      <w:marTop w:val="0"/>
      <w:marBottom w:val="0"/>
      <w:divBdr>
        <w:top w:val="none" w:sz="0" w:space="0" w:color="auto"/>
        <w:left w:val="none" w:sz="0" w:space="0" w:color="auto"/>
        <w:bottom w:val="none" w:sz="0" w:space="0" w:color="auto"/>
        <w:right w:val="none" w:sz="0" w:space="0" w:color="auto"/>
      </w:divBdr>
    </w:div>
    <w:div w:id="1517234381">
      <w:bodyDiv w:val="1"/>
      <w:marLeft w:val="0"/>
      <w:marRight w:val="0"/>
      <w:marTop w:val="0"/>
      <w:marBottom w:val="0"/>
      <w:divBdr>
        <w:top w:val="none" w:sz="0" w:space="0" w:color="auto"/>
        <w:left w:val="none" w:sz="0" w:space="0" w:color="auto"/>
        <w:bottom w:val="none" w:sz="0" w:space="0" w:color="auto"/>
        <w:right w:val="none" w:sz="0" w:space="0" w:color="auto"/>
      </w:divBdr>
    </w:div>
    <w:div w:id="1539776412">
      <w:bodyDiv w:val="1"/>
      <w:marLeft w:val="0"/>
      <w:marRight w:val="0"/>
      <w:marTop w:val="0"/>
      <w:marBottom w:val="0"/>
      <w:divBdr>
        <w:top w:val="none" w:sz="0" w:space="0" w:color="auto"/>
        <w:left w:val="none" w:sz="0" w:space="0" w:color="auto"/>
        <w:bottom w:val="none" w:sz="0" w:space="0" w:color="auto"/>
        <w:right w:val="none" w:sz="0" w:space="0" w:color="auto"/>
      </w:divBdr>
    </w:div>
    <w:div w:id="1541359469">
      <w:bodyDiv w:val="1"/>
      <w:marLeft w:val="0"/>
      <w:marRight w:val="0"/>
      <w:marTop w:val="0"/>
      <w:marBottom w:val="0"/>
      <w:divBdr>
        <w:top w:val="none" w:sz="0" w:space="0" w:color="auto"/>
        <w:left w:val="none" w:sz="0" w:space="0" w:color="auto"/>
        <w:bottom w:val="none" w:sz="0" w:space="0" w:color="auto"/>
        <w:right w:val="none" w:sz="0" w:space="0" w:color="auto"/>
      </w:divBdr>
    </w:div>
    <w:div w:id="1635060599">
      <w:bodyDiv w:val="1"/>
      <w:marLeft w:val="0"/>
      <w:marRight w:val="0"/>
      <w:marTop w:val="0"/>
      <w:marBottom w:val="0"/>
      <w:divBdr>
        <w:top w:val="none" w:sz="0" w:space="0" w:color="auto"/>
        <w:left w:val="none" w:sz="0" w:space="0" w:color="auto"/>
        <w:bottom w:val="none" w:sz="0" w:space="0" w:color="auto"/>
        <w:right w:val="none" w:sz="0" w:space="0" w:color="auto"/>
      </w:divBdr>
    </w:div>
    <w:div w:id="1651448459">
      <w:bodyDiv w:val="1"/>
      <w:marLeft w:val="0"/>
      <w:marRight w:val="0"/>
      <w:marTop w:val="0"/>
      <w:marBottom w:val="0"/>
      <w:divBdr>
        <w:top w:val="none" w:sz="0" w:space="0" w:color="auto"/>
        <w:left w:val="none" w:sz="0" w:space="0" w:color="auto"/>
        <w:bottom w:val="none" w:sz="0" w:space="0" w:color="auto"/>
        <w:right w:val="none" w:sz="0" w:space="0" w:color="auto"/>
      </w:divBdr>
    </w:div>
    <w:div w:id="1687976972">
      <w:bodyDiv w:val="1"/>
      <w:marLeft w:val="0"/>
      <w:marRight w:val="0"/>
      <w:marTop w:val="0"/>
      <w:marBottom w:val="0"/>
      <w:divBdr>
        <w:top w:val="none" w:sz="0" w:space="0" w:color="auto"/>
        <w:left w:val="none" w:sz="0" w:space="0" w:color="auto"/>
        <w:bottom w:val="none" w:sz="0" w:space="0" w:color="auto"/>
        <w:right w:val="none" w:sz="0" w:space="0" w:color="auto"/>
      </w:divBdr>
    </w:div>
    <w:div w:id="1771504641">
      <w:bodyDiv w:val="1"/>
      <w:marLeft w:val="0"/>
      <w:marRight w:val="0"/>
      <w:marTop w:val="0"/>
      <w:marBottom w:val="0"/>
      <w:divBdr>
        <w:top w:val="none" w:sz="0" w:space="0" w:color="auto"/>
        <w:left w:val="none" w:sz="0" w:space="0" w:color="auto"/>
        <w:bottom w:val="none" w:sz="0" w:space="0" w:color="auto"/>
        <w:right w:val="none" w:sz="0" w:space="0" w:color="auto"/>
      </w:divBdr>
    </w:div>
    <w:div w:id="1811172023">
      <w:bodyDiv w:val="1"/>
      <w:marLeft w:val="0"/>
      <w:marRight w:val="0"/>
      <w:marTop w:val="0"/>
      <w:marBottom w:val="0"/>
      <w:divBdr>
        <w:top w:val="none" w:sz="0" w:space="0" w:color="auto"/>
        <w:left w:val="none" w:sz="0" w:space="0" w:color="auto"/>
        <w:bottom w:val="none" w:sz="0" w:space="0" w:color="auto"/>
        <w:right w:val="none" w:sz="0" w:space="0" w:color="auto"/>
      </w:divBdr>
      <w:divsChild>
        <w:div w:id="1701783708">
          <w:marLeft w:val="0"/>
          <w:marRight w:val="0"/>
          <w:marTop w:val="0"/>
          <w:marBottom w:val="0"/>
          <w:divBdr>
            <w:top w:val="none" w:sz="0" w:space="0" w:color="auto"/>
            <w:left w:val="none" w:sz="0" w:space="0" w:color="auto"/>
            <w:bottom w:val="none" w:sz="0" w:space="0" w:color="auto"/>
            <w:right w:val="none" w:sz="0" w:space="0" w:color="auto"/>
          </w:divBdr>
          <w:divsChild>
            <w:div w:id="2048604006">
              <w:marLeft w:val="0"/>
              <w:marRight w:val="0"/>
              <w:marTop w:val="0"/>
              <w:marBottom w:val="0"/>
              <w:divBdr>
                <w:top w:val="none" w:sz="0" w:space="0" w:color="auto"/>
                <w:left w:val="none" w:sz="0" w:space="0" w:color="auto"/>
                <w:bottom w:val="none" w:sz="0" w:space="0" w:color="auto"/>
                <w:right w:val="none" w:sz="0" w:space="0" w:color="auto"/>
              </w:divBdr>
              <w:divsChild>
                <w:div w:id="287513148">
                  <w:marLeft w:val="0"/>
                  <w:marRight w:val="0"/>
                  <w:marTop w:val="0"/>
                  <w:marBottom w:val="0"/>
                  <w:divBdr>
                    <w:top w:val="none" w:sz="0" w:space="0" w:color="auto"/>
                    <w:left w:val="none" w:sz="0" w:space="0" w:color="auto"/>
                    <w:bottom w:val="none" w:sz="0" w:space="0" w:color="auto"/>
                    <w:right w:val="none" w:sz="0" w:space="0" w:color="auto"/>
                  </w:divBdr>
                  <w:divsChild>
                    <w:div w:id="660088048">
                      <w:marLeft w:val="1"/>
                      <w:marRight w:val="1"/>
                      <w:marTop w:val="0"/>
                      <w:marBottom w:val="0"/>
                      <w:divBdr>
                        <w:top w:val="none" w:sz="0" w:space="0" w:color="auto"/>
                        <w:left w:val="none" w:sz="0" w:space="0" w:color="auto"/>
                        <w:bottom w:val="none" w:sz="0" w:space="0" w:color="auto"/>
                        <w:right w:val="none" w:sz="0" w:space="0" w:color="auto"/>
                      </w:divBdr>
                      <w:divsChild>
                        <w:div w:id="1348950006">
                          <w:marLeft w:val="0"/>
                          <w:marRight w:val="0"/>
                          <w:marTop w:val="0"/>
                          <w:marBottom w:val="0"/>
                          <w:divBdr>
                            <w:top w:val="none" w:sz="0" w:space="0" w:color="auto"/>
                            <w:left w:val="none" w:sz="0" w:space="0" w:color="auto"/>
                            <w:bottom w:val="none" w:sz="0" w:space="0" w:color="auto"/>
                            <w:right w:val="none" w:sz="0" w:space="0" w:color="auto"/>
                          </w:divBdr>
                          <w:divsChild>
                            <w:div w:id="1189299253">
                              <w:marLeft w:val="0"/>
                              <w:marRight w:val="0"/>
                              <w:marTop w:val="0"/>
                              <w:marBottom w:val="360"/>
                              <w:divBdr>
                                <w:top w:val="none" w:sz="0" w:space="0" w:color="auto"/>
                                <w:left w:val="none" w:sz="0" w:space="0" w:color="auto"/>
                                <w:bottom w:val="none" w:sz="0" w:space="0" w:color="auto"/>
                                <w:right w:val="none" w:sz="0" w:space="0" w:color="auto"/>
                              </w:divBdr>
                              <w:divsChild>
                                <w:div w:id="465394015">
                                  <w:marLeft w:val="0"/>
                                  <w:marRight w:val="0"/>
                                  <w:marTop w:val="0"/>
                                  <w:marBottom w:val="0"/>
                                  <w:divBdr>
                                    <w:top w:val="none" w:sz="0" w:space="0" w:color="auto"/>
                                    <w:left w:val="none" w:sz="0" w:space="0" w:color="auto"/>
                                    <w:bottom w:val="none" w:sz="0" w:space="0" w:color="auto"/>
                                    <w:right w:val="none" w:sz="0" w:space="0" w:color="auto"/>
                                  </w:divBdr>
                                  <w:divsChild>
                                    <w:div w:id="113220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4326886">
      <w:bodyDiv w:val="1"/>
      <w:marLeft w:val="0"/>
      <w:marRight w:val="0"/>
      <w:marTop w:val="0"/>
      <w:marBottom w:val="0"/>
      <w:divBdr>
        <w:top w:val="none" w:sz="0" w:space="0" w:color="auto"/>
        <w:left w:val="none" w:sz="0" w:space="0" w:color="auto"/>
        <w:bottom w:val="none" w:sz="0" w:space="0" w:color="auto"/>
        <w:right w:val="none" w:sz="0" w:space="0" w:color="auto"/>
      </w:divBdr>
    </w:div>
    <w:div w:id="1823424812">
      <w:bodyDiv w:val="1"/>
      <w:marLeft w:val="0"/>
      <w:marRight w:val="0"/>
      <w:marTop w:val="0"/>
      <w:marBottom w:val="0"/>
      <w:divBdr>
        <w:top w:val="none" w:sz="0" w:space="0" w:color="auto"/>
        <w:left w:val="none" w:sz="0" w:space="0" w:color="auto"/>
        <w:bottom w:val="none" w:sz="0" w:space="0" w:color="auto"/>
        <w:right w:val="none" w:sz="0" w:space="0" w:color="auto"/>
      </w:divBdr>
    </w:div>
    <w:div w:id="1855455251">
      <w:bodyDiv w:val="1"/>
      <w:marLeft w:val="0"/>
      <w:marRight w:val="0"/>
      <w:marTop w:val="0"/>
      <w:marBottom w:val="0"/>
      <w:divBdr>
        <w:top w:val="none" w:sz="0" w:space="0" w:color="auto"/>
        <w:left w:val="none" w:sz="0" w:space="0" w:color="auto"/>
        <w:bottom w:val="none" w:sz="0" w:space="0" w:color="auto"/>
        <w:right w:val="none" w:sz="0" w:space="0" w:color="auto"/>
      </w:divBdr>
    </w:div>
    <w:div w:id="1935435643">
      <w:bodyDiv w:val="1"/>
      <w:marLeft w:val="0"/>
      <w:marRight w:val="0"/>
      <w:marTop w:val="0"/>
      <w:marBottom w:val="0"/>
      <w:divBdr>
        <w:top w:val="none" w:sz="0" w:space="0" w:color="auto"/>
        <w:left w:val="none" w:sz="0" w:space="0" w:color="auto"/>
        <w:bottom w:val="none" w:sz="0" w:space="0" w:color="auto"/>
        <w:right w:val="none" w:sz="0" w:space="0" w:color="auto"/>
      </w:divBdr>
    </w:div>
    <w:div w:id="1998458193">
      <w:bodyDiv w:val="1"/>
      <w:marLeft w:val="0"/>
      <w:marRight w:val="0"/>
      <w:marTop w:val="0"/>
      <w:marBottom w:val="0"/>
      <w:divBdr>
        <w:top w:val="none" w:sz="0" w:space="0" w:color="auto"/>
        <w:left w:val="none" w:sz="0" w:space="0" w:color="auto"/>
        <w:bottom w:val="none" w:sz="0" w:space="0" w:color="auto"/>
        <w:right w:val="none" w:sz="0" w:space="0" w:color="auto"/>
      </w:divBdr>
    </w:div>
    <w:div w:id="2075003046">
      <w:bodyDiv w:val="1"/>
      <w:marLeft w:val="0"/>
      <w:marRight w:val="0"/>
      <w:marTop w:val="0"/>
      <w:marBottom w:val="0"/>
      <w:divBdr>
        <w:top w:val="none" w:sz="0" w:space="0" w:color="auto"/>
        <w:left w:val="none" w:sz="0" w:space="0" w:color="auto"/>
        <w:bottom w:val="none" w:sz="0" w:space="0" w:color="auto"/>
        <w:right w:val="none" w:sz="0" w:space="0" w:color="auto"/>
      </w:divBdr>
      <w:divsChild>
        <w:div w:id="1712268450">
          <w:marLeft w:val="0"/>
          <w:marRight w:val="0"/>
          <w:marTop w:val="0"/>
          <w:marBottom w:val="0"/>
          <w:divBdr>
            <w:top w:val="none" w:sz="0" w:space="0" w:color="auto"/>
            <w:left w:val="none" w:sz="0" w:space="0" w:color="auto"/>
            <w:bottom w:val="none" w:sz="0" w:space="0" w:color="auto"/>
            <w:right w:val="none" w:sz="0" w:space="0" w:color="auto"/>
          </w:divBdr>
          <w:divsChild>
            <w:div w:id="180778035">
              <w:marLeft w:val="0"/>
              <w:marRight w:val="0"/>
              <w:marTop w:val="0"/>
              <w:marBottom w:val="0"/>
              <w:divBdr>
                <w:top w:val="none" w:sz="0" w:space="0" w:color="auto"/>
                <w:left w:val="none" w:sz="0" w:space="0" w:color="auto"/>
                <w:bottom w:val="none" w:sz="0" w:space="0" w:color="auto"/>
                <w:right w:val="none" w:sz="0" w:space="0" w:color="auto"/>
              </w:divBdr>
              <w:divsChild>
                <w:div w:id="1595285576">
                  <w:marLeft w:val="0"/>
                  <w:marRight w:val="0"/>
                  <w:marTop w:val="0"/>
                  <w:marBottom w:val="0"/>
                  <w:divBdr>
                    <w:top w:val="none" w:sz="0" w:space="0" w:color="auto"/>
                    <w:left w:val="none" w:sz="0" w:space="0" w:color="auto"/>
                    <w:bottom w:val="none" w:sz="0" w:space="0" w:color="auto"/>
                    <w:right w:val="none" w:sz="0" w:space="0" w:color="auto"/>
                  </w:divBdr>
                  <w:divsChild>
                    <w:div w:id="1975213155">
                      <w:marLeft w:val="1"/>
                      <w:marRight w:val="1"/>
                      <w:marTop w:val="0"/>
                      <w:marBottom w:val="0"/>
                      <w:divBdr>
                        <w:top w:val="none" w:sz="0" w:space="0" w:color="auto"/>
                        <w:left w:val="none" w:sz="0" w:space="0" w:color="auto"/>
                        <w:bottom w:val="none" w:sz="0" w:space="0" w:color="auto"/>
                        <w:right w:val="none" w:sz="0" w:space="0" w:color="auto"/>
                      </w:divBdr>
                      <w:divsChild>
                        <w:div w:id="1348167530">
                          <w:marLeft w:val="0"/>
                          <w:marRight w:val="0"/>
                          <w:marTop w:val="0"/>
                          <w:marBottom w:val="0"/>
                          <w:divBdr>
                            <w:top w:val="none" w:sz="0" w:space="0" w:color="auto"/>
                            <w:left w:val="none" w:sz="0" w:space="0" w:color="auto"/>
                            <w:bottom w:val="none" w:sz="0" w:space="0" w:color="auto"/>
                            <w:right w:val="none" w:sz="0" w:space="0" w:color="auto"/>
                          </w:divBdr>
                          <w:divsChild>
                            <w:div w:id="1717856329">
                              <w:marLeft w:val="0"/>
                              <w:marRight w:val="0"/>
                              <w:marTop w:val="0"/>
                              <w:marBottom w:val="360"/>
                              <w:divBdr>
                                <w:top w:val="none" w:sz="0" w:space="0" w:color="auto"/>
                                <w:left w:val="none" w:sz="0" w:space="0" w:color="auto"/>
                                <w:bottom w:val="none" w:sz="0" w:space="0" w:color="auto"/>
                                <w:right w:val="none" w:sz="0" w:space="0" w:color="auto"/>
                              </w:divBdr>
                              <w:divsChild>
                                <w:div w:id="1654404583">
                                  <w:marLeft w:val="0"/>
                                  <w:marRight w:val="0"/>
                                  <w:marTop w:val="0"/>
                                  <w:marBottom w:val="0"/>
                                  <w:divBdr>
                                    <w:top w:val="none" w:sz="0" w:space="0" w:color="auto"/>
                                    <w:left w:val="none" w:sz="0" w:space="0" w:color="auto"/>
                                    <w:bottom w:val="none" w:sz="0" w:space="0" w:color="auto"/>
                                    <w:right w:val="none" w:sz="0" w:space="0" w:color="auto"/>
                                  </w:divBdr>
                                  <w:divsChild>
                                    <w:div w:id="138812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1655696">
      <w:bodyDiv w:val="1"/>
      <w:marLeft w:val="0"/>
      <w:marRight w:val="0"/>
      <w:marTop w:val="0"/>
      <w:marBottom w:val="0"/>
      <w:divBdr>
        <w:top w:val="none" w:sz="0" w:space="0" w:color="auto"/>
        <w:left w:val="none" w:sz="0" w:space="0" w:color="auto"/>
        <w:bottom w:val="none" w:sz="0" w:space="0" w:color="auto"/>
        <w:right w:val="none" w:sz="0" w:space="0" w:color="auto"/>
      </w:divBdr>
    </w:div>
    <w:div w:id="2113821858">
      <w:bodyDiv w:val="1"/>
      <w:marLeft w:val="0"/>
      <w:marRight w:val="0"/>
      <w:marTop w:val="0"/>
      <w:marBottom w:val="0"/>
      <w:divBdr>
        <w:top w:val="none" w:sz="0" w:space="0" w:color="auto"/>
        <w:left w:val="none" w:sz="0" w:space="0" w:color="auto"/>
        <w:bottom w:val="none" w:sz="0" w:space="0" w:color="auto"/>
        <w:right w:val="none" w:sz="0" w:space="0" w:color="auto"/>
      </w:divBdr>
    </w:div>
    <w:div w:id="2123644850">
      <w:bodyDiv w:val="1"/>
      <w:marLeft w:val="0"/>
      <w:marRight w:val="0"/>
      <w:marTop w:val="0"/>
      <w:marBottom w:val="0"/>
      <w:divBdr>
        <w:top w:val="none" w:sz="0" w:space="0" w:color="auto"/>
        <w:left w:val="none" w:sz="0" w:space="0" w:color="auto"/>
        <w:bottom w:val="none" w:sz="0" w:space="0" w:color="auto"/>
        <w:right w:val="none" w:sz="0" w:space="0" w:color="auto"/>
      </w:divBdr>
    </w:div>
    <w:div w:id="2137487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notes" Target="footnotes.xml"/><Relationship Id="rId18" Type="http://schemas.openxmlformats.org/officeDocument/2006/relationships/header" Target="header2.xml"/><Relationship Id="rId26" Type="http://schemas.openxmlformats.org/officeDocument/2006/relationships/hyperlink" Target="https://ec.europa.eu/info/funding-tenders/opportunities/portal/screen/opportunities/projects-results;programCode=REC" TargetMode="External"/><Relationship Id="rId39" Type="http://schemas.openxmlformats.org/officeDocument/2006/relationships/hyperlink" Target="https://eur-lex.europa.eu/legal-content/EN/ALL/?uri=CELEX:32016R0679&amp;qid=1613382053477" TargetMode="External"/><Relationship Id="rId21" Type="http://schemas.openxmlformats.org/officeDocument/2006/relationships/hyperlink" Target="https://eur-lex.europa.eu/legal-content/EN/ALL/?uri=CELEX:32018R1046&amp;qid=1535046024012" TargetMode="External"/><Relationship Id="rId34" Type="http://schemas.openxmlformats.org/officeDocument/2006/relationships/hyperlink" Target="https://ec.europa.eu/info/funding-tenders/opportunities/portal/screen/how-to-participate/participant-register" TargetMode="External"/><Relationship Id="rId42" Type="http://schemas.openxmlformats.org/officeDocument/2006/relationships/hyperlink" Target="https://eige.europa.eu/gender-mainstreaming/methods-tools/sex-disaggregated-data" TargetMode="External"/><Relationship Id="rId47" Type="http://schemas.openxmlformats.org/officeDocument/2006/relationships/hyperlink" Target="https://ec.europa.eu/info/funding-tenders/opportunities/docs/2021-2027/common/ftp/tc_en.pdf" TargetMode="External"/><Relationship Id="rId50" Type="http://schemas.openxmlformats.org/officeDocument/2006/relationships/hyperlink" Target="https://webgate.ec.europa.eu/cas/eim/external/register.cgi" TargetMode="External"/><Relationship Id="rId55" Type="http://schemas.openxmlformats.org/officeDocument/2006/relationships/hyperlink" Target="https://ec.europa.eu/info/funding-tenders/opportunities/docs/2021-2027/common/guidance/om_en.pdf" TargetMode="External"/><Relationship Id="rId63" Type="http://schemas.openxmlformats.org/officeDocument/2006/relationships/hyperlink" Target="https://ec.europa.eu/budget/fts/index_en.htm" TargetMode="Externa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header" Target="header1.xml"/><Relationship Id="rId29"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hyperlink" Target="https://ec.europa.eu/info/funding-tenders/opportunities/docs/2021-2027/common/guidance/aga_en.pdf" TargetMode="External"/><Relationship Id="rId32" Type="http://schemas.openxmlformats.org/officeDocument/2006/relationships/hyperlink" Target="https://ec.europa.eu/info/funding-tenders/opportunities/docs/2021-2027/common/guidance/om_en.pdf" TargetMode="External"/><Relationship Id="rId37" Type="http://schemas.openxmlformats.org/officeDocument/2006/relationships/hyperlink" Target="http://eur-lex.europa.eu/LexUriServ/LexUriServ.do?uri=OJ:C:2013:205:FULL:EN:PDF" TargetMode="External"/><Relationship Id="rId40" Type="http://schemas.openxmlformats.org/officeDocument/2006/relationships/hyperlink" Target="https://eige.europa.eu/gender-mainstreaming/toolkits/gender-impact-assessment/guide-gender-impact-assessment" TargetMode="External"/><Relationship Id="rId45" Type="http://schemas.openxmlformats.org/officeDocument/2006/relationships/hyperlink" Target="https://ec.europa.eu/info/funding-tenders/opportunities/docs/2021-2027/common/guidance/rules-lev-lear-fca_en.pdf" TargetMode="External"/><Relationship Id="rId53" Type="http://schemas.openxmlformats.org/officeDocument/2006/relationships/hyperlink" Target="https://ec.europa.eu/info/funding-tenders/opportunities/portal/screen/support/helpdesks/contact-form" TargetMode="External"/><Relationship Id="rId58" Type="http://schemas.openxmlformats.org/officeDocument/2006/relationships/hyperlink" Target="mailto:EACEA-CERV@ec.europa.eu" TargetMode="External"/><Relationship Id="rId66"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hyperlink" Target="https://ec.europa.eu/info/funding-tenders/opportunities/docs/2021-2027/common/guidance/om_en.pdf" TargetMode="External"/><Relationship Id="rId28" Type="http://schemas.openxmlformats.org/officeDocument/2006/relationships/hyperlink" Target="https://ec.europa.eu/info/funding-tenders/opportunities/portal/screen/opportunities/topic-search;freeTextSearchKeyword=;typeCodes=0,1;statusCodes=31094501,31094502,31094503;programCode=null;programDivisionCode=null;focusAreaCode=null;crossCuttingPriorityCode=null;callCode=Default;sortQuery=openingDate;orderBy=asc;onlyTenders=false;topicListKey=topicSearchTablePageState" TargetMode="External"/><Relationship Id="rId36" Type="http://schemas.openxmlformats.org/officeDocument/2006/relationships/hyperlink" Target="http://www.sanctionsmap.eu/" TargetMode="External"/><Relationship Id="rId49" Type="http://schemas.openxmlformats.org/officeDocument/2006/relationships/hyperlink" Target="https://ec.europa.eu/info/funding-tenders/opportunities/docs/2021-2027/common/guidance/aga_en.pdf" TargetMode="External"/><Relationship Id="rId57" Type="http://schemas.openxmlformats.org/officeDocument/2006/relationships/hyperlink" Target="https://ec.europa.eu/info/funding-tenders/opportunities/portal/screen/support/helpdesks/contact-form" TargetMode="External"/><Relationship Id="rId61" Type="http://schemas.openxmlformats.org/officeDocument/2006/relationships/hyperlink" Target="https://ec.europa.eu/info/funding-tenders/opportunities/docs/2021-2027/common/guidance/aga_en.pdf" TargetMode="External"/><Relationship Id="rId10" Type="http://schemas.openxmlformats.org/officeDocument/2006/relationships/styles" Target="styles.xml"/><Relationship Id="rId19" Type="http://schemas.openxmlformats.org/officeDocument/2006/relationships/footer" Target="footer2.xml"/><Relationship Id="rId31" Type="http://schemas.openxmlformats.org/officeDocument/2006/relationships/image" Target="media/image5.png"/><Relationship Id="rId44" Type="http://schemas.openxmlformats.org/officeDocument/2006/relationships/hyperlink" Target="https://ec.europa.eu/info/funding-tenders/opportunities/portal/screen/how-to-participate/participant-register" TargetMode="External"/><Relationship Id="rId52" Type="http://schemas.openxmlformats.org/officeDocument/2006/relationships/hyperlink" Target="https://ec.europa.eu/info/funding-tenders/opportunities/portal/screen/opportunities/topic-search;freeTextSearchKeyword=;typeCodes=0,1;statusCodes=31094501,31094502,31094503;programCode=null;programDivisionCode=null;focusAreaCode=null;crossCuttingPriorityCode=null;callCode=Default;sortQuery=openingDate;orderBy=asc;onlyTenders=false;topicListKey=topicSearchTablePageState" TargetMode="External"/><Relationship Id="rId60" Type="http://schemas.openxmlformats.org/officeDocument/2006/relationships/hyperlink" Target="https://ec.europa.eu/info/funding-tenders/opportunities/portal/screen/how-to-participate/participant-register" TargetMode="External"/><Relationship Id="rId65"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hyperlink" Target="https://eur-lex.europa.eu/legal-content/EN/ALL/?uri=CELEX:32021R0692&amp;qid=1621199407469" TargetMode="External"/><Relationship Id="rId27" Type="http://schemas.openxmlformats.org/officeDocument/2006/relationships/hyperlink" Target="https://ec.europa.eu/justice/grants/results/daphne-toolkit/daphne-toolkit-%E2%80%93-active-resource-daphne-programme_en" TargetMode="External"/><Relationship Id="rId30" Type="http://schemas.openxmlformats.org/officeDocument/2006/relationships/hyperlink" Target="https://ec.europa.eu/info/sites/info/files/standards_child_protection_kcsc_en_1.pdf" TargetMode="External"/><Relationship Id="rId35" Type="http://schemas.openxmlformats.org/officeDocument/2006/relationships/image" Target="media/image6.png"/><Relationship Id="rId43" Type="http://schemas.openxmlformats.org/officeDocument/2006/relationships/hyperlink" Target="https://ec.europa.eu/info/sites/info/files/standards_child_protection_kcsc_en_1.pdf" TargetMode="External"/><Relationship Id="rId48" Type="http://schemas.openxmlformats.org/officeDocument/2006/relationships/hyperlink" Target="https://ec.europa.eu/info/funding-tenders/opportunities/portal/screen/how-to-participate/reference-documents" TargetMode="External"/><Relationship Id="rId56" Type="http://schemas.openxmlformats.org/officeDocument/2006/relationships/hyperlink" Target="https://ec.europa.eu/info/funding-tenders/opportunities/portal/screen/support/faq;categories=;programme=null;actions=;keyword=" TargetMode="External"/><Relationship Id="rId64" Type="http://schemas.openxmlformats.org/officeDocument/2006/relationships/hyperlink" Target="https://ec.europa.eu/info/funding-tenders/opportunities/docs/2021-2027/common/ftp/privacy-statement_en.pdf" TargetMode="External"/><Relationship Id="rId8" Type="http://schemas.openxmlformats.org/officeDocument/2006/relationships/customXml" Target="../customXml/item8.xml"/><Relationship Id="rId51" Type="http://schemas.openxmlformats.org/officeDocument/2006/relationships/hyperlink" Target="https://ec.europa.eu/info/funding-tenders/opportunities/portal/screen/how-to-participate/participant-register" TargetMode="External"/><Relationship Id="rId3" Type="http://schemas.openxmlformats.org/officeDocument/2006/relationships/customXml" Target="../customXml/item3.xml"/><Relationship Id="rId12" Type="http://schemas.openxmlformats.org/officeDocument/2006/relationships/webSettings" Target="webSettings.xml"/><Relationship Id="rId17" Type="http://schemas.openxmlformats.org/officeDocument/2006/relationships/footer" Target="footer1.xml"/><Relationship Id="rId25" Type="http://schemas.openxmlformats.org/officeDocument/2006/relationships/hyperlink" Target="https://ec.europa.eu/programmes/europe-for-citizens/projects/" TargetMode="External"/><Relationship Id="rId33" Type="http://schemas.openxmlformats.org/officeDocument/2006/relationships/hyperlink" Target="https://ec.europa.eu/info/funding-tenders/opportunities/docs/2021-2027/cerv/guidance/list-3rd-country-participation_cerv_en.pdf" TargetMode="External"/><Relationship Id="rId38" Type="http://schemas.openxmlformats.org/officeDocument/2006/relationships/hyperlink" Target="https://ec.europa.eu/info/funding-tenders/opportunities/docs/2021-2027/common/guidance/rules-lev-lear-fca_en.pdf" TargetMode="External"/><Relationship Id="rId46" Type="http://schemas.openxmlformats.org/officeDocument/2006/relationships/hyperlink" Target="http://eur-lex.europa.eu/legal-content/EN/ALL/?uri=CELEX:31995R2988&amp;qid=1501598622514" TargetMode="External"/><Relationship Id="rId59" Type="http://schemas.openxmlformats.org/officeDocument/2006/relationships/hyperlink" Target="https://ec.europa.eu/info/funding-tenders/opportunities/docs/2021-2027/common/ftp/tc_en.pdf" TargetMode="External"/><Relationship Id="rId67" Type="http://schemas.openxmlformats.org/officeDocument/2006/relationships/theme" Target="theme/theme1.xml"/><Relationship Id="rId20" Type="http://schemas.openxmlformats.org/officeDocument/2006/relationships/image" Target="media/image3.png"/><Relationship Id="rId41" Type="http://schemas.openxmlformats.org/officeDocument/2006/relationships/hyperlink" Target="http://www.enil.eu/wp-content/uploads/2012/07/Non-discrimination-mainstreaming-instruments-case-studies-way-forward.pdf" TargetMode="External"/><Relationship Id="rId54" Type="http://schemas.openxmlformats.org/officeDocument/2006/relationships/hyperlink" Target="https://ec.europa.eu/info/funding-tenders/opportunities/docs/2021-2027/common/guidance/om_en.pdf" TargetMode="External"/><Relationship Id="rId62" Type="http://schemas.openxmlformats.org/officeDocument/2006/relationships/hyperlink" Target="https://eur-lex.europa.eu/legal-content/EN/ALL/?uri=CELEX:32018R1046&amp;qid=1535046024012"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eur-lex.europa.eu/LexUriServ/LexUriServ.do?uri=OJ:C:2013:205:FULL:EN:PDF" TargetMode="External"/><Relationship Id="rId3" Type="http://schemas.openxmlformats.org/officeDocument/2006/relationships/hyperlink" Target="https://ec.europa.eu/info/sites/default/files/eu_citizenship_report_2020_-_empowering_citizens_and_protecting_their_rights_en.pdf" TargetMode="External"/><Relationship Id="rId7" Type="http://schemas.openxmlformats.org/officeDocument/2006/relationships/hyperlink" Target="http://www.sanctionsmap.eu/" TargetMode="External"/><Relationship Id="rId12" Type="http://schemas.openxmlformats.org/officeDocument/2006/relationships/hyperlink" Target="https://ec.europa.eu/info/funding-tenders/opportunities/docs/2021-2027/cerv/guidance/ls-decision_cerv_en.pdf" TargetMode="External"/><Relationship Id="rId2" Type="http://schemas.openxmlformats.org/officeDocument/2006/relationships/hyperlink" Target="https://ec.europa.eu/info/aid-development-cooperation-fundamental-rights/your-rights-eu/eu-charter-fundamental-rights/application-charter/eu-strategy-strengthen-application-charter_en" TargetMode="External"/><Relationship Id="rId1" Type="http://schemas.openxmlformats.org/officeDocument/2006/relationships/hyperlink" Target="https://ec.europa.eu/info/publications/new-eu-roma-strategic-framework-equality-inclusion-and-participation-full-package_en" TargetMode="External"/><Relationship Id="rId6" Type="http://schemas.openxmlformats.org/officeDocument/2006/relationships/hyperlink" Target="https://eur-lex.europa.eu/legal-content/EN/ALL/?uri=CELEX:32018R1046&amp;qid=1535046024012" TargetMode="External"/><Relationship Id="rId11" Type="http://schemas.openxmlformats.org/officeDocument/2006/relationships/hyperlink" Target="https://eur-lex.europa.eu/legal-content/EN/ALL/?uri=CELEX:32018R1046&amp;qid=1535046024012" TargetMode="External"/><Relationship Id="rId5" Type="http://schemas.openxmlformats.org/officeDocument/2006/relationships/hyperlink" Target="https://eur-lex.europa.eu/legal-content/EN/ALL/?uri=CELEX:32018R1046&amp;qid=1535046024012" TargetMode="External"/><Relationship Id="rId10" Type="http://schemas.openxmlformats.org/officeDocument/2006/relationships/hyperlink" Target="https://eur-lex.europa.eu/legal-content/EN/ALL/?uri=CELEX:32018R1046&amp;qid=1535046024012" TargetMode="External"/><Relationship Id="rId4" Type="http://schemas.openxmlformats.org/officeDocument/2006/relationships/hyperlink" Target="https://ec.europa.eu/info/strategy/priorities-2019-2024/new-push-european-democracy/conference-future-europe_en" TargetMode="External"/><Relationship Id="rId9" Type="http://schemas.openxmlformats.org/officeDocument/2006/relationships/hyperlink" Target="http://www.enil.eu/wp-content/uploads/2012/07/Non-discrimination-mainstreaming-instruments-case-studies-way-forward.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3D24022E66C1540A3B1E037465E0CE3" ma:contentTypeVersion="4" ma:contentTypeDescription="Create a new document." ma:contentTypeScope="" ma:versionID="ed01af0cf8280fc8bb4fc4e81038fd21">
  <xsd:schema xmlns:xsd="http://www.w3.org/2001/XMLSchema" xmlns:xs="http://www.w3.org/2001/XMLSchema" xmlns:p="http://schemas.microsoft.com/office/2006/metadata/properties" xmlns:ns2="d07530ff-ae8d-4383-9420-67306a016191" targetNamespace="http://schemas.microsoft.com/office/2006/metadata/properties" ma:root="true" ma:fieldsID="af8d9a1147f775ca281a46cdfa936f4a" ns2:_="">
    <xsd:import namespace="d07530ff-ae8d-4383-9420-67306a01619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7530ff-ae8d-4383-9420-67306a0161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Author Role="Creator">
  <Id>1d61e911-a39a-4b43-bbd8-7e4df8ddd3c8</Id>
  <Names>
    <Latin>
      <FirstName>Konstantinos</FirstName>
      <LastName>KOKOSIS</LastName>
    </Latin>
    <Greek>
      <FirstName/>
      <LastName/>
    </Greek>
    <Cyrillic>
      <FirstName/>
      <LastName/>
    </Cyrillic>
    <DocumentScript>
      <FirstName>Konstantinos</FirstName>
      <LastName>KOKOSIS</LastName>
      <FullName>Konstantinos KOKOSIS</FullName>
    </DocumentScript>
  </Names>
  <Initials>DinosK</Initials>
  <Gender>m</Gender>
  <Email>Konstantinos.KOKOSIS@ext.ec.europa.eu</Email>
  <Service>RTD.J.4.004</Service>
  <Function ShowInSignature="true"/>
  <WebAddress/>
  <InheritedWebAddress>WebAddress</InheritedWebAddress>
  <OrgaEntity1>
    <Id>201586b8-400f-4f1b-ab81-bfd045290f9b</Id>
    <LogicalLevel>1</LogicalLevel>
    <Name>RTD</Name>
    <HeadLine1>DIRECTORATE-GENERAL FOR RESEARCH &amp; INNOVATION</HeadLine1>
    <HeadLine2/>
    <PrimaryAddressId>f03b5801-04c9-4931-aa17-c6d6c70bc579</PrimaryAddressId>
    <SecondaryAddressId/>
    <WebAddress>WebAddress</WebAddress>
    <InheritedWebAddress>WebAddress</InheritedWebAddress>
    <ShowInHeader>true</ShowInHeader>
  </OrgaEntity1>
  <OrgaEntity2>
    <Id>4c8f0bf8-d9c9-47b3-8eb7-3ab9cc8e7e7c</Id>
    <LogicalLevel>2</LogicalLevel>
    <Name>RTD.J</Name>
    <HeadLine1>Common Support Centre</HeadLine1>
    <HeadLine2/>
    <PrimaryAddressId>f03b5801-04c9-4931-aa17-c6d6c70bc579</PrimaryAddressId>
    <SecondaryAddressId/>
    <WebAddress/>
    <InheritedWebAddress>WebAddress</InheritedWebAddress>
    <ShowInHeader>true</ShowInHeader>
  </OrgaEntity2>
  <OrgaEntity3>
    <Id>7d918adf-1a57-4e57-9ca2-3ad57f2888d2</Id>
    <LogicalLevel>3</LogicalLevel>
    <Name>RTD.J.4</Name>
    <HeadLine1>Common IT service</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Brussels,</Location>
      <Footer>Commission européenne/Europese Commissie, 1049 Bruxelles/Brussel, BELGIQUE/BELGIË - Tel. +32 22991111</Footer>
    </Address>
    <Address>
      <Id>1264fb81-f6bb-475e-9f9d-a937d3be6ee2</Id>
      <Name>Luxembourg</Name>
      <PhoneNumberPrefix>+352 4301</PhoneNumberPrefix>
      <Location>Luxembourg,</Location>
      <Footer>Commission européenne, 2920 Luxembourg, LUXEMBOURG - Tel. +352 43011</Footer>
    </Address>
  </Addresses>
  <JobAssignmentId/>
  <MainWorkplace IsMain="true">
    <AddressId>f03b5801-04c9-4931-aa17-c6d6c70bc579</AddressId>
    <Fax/>
    <Phone>+32 229 83882</Phone>
    <Office>ORBN 05/095</Office>
  </MainWorkplace>
  <Workplaces>
    <Workplace IsMain="false">
      <AddressId>1264fb81-f6bb-475e-9f9d-a937d3be6ee2</AddressId>
      <Fax/>
      <Phone/>
      <Office/>
    </Workplace>
    <Workplace IsMain="true">
      <AddressId>f03b5801-04c9-4931-aa17-c6d6c70bc579</AddressId>
      <Fax/>
      <Phone>+32 229 83882</Phone>
      <Office>ORBN 05/095</Office>
    </Workplace>
  </Workplaces>
</Author>
</file>

<file path=customXml/item3.xml><?xml version="1.0" encoding="utf-8"?>
<LongProperties xmlns="http://schemas.microsoft.com/office/2006/metadata/longProperties"/>
</file>

<file path=customXml/item4.xml><?xml version="1.0" encoding="utf-8"?>
<Texts>
  <SecurityPersonalData>Personal data</SecurityPersonalData>
  <SecurityPharma>Pharma investigations</SecurityPharma>
  <MarkingUntilText>UNTIL</MarkingUntilText>
  <SecurityMediationServiceMatter>Mediation service</SecurityMediationServiceMatter>
  <SecurityEconomyAndFinance>Economy and finance</SecurityEconomyAndFinance>
  <FooterFax>Fax</FooterFax>
  <FooterOffice>Office:</FooterOffice>
  <SecurityOlafInvestigations>OLAF investigations</SecurityOlafInvestigations>
  <SensitiveHandling>Handling instructions for SENSITIVE information are given at https://europa.eu/!db43PX</SensitiveHandling>
  <SecurityOlafSpecialHandling>OLAF investigations</SecurityOlafSpecialHandling>
  <SecurityPersonal>Personal</SecurityPersonal>
  <CourtProceduralDocuments>Court procedural documents</CourtProceduralDocuments>
  <OrgaRoot>EUROPEAN COMMISSION</OrgaRoot>
  <SensitiveLabel>Sensitive</SensitiveLabel>
  <SpecialHandlingLabel>Special Handling</SpecialHandlingLabel>
  <SecurityInvestigationsDisciplinary>Investigations and disciplinary matters</SecurityInvestigationsDisciplinary>
  <SecurityCompOperations>COMP Operations</SecurityCompOperations>
  <SecurityEuSatellite>EU satellite navigation matters</SecurityEuSatellite>
  <SecurityReleasable>RELEASABLE TO:</SecurityReleasable>
  <SecurityStaffMatter>Staff matter</SecurityStaffMatter>
  <SecurityOpinionLegalService>Opinion of the Legal Service</SecurityOpinionLegalService>
  <SpecialHandlingFootnote>Special handling instructions are given at https://europa.eu/!db43PX</SpecialHandlingFootnote>
  <SecurityEtsSensitive>ETS</SecurityEtsSensitive>
  <SecurityEtsCritical>ETS Critical</SecurityEtsCritical>
  <SecurityCompSpecial>COMP</SecurityCompSpecial>
  <SecurityPharmaSpecial>Pharma investigations</SecurityPharmaSpecial>
  <TOCHeading>Table of Contents</TOCHeading>
  <SecurityIasOperations>IAS operations</SecurityIasOperations>
  <FooterPhone>Tel. direct line</FooterPhone>
  <SecuritySecurityMatter>Security matter</SecuritySecurityMatter>
  <SecurityPersonalDataHandling>Shall only be communicated on a need to know basis pursuant to Regulation (EC) No 45/2001. Where e-mail is used, this must be encrypted using SECEM.</SecurityPersonalDataHandling>
  <TLPAmber>TLP: Amber</TLPAmber>
  <SecurityMedicalSecret>Medical secret</SecurityMedicalSecret>
  <SecurityEmbargo>Embargo until</SecurityEmbargo>
  <DateFormatShort>dd/MM/yyyy</DateFormatShort>
  <DateFormatLong>d MMMM yyyy</DateFormatLong>
</Text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EurolookProperties>
  <ProductCustomizationId/>
  <Created>
    <Version>4.5</Version>
    <Date>2019-04-12T14:20:34</Date>
    <Language>EN</Language>
    <Note/>
  </Created>
  <Edited>
    <Version>10.0.42447.0</Version>
    <Date>2021-11-09T09:08:35</Date>
  </Edited>
  <DocumentModel>
    <Id>758e4243-45d9-4080-b5fe-135751945526</Id>
    <Name>Speech</Name>
  </DocumentModel>
  <DocumentDate/>
  <DocumentVersion/>
  <CompatibilityMode>Eurolook4X</CompatibilityMode>
</EurolookProperties>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5F6601-D36A-42D2-8B9E-CF2F7A382D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7530ff-ae8d-4383-9420-67306a0161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034E5F8-F5C8-4DD5-B73A-9040160523CA}">
  <ds:schemaRefs/>
</ds:datastoreItem>
</file>

<file path=customXml/itemProps3.xml><?xml version="1.0" encoding="utf-8"?>
<ds:datastoreItem xmlns:ds="http://schemas.openxmlformats.org/officeDocument/2006/customXml" ds:itemID="{3AAF4B3D-80B9-475A-93B0-1C898EC057A7}">
  <ds:schemaRefs>
    <ds:schemaRef ds:uri="http://schemas.microsoft.com/office/2006/metadata/longProperties"/>
  </ds:schemaRefs>
</ds:datastoreItem>
</file>

<file path=customXml/itemProps4.xml><?xml version="1.0" encoding="utf-8"?>
<ds:datastoreItem xmlns:ds="http://schemas.openxmlformats.org/officeDocument/2006/customXml" ds:itemID="{F1CA5B75-1EA7-4628-935C-286E27E0EEEB}">
  <ds:schemaRefs/>
</ds:datastoreItem>
</file>

<file path=customXml/itemProps5.xml><?xml version="1.0" encoding="utf-8"?>
<ds:datastoreItem xmlns:ds="http://schemas.openxmlformats.org/officeDocument/2006/customXml" ds:itemID="{260DCBEA-C60B-4717-BD55-FC8385B26BE6}">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d07530ff-ae8d-4383-9420-67306a016191"/>
    <ds:schemaRef ds:uri="http://purl.org/dc/terms/"/>
    <ds:schemaRef ds:uri="http://www.w3.org/XML/1998/namespace"/>
    <ds:schemaRef ds:uri="http://purl.org/dc/dcmitype/"/>
  </ds:schemaRefs>
</ds:datastoreItem>
</file>

<file path=customXml/itemProps6.xml><?xml version="1.0" encoding="utf-8"?>
<ds:datastoreItem xmlns:ds="http://schemas.openxmlformats.org/officeDocument/2006/customXml" ds:itemID="{6861A413-90F2-4273-AA7B-403E11F13F13}">
  <ds:schemaRefs>
    <ds:schemaRef ds:uri="http://schemas.microsoft.com/sharepoint/v3/contenttype/forms"/>
  </ds:schemaRefs>
</ds:datastoreItem>
</file>

<file path=customXml/itemProps7.xml><?xml version="1.0" encoding="utf-8"?>
<ds:datastoreItem xmlns:ds="http://schemas.openxmlformats.org/officeDocument/2006/customXml" ds:itemID="{A64404DA-45EE-468F-9B83-25C3DBD29BC4}">
  <ds:schemaRefs/>
</ds:datastoreItem>
</file>

<file path=customXml/itemProps8.xml><?xml version="1.0" encoding="utf-8"?>
<ds:datastoreItem xmlns:ds="http://schemas.openxmlformats.org/officeDocument/2006/customXml" ds:itemID="{B6A34E29-8E36-4C7E-91CA-21986CB0F0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Template>
  <TotalTime>56</TotalTime>
  <Pages>27</Pages>
  <Words>7753</Words>
  <Characters>64700</Characters>
  <Application>Microsoft Office Word</Application>
  <DocSecurity>0</DocSecurity>
  <PresentationFormat>Microsoft Word 14.0</PresentationFormat>
  <Lines>539</Lines>
  <Paragraphs>144</Paragraphs>
  <ScaleCrop>false</ScaleCrop>
  <HeadingPairs>
    <vt:vector size="2" baseType="variant">
      <vt:variant>
        <vt:lpstr>Title</vt:lpstr>
      </vt:variant>
      <vt:variant>
        <vt:i4>1</vt:i4>
      </vt:variant>
    </vt:vector>
  </HeadingPairs>
  <TitlesOfParts>
    <vt:vector size="1" baseType="lpstr">
      <vt:lpstr/>
    </vt:vector>
  </TitlesOfParts>
  <Company>CDT</Company>
  <LinksUpToDate>false</LinksUpToDate>
  <CharactersWithSpaces>72309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CDT</dc:creator>
  <cp:keywords/>
  <dc:description/>
  <cp:lastModifiedBy>SOKOLOWSKA Malgorzata (EACEA-EXT)</cp:lastModifiedBy>
  <cp:revision>42</cp:revision>
  <cp:lastPrinted>2017-11-06T13:30:00Z</cp:lastPrinted>
  <dcterms:created xsi:type="dcterms:W3CDTF">2021-12-09T12:20:00Z</dcterms:created>
  <dcterms:modified xsi:type="dcterms:W3CDTF">2022-01-24T11:51:00Z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4.5..01</vt:lpwstr>
  </property>
  <property fmtid="{D5CDD505-2E9C-101B-9397-08002B2CF9AE}" pid="3" name="EurolookVersion">
    <vt:lpwstr>4.5</vt:lpwstr>
  </property>
  <property fmtid="{D5CDD505-2E9C-101B-9397-08002B2CF9AE}" pid="4" name="DocID_EU">
    <vt:lpwstr> </vt:lpwstr>
  </property>
  <property fmtid="{D5CDD505-2E9C-101B-9397-08002B2CF9AE}" pid="5" name="ELDocType">
    <vt:lpwstr>spe.dot</vt:lpwstr>
  </property>
  <property fmtid="{D5CDD505-2E9C-101B-9397-08002B2CF9AE}" pid="6" name="Created using">
    <vt:lpwstr>EL 4.6 Build 19516</vt:lpwstr>
  </property>
  <property fmtid="{D5CDD505-2E9C-101B-9397-08002B2CF9AE}" pid="7" name="Formatting">
    <vt:lpwstr>4.1</vt:lpwstr>
  </property>
  <property fmtid="{D5CDD505-2E9C-101B-9397-08002B2CF9AE}" pid="8" name="Last edited using">
    <vt:lpwstr>EL 4.6 Build 50000</vt:lpwstr>
  </property>
  <property fmtid="{D5CDD505-2E9C-101B-9397-08002B2CF9AE}" pid="9" name="EL_Author">
    <vt:lpwstr>Danielle BARBIEUX</vt:lpwstr>
  </property>
  <property fmtid="{D5CDD505-2E9C-101B-9397-08002B2CF9AE}" pid="10" name="Type">
    <vt:lpwstr>Eurolook Speech</vt:lpwstr>
  </property>
  <property fmtid="{D5CDD505-2E9C-101B-9397-08002B2CF9AE}" pid="11" name="Language">
    <vt:lpwstr>EN</vt:lpwstr>
  </property>
  <property fmtid="{D5CDD505-2E9C-101B-9397-08002B2CF9AE}" pid="12" name="EL_Language">
    <vt:lpwstr>EN</vt:lpwstr>
  </property>
  <property fmtid="{D5CDD505-2E9C-101B-9397-08002B2CF9AE}" pid="13" name="ContentTypeId">
    <vt:lpwstr>0x01010043D24022E66C1540A3B1E037465E0CE3</vt:lpwstr>
  </property>
</Properties>
</file>