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7C5B0C" w14:textId="26B797D4" w:rsidR="00EA166F" w:rsidRPr="00B73F40" w:rsidRDefault="00B03ECF" w:rsidP="00B73F40">
      <w:pPr>
        <w:jc w:val="center"/>
        <w:rPr>
          <w:rFonts w:ascii="EC Square Sans Pro" w:hAnsi="EC Square Sans Pro"/>
          <w:b/>
          <w:color w:val="00B0F0"/>
          <w:sz w:val="30"/>
          <w:szCs w:val="30"/>
        </w:rPr>
      </w:pPr>
      <w:r w:rsidRPr="00B73F40">
        <w:rPr>
          <w:rFonts w:ascii="EC Square Sans Pro" w:hAnsi="EC Square Sans Pro"/>
          <w:b/>
          <w:color w:val="00B0F0"/>
          <w:sz w:val="30"/>
          <w:szCs w:val="30"/>
        </w:rPr>
        <w:t>I</w:t>
      </w:r>
      <w:r w:rsidR="00EA166F" w:rsidRPr="00B73F40">
        <w:rPr>
          <w:rFonts w:ascii="EC Square Sans Pro" w:hAnsi="EC Square Sans Pro"/>
          <w:b/>
          <w:color w:val="00B0F0"/>
          <w:sz w:val="30"/>
          <w:szCs w:val="30"/>
        </w:rPr>
        <w:t>n caso di discrepanze tra le diverse versioni linguistiche, prevarrà la versione in lingua inglese</w:t>
      </w:r>
      <w:r w:rsidR="00B73F40">
        <w:rPr>
          <w:rFonts w:ascii="EC Square Sans Pro" w:hAnsi="EC Square Sans Pro"/>
          <w:b/>
          <w:color w:val="00B0F0"/>
          <w:sz w:val="30"/>
          <w:szCs w:val="30"/>
        </w:rPr>
        <w:t>.</w:t>
      </w:r>
    </w:p>
    <w:p w14:paraId="0385DD63" w14:textId="41AA12E3" w:rsidR="00BC77C3" w:rsidRDefault="00BC77C3" w:rsidP="00BC77C3">
      <w:pPr>
        <w:jc w:val="center"/>
      </w:pPr>
    </w:p>
    <w:p w14:paraId="34A35CB1" w14:textId="77777777" w:rsidR="00B03ECF" w:rsidRPr="00991E10" w:rsidRDefault="00B03ECF" w:rsidP="00BC77C3">
      <w:pPr>
        <w:jc w:val="center"/>
      </w:pPr>
    </w:p>
    <w:p w14:paraId="418ADFA1" w14:textId="75C8365F" w:rsidR="00BC77C3" w:rsidRPr="00991E10" w:rsidRDefault="005A3754" w:rsidP="00091DCA">
      <w:pPr>
        <w:jc w:val="center"/>
        <w:rPr>
          <w:rFonts w:ascii="Arial" w:hAnsi="Arial"/>
        </w:rPr>
      </w:pPr>
      <w:r w:rsidRPr="00991E10">
        <w:rPr>
          <w:noProof/>
          <w:lang w:val="en-IE" w:eastAsia="en-IE"/>
        </w:rPr>
        <w:drawing>
          <wp:inline distT="0" distB="0" distL="0" distR="0" wp14:anchorId="3A69CB9C" wp14:editId="4CD3D611">
            <wp:extent cx="3198873" cy="2175753"/>
            <wp:effectExtent l="0" t="0" r="0" b="0"/>
            <wp:docPr id="1" name="Picture 1307357487" title="Title: Title: Title: Title: flag_yellow_l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07357487" name="Picture 1307357487" title="Title: Title: Title: Title: flag_yellow_low"/>
                    <pic:cNvPicPr/>
                  </pic:nvPicPr>
                  <pic:blipFill>
                    <a:blip r:embed="rId15">
                      <a:extLst>
                        <a:ext uri="{28A0092B-C50C-407E-A947-70E740481C1C}">
                          <a14:useLocalDpi xmlns:a14="http://schemas.microsoft.com/office/drawing/2010/main" val="0"/>
                        </a:ext>
                      </a:extLst>
                    </a:blip>
                    <a:srcRect r="-59" b="-115"/>
                    <a:stretch>
                      <a:fillRect/>
                    </a:stretch>
                  </pic:blipFill>
                  <pic:spPr>
                    <a:xfrm>
                      <a:off x="0" y="0"/>
                      <a:ext cx="3198495" cy="2175510"/>
                    </a:xfrm>
                    <a:prstGeom prst="rect">
                      <a:avLst/>
                    </a:prstGeom>
                  </pic:spPr>
                </pic:pic>
              </a:graphicData>
            </a:graphic>
          </wp:inline>
        </w:drawing>
      </w:r>
    </w:p>
    <w:p w14:paraId="5C568077" w14:textId="77777777" w:rsidR="00BC77C3" w:rsidRPr="00991E10" w:rsidRDefault="00BC77C3" w:rsidP="00F9780D">
      <w:pPr>
        <w:jc w:val="center"/>
        <w:rPr>
          <w:rFonts w:ascii="Arial" w:hAnsi="Arial"/>
        </w:rPr>
      </w:pPr>
    </w:p>
    <w:p w14:paraId="7D8B3237" w14:textId="77777777" w:rsidR="00BC77C3" w:rsidRPr="00991E10" w:rsidRDefault="00BC77C3" w:rsidP="00F9780D">
      <w:pPr>
        <w:jc w:val="center"/>
        <w:rPr>
          <w:rFonts w:ascii="Arial" w:hAnsi="Arial"/>
        </w:rPr>
      </w:pPr>
    </w:p>
    <w:p w14:paraId="35065F78" w14:textId="17DB65C8" w:rsidR="00877924" w:rsidRPr="00991E10" w:rsidRDefault="00DE39DA" w:rsidP="42BB08A3">
      <w:pPr>
        <w:jc w:val="center"/>
        <w:rPr>
          <w:rFonts w:ascii="EC Square Sans Pro Light" w:hAnsi="EC Square Sans Pro Light"/>
          <w:b/>
          <w:bCs/>
          <w:sz w:val="48"/>
          <w:szCs w:val="48"/>
        </w:rPr>
      </w:pPr>
      <w:r w:rsidRPr="00991E10">
        <w:rPr>
          <w:rFonts w:ascii="EC Square Sans Pro Medium" w:hAnsi="EC Square Sans Pro Medium"/>
          <w:b/>
          <w:bCs/>
          <w:sz w:val="48"/>
          <w:szCs w:val="48"/>
        </w:rPr>
        <w:t>Programma Cittadini, uguaglianza, diritti e valori (CERV)</w:t>
      </w:r>
    </w:p>
    <w:p w14:paraId="50894FE4" w14:textId="77777777" w:rsidR="00877924" w:rsidRPr="00991E10" w:rsidRDefault="00877924" w:rsidP="00874AFD">
      <w:pPr>
        <w:jc w:val="center"/>
        <w:rPr>
          <w:rFonts w:ascii="EC Square Sans Pro Light" w:hAnsi="EC Square Sans Pro Light"/>
          <w:b/>
        </w:rPr>
      </w:pPr>
    </w:p>
    <w:p w14:paraId="3ECABABD" w14:textId="43646D72" w:rsidR="00877924" w:rsidRPr="00991E10" w:rsidRDefault="00874AFD" w:rsidP="009E0E8F">
      <w:pPr>
        <w:spacing w:after="320"/>
        <w:jc w:val="center"/>
        <w:rPr>
          <w:rFonts w:ascii="EC Square Sans Pro Light" w:hAnsi="EC Square Sans Pro Light"/>
          <w:b/>
          <w:bCs/>
          <w:sz w:val="48"/>
          <w:szCs w:val="48"/>
        </w:rPr>
      </w:pPr>
      <w:r w:rsidRPr="00991E10">
        <w:rPr>
          <w:rFonts w:ascii="EC Square Sans Pro Light" w:hAnsi="EC Square Sans Pro Light"/>
          <w:b/>
          <w:bCs/>
          <w:sz w:val="48"/>
          <w:szCs w:val="48"/>
        </w:rPr>
        <w:t xml:space="preserve">Invito a presentare proposte </w:t>
      </w:r>
    </w:p>
    <w:p w14:paraId="026AC77F" w14:textId="77777777" w:rsidR="00BA69DD" w:rsidRPr="00C05637" w:rsidRDefault="00BA69DD" w:rsidP="00BA69DD">
      <w:pPr>
        <w:spacing w:after="320"/>
        <w:jc w:val="center"/>
        <w:rPr>
          <w:rFonts w:ascii="EC Square Sans Pro Light" w:hAnsi="EC Square Sans Pro Light"/>
          <w:b/>
          <w:bCs/>
          <w:sz w:val="48"/>
          <w:szCs w:val="48"/>
        </w:rPr>
      </w:pPr>
    </w:p>
    <w:p w14:paraId="5D3C2DA6" w14:textId="7FDDFAD8" w:rsidR="00BE4CEF" w:rsidRPr="00991E10" w:rsidRDefault="00BE4CEF" w:rsidP="00BE4CEF">
      <w:pPr>
        <w:jc w:val="center"/>
        <w:rPr>
          <w:rFonts w:ascii="EC Square Sans Pro" w:eastAsia="EC Square Sans Pro" w:hAnsi="EC Square Sans Pro" w:cs="EC Square Sans Pro"/>
          <w:color w:val="000000"/>
          <w:sz w:val="30"/>
          <w:szCs w:val="30"/>
        </w:rPr>
      </w:pPr>
      <w:r w:rsidRPr="00991E10">
        <w:rPr>
          <w:rFonts w:ascii="EC Square Sans Pro" w:hAnsi="EC Square Sans Pro"/>
          <w:color w:val="000000"/>
          <w:sz w:val="30"/>
          <w:szCs w:val="30"/>
        </w:rPr>
        <w:t>Gemellaggi di città e reti di città</w:t>
      </w:r>
    </w:p>
    <w:p w14:paraId="7A38AB7F" w14:textId="32C6C549" w:rsidR="00BE4CEF" w:rsidRPr="00C05637" w:rsidRDefault="00E81CEB" w:rsidP="00BE4CEF">
      <w:pPr>
        <w:jc w:val="center"/>
        <w:rPr>
          <w:rFonts w:ascii="EC Square Sans Pro" w:hAnsi="EC Square Sans Pro" w:cs="EC Square Sans Pro"/>
          <w:color w:val="000000"/>
          <w:sz w:val="30"/>
          <w:szCs w:val="30"/>
          <w:lang w:val="en-GB"/>
        </w:rPr>
      </w:pPr>
      <w:r w:rsidRPr="00C05637">
        <w:rPr>
          <w:rFonts w:ascii="EC Square Sans Pro" w:hAnsi="EC Square Sans Pro"/>
          <w:color w:val="000000"/>
          <w:sz w:val="30"/>
          <w:szCs w:val="30"/>
          <w:lang w:val="en-GB"/>
        </w:rPr>
        <w:t xml:space="preserve">(CERV-2022-CITIZENS-TOWN: </w:t>
      </w:r>
    </w:p>
    <w:p w14:paraId="3EDE395E" w14:textId="516B6C50" w:rsidR="007A412A" w:rsidRPr="00C05637" w:rsidRDefault="00E81CEB" w:rsidP="00C05637">
      <w:pPr>
        <w:jc w:val="center"/>
        <w:rPr>
          <w:rFonts w:ascii="EC Square Sans Pro" w:eastAsia="EC Square Sans Pro" w:hAnsi="EC Square Sans Pro" w:cs="EC Square Sans Pro"/>
          <w:color w:val="000000"/>
          <w:sz w:val="30"/>
          <w:szCs w:val="30"/>
          <w:lang w:val="en-GB"/>
        </w:rPr>
      </w:pPr>
      <w:r w:rsidRPr="00C05637">
        <w:rPr>
          <w:rFonts w:ascii="EC Square Sans Pro" w:hAnsi="EC Square Sans Pro"/>
          <w:color w:val="000000"/>
          <w:sz w:val="30"/>
          <w:szCs w:val="30"/>
          <w:lang w:val="en-GB"/>
        </w:rPr>
        <w:t>CERV-2022-TOWN-TT, CERV-2022-TOWN-NT)</w:t>
      </w:r>
    </w:p>
    <w:p w14:paraId="5341D6CF" w14:textId="77777777" w:rsidR="00C05637" w:rsidRPr="00C05637" w:rsidRDefault="00C05637" w:rsidP="00C05637">
      <w:pPr>
        <w:rPr>
          <w:rFonts w:ascii="EC Square Sans Pro Light" w:hAnsi="EC Square Sans Pro Light"/>
          <w:b/>
        </w:rPr>
      </w:pPr>
    </w:p>
    <w:p w14:paraId="61DBCCDA" w14:textId="1560BD89" w:rsidR="007A412A" w:rsidRDefault="007A412A" w:rsidP="007A412A">
      <w:pPr>
        <w:jc w:val="center"/>
        <w:rPr>
          <w:rFonts w:ascii="EC Square Sans Pro Light" w:hAnsi="EC Square Sans Pro Light"/>
          <w:b/>
        </w:rPr>
      </w:pPr>
    </w:p>
    <w:p w14:paraId="3B53E37F" w14:textId="77777777" w:rsidR="00B73F40" w:rsidRPr="00C05637" w:rsidRDefault="00B73F40" w:rsidP="007A412A">
      <w:pPr>
        <w:jc w:val="center"/>
        <w:rPr>
          <w:rFonts w:ascii="EC Square Sans Pro Light" w:hAnsi="EC Square Sans Pro Light"/>
          <w:b/>
        </w:rPr>
      </w:pPr>
      <w:bookmarkStart w:id="0" w:name="_GoBack"/>
      <w:bookmarkEnd w:id="0"/>
    </w:p>
    <w:p w14:paraId="5FB6A2F5" w14:textId="51B3A1A9" w:rsidR="00877924" w:rsidRPr="00991E10" w:rsidRDefault="00877924" w:rsidP="007A412A">
      <w:pPr>
        <w:spacing w:after="0"/>
        <w:jc w:val="center"/>
        <w:rPr>
          <w:rFonts w:ascii="EC Square Sans Pro Light" w:hAnsi="EC Square Sans Pro Light"/>
          <w:b/>
        </w:rPr>
      </w:pPr>
      <w:r w:rsidRPr="00991E10">
        <w:rPr>
          <w:rFonts w:ascii="EC Square Sans Pro Light" w:hAnsi="EC Square Sans Pro Light"/>
          <w:b/>
        </w:rPr>
        <w:t>Versione 1.0</w:t>
      </w:r>
    </w:p>
    <w:p w14:paraId="6AA6E93A" w14:textId="5A75814B" w:rsidR="00A2572D" w:rsidRPr="00991E10" w:rsidRDefault="0086598B" w:rsidP="00A2572D">
      <w:pPr>
        <w:spacing w:after="0"/>
        <w:jc w:val="center"/>
        <w:rPr>
          <w:rFonts w:ascii="EC Square Sans Pro Light" w:hAnsi="EC Square Sans Pro Light"/>
          <w:b/>
        </w:rPr>
      </w:pPr>
      <w:r w:rsidRPr="00991E10">
        <w:rPr>
          <w:rFonts w:ascii="EC Square Sans Pro Light" w:hAnsi="EC Square Sans Pro Light"/>
          <w:b/>
        </w:rPr>
        <w:t>16 novembre 2021</w:t>
      </w:r>
    </w:p>
    <w:p w14:paraId="048B71E5" w14:textId="77777777" w:rsidR="00A2572D" w:rsidRPr="00991E10" w:rsidRDefault="00A2572D" w:rsidP="00A2572D">
      <w:pPr>
        <w:spacing w:after="0"/>
        <w:jc w:val="center"/>
        <w:rPr>
          <w:rFonts w:ascii="EC Square Sans Pro Light" w:hAnsi="EC Square Sans Pro Light"/>
          <w:bCs/>
          <w:lang w:val="en-US" w:eastAsia="en-GB"/>
        </w:rPr>
        <w:sectPr w:rsidR="00A2572D" w:rsidRPr="00991E10" w:rsidSect="007E6BA0">
          <w:headerReference w:type="default" r:id="rId16"/>
          <w:footerReference w:type="default" r:id="rId17"/>
          <w:headerReference w:type="first" r:id="rId18"/>
          <w:footerReference w:type="first" r:id="rId19"/>
          <w:pgSz w:w="11906" w:h="16838" w:code="9"/>
          <w:pgMar w:top="1560" w:right="1588" w:bottom="1276" w:left="1588" w:header="567" w:footer="737" w:gutter="0"/>
          <w:cols w:space="720"/>
          <w:titlePg/>
          <w:docGrid w:linePitch="381"/>
        </w:sectPr>
      </w:pPr>
    </w:p>
    <w:tbl>
      <w:tblPr>
        <w:tblW w:w="9000" w:type="dxa"/>
        <w:jc w:val="cent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45" w:type="dxa"/>
          <w:right w:w="45" w:type="dxa"/>
        </w:tblCellMar>
        <w:tblLook w:val="04A0" w:firstRow="1" w:lastRow="0" w:firstColumn="1" w:lastColumn="0" w:noHBand="0" w:noVBand="1"/>
      </w:tblPr>
      <w:tblGrid>
        <w:gridCol w:w="975"/>
        <w:gridCol w:w="1350"/>
        <w:gridCol w:w="6000"/>
        <w:gridCol w:w="675"/>
      </w:tblGrid>
      <w:tr w:rsidR="002F6C8E" w:rsidRPr="00991E10" w14:paraId="366E97BE" w14:textId="77777777" w:rsidTr="002F6C8E">
        <w:trPr>
          <w:jc w:val="center"/>
        </w:trPr>
        <w:tc>
          <w:tcPr>
            <w:tcW w:w="9000" w:type="dxa"/>
            <w:gridSpan w:val="4"/>
            <w:hideMark/>
          </w:tcPr>
          <w:p w14:paraId="6DE6483F" w14:textId="77777777" w:rsidR="00877924" w:rsidRPr="00991E10" w:rsidRDefault="00877924" w:rsidP="00877924">
            <w:pPr>
              <w:spacing w:before="160" w:after="160"/>
              <w:jc w:val="center"/>
              <w:rPr>
                <w:b/>
                <w:color w:val="595959"/>
              </w:rPr>
            </w:pPr>
            <w:r w:rsidRPr="00991E10">
              <w:lastRenderedPageBreak/>
              <w:br w:type="page"/>
            </w:r>
            <w:r w:rsidRPr="00991E10">
              <w:br w:type="page"/>
            </w:r>
            <w:r w:rsidRPr="00991E10">
              <w:br w:type="page"/>
            </w:r>
            <w:r w:rsidRPr="00991E10">
              <w:rPr>
                <w:b/>
                <w:color w:val="595959"/>
              </w:rPr>
              <w:t>STORICO DELLE MODIFICHE</w:t>
            </w:r>
          </w:p>
        </w:tc>
      </w:tr>
      <w:tr w:rsidR="002F6C8E" w:rsidRPr="00991E10" w14:paraId="4E3EB65A" w14:textId="77777777" w:rsidTr="002F6C8E">
        <w:trPr>
          <w:jc w:val="center"/>
        </w:trPr>
        <w:tc>
          <w:tcPr>
            <w:tcW w:w="975" w:type="dxa"/>
            <w:vAlign w:val="center"/>
            <w:hideMark/>
          </w:tcPr>
          <w:p w14:paraId="4BC01B6E" w14:textId="77777777" w:rsidR="00877924" w:rsidRPr="00991E10" w:rsidRDefault="00877924" w:rsidP="00877924">
            <w:pPr>
              <w:spacing w:before="60" w:after="60"/>
              <w:jc w:val="center"/>
              <w:rPr>
                <w:b/>
                <w:color w:val="595959"/>
              </w:rPr>
            </w:pPr>
            <w:r w:rsidRPr="00991E10">
              <w:rPr>
                <w:b/>
                <w:color w:val="595959"/>
              </w:rPr>
              <w:t>Versione</w:t>
            </w:r>
          </w:p>
        </w:tc>
        <w:tc>
          <w:tcPr>
            <w:tcW w:w="1350" w:type="dxa"/>
            <w:vAlign w:val="center"/>
            <w:hideMark/>
          </w:tcPr>
          <w:p w14:paraId="23E928C6" w14:textId="77777777" w:rsidR="00877924" w:rsidRPr="00991E10" w:rsidRDefault="00877924" w:rsidP="00877924">
            <w:pPr>
              <w:keepNext/>
              <w:tabs>
                <w:tab w:val="right" w:pos="9063"/>
              </w:tabs>
              <w:spacing w:before="60" w:after="60"/>
              <w:ind w:left="-54"/>
              <w:jc w:val="center"/>
              <w:outlineLvl w:val="1"/>
              <w:rPr>
                <w:b/>
                <w:bCs/>
                <w:iCs/>
                <w:color w:val="595959"/>
              </w:rPr>
            </w:pPr>
            <w:r w:rsidRPr="00991E10">
              <w:rPr>
                <w:b/>
                <w:bCs/>
                <w:iCs/>
                <w:color w:val="595959"/>
              </w:rPr>
              <w:t>Data di pubblicazione</w:t>
            </w:r>
          </w:p>
        </w:tc>
        <w:tc>
          <w:tcPr>
            <w:tcW w:w="6000" w:type="dxa"/>
            <w:vAlign w:val="center"/>
            <w:hideMark/>
          </w:tcPr>
          <w:p w14:paraId="42CDF74A" w14:textId="77777777" w:rsidR="00877924" w:rsidRPr="00991E10" w:rsidRDefault="00877924" w:rsidP="00877924">
            <w:pPr>
              <w:keepNext/>
              <w:tabs>
                <w:tab w:val="right" w:pos="9063"/>
              </w:tabs>
              <w:spacing w:before="60" w:after="60"/>
              <w:jc w:val="center"/>
              <w:outlineLvl w:val="1"/>
              <w:rPr>
                <w:b/>
                <w:bCs/>
                <w:iCs/>
                <w:color w:val="595959"/>
              </w:rPr>
            </w:pPr>
            <w:r w:rsidRPr="00991E10">
              <w:rPr>
                <w:b/>
                <w:bCs/>
                <w:iCs/>
                <w:color w:val="595959"/>
              </w:rPr>
              <w:t>Modifica</w:t>
            </w:r>
          </w:p>
        </w:tc>
        <w:tc>
          <w:tcPr>
            <w:tcW w:w="675" w:type="dxa"/>
            <w:vAlign w:val="center"/>
            <w:hideMark/>
          </w:tcPr>
          <w:p w14:paraId="7294B709" w14:textId="77777777" w:rsidR="00877924" w:rsidRPr="00991E10" w:rsidRDefault="00877924" w:rsidP="00877924">
            <w:pPr>
              <w:spacing w:before="60" w:after="60"/>
              <w:jc w:val="center"/>
              <w:rPr>
                <w:b/>
                <w:color w:val="595959"/>
              </w:rPr>
            </w:pPr>
            <w:r w:rsidRPr="00991E10">
              <w:rPr>
                <w:b/>
                <w:color w:val="595959"/>
              </w:rPr>
              <w:t>Pagina</w:t>
            </w:r>
          </w:p>
        </w:tc>
      </w:tr>
      <w:tr w:rsidR="002F6C8E" w:rsidRPr="00991E10" w14:paraId="6AD94C27" w14:textId="77777777" w:rsidTr="002F6C8E">
        <w:trPr>
          <w:jc w:val="center"/>
        </w:trPr>
        <w:tc>
          <w:tcPr>
            <w:tcW w:w="975" w:type="dxa"/>
            <w:hideMark/>
          </w:tcPr>
          <w:p w14:paraId="56E66BB1" w14:textId="77777777" w:rsidR="007C1E0D" w:rsidRPr="00991E10" w:rsidRDefault="007C1E0D" w:rsidP="0084666C">
            <w:pPr>
              <w:spacing w:before="60" w:after="60"/>
              <w:jc w:val="center"/>
              <w:rPr>
                <w:color w:val="595959"/>
                <w:sz w:val="18"/>
                <w:szCs w:val="18"/>
              </w:rPr>
            </w:pPr>
            <w:r w:rsidRPr="00991E10">
              <w:rPr>
                <w:color w:val="595959"/>
                <w:sz w:val="18"/>
                <w:szCs w:val="18"/>
              </w:rPr>
              <w:t>1.0</w:t>
            </w:r>
          </w:p>
        </w:tc>
        <w:tc>
          <w:tcPr>
            <w:tcW w:w="1350" w:type="dxa"/>
            <w:hideMark/>
          </w:tcPr>
          <w:p w14:paraId="60BE4CB3" w14:textId="30249BF1" w:rsidR="007C1E0D" w:rsidRPr="00991E10" w:rsidRDefault="00BE4CEF" w:rsidP="00F52256">
            <w:pPr>
              <w:keepNext/>
              <w:tabs>
                <w:tab w:val="right" w:pos="9063"/>
              </w:tabs>
              <w:spacing w:before="60" w:after="60"/>
              <w:jc w:val="center"/>
              <w:outlineLvl w:val="1"/>
              <w:rPr>
                <w:color w:val="595959"/>
                <w:sz w:val="18"/>
                <w:szCs w:val="18"/>
              </w:rPr>
            </w:pPr>
            <w:r w:rsidRPr="00991E10">
              <w:rPr>
                <w:color w:val="595959"/>
                <w:sz w:val="18"/>
                <w:szCs w:val="18"/>
              </w:rPr>
              <w:t>16.11.2021</w:t>
            </w:r>
          </w:p>
        </w:tc>
        <w:tc>
          <w:tcPr>
            <w:tcW w:w="6000" w:type="dxa"/>
            <w:hideMark/>
          </w:tcPr>
          <w:p w14:paraId="7F916257" w14:textId="077F49C4" w:rsidR="007C1E0D" w:rsidRPr="00991E10" w:rsidRDefault="009E1814" w:rsidP="00584316">
            <w:pPr>
              <w:keepNext/>
              <w:numPr>
                <w:ilvl w:val="0"/>
                <w:numId w:val="23"/>
              </w:numPr>
              <w:tabs>
                <w:tab w:val="left" w:pos="318"/>
                <w:tab w:val="right" w:pos="9063"/>
              </w:tabs>
              <w:spacing w:before="60" w:after="60"/>
              <w:ind w:left="318" w:hanging="284"/>
              <w:outlineLvl w:val="1"/>
              <w:rPr>
                <w:color w:val="595959"/>
                <w:sz w:val="18"/>
                <w:szCs w:val="18"/>
              </w:rPr>
            </w:pPr>
            <w:r w:rsidRPr="00991E10">
              <w:rPr>
                <w:color w:val="595959"/>
                <w:sz w:val="18"/>
                <w:szCs w:val="18"/>
              </w:rPr>
              <w:t>Versione iniziale (QFP 2021-2022)</w:t>
            </w:r>
          </w:p>
        </w:tc>
        <w:tc>
          <w:tcPr>
            <w:tcW w:w="675" w:type="dxa"/>
            <w:hideMark/>
          </w:tcPr>
          <w:p w14:paraId="0776925A" w14:textId="77777777" w:rsidR="007C1E0D" w:rsidRPr="00991E10" w:rsidRDefault="007C1E0D" w:rsidP="00877924">
            <w:pPr>
              <w:keepNext/>
              <w:tabs>
                <w:tab w:val="right" w:pos="9063"/>
              </w:tabs>
              <w:spacing w:before="60" w:after="60"/>
              <w:jc w:val="center"/>
              <w:outlineLvl w:val="1"/>
              <w:rPr>
                <w:color w:val="595959"/>
                <w:sz w:val="18"/>
                <w:szCs w:val="18"/>
                <w:lang w:val="en-US"/>
              </w:rPr>
            </w:pPr>
          </w:p>
        </w:tc>
      </w:tr>
      <w:tr w:rsidR="002F6C8E" w:rsidRPr="00991E10" w14:paraId="6B8E79B0" w14:textId="77777777" w:rsidTr="002F6C8E">
        <w:trPr>
          <w:jc w:val="center"/>
        </w:trPr>
        <w:tc>
          <w:tcPr>
            <w:tcW w:w="975" w:type="dxa"/>
          </w:tcPr>
          <w:p w14:paraId="2D4B5C9F" w14:textId="77777777" w:rsidR="007C1E0D" w:rsidRPr="00991E10" w:rsidRDefault="007C1E0D" w:rsidP="0084666C">
            <w:pPr>
              <w:spacing w:before="60" w:after="60"/>
              <w:jc w:val="center"/>
              <w:rPr>
                <w:color w:val="595959"/>
                <w:sz w:val="18"/>
                <w:szCs w:val="18"/>
              </w:rPr>
            </w:pPr>
          </w:p>
        </w:tc>
        <w:tc>
          <w:tcPr>
            <w:tcW w:w="1350" w:type="dxa"/>
          </w:tcPr>
          <w:p w14:paraId="3F2CFB55" w14:textId="77777777" w:rsidR="007C1E0D" w:rsidRPr="00991E10" w:rsidRDefault="007C1E0D" w:rsidP="0084666C">
            <w:pPr>
              <w:keepNext/>
              <w:tabs>
                <w:tab w:val="right" w:pos="9063"/>
              </w:tabs>
              <w:spacing w:before="60" w:after="60"/>
              <w:jc w:val="center"/>
              <w:outlineLvl w:val="1"/>
              <w:rPr>
                <w:color w:val="595959"/>
                <w:sz w:val="18"/>
                <w:szCs w:val="18"/>
              </w:rPr>
            </w:pPr>
          </w:p>
        </w:tc>
        <w:tc>
          <w:tcPr>
            <w:tcW w:w="6000" w:type="dxa"/>
            <w:hideMark/>
          </w:tcPr>
          <w:p w14:paraId="3BB2AEDE" w14:textId="77777777" w:rsidR="007C1E0D" w:rsidRPr="00991E10" w:rsidRDefault="007C1E0D" w:rsidP="00584316">
            <w:pPr>
              <w:keepNext/>
              <w:numPr>
                <w:ilvl w:val="0"/>
                <w:numId w:val="23"/>
              </w:numPr>
              <w:tabs>
                <w:tab w:val="left" w:pos="318"/>
                <w:tab w:val="right" w:pos="9063"/>
              </w:tabs>
              <w:spacing w:before="60" w:after="60"/>
              <w:ind w:left="318" w:hanging="284"/>
              <w:outlineLvl w:val="1"/>
              <w:rPr>
                <w:rFonts w:ascii="Arial" w:eastAsia="Calibri" w:hAnsi="Arial" w:cs="Arial"/>
                <w:color w:val="595959"/>
                <w:sz w:val="18"/>
                <w:szCs w:val="18"/>
              </w:rPr>
            </w:pPr>
          </w:p>
        </w:tc>
        <w:tc>
          <w:tcPr>
            <w:tcW w:w="675" w:type="dxa"/>
            <w:vAlign w:val="center"/>
          </w:tcPr>
          <w:p w14:paraId="50EB3CF6" w14:textId="77777777" w:rsidR="007C1E0D" w:rsidRPr="00991E10" w:rsidRDefault="007C1E0D" w:rsidP="00877924">
            <w:pPr>
              <w:keepNext/>
              <w:tabs>
                <w:tab w:val="right" w:pos="9063"/>
              </w:tabs>
              <w:spacing w:before="60" w:after="60"/>
              <w:jc w:val="center"/>
              <w:outlineLvl w:val="1"/>
              <w:rPr>
                <w:color w:val="595959"/>
                <w:sz w:val="18"/>
                <w:szCs w:val="18"/>
                <w:lang w:val="en-US"/>
              </w:rPr>
            </w:pPr>
          </w:p>
        </w:tc>
      </w:tr>
      <w:tr w:rsidR="002F6C8E" w:rsidRPr="00991E10" w14:paraId="543D7828" w14:textId="77777777" w:rsidTr="002F6C8E">
        <w:trPr>
          <w:jc w:val="center"/>
        </w:trPr>
        <w:tc>
          <w:tcPr>
            <w:tcW w:w="975" w:type="dxa"/>
          </w:tcPr>
          <w:p w14:paraId="53DF4A59" w14:textId="77777777" w:rsidR="007C1E0D" w:rsidRPr="00991E10" w:rsidRDefault="007C1E0D" w:rsidP="0084666C">
            <w:pPr>
              <w:spacing w:before="60" w:after="60"/>
              <w:jc w:val="center"/>
              <w:rPr>
                <w:color w:val="595959"/>
                <w:sz w:val="18"/>
                <w:szCs w:val="18"/>
              </w:rPr>
            </w:pPr>
          </w:p>
        </w:tc>
        <w:tc>
          <w:tcPr>
            <w:tcW w:w="1350" w:type="dxa"/>
          </w:tcPr>
          <w:p w14:paraId="38342A73" w14:textId="77777777" w:rsidR="007C1E0D" w:rsidRPr="00991E10" w:rsidRDefault="007C1E0D" w:rsidP="0084666C">
            <w:pPr>
              <w:keepNext/>
              <w:tabs>
                <w:tab w:val="right" w:pos="9063"/>
              </w:tabs>
              <w:spacing w:before="60" w:after="60"/>
              <w:jc w:val="center"/>
              <w:outlineLvl w:val="1"/>
              <w:rPr>
                <w:color w:val="595959"/>
                <w:sz w:val="18"/>
                <w:szCs w:val="18"/>
              </w:rPr>
            </w:pPr>
          </w:p>
        </w:tc>
        <w:tc>
          <w:tcPr>
            <w:tcW w:w="6000" w:type="dxa"/>
          </w:tcPr>
          <w:p w14:paraId="444D49C1" w14:textId="77777777" w:rsidR="007C1E0D" w:rsidRPr="00991E10" w:rsidRDefault="007C1E0D" w:rsidP="00584316">
            <w:pPr>
              <w:keepNext/>
              <w:numPr>
                <w:ilvl w:val="0"/>
                <w:numId w:val="23"/>
              </w:numPr>
              <w:tabs>
                <w:tab w:val="left" w:pos="318"/>
                <w:tab w:val="right" w:pos="9063"/>
              </w:tabs>
              <w:spacing w:before="60" w:after="60"/>
              <w:ind w:left="318" w:hanging="284"/>
              <w:outlineLvl w:val="1"/>
              <w:rPr>
                <w:rFonts w:ascii="Arial" w:eastAsia="Calibri" w:hAnsi="Arial" w:cs="Arial"/>
                <w:color w:val="595959"/>
                <w:sz w:val="18"/>
                <w:szCs w:val="18"/>
              </w:rPr>
            </w:pPr>
          </w:p>
        </w:tc>
        <w:tc>
          <w:tcPr>
            <w:tcW w:w="675" w:type="dxa"/>
            <w:vAlign w:val="center"/>
          </w:tcPr>
          <w:p w14:paraId="641351FE" w14:textId="77777777" w:rsidR="007C1E0D" w:rsidRPr="00991E10" w:rsidRDefault="007C1E0D" w:rsidP="00877924">
            <w:pPr>
              <w:keepNext/>
              <w:tabs>
                <w:tab w:val="right" w:pos="9063"/>
              </w:tabs>
              <w:spacing w:before="60" w:after="60"/>
              <w:jc w:val="center"/>
              <w:outlineLvl w:val="1"/>
              <w:rPr>
                <w:color w:val="595959"/>
                <w:sz w:val="18"/>
                <w:szCs w:val="18"/>
                <w:lang w:val="en-US"/>
              </w:rPr>
            </w:pPr>
          </w:p>
        </w:tc>
      </w:tr>
      <w:tr w:rsidR="002F6C8E" w:rsidRPr="00991E10" w14:paraId="30FE2898" w14:textId="77777777" w:rsidTr="002F6C8E">
        <w:trPr>
          <w:jc w:val="center"/>
        </w:trPr>
        <w:tc>
          <w:tcPr>
            <w:tcW w:w="975" w:type="dxa"/>
          </w:tcPr>
          <w:p w14:paraId="55376C2C" w14:textId="77777777" w:rsidR="007C1E0D" w:rsidRPr="00991E10" w:rsidRDefault="007C1E0D" w:rsidP="0084666C">
            <w:pPr>
              <w:spacing w:before="60" w:after="60"/>
              <w:jc w:val="center"/>
              <w:rPr>
                <w:color w:val="595959"/>
                <w:sz w:val="18"/>
                <w:szCs w:val="18"/>
              </w:rPr>
            </w:pPr>
          </w:p>
        </w:tc>
        <w:tc>
          <w:tcPr>
            <w:tcW w:w="1350" w:type="dxa"/>
          </w:tcPr>
          <w:p w14:paraId="4A3DC56D" w14:textId="77777777" w:rsidR="007C1E0D" w:rsidRPr="00991E10" w:rsidRDefault="007C1E0D" w:rsidP="0084666C">
            <w:pPr>
              <w:keepNext/>
              <w:tabs>
                <w:tab w:val="right" w:pos="9063"/>
              </w:tabs>
              <w:spacing w:before="60" w:after="60"/>
              <w:jc w:val="center"/>
              <w:outlineLvl w:val="1"/>
              <w:rPr>
                <w:color w:val="595959"/>
                <w:sz w:val="18"/>
                <w:szCs w:val="18"/>
              </w:rPr>
            </w:pPr>
          </w:p>
        </w:tc>
        <w:tc>
          <w:tcPr>
            <w:tcW w:w="6000" w:type="dxa"/>
          </w:tcPr>
          <w:p w14:paraId="3ECBC096" w14:textId="77777777" w:rsidR="007C1E0D" w:rsidRPr="00991E10" w:rsidRDefault="007C1E0D" w:rsidP="00584316">
            <w:pPr>
              <w:keepNext/>
              <w:numPr>
                <w:ilvl w:val="0"/>
                <w:numId w:val="23"/>
              </w:numPr>
              <w:tabs>
                <w:tab w:val="left" w:pos="318"/>
                <w:tab w:val="right" w:pos="9063"/>
              </w:tabs>
              <w:spacing w:before="60" w:after="60"/>
              <w:ind w:left="318" w:hanging="284"/>
              <w:outlineLvl w:val="1"/>
              <w:rPr>
                <w:rFonts w:ascii="Arial" w:eastAsia="Calibri" w:hAnsi="Arial" w:cs="Arial"/>
                <w:color w:val="595959"/>
                <w:sz w:val="18"/>
                <w:szCs w:val="18"/>
              </w:rPr>
            </w:pPr>
          </w:p>
        </w:tc>
        <w:tc>
          <w:tcPr>
            <w:tcW w:w="675" w:type="dxa"/>
            <w:vAlign w:val="center"/>
          </w:tcPr>
          <w:p w14:paraId="29A81A1A" w14:textId="77777777" w:rsidR="007C1E0D" w:rsidRPr="00991E10" w:rsidRDefault="007C1E0D" w:rsidP="00877924">
            <w:pPr>
              <w:keepNext/>
              <w:tabs>
                <w:tab w:val="right" w:pos="9063"/>
              </w:tabs>
              <w:spacing w:before="60" w:after="60"/>
              <w:jc w:val="center"/>
              <w:outlineLvl w:val="1"/>
              <w:rPr>
                <w:color w:val="595959"/>
                <w:sz w:val="18"/>
                <w:szCs w:val="18"/>
                <w:lang w:val="en-US"/>
              </w:rPr>
            </w:pPr>
          </w:p>
        </w:tc>
      </w:tr>
    </w:tbl>
    <w:p w14:paraId="21681E32" w14:textId="77777777" w:rsidR="00877924" w:rsidRPr="00991E10" w:rsidRDefault="00877924" w:rsidP="00877924">
      <w:pPr>
        <w:spacing w:after="0"/>
        <w:rPr>
          <w:sz w:val="22"/>
          <w:szCs w:val="22"/>
          <w:lang w:val="en-US"/>
        </w:rPr>
      </w:pPr>
    </w:p>
    <w:p w14:paraId="129A5496" w14:textId="77777777" w:rsidR="0062273B" w:rsidRPr="00991E10" w:rsidRDefault="00877924" w:rsidP="00771274">
      <w:pPr>
        <w:spacing w:after="0"/>
        <w:jc w:val="center"/>
        <w:rPr>
          <w:sz w:val="22"/>
          <w:szCs w:val="22"/>
        </w:rPr>
      </w:pPr>
      <w:r w:rsidRPr="00991E10">
        <w:br w:type="page"/>
      </w:r>
    </w:p>
    <w:tbl>
      <w:tblPr>
        <w:tblStyle w:val="TableLetterhead"/>
        <w:tblW w:w="9480" w:type="dxa"/>
        <w:tblLook w:val="04A0" w:firstRow="1" w:lastRow="0" w:firstColumn="1" w:lastColumn="0" w:noHBand="0" w:noVBand="1"/>
      </w:tblPr>
      <w:tblGrid>
        <w:gridCol w:w="2400"/>
        <w:gridCol w:w="7080"/>
      </w:tblGrid>
      <w:tr w:rsidR="0062273B" w:rsidRPr="00991E10" w14:paraId="63C3AADA" w14:textId="77777777" w:rsidTr="000579AF">
        <w:tc>
          <w:tcPr>
            <w:tcW w:w="2400" w:type="dxa"/>
          </w:tcPr>
          <w:p w14:paraId="45ABB2A4" w14:textId="1231702F" w:rsidR="0062273B" w:rsidRPr="00991E10" w:rsidRDefault="005A3754" w:rsidP="0062273B">
            <w:pPr>
              <w:widowControl w:val="0"/>
              <w:spacing w:after="0"/>
              <w:ind w:right="85"/>
              <w:rPr>
                <w:rFonts w:ascii="Times New Roman" w:hAnsi="Times New Roman"/>
              </w:rPr>
            </w:pPr>
            <w:r w:rsidRPr="00991E10">
              <w:rPr>
                <w:rFonts w:ascii="Times New Roman" w:hAnsi="Times New Roman"/>
                <w:noProof/>
                <w:lang w:val="en-IE" w:eastAsia="en-IE"/>
              </w:rPr>
              <w:lastRenderedPageBreak/>
              <w:drawing>
                <wp:inline distT="0" distB="0" distL="0" distR="0" wp14:anchorId="09CA6CCD" wp14:editId="2A0B6514">
                  <wp:extent cx="1371600" cy="672465"/>
                  <wp:effectExtent l="0" t="0" r="0" b="0"/>
                  <wp:docPr id="3" name="Picture 3"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of the European Commission, 12 yellow stars on a blue background arranged in a circle and framed by two light grey graphic elements representing the Berlaymont building, which is the headquarter of the European Commissio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71600" cy="672465"/>
                          </a:xfrm>
                          <a:prstGeom prst="rect">
                            <a:avLst/>
                          </a:prstGeom>
                          <a:noFill/>
                          <a:ln>
                            <a:noFill/>
                          </a:ln>
                        </pic:spPr>
                      </pic:pic>
                    </a:graphicData>
                  </a:graphic>
                </wp:inline>
              </w:drawing>
            </w:r>
          </w:p>
        </w:tc>
        <w:tc>
          <w:tcPr>
            <w:tcW w:w="7080" w:type="dxa"/>
          </w:tcPr>
          <w:p w14:paraId="66F12799" w14:textId="408A0EF9" w:rsidR="0062273B" w:rsidRPr="00991E10" w:rsidRDefault="0062273B" w:rsidP="0062273B">
            <w:pPr>
              <w:widowControl w:val="0"/>
              <w:spacing w:before="90" w:after="0"/>
              <w:ind w:right="85"/>
              <w:jc w:val="left"/>
              <w:rPr>
                <w:rFonts w:ascii="Times New Roman" w:hAnsi="Times New Roman"/>
                <w:caps/>
              </w:rPr>
            </w:pPr>
            <w:r w:rsidRPr="00991E10">
              <w:rPr>
                <w:rFonts w:ascii="Times New Roman" w:hAnsi="Times New Roman"/>
                <w:caps/>
              </w:rPr>
              <w:t>AGENZIA ESECUTIVA EUROPEA PER L’ISTRUZIONE</w:t>
            </w:r>
          </w:p>
          <w:p w14:paraId="4C89199C" w14:textId="44C382F9" w:rsidR="0062273B" w:rsidRPr="00991E10" w:rsidRDefault="0062273B" w:rsidP="0062273B">
            <w:pPr>
              <w:widowControl w:val="0"/>
              <w:spacing w:after="0"/>
              <w:ind w:right="85"/>
              <w:jc w:val="left"/>
              <w:rPr>
                <w:rFonts w:ascii="Times New Roman" w:hAnsi="Times New Roman"/>
                <w:caps/>
              </w:rPr>
            </w:pPr>
            <w:r w:rsidRPr="00991E10">
              <w:rPr>
                <w:rFonts w:ascii="Times New Roman" w:hAnsi="Times New Roman"/>
                <w:caps/>
              </w:rPr>
              <w:t>E LA CULTURA (EACEA)</w:t>
            </w:r>
          </w:p>
          <w:p w14:paraId="42A84745" w14:textId="77777777" w:rsidR="0062273B" w:rsidRPr="00991E10" w:rsidRDefault="0062273B" w:rsidP="0062273B">
            <w:pPr>
              <w:widowControl w:val="0"/>
              <w:spacing w:after="0"/>
              <w:ind w:right="85"/>
              <w:jc w:val="left"/>
              <w:rPr>
                <w:rFonts w:ascii="Times New Roman" w:hAnsi="Times New Roman"/>
                <w:sz w:val="16"/>
                <w:lang w:eastAsia="fr-BE"/>
              </w:rPr>
            </w:pPr>
          </w:p>
          <w:p w14:paraId="4CC2F47D" w14:textId="09BE9929" w:rsidR="0062273B" w:rsidRPr="00991E10" w:rsidRDefault="0062273B" w:rsidP="0062273B">
            <w:pPr>
              <w:widowControl w:val="0"/>
              <w:spacing w:after="0"/>
              <w:ind w:right="85"/>
              <w:jc w:val="left"/>
              <w:rPr>
                <w:rFonts w:ascii="Times New Roman" w:hAnsi="Times New Roman"/>
                <w:sz w:val="16"/>
              </w:rPr>
            </w:pPr>
            <w:r w:rsidRPr="00991E10">
              <w:rPr>
                <w:rFonts w:ascii="Times New Roman" w:hAnsi="Times New Roman"/>
                <w:sz w:val="16"/>
              </w:rPr>
              <w:t>EACEA.B – Creatività, cittadinanza e operazioni congiunte</w:t>
            </w:r>
          </w:p>
          <w:p w14:paraId="6E2A31C1" w14:textId="0B6D355C" w:rsidR="0062273B" w:rsidRPr="00991E10" w:rsidRDefault="0062273B" w:rsidP="0062273B">
            <w:pPr>
              <w:widowControl w:val="0"/>
              <w:spacing w:after="0"/>
              <w:ind w:right="85"/>
              <w:jc w:val="left"/>
              <w:rPr>
                <w:rFonts w:ascii="Times New Roman" w:hAnsi="Times New Roman"/>
                <w:b/>
                <w:sz w:val="16"/>
              </w:rPr>
            </w:pPr>
            <w:r w:rsidRPr="00991E10">
              <w:rPr>
                <w:rFonts w:ascii="Times New Roman" w:hAnsi="Times New Roman"/>
                <w:b/>
                <w:sz w:val="16"/>
              </w:rPr>
              <w:t>EACEA.B.3 – L’Europa per i cittadini</w:t>
            </w:r>
          </w:p>
        </w:tc>
      </w:tr>
    </w:tbl>
    <w:p w14:paraId="60377700" w14:textId="77777777" w:rsidR="00233324" w:rsidRPr="00991E10" w:rsidRDefault="00233324" w:rsidP="007502F1">
      <w:pPr>
        <w:pStyle w:val="BodyText"/>
        <w:spacing w:before="8"/>
        <w:jc w:val="center"/>
        <w:rPr>
          <w:sz w:val="22"/>
          <w:szCs w:val="22"/>
        </w:rPr>
      </w:pPr>
    </w:p>
    <w:p w14:paraId="4ADD2FD0" w14:textId="77777777" w:rsidR="007502F1" w:rsidRPr="00991E10" w:rsidRDefault="00233324" w:rsidP="007502F1">
      <w:pPr>
        <w:pStyle w:val="BodyText"/>
        <w:spacing w:before="8"/>
        <w:jc w:val="center"/>
        <w:rPr>
          <w:b/>
          <w:sz w:val="22"/>
          <w:szCs w:val="22"/>
        </w:rPr>
      </w:pPr>
      <w:r w:rsidRPr="00991E10">
        <w:rPr>
          <w:b/>
          <w:sz w:val="22"/>
          <w:szCs w:val="22"/>
        </w:rPr>
        <w:t xml:space="preserve">INVITO A PRESENTARE PROPOSTE </w:t>
      </w:r>
    </w:p>
    <w:p w14:paraId="22801F39" w14:textId="77777777" w:rsidR="00004B82" w:rsidRPr="00991E10" w:rsidRDefault="00004B82" w:rsidP="00B57534">
      <w:pPr>
        <w:widowControl w:val="0"/>
      </w:pPr>
    </w:p>
    <w:p w14:paraId="694C64CB" w14:textId="77777777" w:rsidR="0084666C" w:rsidRPr="00991E10" w:rsidRDefault="0084666C" w:rsidP="005A543F">
      <w:pPr>
        <w:autoSpaceDE w:val="0"/>
        <w:autoSpaceDN w:val="0"/>
        <w:adjustRightInd w:val="0"/>
        <w:jc w:val="left"/>
        <w:rPr>
          <w:rFonts w:eastAsia="Calibri" w:cs="Verdana"/>
          <w:b/>
          <w:color w:val="A50021"/>
          <w:sz w:val="18"/>
        </w:rPr>
      </w:pPr>
      <w:r w:rsidRPr="00991E10">
        <w:rPr>
          <w:b/>
          <w:color w:val="A50021"/>
          <w:sz w:val="18"/>
        </w:rPr>
        <w:t>INDICE</w:t>
      </w:r>
    </w:p>
    <w:p w14:paraId="29EC0418" w14:textId="43E4DE72" w:rsidR="00427B30" w:rsidRDefault="00340A6F">
      <w:pPr>
        <w:pStyle w:val="TOC1"/>
        <w:rPr>
          <w:rFonts w:asciiTheme="minorHAnsi" w:eastAsiaTheme="minorEastAsia" w:hAnsiTheme="minorHAnsi" w:cstheme="minorBidi"/>
          <w:noProof/>
          <w:sz w:val="22"/>
          <w:szCs w:val="22"/>
          <w:lang w:val="fr-LU" w:eastAsia="fr-LU"/>
        </w:rPr>
      </w:pPr>
      <w:r w:rsidRPr="00991E10">
        <w:fldChar w:fldCharType="begin"/>
      </w:r>
      <w:r w:rsidRPr="00991E10">
        <w:instrText xml:space="preserve"> TOC \o "1-1" \h \z \t "Heading 2,2,Heading 3,3,Subtitle,2" </w:instrText>
      </w:r>
      <w:r w:rsidRPr="00991E10">
        <w:fldChar w:fldCharType="separate"/>
      </w:r>
      <w:hyperlink w:anchor="_Toc92965225" w:history="1">
        <w:r w:rsidR="00427B30" w:rsidRPr="00EF6D7E">
          <w:rPr>
            <w:rStyle w:val="Hyperlink"/>
            <w:noProof/>
          </w:rPr>
          <w:t>0.</w:t>
        </w:r>
        <w:r w:rsidR="00427B30">
          <w:rPr>
            <w:rFonts w:asciiTheme="minorHAnsi" w:eastAsiaTheme="minorEastAsia" w:hAnsiTheme="minorHAnsi" w:cstheme="minorBidi"/>
            <w:noProof/>
            <w:sz w:val="22"/>
            <w:szCs w:val="22"/>
            <w:lang w:val="fr-LU" w:eastAsia="fr-LU"/>
          </w:rPr>
          <w:tab/>
        </w:r>
        <w:r w:rsidR="00427B30" w:rsidRPr="00EF6D7E">
          <w:rPr>
            <w:rStyle w:val="Hyperlink"/>
            <w:noProof/>
          </w:rPr>
          <w:t>Introduzione</w:t>
        </w:r>
        <w:r w:rsidR="00427B30">
          <w:rPr>
            <w:noProof/>
            <w:webHidden/>
          </w:rPr>
          <w:tab/>
        </w:r>
        <w:r w:rsidR="00427B30">
          <w:rPr>
            <w:noProof/>
            <w:webHidden/>
          </w:rPr>
          <w:fldChar w:fldCharType="begin"/>
        </w:r>
        <w:r w:rsidR="00427B30">
          <w:rPr>
            <w:noProof/>
            <w:webHidden/>
          </w:rPr>
          <w:instrText xml:space="preserve"> PAGEREF _Toc92965225 \h </w:instrText>
        </w:r>
        <w:r w:rsidR="00427B30">
          <w:rPr>
            <w:noProof/>
            <w:webHidden/>
          </w:rPr>
        </w:r>
        <w:r w:rsidR="00427B30">
          <w:rPr>
            <w:noProof/>
            <w:webHidden/>
          </w:rPr>
          <w:fldChar w:fldCharType="separate"/>
        </w:r>
        <w:r w:rsidR="009F315E">
          <w:rPr>
            <w:noProof/>
            <w:webHidden/>
          </w:rPr>
          <w:t>5</w:t>
        </w:r>
        <w:r w:rsidR="00427B30">
          <w:rPr>
            <w:noProof/>
            <w:webHidden/>
          </w:rPr>
          <w:fldChar w:fldCharType="end"/>
        </w:r>
      </w:hyperlink>
    </w:p>
    <w:p w14:paraId="5E65C3B7" w14:textId="07BF3FBD" w:rsidR="00427B30" w:rsidRDefault="00B73F40">
      <w:pPr>
        <w:pStyle w:val="TOC1"/>
        <w:rPr>
          <w:rFonts w:asciiTheme="minorHAnsi" w:eastAsiaTheme="minorEastAsia" w:hAnsiTheme="minorHAnsi" w:cstheme="minorBidi"/>
          <w:noProof/>
          <w:sz w:val="22"/>
          <w:szCs w:val="22"/>
          <w:lang w:val="fr-LU" w:eastAsia="fr-LU"/>
        </w:rPr>
      </w:pPr>
      <w:hyperlink w:anchor="_Toc92965226" w:history="1">
        <w:r w:rsidR="00427B30" w:rsidRPr="00EF6D7E">
          <w:rPr>
            <w:rStyle w:val="Hyperlink"/>
            <w:noProof/>
          </w:rPr>
          <w:t>1.</w:t>
        </w:r>
        <w:r w:rsidR="00427B30">
          <w:rPr>
            <w:rFonts w:asciiTheme="minorHAnsi" w:eastAsiaTheme="minorEastAsia" w:hAnsiTheme="minorHAnsi" w:cstheme="minorBidi"/>
            <w:noProof/>
            <w:sz w:val="22"/>
            <w:szCs w:val="22"/>
            <w:lang w:val="fr-LU" w:eastAsia="fr-LU"/>
          </w:rPr>
          <w:tab/>
        </w:r>
        <w:r w:rsidR="00427B30" w:rsidRPr="00EF6D7E">
          <w:rPr>
            <w:rStyle w:val="Hyperlink"/>
            <w:noProof/>
          </w:rPr>
          <w:t>Contesto</w:t>
        </w:r>
        <w:r w:rsidR="00427B30">
          <w:rPr>
            <w:noProof/>
            <w:webHidden/>
          </w:rPr>
          <w:tab/>
        </w:r>
        <w:r w:rsidR="00427B30">
          <w:rPr>
            <w:noProof/>
            <w:webHidden/>
          </w:rPr>
          <w:fldChar w:fldCharType="begin"/>
        </w:r>
        <w:r w:rsidR="00427B30">
          <w:rPr>
            <w:noProof/>
            <w:webHidden/>
          </w:rPr>
          <w:instrText xml:space="preserve"> PAGEREF _Toc92965226 \h </w:instrText>
        </w:r>
        <w:r w:rsidR="00427B30">
          <w:rPr>
            <w:noProof/>
            <w:webHidden/>
          </w:rPr>
        </w:r>
        <w:r w:rsidR="00427B30">
          <w:rPr>
            <w:noProof/>
            <w:webHidden/>
          </w:rPr>
          <w:fldChar w:fldCharType="separate"/>
        </w:r>
        <w:r w:rsidR="009F315E">
          <w:rPr>
            <w:noProof/>
            <w:webHidden/>
          </w:rPr>
          <w:t>6</w:t>
        </w:r>
        <w:r w:rsidR="00427B30">
          <w:rPr>
            <w:noProof/>
            <w:webHidden/>
          </w:rPr>
          <w:fldChar w:fldCharType="end"/>
        </w:r>
      </w:hyperlink>
    </w:p>
    <w:p w14:paraId="011229C3" w14:textId="18B2B875" w:rsidR="00427B30" w:rsidRDefault="00B73F40">
      <w:pPr>
        <w:pStyle w:val="TOC1"/>
        <w:rPr>
          <w:rFonts w:asciiTheme="minorHAnsi" w:eastAsiaTheme="minorEastAsia" w:hAnsiTheme="minorHAnsi" w:cstheme="minorBidi"/>
          <w:noProof/>
          <w:sz w:val="22"/>
          <w:szCs w:val="22"/>
          <w:lang w:val="fr-LU" w:eastAsia="fr-LU"/>
        </w:rPr>
      </w:pPr>
      <w:hyperlink w:anchor="_Toc92965227" w:history="1">
        <w:r w:rsidR="00427B30" w:rsidRPr="00EF6D7E">
          <w:rPr>
            <w:rStyle w:val="Hyperlink"/>
            <w:noProof/>
          </w:rPr>
          <w:t>2.</w:t>
        </w:r>
        <w:r w:rsidR="00427B30">
          <w:rPr>
            <w:rFonts w:asciiTheme="minorHAnsi" w:eastAsiaTheme="minorEastAsia" w:hAnsiTheme="minorHAnsi" w:cstheme="minorBidi"/>
            <w:noProof/>
            <w:sz w:val="22"/>
            <w:szCs w:val="22"/>
            <w:lang w:val="fr-LU" w:eastAsia="fr-LU"/>
          </w:rPr>
          <w:tab/>
        </w:r>
        <w:r w:rsidR="00427B30" w:rsidRPr="00EF6D7E">
          <w:rPr>
            <w:rStyle w:val="Hyperlink"/>
            <w:noProof/>
          </w:rPr>
          <w:t>Obiettivi – Temi e priorità – Attività finanziabili – Effetti attesi</w:t>
        </w:r>
        <w:r w:rsidR="00427B30">
          <w:rPr>
            <w:noProof/>
            <w:webHidden/>
          </w:rPr>
          <w:tab/>
        </w:r>
        <w:r w:rsidR="00427B30">
          <w:rPr>
            <w:noProof/>
            <w:webHidden/>
          </w:rPr>
          <w:fldChar w:fldCharType="begin"/>
        </w:r>
        <w:r w:rsidR="00427B30">
          <w:rPr>
            <w:noProof/>
            <w:webHidden/>
          </w:rPr>
          <w:instrText xml:space="preserve"> PAGEREF _Toc92965227 \h </w:instrText>
        </w:r>
        <w:r w:rsidR="00427B30">
          <w:rPr>
            <w:noProof/>
            <w:webHidden/>
          </w:rPr>
        </w:r>
        <w:r w:rsidR="00427B30">
          <w:rPr>
            <w:noProof/>
            <w:webHidden/>
          </w:rPr>
          <w:fldChar w:fldCharType="separate"/>
        </w:r>
        <w:r w:rsidR="009F315E">
          <w:rPr>
            <w:noProof/>
            <w:webHidden/>
          </w:rPr>
          <w:t>7</w:t>
        </w:r>
        <w:r w:rsidR="00427B30">
          <w:rPr>
            <w:noProof/>
            <w:webHidden/>
          </w:rPr>
          <w:fldChar w:fldCharType="end"/>
        </w:r>
      </w:hyperlink>
    </w:p>
    <w:p w14:paraId="30D8CEFE" w14:textId="0A330F62" w:rsidR="00427B30" w:rsidRDefault="00B73F40">
      <w:pPr>
        <w:pStyle w:val="TOC3"/>
        <w:rPr>
          <w:rFonts w:asciiTheme="minorHAnsi" w:eastAsiaTheme="minorEastAsia" w:hAnsiTheme="minorHAnsi" w:cstheme="minorBidi"/>
          <w:sz w:val="22"/>
          <w:szCs w:val="22"/>
          <w:lang w:val="fr-LU" w:eastAsia="fr-LU"/>
        </w:rPr>
      </w:pPr>
      <w:hyperlink w:anchor="_Toc92965228" w:history="1">
        <w:r w:rsidR="00427B30" w:rsidRPr="00EF6D7E">
          <w:rPr>
            <w:rStyle w:val="Hyperlink"/>
          </w:rPr>
          <w:t>Obiettivi</w:t>
        </w:r>
        <w:r w:rsidR="00427B30">
          <w:rPr>
            <w:webHidden/>
          </w:rPr>
          <w:tab/>
        </w:r>
        <w:r w:rsidR="00427B30">
          <w:rPr>
            <w:webHidden/>
          </w:rPr>
          <w:fldChar w:fldCharType="begin"/>
        </w:r>
        <w:r w:rsidR="00427B30">
          <w:rPr>
            <w:webHidden/>
          </w:rPr>
          <w:instrText xml:space="preserve"> PAGEREF _Toc92965228 \h </w:instrText>
        </w:r>
        <w:r w:rsidR="00427B30">
          <w:rPr>
            <w:webHidden/>
          </w:rPr>
        </w:r>
        <w:r w:rsidR="00427B30">
          <w:rPr>
            <w:webHidden/>
          </w:rPr>
          <w:fldChar w:fldCharType="separate"/>
        </w:r>
        <w:r w:rsidR="009F315E">
          <w:rPr>
            <w:webHidden/>
          </w:rPr>
          <w:t>7</w:t>
        </w:r>
        <w:r w:rsidR="00427B30">
          <w:rPr>
            <w:webHidden/>
          </w:rPr>
          <w:fldChar w:fldCharType="end"/>
        </w:r>
      </w:hyperlink>
    </w:p>
    <w:p w14:paraId="0889C61D" w14:textId="1C054AA5" w:rsidR="00427B30" w:rsidRDefault="00B73F40">
      <w:pPr>
        <w:pStyle w:val="TOC3"/>
        <w:rPr>
          <w:rFonts w:asciiTheme="minorHAnsi" w:eastAsiaTheme="minorEastAsia" w:hAnsiTheme="minorHAnsi" w:cstheme="minorBidi"/>
          <w:sz w:val="22"/>
          <w:szCs w:val="22"/>
          <w:lang w:val="fr-LU" w:eastAsia="fr-LU"/>
        </w:rPr>
      </w:pPr>
      <w:hyperlink w:anchor="_Toc92965229" w:history="1">
        <w:r w:rsidR="00427B30" w:rsidRPr="00EF6D7E">
          <w:rPr>
            <w:rStyle w:val="Hyperlink"/>
          </w:rPr>
          <w:t>Temi e priorità (ambito di applicazione)</w:t>
        </w:r>
        <w:r w:rsidR="00427B30">
          <w:rPr>
            <w:webHidden/>
          </w:rPr>
          <w:tab/>
        </w:r>
        <w:r w:rsidR="00427B30">
          <w:rPr>
            <w:webHidden/>
          </w:rPr>
          <w:fldChar w:fldCharType="begin"/>
        </w:r>
        <w:r w:rsidR="00427B30">
          <w:rPr>
            <w:webHidden/>
          </w:rPr>
          <w:instrText xml:space="preserve"> PAGEREF _Toc92965229 \h </w:instrText>
        </w:r>
        <w:r w:rsidR="00427B30">
          <w:rPr>
            <w:webHidden/>
          </w:rPr>
        </w:r>
        <w:r w:rsidR="00427B30">
          <w:rPr>
            <w:webHidden/>
          </w:rPr>
          <w:fldChar w:fldCharType="separate"/>
        </w:r>
        <w:r w:rsidR="009F315E">
          <w:rPr>
            <w:webHidden/>
          </w:rPr>
          <w:t>7</w:t>
        </w:r>
        <w:r w:rsidR="00427B30">
          <w:rPr>
            <w:webHidden/>
          </w:rPr>
          <w:fldChar w:fldCharType="end"/>
        </w:r>
      </w:hyperlink>
    </w:p>
    <w:p w14:paraId="2881EB5D" w14:textId="729F3E26" w:rsidR="00427B30" w:rsidRDefault="00B73F40">
      <w:pPr>
        <w:pStyle w:val="TOC3"/>
        <w:rPr>
          <w:rFonts w:asciiTheme="minorHAnsi" w:eastAsiaTheme="minorEastAsia" w:hAnsiTheme="minorHAnsi" w:cstheme="minorBidi"/>
          <w:sz w:val="22"/>
          <w:szCs w:val="22"/>
          <w:lang w:val="fr-LU" w:eastAsia="fr-LU"/>
        </w:rPr>
      </w:pPr>
      <w:hyperlink w:anchor="_Toc92965230" w:history="1">
        <w:r w:rsidR="00427B30" w:rsidRPr="00EF6D7E">
          <w:rPr>
            <w:rStyle w:val="Hyperlink"/>
          </w:rPr>
          <w:t>Obiettivi</w:t>
        </w:r>
        <w:r w:rsidR="00427B30">
          <w:rPr>
            <w:webHidden/>
          </w:rPr>
          <w:tab/>
        </w:r>
        <w:r w:rsidR="00427B30">
          <w:rPr>
            <w:webHidden/>
          </w:rPr>
          <w:fldChar w:fldCharType="begin"/>
        </w:r>
        <w:r w:rsidR="00427B30">
          <w:rPr>
            <w:webHidden/>
          </w:rPr>
          <w:instrText xml:space="preserve"> PAGEREF _Toc92965230 \h </w:instrText>
        </w:r>
        <w:r w:rsidR="00427B30">
          <w:rPr>
            <w:webHidden/>
          </w:rPr>
        </w:r>
        <w:r w:rsidR="00427B30">
          <w:rPr>
            <w:webHidden/>
          </w:rPr>
          <w:fldChar w:fldCharType="separate"/>
        </w:r>
        <w:r w:rsidR="009F315E">
          <w:rPr>
            <w:webHidden/>
          </w:rPr>
          <w:t>8</w:t>
        </w:r>
        <w:r w:rsidR="00427B30">
          <w:rPr>
            <w:webHidden/>
          </w:rPr>
          <w:fldChar w:fldCharType="end"/>
        </w:r>
      </w:hyperlink>
    </w:p>
    <w:p w14:paraId="1B2F200C" w14:textId="11BA7799" w:rsidR="00427B30" w:rsidRDefault="00B73F40">
      <w:pPr>
        <w:pStyle w:val="TOC3"/>
        <w:rPr>
          <w:rFonts w:asciiTheme="minorHAnsi" w:eastAsiaTheme="minorEastAsia" w:hAnsiTheme="minorHAnsi" w:cstheme="minorBidi"/>
          <w:sz w:val="22"/>
          <w:szCs w:val="22"/>
          <w:lang w:val="fr-LU" w:eastAsia="fr-LU"/>
        </w:rPr>
      </w:pPr>
      <w:hyperlink w:anchor="_Toc92965231" w:history="1">
        <w:r w:rsidR="00427B30" w:rsidRPr="00EF6D7E">
          <w:rPr>
            <w:rStyle w:val="Hyperlink"/>
          </w:rPr>
          <w:t>Temi e priorità (ambito di applicazione)</w:t>
        </w:r>
        <w:r w:rsidR="00427B30">
          <w:rPr>
            <w:webHidden/>
          </w:rPr>
          <w:tab/>
        </w:r>
        <w:r w:rsidR="00427B30">
          <w:rPr>
            <w:webHidden/>
          </w:rPr>
          <w:fldChar w:fldCharType="begin"/>
        </w:r>
        <w:r w:rsidR="00427B30">
          <w:rPr>
            <w:webHidden/>
          </w:rPr>
          <w:instrText xml:space="preserve"> PAGEREF _Toc92965231 \h </w:instrText>
        </w:r>
        <w:r w:rsidR="00427B30">
          <w:rPr>
            <w:webHidden/>
          </w:rPr>
        </w:r>
        <w:r w:rsidR="00427B30">
          <w:rPr>
            <w:webHidden/>
          </w:rPr>
          <w:fldChar w:fldCharType="separate"/>
        </w:r>
        <w:r w:rsidR="009F315E">
          <w:rPr>
            <w:webHidden/>
          </w:rPr>
          <w:t>9</w:t>
        </w:r>
        <w:r w:rsidR="00427B30">
          <w:rPr>
            <w:webHidden/>
          </w:rPr>
          <w:fldChar w:fldCharType="end"/>
        </w:r>
      </w:hyperlink>
    </w:p>
    <w:p w14:paraId="79ED329A" w14:textId="7C524707" w:rsidR="00427B30" w:rsidRDefault="00B73F40">
      <w:pPr>
        <w:pStyle w:val="TOC3"/>
        <w:rPr>
          <w:rFonts w:asciiTheme="minorHAnsi" w:eastAsiaTheme="minorEastAsia" w:hAnsiTheme="minorHAnsi" w:cstheme="minorBidi"/>
          <w:sz w:val="22"/>
          <w:szCs w:val="22"/>
          <w:lang w:val="fr-LU" w:eastAsia="fr-LU"/>
        </w:rPr>
      </w:pPr>
      <w:hyperlink w:anchor="_Toc92965232" w:history="1">
        <w:r w:rsidR="00427B30" w:rsidRPr="00EF6D7E">
          <w:rPr>
            <w:rStyle w:val="Hyperlink"/>
          </w:rPr>
          <w:t>Attività finanziabili (ambito di applicazione)</w:t>
        </w:r>
        <w:r w:rsidR="00427B30">
          <w:rPr>
            <w:webHidden/>
          </w:rPr>
          <w:tab/>
        </w:r>
        <w:r w:rsidR="00427B30">
          <w:rPr>
            <w:webHidden/>
          </w:rPr>
          <w:fldChar w:fldCharType="begin"/>
        </w:r>
        <w:r w:rsidR="00427B30">
          <w:rPr>
            <w:webHidden/>
          </w:rPr>
          <w:instrText xml:space="preserve"> PAGEREF _Toc92965232 \h </w:instrText>
        </w:r>
        <w:r w:rsidR="00427B30">
          <w:rPr>
            <w:webHidden/>
          </w:rPr>
        </w:r>
        <w:r w:rsidR="00427B30">
          <w:rPr>
            <w:webHidden/>
          </w:rPr>
          <w:fldChar w:fldCharType="separate"/>
        </w:r>
        <w:r w:rsidR="009F315E">
          <w:rPr>
            <w:webHidden/>
          </w:rPr>
          <w:t>10</w:t>
        </w:r>
        <w:r w:rsidR="00427B30">
          <w:rPr>
            <w:webHidden/>
          </w:rPr>
          <w:fldChar w:fldCharType="end"/>
        </w:r>
      </w:hyperlink>
    </w:p>
    <w:p w14:paraId="1BBB3605" w14:textId="7A6E6CBE" w:rsidR="00427B30" w:rsidRDefault="00B73F40">
      <w:pPr>
        <w:pStyle w:val="TOC3"/>
        <w:rPr>
          <w:rFonts w:asciiTheme="minorHAnsi" w:eastAsiaTheme="minorEastAsia" w:hAnsiTheme="minorHAnsi" w:cstheme="minorBidi"/>
          <w:sz w:val="22"/>
          <w:szCs w:val="22"/>
          <w:lang w:val="fr-LU" w:eastAsia="fr-LU"/>
        </w:rPr>
      </w:pPr>
      <w:hyperlink w:anchor="_Toc92965233" w:history="1">
        <w:r w:rsidR="00427B30" w:rsidRPr="00EF6D7E">
          <w:rPr>
            <w:rStyle w:val="Hyperlink"/>
          </w:rPr>
          <w:t>Effetti attesi</w:t>
        </w:r>
        <w:r w:rsidR="00427B30">
          <w:rPr>
            <w:webHidden/>
          </w:rPr>
          <w:tab/>
        </w:r>
        <w:r w:rsidR="00427B30">
          <w:rPr>
            <w:webHidden/>
          </w:rPr>
          <w:fldChar w:fldCharType="begin"/>
        </w:r>
        <w:r w:rsidR="00427B30">
          <w:rPr>
            <w:webHidden/>
          </w:rPr>
          <w:instrText xml:space="preserve"> PAGEREF _Toc92965233 \h </w:instrText>
        </w:r>
        <w:r w:rsidR="00427B30">
          <w:rPr>
            <w:webHidden/>
          </w:rPr>
        </w:r>
        <w:r w:rsidR="00427B30">
          <w:rPr>
            <w:webHidden/>
          </w:rPr>
          <w:fldChar w:fldCharType="separate"/>
        </w:r>
        <w:r w:rsidR="009F315E">
          <w:rPr>
            <w:webHidden/>
          </w:rPr>
          <w:t>10</w:t>
        </w:r>
        <w:r w:rsidR="00427B30">
          <w:rPr>
            <w:webHidden/>
          </w:rPr>
          <w:fldChar w:fldCharType="end"/>
        </w:r>
      </w:hyperlink>
    </w:p>
    <w:p w14:paraId="7814279E" w14:textId="14BD5326" w:rsidR="00427B30" w:rsidRDefault="00B73F40">
      <w:pPr>
        <w:pStyle w:val="TOC1"/>
        <w:rPr>
          <w:rFonts w:asciiTheme="minorHAnsi" w:eastAsiaTheme="minorEastAsia" w:hAnsiTheme="minorHAnsi" w:cstheme="minorBidi"/>
          <w:noProof/>
          <w:sz w:val="22"/>
          <w:szCs w:val="22"/>
          <w:lang w:val="fr-LU" w:eastAsia="fr-LU"/>
        </w:rPr>
      </w:pPr>
      <w:hyperlink w:anchor="_Toc92965234" w:history="1">
        <w:r w:rsidR="00427B30" w:rsidRPr="00EF6D7E">
          <w:rPr>
            <w:rStyle w:val="Hyperlink"/>
            <w:noProof/>
          </w:rPr>
          <w:t>3.</w:t>
        </w:r>
        <w:r w:rsidR="00427B30">
          <w:rPr>
            <w:rFonts w:asciiTheme="minorHAnsi" w:eastAsiaTheme="minorEastAsia" w:hAnsiTheme="minorHAnsi" w:cstheme="minorBidi"/>
            <w:noProof/>
            <w:sz w:val="22"/>
            <w:szCs w:val="22"/>
            <w:lang w:val="fr-LU" w:eastAsia="fr-LU"/>
          </w:rPr>
          <w:tab/>
        </w:r>
        <w:r w:rsidR="00427B30" w:rsidRPr="00EF6D7E">
          <w:rPr>
            <w:rStyle w:val="Hyperlink"/>
            <w:noProof/>
          </w:rPr>
          <w:t>Bilancio disponibile</w:t>
        </w:r>
        <w:r w:rsidR="00427B30">
          <w:rPr>
            <w:noProof/>
            <w:webHidden/>
          </w:rPr>
          <w:tab/>
        </w:r>
        <w:r w:rsidR="00427B30">
          <w:rPr>
            <w:noProof/>
            <w:webHidden/>
          </w:rPr>
          <w:fldChar w:fldCharType="begin"/>
        </w:r>
        <w:r w:rsidR="00427B30">
          <w:rPr>
            <w:noProof/>
            <w:webHidden/>
          </w:rPr>
          <w:instrText xml:space="preserve"> PAGEREF _Toc92965234 \h </w:instrText>
        </w:r>
        <w:r w:rsidR="00427B30">
          <w:rPr>
            <w:noProof/>
            <w:webHidden/>
          </w:rPr>
        </w:r>
        <w:r w:rsidR="00427B30">
          <w:rPr>
            <w:noProof/>
            <w:webHidden/>
          </w:rPr>
          <w:fldChar w:fldCharType="separate"/>
        </w:r>
        <w:r w:rsidR="009F315E">
          <w:rPr>
            <w:noProof/>
            <w:webHidden/>
          </w:rPr>
          <w:t>10</w:t>
        </w:r>
        <w:r w:rsidR="00427B30">
          <w:rPr>
            <w:noProof/>
            <w:webHidden/>
          </w:rPr>
          <w:fldChar w:fldCharType="end"/>
        </w:r>
      </w:hyperlink>
    </w:p>
    <w:p w14:paraId="3840D561" w14:textId="1CBFD5D7" w:rsidR="00427B30" w:rsidRDefault="00B73F40">
      <w:pPr>
        <w:pStyle w:val="TOC1"/>
        <w:rPr>
          <w:rFonts w:asciiTheme="minorHAnsi" w:eastAsiaTheme="minorEastAsia" w:hAnsiTheme="minorHAnsi" w:cstheme="minorBidi"/>
          <w:noProof/>
          <w:sz w:val="22"/>
          <w:szCs w:val="22"/>
          <w:lang w:val="fr-LU" w:eastAsia="fr-LU"/>
        </w:rPr>
      </w:pPr>
      <w:hyperlink w:anchor="_Toc92965235" w:history="1">
        <w:r w:rsidR="00427B30" w:rsidRPr="00EF6D7E">
          <w:rPr>
            <w:rStyle w:val="Hyperlink"/>
            <w:noProof/>
          </w:rPr>
          <w:t>4.</w:t>
        </w:r>
        <w:r w:rsidR="00427B30">
          <w:rPr>
            <w:rFonts w:asciiTheme="minorHAnsi" w:eastAsiaTheme="minorEastAsia" w:hAnsiTheme="minorHAnsi" w:cstheme="minorBidi"/>
            <w:noProof/>
            <w:sz w:val="22"/>
            <w:szCs w:val="22"/>
            <w:lang w:val="fr-LU" w:eastAsia="fr-LU"/>
          </w:rPr>
          <w:tab/>
        </w:r>
        <w:r w:rsidR="00427B30" w:rsidRPr="00EF6D7E">
          <w:rPr>
            <w:rStyle w:val="Hyperlink"/>
            <w:noProof/>
          </w:rPr>
          <w:t>Calendario e scadenze</w:t>
        </w:r>
        <w:r w:rsidR="00427B30">
          <w:rPr>
            <w:noProof/>
            <w:webHidden/>
          </w:rPr>
          <w:tab/>
        </w:r>
        <w:r w:rsidR="00427B30">
          <w:rPr>
            <w:noProof/>
            <w:webHidden/>
          </w:rPr>
          <w:fldChar w:fldCharType="begin"/>
        </w:r>
        <w:r w:rsidR="00427B30">
          <w:rPr>
            <w:noProof/>
            <w:webHidden/>
          </w:rPr>
          <w:instrText xml:space="preserve"> PAGEREF _Toc92965235 \h </w:instrText>
        </w:r>
        <w:r w:rsidR="00427B30">
          <w:rPr>
            <w:noProof/>
            <w:webHidden/>
          </w:rPr>
        </w:r>
        <w:r w:rsidR="00427B30">
          <w:rPr>
            <w:noProof/>
            <w:webHidden/>
          </w:rPr>
          <w:fldChar w:fldCharType="separate"/>
        </w:r>
        <w:r w:rsidR="009F315E">
          <w:rPr>
            <w:noProof/>
            <w:webHidden/>
          </w:rPr>
          <w:t>11</w:t>
        </w:r>
        <w:r w:rsidR="00427B30">
          <w:rPr>
            <w:noProof/>
            <w:webHidden/>
          </w:rPr>
          <w:fldChar w:fldCharType="end"/>
        </w:r>
      </w:hyperlink>
    </w:p>
    <w:p w14:paraId="2A46C32E" w14:textId="5A43EFF0" w:rsidR="00427B30" w:rsidRDefault="00B73F40">
      <w:pPr>
        <w:pStyle w:val="TOC1"/>
        <w:rPr>
          <w:rFonts w:asciiTheme="minorHAnsi" w:eastAsiaTheme="minorEastAsia" w:hAnsiTheme="minorHAnsi" w:cstheme="minorBidi"/>
          <w:noProof/>
          <w:sz w:val="22"/>
          <w:szCs w:val="22"/>
          <w:lang w:val="fr-LU" w:eastAsia="fr-LU"/>
        </w:rPr>
      </w:pPr>
      <w:hyperlink w:anchor="_Toc92965236" w:history="1">
        <w:r w:rsidR="00427B30" w:rsidRPr="00EF6D7E">
          <w:rPr>
            <w:rStyle w:val="Hyperlink"/>
            <w:noProof/>
          </w:rPr>
          <w:t>5.</w:t>
        </w:r>
        <w:r w:rsidR="00427B30">
          <w:rPr>
            <w:rFonts w:asciiTheme="minorHAnsi" w:eastAsiaTheme="minorEastAsia" w:hAnsiTheme="minorHAnsi" w:cstheme="minorBidi"/>
            <w:noProof/>
            <w:sz w:val="22"/>
            <w:szCs w:val="22"/>
            <w:lang w:val="fr-LU" w:eastAsia="fr-LU"/>
          </w:rPr>
          <w:tab/>
        </w:r>
        <w:r w:rsidR="00427B30" w:rsidRPr="00EF6D7E">
          <w:rPr>
            <w:rStyle w:val="Hyperlink"/>
            <w:noProof/>
          </w:rPr>
          <w:t>Ricevibilità e documenti</w:t>
        </w:r>
        <w:r w:rsidR="00427B30">
          <w:rPr>
            <w:noProof/>
            <w:webHidden/>
          </w:rPr>
          <w:tab/>
        </w:r>
        <w:r w:rsidR="00427B30">
          <w:rPr>
            <w:noProof/>
            <w:webHidden/>
          </w:rPr>
          <w:fldChar w:fldCharType="begin"/>
        </w:r>
        <w:r w:rsidR="00427B30">
          <w:rPr>
            <w:noProof/>
            <w:webHidden/>
          </w:rPr>
          <w:instrText xml:space="preserve"> PAGEREF _Toc92965236 \h </w:instrText>
        </w:r>
        <w:r w:rsidR="00427B30">
          <w:rPr>
            <w:noProof/>
            <w:webHidden/>
          </w:rPr>
        </w:r>
        <w:r w:rsidR="00427B30">
          <w:rPr>
            <w:noProof/>
            <w:webHidden/>
          </w:rPr>
          <w:fldChar w:fldCharType="separate"/>
        </w:r>
        <w:r w:rsidR="009F315E">
          <w:rPr>
            <w:noProof/>
            <w:webHidden/>
          </w:rPr>
          <w:t>11</w:t>
        </w:r>
        <w:r w:rsidR="00427B30">
          <w:rPr>
            <w:noProof/>
            <w:webHidden/>
          </w:rPr>
          <w:fldChar w:fldCharType="end"/>
        </w:r>
      </w:hyperlink>
    </w:p>
    <w:p w14:paraId="77BA867C" w14:textId="7A3A51B6" w:rsidR="00427B30" w:rsidRDefault="00B73F40">
      <w:pPr>
        <w:pStyle w:val="TOC1"/>
        <w:rPr>
          <w:rFonts w:asciiTheme="minorHAnsi" w:eastAsiaTheme="minorEastAsia" w:hAnsiTheme="minorHAnsi" w:cstheme="minorBidi"/>
          <w:noProof/>
          <w:sz w:val="22"/>
          <w:szCs w:val="22"/>
          <w:lang w:val="fr-LU" w:eastAsia="fr-LU"/>
        </w:rPr>
      </w:pPr>
      <w:hyperlink w:anchor="_Toc92965237" w:history="1">
        <w:r w:rsidR="00427B30" w:rsidRPr="00EF6D7E">
          <w:rPr>
            <w:rStyle w:val="Hyperlink"/>
            <w:noProof/>
          </w:rPr>
          <w:t>6.</w:t>
        </w:r>
        <w:r w:rsidR="00427B30">
          <w:rPr>
            <w:rFonts w:asciiTheme="minorHAnsi" w:eastAsiaTheme="minorEastAsia" w:hAnsiTheme="minorHAnsi" w:cstheme="minorBidi"/>
            <w:noProof/>
            <w:sz w:val="22"/>
            <w:szCs w:val="22"/>
            <w:lang w:val="fr-LU" w:eastAsia="fr-LU"/>
          </w:rPr>
          <w:tab/>
        </w:r>
        <w:r w:rsidR="00427B30" w:rsidRPr="00EF6D7E">
          <w:rPr>
            <w:rStyle w:val="Hyperlink"/>
            <w:noProof/>
          </w:rPr>
          <w:t>Ammissibilità</w:t>
        </w:r>
        <w:r w:rsidR="00427B30">
          <w:rPr>
            <w:noProof/>
            <w:webHidden/>
          </w:rPr>
          <w:tab/>
        </w:r>
        <w:r w:rsidR="00427B30">
          <w:rPr>
            <w:noProof/>
            <w:webHidden/>
          </w:rPr>
          <w:fldChar w:fldCharType="begin"/>
        </w:r>
        <w:r w:rsidR="00427B30">
          <w:rPr>
            <w:noProof/>
            <w:webHidden/>
          </w:rPr>
          <w:instrText xml:space="preserve"> PAGEREF _Toc92965237 \h </w:instrText>
        </w:r>
        <w:r w:rsidR="00427B30">
          <w:rPr>
            <w:noProof/>
            <w:webHidden/>
          </w:rPr>
        </w:r>
        <w:r w:rsidR="00427B30">
          <w:rPr>
            <w:noProof/>
            <w:webHidden/>
          </w:rPr>
          <w:fldChar w:fldCharType="separate"/>
        </w:r>
        <w:r w:rsidR="009F315E">
          <w:rPr>
            <w:noProof/>
            <w:webHidden/>
          </w:rPr>
          <w:t>12</w:t>
        </w:r>
        <w:r w:rsidR="00427B30">
          <w:rPr>
            <w:noProof/>
            <w:webHidden/>
          </w:rPr>
          <w:fldChar w:fldCharType="end"/>
        </w:r>
      </w:hyperlink>
    </w:p>
    <w:p w14:paraId="49C64DE4" w14:textId="1982461B" w:rsidR="00427B30" w:rsidRDefault="00B73F40">
      <w:pPr>
        <w:pStyle w:val="TOC3"/>
        <w:rPr>
          <w:rFonts w:asciiTheme="minorHAnsi" w:eastAsiaTheme="minorEastAsia" w:hAnsiTheme="minorHAnsi" w:cstheme="minorBidi"/>
          <w:sz w:val="22"/>
          <w:szCs w:val="22"/>
          <w:lang w:val="fr-LU" w:eastAsia="fr-LU"/>
        </w:rPr>
      </w:pPr>
      <w:hyperlink w:anchor="_Toc92965238" w:history="1">
        <w:r w:rsidR="00427B30" w:rsidRPr="00EF6D7E">
          <w:rPr>
            <w:rStyle w:val="Hyperlink"/>
          </w:rPr>
          <w:t>Partecipanti ammissibili (paesi ammissibili)</w:t>
        </w:r>
        <w:r w:rsidR="00427B30">
          <w:rPr>
            <w:webHidden/>
          </w:rPr>
          <w:tab/>
        </w:r>
        <w:r w:rsidR="00427B30">
          <w:rPr>
            <w:webHidden/>
          </w:rPr>
          <w:fldChar w:fldCharType="begin"/>
        </w:r>
        <w:r w:rsidR="00427B30">
          <w:rPr>
            <w:webHidden/>
          </w:rPr>
          <w:instrText xml:space="preserve"> PAGEREF _Toc92965238 \h </w:instrText>
        </w:r>
        <w:r w:rsidR="00427B30">
          <w:rPr>
            <w:webHidden/>
          </w:rPr>
        </w:r>
        <w:r w:rsidR="00427B30">
          <w:rPr>
            <w:webHidden/>
          </w:rPr>
          <w:fldChar w:fldCharType="separate"/>
        </w:r>
        <w:r w:rsidR="009F315E">
          <w:rPr>
            <w:webHidden/>
          </w:rPr>
          <w:t>12</w:t>
        </w:r>
        <w:r w:rsidR="00427B30">
          <w:rPr>
            <w:webHidden/>
          </w:rPr>
          <w:fldChar w:fldCharType="end"/>
        </w:r>
      </w:hyperlink>
    </w:p>
    <w:p w14:paraId="57A6EDA2" w14:textId="2B4127BA" w:rsidR="00427B30" w:rsidRDefault="00B73F40">
      <w:pPr>
        <w:pStyle w:val="TOC3"/>
        <w:rPr>
          <w:rFonts w:asciiTheme="minorHAnsi" w:eastAsiaTheme="minorEastAsia" w:hAnsiTheme="minorHAnsi" w:cstheme="minorBidi"/>
          <w:sz w:val="22"/>
          <w:szCs w:val="22"/>
          <w:lang w:val="fr-LU" w:eastAsia="fr-LU"/>
        </w:rPr>
      </w:pPr>
      <w:hyperlink w:anchor="_Toc92965239" w:history="1">
        <w:r w:rsidR="00427B30" w:rsidRPr="00EF6D7E">
          <w:rPr>
            <w:rStyle w:val="Hyperlink"/>
          </w:rPr>
          <w:t>Composizione del consorzio</w:t>
        </w:r>
        <w:r w:rsidR="00427B30">
          <w:rPr>
            <w:webHidden/>
          </w:rPr>
          <w:tab/>
        </w:r>
        <w:r w:rsidR="00427B30">
          <w:rPr>
            <w:webHidden/>
          </w:rPr>
          <w:fldChar w:fldCharType="begin"/>
        </w:r>
        <w:r w:rsidR="00427B30">
          <w:rPr>
            <w:webHidden/>
          </w:rPr>
          <w:instrText xml:space="preserve"> PAGEREF _Toc92965239 \h </w:instrText>
        </w:r>
        <w:r w:rsidR="00427B30">
          <w:rPr>
            <w:webHidden/>
          </w:rPr>
        </w:r>
        <w:r w:rsidR="00427B30">
          <w:rPr>
            <w:webHidden/>
          </w:rPr>
          <w:fldChar w:fldCharType="separate"/>
        </w:r>
        <w:r w:rsidR="009F315E">
          <w:rPr>
            <w:webHidden/>
          </w:rPr>
          <w:t>14</w:t>
        </w:r>
        <w:r w:rsidR="00427B30">
          <w:rPr>
            <w:webHidden/>
          </w:rPr>
          <w:fldChar w:fldCharType="end"/>
        </w:r>
      </w:hyperlink>
    </w:p>
    <w:p w14:paraId="39F73678" w14:textId="371748FF" w:rsidR="00427B30" w:rsidRDefault="00B73F40">
      <w:pPr>
        <w:pStyle w:val="TOC3"/>
        <w:rPr>
          <w:rFonts w:asciiTheme="minorHAnsi" w:eastAsiaTheme="minorEastAsia" w:hAnsiTheme="minorHAnsi" w:cstheme="minorBidi"/>
          <w:sz w:val="22"/>
          <w:szCs w:val="22"/>
          <w:lang w:val="fr-LU" w:eastAsia="fr-LU"/>
        </w:rPr>
      </w:pPr>
      <w:hyperlink w:anchor="_Toc92965240" w:history="1">
        <w:r w:rsidR="00427B30" w:rsidRPr="00EF6D7E">
          <w:rPr>
            <w:rStyle w:val="Hyperlink"/>
          </w:rPr>
          <w:t>Attività ammissibili</w:t>
        </w:r>
        <w:r w:rsidR="00427B30">
          <w:rPr>
            <w:webHidden/>
          </w:rPr>
          <w:tab/>
        </w:r>
        <w:r w:rsidR="00427B30">
          <w:rPr>
            <w:webHidden/>
          </w:rPr>
          <w:fldChar w:fldCharType="begin"/>
        </w:r>
        <w:r w:rsidR="00427B30">
          <w:rPr>
            <w:webHidden/>
          </w:rPr>
          <w:instrText xml:space="preserve"> PAGEREF _Toc92965240 \h </w:instrText>
        </w:r>
        <w:r w:rsidR="00427B30">
          <w:rPr>
            <w:webHidden/>
          </w:rPr>
        </w:r>
        <w:r w:rsidR="00427B30">
          <w:rPr>
            <w:webHidden/>
          </w:rPr>
          <w:fldChar w:fldCharType="separate"/>
        </w:r>
        <w:r w:rsidR="009F315E">
          <w:rPr>
            <w:webHidden/>
          </w:rPr>
          <w:t>14</w:t>
        </w:r>
        <w:r w:rsidR="00427B30">
          <w:rPr>
            <w:webHidden/>
          </w:rPr>
          <w:fldChar w:fldCharType="end"/>
        </w:r>
      </w:hyperlink>
    </w:p>
    <w:p w14:paraId="5BF17288" w14:textId="19307C7E" w:rsidR="00427B30" w:rsidRDefault="00B73F40">
      <w:pPr>
        <w:pStyle w:val="TOC3"/>
        <w:rPr>
          <w:rFonts w:asciiTheme="minorHAnsi" w:eastAsiaTheme="minorEastAsia" w:hAnsiTheme="minorHAnsi" w:cstheme="minorBidi"/>
          <w:sz w:val="22"/>
          <w:szCs w:val="22"/>
          <w:lang w:val="fr-LU" w:eastAsia="fr-LU"/>
        </w:rPr>
      </w:pPr>
      <w:hyperlink w:anchor="_Toc92965241" w:history="1">
        <w:r w:rsidR="00427B30" w:rsidRPr="00EF6D7E">
          <w:rPr>
            <w:rStyle w:val="Hyperlink"/>
          </w:rPr>
          <w:t>Ubicazione geografica (paesi destinatari)</w:t>
        </w:r>
        <w:r w:rsidR="00427B30">
          <w:rPr>
            <w:webHidden/>
          </w:rPr>
          <w:tab/>
        </w:r>
        <w:r w:rsidR="00427B30">
          <w:rPr>
            <w:webHidden/>
          </w:rPr>
          <w:fldChar w:fldCharType="begin"/>
        </w:r>
        <w:r w:rsidR="00427B30">
          <w:rPr>
            <w:webHidden/>
          </w:rPr>
          <w:instrText xml:space="preserve"> PAGEREF _Toc92965241 \h </w:instrText>
        </w:r>
        <w:r w:rsidR="00427B30">
          <w:rPr>
            <w:webHidden/>
          </w:rPr>
        </w:r>
        <w:r w:rsidR="00427B30">
          <w:rPr>
            <w:webHidden/>
          </w:rPr>
          <w:fldChar w:fldCharType="separate"/>
        </w:r>
        <w:r w:rsidR="009F315E">
          <w:rPr>
            <w:webHidden/>
          </w:rPr>
          <w:t>15</w:t>
        </w:r>
        <w:r w:rsidR="00427B30">
          <w:rPr>
            <w:webHidden/>
          </w:rPr>
          <w:fldChar w:fldCharType="end"/>
        </w:r>
      </w:hyperlink>
    </w:p>
    <w:p w14:paraId="58C3BC8C" w14:textId="0672B03A" w:rsidR="00427B30" w:rsidRDefault="00B73F40">
      <w:pPr>
        <w:pStyle w:val="TOC3"/>
        <w:rPr>
          <w:rFonts w:asciiTheme="minorHAnsi" w:eastAsiaTheme="minorEastAsia" w:hAnsiTheme="minorHAnsi" w:cstheme="minorBidi"/>
          <w:sz w:val="22"/>
          <w:szCs w:val="22"/>
          <w:lang w:val="fr-LU" w:eastAsia="fr-LU"/>
        </w:rPr>
      </w:pPr>
      <w:hyperlink w:anchor="_Toc92965242" w:history="1">
        <w:r w:rsidR="00427B30" w:rsidRPr="00EF6D7E">
          <w:rPr>
            <w:rStyle w:val="Hyperlink"/>
          </w:rPr>
          <w:t>Durata</w:t>
        </w:r>
        <w:r w:rsidR="00427B30">
          <w:rPr>
            <w:webHidden/>
          </w:rPr>
          <w:tab/>
        </w:r>
        <w:r w:rsidR="00427B30">
          <w:rPr>
            <w:webHidden/>
          </w:rPr>
          <w:fldChar w:fldCharType="begin"/>
        </w:r>
        <w:r w:rsidR="00427B30">
          <w:rPr>
            <w:webHidden/>
          </w:rPr>
          <w:instrText xml:space="preserve"> PAGEREF _Toc92965242 \h </w:instrText>
        </w:r>
        <w:r w:rsidR="00427B30">
          <w:rPr>
            <w:webHidden/>
          </w:rPr>
        </w:r>
        <w:r w:rsidR="00427B30">
          <w:rPr>
            <w:webHidden/>
          </w:rPr>
          <w:fldChar w:fldCharType="separate"/>
        </w:r>
        <w:r w:rsidR="009F315E">
          <w:rPr>
            <w:webHidden/>
          </w:rPr>
          <w:t>15</w:t>
        </w:r>
        <w:r w:rsidR="00427B30">
          <w:rPr>
            <w:webHidden/>
          </w:rPr>
          <w:fldChar w:fldCharType="end"/>
        </w:r>
      </w:hyperlink>
    </w:p>
    <w:p w14:paraId="68252B56" w14:textId="1BE3CE4E" w:rsidR="00427B30" w:rsidRDefault="00B73F40">
      <w:pPr>
        <w:pStyle w:val="TOC3"/>
        <w:rPr>
          <w:rFonts w:asciiTheme="minorHAnsi" w:eastAsiaTheme="minorEastAsia" w:hAnsiTheme="minorHAnsi" w:cstheme="minorBidi"/>
          <w:sz w:val="22"/>
          <w:szCs w:val="22"/>
          <w:lang w:val="fr-LU" w:eastAsia="fr-LU"/>
        </w:rPr>
      </w:pPr>
      <w:hyperlink w:anchor="_Toc92965243" w:history="1">
        <w:r w:rsidR="00427B30" w:rsidRPr="00EF6D7E">
          <w:rPr>
            <w:rStyle w:val="Hyperlink"/>
          </w:rPr>
          <w:t>Etica e valori dell’UE</w:t>
        </w:r>
        <w:r w:rsidR="00427B30">
          <w:rPr>
            <w:webHidden/>
          </w:rPr>
          <w:tab/>
        </w:r>
        <w:r w:rsidR="00427B30">
          <w:rPr>
            <w:webHidden/>
          </w:rPr>
          <w:fldChar w:fldCharType="begin"/>
        </w:r>
        <w:r w:rsidR="00427B30">
          <w:rPr>
            <w:webHidden/>
          </w:rPr>
          <w:instrText xml:space="preserve"> PAGEREF _Toc92965243 \h </w:instrText>
        </w:r>
        <w:r w:rsidR="00427B30">
          <w:rPr>
            <w:webHidden/>
          </w:rPr>
        </w:r>
        <w:r w:rsidR="00427B30">
          <w:rPr>
            <w:webHidden/>
          </w:rPr>
          <w:fldChar w:fldCharType="separate"/>
        </w:r>
        <w:r w:rsidR="009F315E">
          <w:rPr>
            <w:webHidden/>
          </w:rPr>
          <w:t>15</w:t>
        </w:r>
        <w:r w:rsidR="00427B30">
          <w:rPr>
            <w:webHidden/>
          </w:rPr>
          <w:fldChar w:fldCharType="end"/>
        </w:r>
      </w:hyperlink>
    </w:p>
    <w:p w14:paraId="74FC7255" w14:textId="05B9DD16" w:rsidR="00427B30" w:rsidRDefault="00B73F40">
      <w:pPr>
        <w:pStyle w:val="TOC1"/>
        <w:rPr>
          <w:rFonts w:asciiTheme="minorHAnsi" w:eastAsiaTheme="minorEastAsia" w:hAnsiTheme="minorHAnsi" w:cstheme="minorBidi"/>
          <w:noProof/>
          <w:sz w:val="22"/>
          <w:szCs w:val="22"/>
          <w:lang w:val="fr-LU" w:eastAsia="fr-LU"/>
        </w:rPr>
      </w:pPr>
      <w:hyperlink w:anchor="_Toc92965244" w:history="1">
        <w:r w:rsidR="00427B30" w:rsidRPr="00EF6D7E">
          <w:rPr>
            <w:rStyle w:val="Hyperlink"/>
            <w:noProof/>
          </w:rPr>
          <w:t>7.</w:t>
        </w:r>
        <w:r w:rsidR="00427B30">
          <w:rPr>
            <w:rFonts w:asciiTheme="minorHAnsi" w:eastAsiaTheme="minorEastAsia" w:hAnsiTheme="minorHAnsi" w:cstheme="minorBidi"/>
            <w:noProof/>
            <w:sz w:val="22"/>
            <w:szCs w:val="22"/>
            <w:lang w:val="fr-LU" w:eastAsia="fr-LU"/>
          </w:rPr>
          <w:tab/>
        </w:r>
        <w:r w:rsidR="00427B30" w:rsidRPr="00EF6D7E">
          <w:rPr>
            <w:rStyle w:val="Hyperlink"/>
            <w:noProof/>
          </w:rPr>
          <w:t>Capacità finanziaria e operativa ed esclusione</w:t>
        </w:r>
        <w:r w:rsidR="00427B30">
          <w:rPr>
            <w:noProof/>
            <w:webHidden/>
          </w:rPr>
          <w:tab/>
        </w:r>
        <w:r w:rsidR="00427B30">
          <w:rPr>
            <w:noProof/>
            <w:webHidden/>
          </w:rPr>
          <w:fldChar w:fldCharType="begin"/>
        </w:r>
        <w:r w:rsidR="00427B30">
          <w:rPr>
            <w:noProof/>
            <w:webHidden/>
          </w:rPr>
          <w:instrText xml:space="preserve"> PAGEREF _Toc92965244 \h </w:instrText>
        </w:r>
        <w:r w:rsidR="00427B30">
          <w:rPr>
            <w:noProof/>
            <w:webHidden/>
          </w:rPr>
        </w:r>
        <w:r w:rsidR="00427B30">
          <w:rPr>
            <w:noProof/>
            <w:webHidden/>
          </w:rPr>
          <w:fldChar w:fldCharType="separate"/>
        </w:r>
        <w:r w:rsidR="009F315E">
          <w:rPr>
            <w:noProof/>
            <w:webHidden/>
          </w:rPr>
          <w:t>16</w:t>
        </w:r>
        <w:r w:rsidR="00427B30">
          <w:rPr>
            <w:noProof/>
            <w:webHidden/>
          </w:rPr>
          <w:fldChar w:fldCharType="end"/>
        </w:r>
      </w:hyperlink>
    </w:p>
    <w:p w14:paraId="13BB1CE5" w14:textId="55C3F17F" w:rsidR="00427B30" w:rsidRDefault="00B73F40">
      <w:pPr>
        <w:pStyle w:val="TOC3"/>
        <w:rPr>
          <w:rFonts w:asciiTheme="minorHAnsi" w:eastAsiaTheme="minorEastAsia" w:hAnsiTheme="minorHAnsi" w:cstheme="minorBidi"/>
          <w:sz w:val="22"/>
          <w:szCs w:val="22"/>
          <w:lang w:val="fr-LU" w:eastAsia="fr-LU"/>
        </w:rPr>
      </w:pPr>
      <w:hyperlink w:anchor="_Toc92965245" w:history="1">
        <w:r w:rsidR="00427B30" w:rsidRPr="00EF6D7E">
          <w:rPr>
            <w:rStyle w:val="Hyperlink"/>
          </w:rPr>
          <w:t>Capacità finanziaria</w:t>
        </w:r>
        <w:r w:rsidR="00427B30">
          <w:rPr>
            <w:webHidden/>
          </w:rPr>
          <w:tab/>
        </w:r>
        <w:r w:rsidR="00427B30">
          <w:rPr>
            <w:webHidden/>
          </w:rPr>
          <w:fldChar w:fldCharType="begin"/>
        </w:r>
        <w:r w:rsidR="00427B30">
          <w:rPr>
            <w:webHidden/>
          </w:rPr>
          <w:instrText xml:space="preserve"> PAGEREF _Toc92965245 \h </w:instrText>
        </w:r>
        <w:r w:rsidR="00427B30">
          <w:rPr>
            <w:webHidden/>
          </w:rPr>
        </w:r>
        <w:r w:rsidR="00427B30">
          <w:rPr>
            <w:webHidden/>
          </w:rPr>
          <w:fldChar w:fldCharType="separate"/>
        </w:r>
        <w:r w:rsidR="009F315E">
          <w:rPr>
            <w:webHidden/>
          </w:rPr>
          <w:t>16</w:t>
        </w:r>
        <w:r w:rsidR="00427B30">
          <w:rPr>
            <w:webHidden/>
          </w:rPr>
          <w:fldChar w:fldCharType="end"/>
        </w:r>
      </w:hyperlink>
    </w:p>
    <w:p w14:paraId="0C5033F8" w14:textId="71446C27" w:rsidR="00427B30" w:rsidRDefault="00B73F40">
      <w:pPr>
        <w:pStyle w:val="TOC3"/>
        <w:rPr>
          <w:rFonts w:asciiTheme="minorHAnsi" w:eastAsiaTheme="minorEastAsia" w:hAnsiTheme="minorHAnsi" w:cstheme="minorBidi"/>
          <w:sz w:val="22"/>
          <w:szCs w:val="22"/>
          <w:lang w:val="fr-LU" w:eastAsia="fr-LU"/>
        </w:rPr>
      </w:pPr>
      <w:hyperlink w:anchor="_Toc92965246" w:history="1">
        <w:r w:rsidR="00427B30" w:rsidRPr="00EF6D7E">
          <w:rPr>
            <w:rStyle w:val="Hyperlink"/>
          </w:rPr>
          <w:t>Capacità operativa</w:t>
        </w:r>
        <w:r w:rsidR="00427B30">
          <w:rPr>
            <w:webHidden/>
          </w:rPr>
          <w:tab/>
        </w:r>
        <w:r w:rsidR="00427B30">
          <w:rPr>
            <w:webHidden/>
          </w:rPr>
          <w:fldChar w:fldCharType="begin"/>
        </w:r>
        <w:r w:rsidR="00427B30">
          <w:rPr>
            <w:webHidden/>
          </w:rPr>
          <w:instrText xml:space="preserve"> PAGEREF _Toc92965246 \h </w:instrText>
        </w:r>
        <w:r w:rsidR="00427B30">
          <w:rPr>
            <w:webHidden/>
          </w:rPr>
        </w:r>
        <w:r w:rsidR="00427B30">
          <w:rPr>
            <w:webHidden/>
          </w:rPr>
          <w:fldChar w:fldCharType="separate"/>
        </w:r>
        <w:r w:rsidR="009F315E">
          <w:rPr>
            <w:webHidden/>
          </w:rPr>
          <w:t>17</w:t>
        </w:r>
        <w:r w:rsidR="00427B30">
          <w:rPr>
            <w:webHidden/>
          </w:rPr>
          <w:fldChar w:fldCharType="end"/>
        </w:r>
      </w:hyperlink>
    </w:p>
    <w:p w14:paraId="7BE65C19" w14:textId="1CCF50A4" w:rsidR="00427B30" w:rsidRDefault="00B73F40">
      <w:pPr>
        <w:pStyle w:val="TOC3"/>
        <w:rPr>
          <w:rFonts w:asciiTheme="minorHAnsi" w:eastAsiaTheme="minorEastAsia" w:hAnsiTheme="minorHAnsi" w:cstheme="minorBidi"/>
          <w:sz w:val="22"/>
          <w:szCs w:val="22"/>
          <w:lang w:val="fr-LU" w:eastAsia="fr-LU"/>
        </w:rPr>
      </w:pPr>
      <w:hyperlink w:anchor="_Toc92965247" w:history="1">
        <w:r w:rsidR="00427B30" w:rsidRPr="00EF6D7E">
          <w:rPr>
            <w:rStyle w:val="Hyperlink"/>
          </w:rPr>
          <w:t>Esclusione</w:t>
        </w:r>
        <w:r w:rsidR="00427B30">
          <w:rPr>
            <w:webHidden/>
          </w:rPr>
          <w:tab/>
        </w:r>
        <w:r w:rsidR="00427B30">
          <w:rPr>
            <w:webHidden/>
          </w:rPr>
          <w:fldChar w:fldCharType="begin"/>
        </w:r>
        <w:r w:rsidR="00427B30">
          <w:rPr>
            <w:webHidden/>
          </w:rPr>
          <w:instrText xml:space="preserve"> PAGEREF _Toc92965247 \h </w:instrText>
        </w:r>
        <w:r w:rsidR="00427B30">
          <w:rPr>
            <w:webHidden/>
          </w:rPr>
        </w:r>
        <w:r w:rsidR="00427B30">
          <w:rPr>
            <w:webHidden/>
          </w:rPr>
          <w:fldChar w:fldCharType="separate"/>
        </w:r>
        <w:r w:rsidR="009F315E">
          <w:rPr>
            <w:webHidden/>
          </w:rPr>
          <w:t>17</w:t>
        </w:r>
        <w:r w:rsidR="00427B30">
          <w:rPr>
            <w:webHidden/>
          </w:rPr>
          <w:fldChar w:fldCharType="end"/>
        </w:r>
      </w:hyperlink>
    </w:p>
    <w:p w14:paraId="4F683553" w14:textId="00F57E00" w:rsidR="00427B30" w:rsidRDefault="00B73F40">
      <w:pPr>
        <w:pStyle w:val="TOC1"/>
        <w:rPr>
          <w:rFonts w:asciiTheme="minorHAnsi" w:eastAsiaTheme="minorEastAsia" w:hAnsiTheme="minorHAnsi" w:cstheme="minorBidi"/>
          <w:noProof/>
          <w:sz w:val="22"/>
          <w:szCs w:val="22"/>
          <w:lang w:val="fr-LU" w:eastAsia="fr-LU"/>
        </w:rPr>
      </w:pPr>
      <w:hyperlink w:anchor="_Toc92965248" w:history="1">
        <w:r w:rsidR="00427B30" w:rsidRPr="00EF6D7E">
          <w:rPr>
            <w:rStyle w:val="Hyperlink"/>
            <w:noProof/>
          </w:rPr>
          <w:t>8.</w:t>
        </w:r>
        <w:r w:rsidR="00427B30">
          <w:rPr>
            <w:rFonts w:asciiTheme="minorHAnsi" w:eastAsiaTheme="minorEastAsia" w:hAnsiTheme="minorHAnsi" w:cstheme="minorBidi"/>
            <w:noProof/>
            <w:sz w:val="22"/>
            <w:szCs w:val="22"/>
            <w:lang w:val="fr-LU" w:eastAsia="fr-LU"/>
          </w:rPr>
          <w:tab/>
        </w:r>
        <w:r w:rsidR="00427B30" w:rsidRPr="00EF6D7E">
          <w:rPr>
            <w:rStyle w:val="Hyperlink"/>
            <w:noProof/>
          </w:rPr>
          <w:t>Procedura di valutazione e aggiudicazione</w:t>
        </w:r>
        <w:r w:rsidR="00427B30">
          <w:rPr>
            <w:noProof/>
            <w:webHidden/>
          </w:rPr>
          <w:tab/>
        </w:r>
        <w:r w:rsidR="00427B30">
          <w:rPr>
            <w:noProof/>
            <w:webHidden/>
          </w:rPr>
          <w:fldChar w:fldCharType="begin"/>
        </w:r>
        <w:r w:rsidR="00427B30">
          <w:rPr>
            <w:noProof/>
            <w:webHidden/>
          </w:rPr>
          <w:instrText xml:space="preserve"> PAGEREF _Toc92965248 \h </w:instrText>
        </w:r>
        <w:r w:rsidR="00427B30">
          <w:rPr>
            <w:noProof/>
            <w:webHidden/>
          </w:rPr>
        </w:r>
        <w:r w:rsidR="00427B30">
          <w:rPr>
            <w:noProof/>
            <w:webHidden/>
          </w:rPr>
          <w:fldChar w:fldCharType="separate"/>
        </w:r>
        <w:r w:rsidR="009F315E">
          <w:rPr>
            <w:noProof/>
            <w:webHidden/>
          </w:rPr>
          <w:t>18</w:t>
        </w:r>
        <w:r w:rsidR="00427B30">
          <w:rPr>
            <w:noProof/>
            <w:webHidden/>
          </w:rPr>
          <w:fldChar w:fldCharType="end"/>
        </w:r>
      </w:hyperlink>
    </w:p>
    <w:p w14:paraId="6BD28FEF" w14:textId="00236BB6" w:rsidR="00427B30" w:rsidRDefault="00B73F40">
      <w:pPr>
        <w:pStyle w:val="TOC1"/>
        <w:rPr>
          <w:rFonts w:asciiTheme="minorHAnsi" w:eastAsiaTheme="minorEastAsia" w:hAnsiTheme="minorHAnsi" w:cstheme="minorBidi"/>
          <w:noProof/>
          <w:sz w:val="22"/>
          <w:szCs w:val="22"/>
          <w:lang w:val="fr-LU" w:eastAsia="fr-LU"/>
        </w:rPr>
      </w:pPr>
      <w:hyperlink w:anchor="_Toc92965249" w:history="1">
        <w:r w:rsidR="00427B30" w:rsidRPr="00EF6D7E">
          <w:rPr>
            <w:rStyle w:val="Hyperlink"/>
            <w:noProof/>
          </w:rPr>
          <w:t>9.</w:t>
        </w:r>
        <w:r w:rsidR="00427B30">
          <w:rPr>
            <w:rFonts w:asciiTheme="minorHAnsi" w:eastAsiaTheme="minorEastAsia" w:hAnsiTheme="minorHAnsi" w:cstheme="minorBidi"/>
            <w:noProof/>
            <w:sz w:val="22"/>
            <w:szCs w:val="22"/>
            <w:lang w:val="fr-LU" w:eastAsia="fr-LU"/>
          </w:rPr>
          <w:tab/>
        </w:r>
        <w:r w:rsidR="00427B30" w:rsidRPr="00EF6D7E">
          <w:rPr>
            <w:rStyle w:val="Hyperlink"/>
            <w:noProof/>
          </w:rPr>
          <w:t>Criteri di aggiudicazione</w:t>
        </w:r>
        <w:r w:rsidR="00427B30">
          <w:rPr>
            <w:noProof/>
            <w:webHidden/>
          </w:rPr>
          <w:tab/>
        </w:r>
        <w:r w:rsidR="00427B30">
          <w:rPr>
            <w:noProof/>
            <w:webHidden/>
          </w:rPr>
          <w:fldChar w:fldCharType="begin"/>
        </w:r>
        <w:r w:rsidR="00427B30">
          <w:rPr>
            <w:noProof/>
            <w:webHidden/>
          </w:rPr>
          <w:instrText xml:space="preserve"> PAGEREF _Toc92965249 \h </w:instrText>
        </w:r>
        <w:r w:rsidR="00427B30">
          <w:rPr>
            <w:noProof/>
            <w:webHidden/>
          </w:rPr>
        </w:r>
        <w:r w:rsidR="00427B30">
          <w:rPr>
            <w:noProof/>
            <w:webHidden/>
          </w:rPr>
          <w:fldChar w:fldCharType="separate"/>
        </w:r>
        <w:r w:rsidR="009F315E">
          <w:rPr>
            <w:noProof/>
            <w:webHidden/>
          </w:rPr>
          <w:t>19</w:t>
        </w:r>
        <w:r w:rsidR="00427B30">
          <w:rPr>
            <w:noProof/>
            <w:webHidden/>
          </w:rPr>
          <w:fldChar w:fldCharType="end"/>
        </w:r>
      </w:hyperlink>
    </w:p>
    <w:p w14:paraId="07E8BB6A" w14:textId="5CFE6624" w:rsidR="00427B30" w:rsidRDefault="00B73F40">
      <w:pPr>
        <w:pStyle w:val="TOC1"/>
        <w:rPr>
          <w:rFonts w:asciiTheme="minorHAnsi" w:eastAsiaTheme="minorEastAsia" w:hAnsiTheme="minorHAnsi" w:cstheme="minorBidi"/>
          <w:noProof/>
          <w:sz w:val="22"/>
          <w:szCs w:val="22"/>
          <w:lang w:val="fr-LU" w:eastAsia="fr-LU"/>
        </w:rPr>
      </w:pPr>
      <w:hyperlink w:anchor="_Toc92965250" w:history="1">
        <w:r w:rsidR="00427B30" w:rsidRPr="00EF6D7E">
          <w:rPr>
            <w:rStyle w:val="Hyperlink"/>
            <w:noProof/>
          </w:rPr>
          <w:t>10.</w:t>
        </w:r>
        <w:r w:rsidR="00427B30">
          <w:rPr>
            <w:rFonts w:asciiTheme="minorHAnsi" w:eastAsiaTheme="minorEastAsia" w:hAnsiTheme="minorHAnsi" w:cstheme="minorBidi"/>
            <w:noProof/>
            <w:sz w:val="22"/>
            <w:szCs w:val="22"/>
            <w:lang w:val="fr-LU" w:eastAsia="fr-LU"/>
          </w:rPr>
          <w:tab/>
        </w:r>
        <w:r w:rsidR="00427B30" w:rsidRPr="00EF6D7E">
          <w:rPr>
            <w:rStyle w:val="Hyperlink"/>
            <w:noProof/>
          </w:rPr>
          <w:t>Struttura giuridica e finanziaria delle convenzioni di sovvenzione</w:t>
        </w:r>
        <w:r w:rsidR="00427B30">
          <w:rPr>
            <w:noProof/>
            <w:webHidden/>
          </w:rPr>
          <w:tab/>
        </w:r>
        <w:r w:rsidR="00427B30">
          <w:rPr>
            <w:noProof/>
            <w:webHidden/>
          </w:rPr>
          <w:fldChar w:fldCharType="begin"/>
        </w:r>
        <w:r w:rsidR="00427B30">
          <w:rPr>
            <w:noProof/>
            <w:webHidden/>
          </w:rPr>
          <w:instrText xml:space="preserve"> PAGEREF _Toc92965250 \h </w:instrText>
        </w:r>
        <w:r w:rsidR="00427B30">
          <w:rPr>
            <w:noProof/>
            <w:webHidden/>
          </w:rPr>
        </w:r>
        <w:r w:rsidR="00427B30">
          <w:rPr>
            <w:noProof/>
            <w:webHidden/>
          </w:rPr>
          <w:fldChar w:fldCharType="separate"/>
        </w:r>
        <w:r w:rsidR="009F315E">
          <w:rPr>
            <w:noProof/>
            <w:webHidden/>
          </w:rPr>
          <w:t>20</w:t>
        </w:r>
        <w:r w:rsidR="00427B30">
          <w:rPr>
            <w:noProof/>
            <w:webHidden/>
          </w:rPr>
          <w:fldChar w:fldCharType="end"/>
        </w:r>
      </w:hyperlink>
    </w:p>
    <w:p w14:paraId="066A8117" w14:textId="3DE9C416" w:rsidR="00427B30" w:rsidRDefault="00B73F40">
      <w:pPr>
        <w:pStyle w:val="TOC3"/>
        <w:rPr>
          <w:rFonts w:asciiTheme="minorHAnsi" w:eastAsiaTheme="minorEastAsia" w:hAnsiTheme="minorHAnsi" w:cstheme="minorBidi"/>
          <w:sz w:val="22"/>
          <w:szCs w:val="22"/>
          <w:lang w:val="fr-LU" w:eastAsia="fr-LU"/>
        </w:rPr>
      </w:pPr>
      <w:hyperlink w:anchor="_Toc92965251" w:history="1">
        <w:r w:rsidR="00427B30" w:rsidRPr="00EF6D7E">
          <w:rPr>
            <w:rStyle w:val="Hyperlink"/>
          </w:rPr>
          <w:t>Data di inizio e durata del progetto</w:t>
        </w:r>
        <w:r w:rsidR="00427B30">
          <w:rPr>
            <w:webHidden/>
          </w:rPr>
          <w:tab/>
        </w:r>
        <w:r w:rsidR="00427B30">
          <w:rPr>
            <w:webHidden/>
          </w:rPr>
          <w:fldChar w:fldCharType="begin"/>
        </w:r>
        <w:r w:rsidR="00427B30">
          <w:rPr>
            <w:webHidden/>
          </w:rPr>
          <w:instrText xml:space="preserve"> PAGEREF _Toc92965251 \h </w:instrText>
        </w:r>
        <w:r w:rsidR="00427B30">
          <w:rPr>
            <w:webHidden/>
          </w:rPr>
        </w:r>
        <w:r w:rsidR="00427B30">
          <w:rPr>
            <w:webHidden/>
          </w:rPr>
          <w:fldChar w:fldCharType="separate"/>
        </w:r>
        <w:r w:rsidR="009F315E">
          <w:rPr>
            <w:webHidden/>
          </w:rPr>
          <w:t>20</w:t>
        </w:r>
        <w:r w:rsidR="00427B30">
          <w:rPr>
            <w:webHidden/>
          </w:rPr>
          <w:fldChar w:fldCharType="end"/>
        </w:r>
      </w:hyperlink>
    </w:p>
    <w:p w14:paraId="3EE70FF2" w14:textId="6C858380" w:rsidR="00427B30" w:rsidRDefault="00B73F40">
      <w:pPr>
        <w:pStyle w:val="TOC3"/>
        <w:rPr>
          <w:rFonts w:asciiTheme="minorHAnsi" w:eastAsiaTheme="minorEastAsia" w:hAnsiTheme="minorHAnsi" w:cstheme="minorBidi"/>
          <w:sz w:val="22"/>
          <w:szCs w:val="22"/>
          <w:lang w:val="fr-LU" w:eastAsia="fr-LU"/>
        </w:rPr>
      </w:pPr>
      <w:hyperlink w:anchor="_Toc92965252" w:history="1">
        <w:r w:rsidR="00427B30" w:rsidRPr="00EF6D7E">
          <w:rPr>
            <w:rStyle w:val="Hyperlink"/>
          </w:rPr>
          <w:t>Traguardi e risultati tangibili</w:t>
        </w:r>
        <w:r w:rsidR="00427B30">
          <w:rPr>
            <w:webHidden/>
          </w:rPr>
          <w:tab/>
        </w:r>
        <w:r w:rsidR="00427B30">
          <w:rPr>
            <w:webHidden/>
          </w:rPr>
          <w:fldChar w:fldCharType="begin"/>
        </w:r>
        <w:r w:rsidR="00427B30">
          <w:rPr>
            <w:webHidden/>
          </w:rPr>
          <w:instrText xml:space="preserve"> PAGEREF _Toc92965252 \h </w:instrText>
        </w:r>
        <w:r w:rsidR="00427B30">
          <w:rPr>
            <w:webHidden/>
          </w:rPr>
        </w:r>
        <w:r w:rsidR="00427B30">
          <w:rPr>
            <w:webHidden/>
          </w:rPr>
          <w:fldChar w:fldCharType="separate"/>
        </w:r>
        <w:r w:rsidR="009F315E">
          <w:rPr>
            <w:webHidden/>
          </w:rPr>
          <w:t>21</w:t>
        </w:r>
        <w:r w:rsidR="00427B30">
          <w:rPr>
            <w:webHidden/>
          </w:rPr>
          <w:fldChar w:fldCharType="end"/>
        </w:r>
      </w:hyperlink>
    </w:p>
    <w:p w14:paraId="415B806B" w14:textId="1D9250F8" w:rsidR="00427B30" w:rsidRDefault="00B73F40">
      <w:pPr>
        <w:pStyle w:val="TOC3"/>
        <w:rPr>
          <w:rFonts w:asciiTheme="minorHAnsi" w:eastAsiaTheme="minorEastAsia" w:hAnsiTheme="minorHAnsi" w:cstheme="minorBidi"/>
          <w:sz w:val="22"/>
          <w:szCs w:val="22"/>
          <w:lang w:val="fr-LU" w:eastAsia="fr-LU"/>
        </w:rPr>
      </w:pPr>
      <w:hyperlink w:anchor="_Toc92965253" w:history="1">
        <w:r w:rsidR="00427B30" w:rsidRPr="00EF6D7E">
          <w:rPr>
            <w:rStyle w:val="Hyperlink"/>
          </w:rPr>
          <w:t>Forma, tasso di finanziamento e importo massimo della sovvenzione</w:t>
        </w:r>
        <w:r w:rsidR="00427B30">
          <w:rPr>
            <w:webHidden/>
          </w:rPr>
          <w:tab/>
        </w:r>
        <w:r w:rsidR="00427B30">
          <w:rPr>
            <w:webHidden/>
          </w:rPr>
          <w:fldChar w:fldCharType="begin"/>
        </w:r>
        <w:r w:rsidR="00427B30">
          <w:rPr>
            <w:webHidden/>
          </w:rPr>
          <w:instrText xml:space="preserve"> PAGEREF _Toc92965253 \h </w:instrText>
        </w:r>
        <w:r w:rsidR="00427B30">
          <w:rPr>
            <w:webHidden/>
          </w:rPr>
        </w:r>
        <w:r w:rsidR="00427B30">
          <w:rPr>
            <w:webHidden/>
          </w:rPr>
          <w:fldChar w:fldCharType="separate"/>
        </w:r>
        <w:r w:rsidR="009F315E">
          <w:rPr>
            <w:webHidden/>
          </w:rPr>
          <w:t>21</w:t>
        </w:r>
        <w:r w:rsidR="00427B30">
          <w:rPr>
            <w:webHidden/>
          </w:rPr>
          <w:fldChar w:fldCharType="end"/>
        </w:r>
      </w:hyperlink>
    </w:p>
    <w:p w14:paraId="6E5A69FA" w14:textId="0C10FF05" w:rsidR="00427B30" w:rsidRDefault="00B73F40">
      <w:pPr>
        <w:pStyle w:val="TOC3"/>
        <w:rPr>
          <w:rFonts w:asciiTheme="minorHAnsi" w:eastAsiaTheme="minorEastAsia" w:hAnsiTheme="minorHAnsi" w:cstheme="minorBidi"/>
          <w:sz w:val="22"/>
          <w:szCs w:val="22"/>
          <w:lang w:val="fr-LU" w:eastAsia="fr-LU"/>
        </w:rPr>
      </w:pPr>
      <w:hyperlink w:anchor="_Toc92965254" w:history="1">
        <w:r w:rsidR="00427B30" w:rsidRPr="00EF6D7E">
          <w:rPr>
            <w:rStyle w:val="Hyperlink"/>
          </w:rPr>
          <w:t>Categorie di bilancio e norme di ammissibilità dei costi</w:t>
        </w:r>
        <w:r w:rsidR="00427B30">
          <w:rPr>
            <w:webHidden/>
          </w:rPr>
          <w:tab/>
        </w:r>
        <w:r w:rsidR="00427B30">
          <w:rPr>
            <w:webHidden/>
          </w:rPr>
          <w:fldChar w:fldCharType="begin"/>
        </w:r>
        <w:r w:rsidR="00427B30">
          <w:rPr>
            <w:webHidden/>
          </w:rPr>
          <w:instrText xml:space="preserve"> PAGEREF _Toc92965254 \h </w:instrText>
        </w:r>
        <w:r w:rsidR="00427B30">
          <w:rPr>
            <w:webHidden/>
          </w:rPr>
        </w:r>
        <w:r w:rsidR="00427B30">
          <w:rPr>
            <w:webHidden/>
          </w:rPr>
          <w:fldChar w:fldCharType="separate"/>
        </w:r>
        <w:r w:rsidR="009F315E">
          <w:rPr>
            <w:webHidden/>
          </w:rPr>
          <w:t>21</w:t>
        </w:r>
        <w:r w:rsidR="00427B30">
          <w:rPr>
            <w:webHidden/>
          </w:rPr>
          <w:fldChar w:fldCharType="end"/>
        </w:r>
      </w:hyperlink>
    </w:p>
    <w:p w14:paraId="1DA0853F" w14:textId="1BCE623A" w:rsidR="00427B30" w:rsidRDefault="00B73F40">
      <w:pPr>
        <w:pStyle w:val="TOC3"/>
        <w:rPr>
          <w:rFonts w:asciiTheme="minorHAnsi" w:eastAsiaTheme="minorEastAsia" w:hAnsiTheme="minorHAnsi" w:cstheme="minorBidi"/>
          <w:sz w:val="22"/>
          <w:szCs w:val="22"/>
          <w:lang w:val="fr-LU" w:eastAsia="fr-LU"/>
        </w:rPr>
      </w:pPr>
      <w:hyperlink w:anchor="_Toc92965255" w:history="1">
        <w:r w:rsidR="00427B30" w:rsidRPr="00EF6D7E">
          <w:rPr>
            <w:rStyle w:val="Hyperlink"/>
          </w:rPr>
          <w:t>Rendicontazione e modalità di pagamento</w:t>
        </w:r>
        <w:r w:rsidR="00427B30">
          <w:rPr>
            <w:webHidden/>
          </w:rPr>
          <w:tab/>
        </w:r>
        <w:r w:rsidR="00427B30">
          <w:rPr>
            <w:webHidden/>
          </w:rPr>
          <w:fldChar w:fldCharType="begin"/>
        </w:r>
        <w:r w:rsidR="00427B30">
          <w:rPr>
            <w:webHidden/>
          </w:rPr>
          <w:instrText xml:space="preserve"> PAGEREF _Toc92965255 \h </w:instrText>
        </w:r>
        <w:r w:rsidR="00427B30">
          <w:rPr>
            <w:webHidden/>
          </w:rPr>
        </w:r>
        <w:r w:rsidR="00427B30">
          <w:rPr>
            <w:webHidden/>
          </w:rPr>
          <w:fldChar w:fldCharType="separate"/>
        </w:r>
        <w:r w:rsidR="009F315E">
          <w:rPr>
            <w:webHidden/>
          </w:rPr>
          <w:t>21</w:t>
        </w:r>
        <w:r w:rsidR="00427B30">
          <w:rPr>
            <w:webHidden/>
          </w:rPr>
          <w:fldChar w:fldCharType="end"/>
        </w:r>
      </w:hyperlink>
    </w:p>
    <w:p w14:paraId="32248B3E" w14:textId="3800DF74" w:rsidR="00427B30" w:rsidRDefault="00B73F40">
      <w:pPr>
        <w:pStyle w:val="TOC3"/>
        <w:rPr>
          <w:rFonts w:asciiTheme="minorHAnsi" w:eastAsiaTheme="minorEastAsia" w:hAnsiTheme="minorHAnsi" w:cstheme="minorBidi"/>
          <w:sz w:val="22"/>
          <w:szCs w:val="22"/>
          <w:lang w:val="fr-LU" w:eastAsia="fr-LU"/>
        </w:rPr>
      </w:pPr>
      <w:hyperlink w:anchor="_Toc92965256" w:history="1">
        <w:r w:rsidR="00427B30" w:rsidRPr="00EF6D7E">
          <w:rPr>
            <w:rStyle w:val="Hyperlink"/>
          </w:rPr>
          <w:t>Garanzie di prefinanziamento</w:t>
        </w:r>
        <w:r w:rsidR="00427B30">
          <w:rPr>
            <w:webHidden/>
          </w:rPr>
          <w:tab/>
        </w:r>
        <w:r w:rsidR="00427B30">
          <w:rPr>
            <w:webHidden/>
          </w:rPr>
          <w:fldChar w:fldCharType="begin"/>
        </w:r>
        <w:r w:rsidR="00427B30">
          <w:rPr>
            <w:webHidden/>
          </w:rPr>
          <w:instrText xml:space="preserve"> PAGEREF _Toc92965256 \h </w:instrText>
        </w:r>
        <w:r w:rsidR="00427B30">
          <w:rPr>
            <w:webHidden/>
          </w:rPr>
        </w:r>
        <w:r w:rsidR="00427B30">
          <w:rPr>
            <w:webHidden/>
          </w:rPr>
          <w:fldChar w:fldCharType="separate"/>
        </w:r>
        <w:r w:rsidR="009F315E">
          <w:rPr>
            <w:webHidden/>
          </w:rPr>
          <w:t>22</w:t>
        </w:r>
        <w:r w:rsidR="00427B30">
          <w:rPr>
            <w:webHidden/>
          </w:rPr>
          <w:fldChar w:fldCharType="end"/>
        </w:r>
      </w:hyperlink>
    </w:p>
    <w:p w14:paraId="3EFE9CB2" w14:textId="2B746AE3" w:rsidR="00427B30" w:rsidRDefault="00B73F40">
      <w:pPr>
        <w:pStyle w:val="TOC3"/>
        <w:rPr>
          <w:rFonts w:asciiTheme="minorHAnsi" w:eastAsiaTheme="minorEastAsia" w:hAnsiTheme="minorHAnsi" w:cstheme="minorBidi"/>
          <w:sz w:val="22"/>
          <w:szCs w:val="22"/>
          <w:lang w:val="fr-LU" w:eastAsia="fr-LU"/>
        </w:rPr>
      </w:pPr>
      <w:hyperlink w:anchor="_Toc92965257" w:history="1">
        <w:r w:rsidR="00427B30" w:rsidRPr="00EF6D7E">
          <w:rPr>
            <w:rStyle w:val="Hyperlink"/>
          </w:rPr>
          <w:t>Certificati</w:t>
        </w:r>
        <w:r w:rsidR="00427B30">
          <w:rPr>
            <w:webHidden/>
          </w:rPr>
          <w:tab/>
        </w:r>
        <w:r w:rsidR="00427B30">
          <w:rPr>
            <w:webHidden/>
          </w:rPr>
          <w:fldChar w:fldCharType="begin"/>
        </w:r>
        <w:r w:rsidR="00427B30">
          <w:rPr>
            <w:webHidden/>
          </w:rPr>
          <w:instrText xml:space="preserve"> PAGEREF _Toc92965257 \h </w:instrText>
        </w:r>
        <w:r w:rsidR="00427B30">
          <w:rPr>
            <w:webHidden/>
          </w:rPr>
        </w:r>
        <w:r w:rsidR="00427B30">
          <w:rPr>
            <w:webHidden/>
          </w:rPr>
          <w:fldChar w:fldCharType="separate"/>
        </w:r>
        <w:r w:rsidR="009F315E">
          <w:rPr>
            <w:webHidden/>
          </w:rPr>
          <w:t>23</w:t>
        </w:r>
        <w:r w:rsidR="00427B30">
          <w:rPr>
            <w:webHidden/>
          </w:rPr>
          <w:fldChar w:fldCharType="end"/>
        </w:r>
      </w:hyperlink>
    </w:p>
    <w:p w14:paraId="48CE23F7" w14:textId="742A98A2" w:rsidR="00427B30" w:rsidRDefault="00B73F40">
      <w:pPr>
        <w:pStyle w:val="TOC3"/>
        <w:rPr>
          <w:rFonts w:asciiTheme="minorHAnsi" w:eastAsiaTheme="minorEastAsia" w:hAnsiTheme="minorHAnsi" w:cstheme="minorBidi"/>
          <w:sz w:val="22"/>
          <w:szCs w:val="22"/>
          <w:lang w:val="fr-LU" w:eastAsia="fr-LU"/>
        </w:rPr>
      </w:pPr>
      <w:hyperlink w:anchor="_Toc92965258" w:history="1">
        <w:r w:rsidR="00427B30" w:rsidRPr="00EF6D7E">
          <w:rPr>
            <w:rStyle w:val="Hyperlink"/>
          </w:rPr>
          <w:t>Regime di responsabilità per i recuperi</w:t>
        </w:r>
        <w:r w:rsidR="00427B30">
          <w:rPr>
            <w:webHidden/>
          </w:rPr>
          <w:tab/>
        </w:r>
        <w:r w:rsidR="00427B30">
          <w:rPr>
            <w:webHidden/>
          </w:rPr>
          <w:fldChar w:fldCharType="begin"/>
        </w:r>
        <w:r w:rsidR="00427B30">
          <w:rPr>
            <w:webHidden/>
          </w:rPr>
          <w:instrText xml:space="preserve"> PAGEREF _Toc92965258 \h </w:instrText>
        </w:r>
        <w:r w:rsidR="00427B30">
          <w:rPr>
            <w:webHidden/>
          </w:rPr>
        </w:r>
        <w:r w:rsidR="00427B30">
          <w:rPr>
            <w:webHidden/>
          </w:rPr>
          <w:fldChar w:fldCharType="separate"/>
        </w:r>
        <w:r w:rsidR="009F315E">
          <w:rPr>
            <w:webHidden/>
          </w:rPr>
          <w:t>23</w:t>
        </w:r>
        <w:r w:rsidR="00427B30">
          <w:rPr>
            <w:webHidden/>
          </w:rPr>
          <w:fldChar w:fldCharType="end"/>
        </w:r>
      </w:hyperlink>
    </w:p>
    <w:p w14:paraId="2746A9A0" w14:textId="4B1DDA35" w:rsidR="00427B30" w:rsidRDefault="00B73F40">
      <w:pPr>
        <w:pStyle w:val="TOC3"/>
        <w:rPr>
          <w:rFonts w:asciiTheme="minorHAnsi" w:eastAsiaTheme="minorEastAsia" w:hAnsiTheme="minorHAnsi" w:cstheme="minorBidi"/>
          <w:sz w:val="22"/>
          <w:szCs w:val="22"/>
          <w:lang w:val="fr-LU" w:eastAsia="fr-LU"/>
        </w:rPr>
      </w:pPr>
      <w:hyperlink w:anchor="_Toc92965259" w:history="1">
        <w:r w:rsidR="00427B30" w:rsidRPr="00EF6D7E">
          <w:rPr>
            <w:rStyle w:val="Hyperlink"/>
          </w:rPr>
          <w:t>Disposizioni relative all’attuazione del progetto</w:t>
        </w:r>
        <w:r w:rsidR="00427B30">
          <w:rPr>
            <w:webHidden/>
          </w:rPr>
          <w:tab/>
        </w:r>
        <w:r w:rsidR="00427B30">
          <w:rPr>
            <w:webHidden/>
          </w:rPr>
          <w:fldChar w:fldCharType="begin"/>
        </w:r>
        <w:r w:rsidR="00427B30">
          <w:rPr>
            <w:webHidden/>
          </w:rPr>
          <w:instrText xml:space="preserve"> PAGEREF _Toc92965259 \h </w:instrText>
        </w:r>
        <w:r w:rsidR="00427B30">
          <w:rPr>
            <w:webHidden/>
          </w:rPr>
        </w:r>
        <w:r w:rsidR="00427B30">
          <w:rPr>
            <w:webHidden/>
          </w:rPr>
          <w:fldChar w:fldCharType="separate"/>
        </w:r>
        <w:r w:rsidR="009F315E">
          <w:rPr>
            <w:webHidden/>
          </w:rPr>
          <w:t>23</w:t>
        </w:r>
        <w:r w:rsidR="00427B30">
          <w:rPr>
            <w:webHidden/>
          </w:rPr>
          <w:fldChar w:fldCharType="end"/>
        </w:r>
      </w:hyperlink>
    </w:p>
    <w:p w14:paraId="5CE6325E" w14:textId="760A03BD" w:rsidR="00427B30" w:rsidRDefault="00B73F40">
      <w:pPr>
        <w:pStyle w:val="TOC3"/>
        <w:rPr>
          <w:rFonts w:asciiTheme="minorHAnsi" w:eastAsiaTheme="minorEastAsia" w:hAnsiTheme="minorHAnsi" w:cstheme="minorBidi"/>
          <w:sz w:val="22"/>
          <w:szCs w:val="22"/>
          <w:lang w:val="fr-LU" w:eastAsia="fr-LU"/>
        </w:rPr>
      </w:pPr>
      <w:hyperlink w:anchor="_Toc92965260" w:history="1">
        <w:r w:rsidR="00427B30" w:rsidRPr="00EF6D7E">
          <w:rPr>
            <w:rStyle w:val="Hyperlink"/>
          </w:rPr>
          <w:t>Altre disposizioni specifiche</w:t>
        </w:r>
        <w:r w:rsidR="00427B30">
          <w:rPr>
            <w:webHidden/>
          </w:rPr>
          <w:tab/>
        </w:r>
        <w:r w:rsidR="00427B30">
          <w:rPr>
            <w:webHidden/>
          </w:rPr>
          <w:fldChar w:fldCharType="begin"/>
        </w:r>
        <w:r w:rsidR="00427B30">
          <w:rPr>
            <w:webHidden/>
          </w:rPr>
          <w:instrText xml:space="preserve"> PAGEREF _Toc92965260 \h </w:instrText>
        </w:r>
        <w:r w:rsidR="00427B30">
          <w:rPr>
            <w:webHidden/>
          </w:rPr>
        </w:r>
        <w:r w:rsidR="00427B30">
          <w:rPr>
            <w:webHidden/>
          </w:rPr>
          <w:fldChar w:fldCharType="separate"/>
        </w:r>
        <w:r w:rsidR="009F315E">
          <w:rPr>
            <w:webHidden/>
          </w:rPr>
          <w:t>23</w:t>
        </w:r>
        <w:r w:rsidR="00427B30">
          <w:rPr>
            <w:webHidden/>
          </w:rPr>
          <w:fldChar w:fldCharType="end"/>
        </w:r>
      </w:hyperlink>
    </w:p>
    <w:p w14:paraId="062738C9" w14:textId="7AA02A51" w:rsidR="00427B30" w:rsidRDefault="00B73F40">
      <w:pPr>
        <w:pStyle w:val="TOC3"/>
        <w:rPr>
          <w:rFonts w:asciiTheme="minorHAnsi" w:eastAsiaTheme="minorEastAsia" w:hAnsiTheme="minorHAnsi" w:cstheme="minorBidi"/>
          <w:sz w:val="22"/>
          <w:szCs w:val="22"/>
          <w:lang w:val="fr-LU" w:eastAsia="fr-LU"/>
        </w:rPr>
      </w:pPr>
      <w:hyperlink w:anchor="_Toc92965261" w:history="1">
        <w:r w:rsidR="00427B30" w:rsidRPr="00EF6D7E">
          <w:rPr>
            <w:rStyle w:val="Hyperlink"/>
          </w:rPr>
          <w:t>Inadempimento e violazione del contratto</w:t>
        </w:r>
        <w:r w:rsidR="00427B30">
          <w:rPr>
            <w:webHidden/>
          </w:rPr>
          <w:tab/>
        </w:r>
        <w:r w:rsidR="00427B30">
          <w:rPr>
            <w:webHidden/>
          </w:rPr>
          <w:fldChar w:fldCharType="begin"/>
        </w:r>
        <w:r w:rsidR="00427B30">
          <w:rPr>
            <w:webHidden/>
          </w:rPr>
          <w:instrText xml:space="preserve"> PAGEREF _Toc92965261 \h </w:instrText>
        </w:r>
        <w:r w:rsidR="00427B30">
          <w:rPr>
            <w:webHidden/>
          </w:rPr>
        </w:r>
        <w:r w:rsidR="00427B30">
          <w:rPr>
            <w:webHidden/>
          </w:rPr>
          <w:fldChar w:fldCharType="separate"/>
        </w:r>
        <w:r w:rsidR="009F315E">
          <w:rPr>
            <w:webHidden/>
          </w:rPr>
          <w:t>23</w:t>
        </w:r>
        <w:r w:rsidR="00427B30">
          <w:rPr>
            <w:webHidden/>
          </w:rPr>
          <w:fldChar w:fldCharType="end"/>
        </w:r>
      </w:hyperlink>
    </w:p>
    <w:p w14:paraId="29BA3B6E" w14:textId="4B45BE74" w:rsidR="00427B30" w:rsidRDefault="00B73F40">
      <w:pPr>
        <w:pStyle w:val="TOC1"/>
        <w:rPr>
          <w:rFonts w:asciiTheme="minorHAnsi" w:eastAsiaTheme="minorEastAsia" w:hAnsiTheme="minorHAnsi" w:cstheme="minorBidi"/>
          <w:noProof/>
          <w:sz w:val="22"/>
          <w:szCs w:val="22"/>
          <w:lang w:val="fr-LU" w:eastAsia="fr-LU"/>
        </w:rPr>
      </w:pPr>
      <w:hyperlink w:anchor="_Toc92965262" w:history="1">
        <w:r w:rsidR="00427B30" w:rsidRPr="00EF6D7E">
          <w:rPr>
            <w:rStyle w:val="Hyperlink"/>
            <w:noProof/>
          </w:rPr>
          <w:t>11.</w:t>
        </w:r>
        <w:r w:rsidR="00427B30">
          <w:rPr>
            <w:rFonts w:asciiTheme="minorHAnsi" w:eastAsiaTheme="minorEastAsia" w:hAnsiTheme="minorHAnsi" w:cstheme="minorBidi"/>
            <w:noProof/>
            <w:sz w:val="22"/>
            <w:szCs w:val="22"/>
            <w:lang w:val="fr-LU" w:eastAsia="fr-LU"/>
          </w:rPr>
          <w:tab/>
        </w:r>
        <w:r w:rsidR="00427B30" w:rsidRPr="00EF6D7E">
          <w:rPr>
            <w:rStyle w:val="Hyperlink"/>
            <w:noProof/>
          </w:rPr>
          <w:t>Modalità di presentazione della domanda</w:t>
        </w:r>
        <w:r w:rsidR="00427B30">
          <w:rPr>
            <w:noProof/>
            <w:webHidden/>
          </w:rPr>
          <w:tab/>
        </w:r>
        <w:r w:rsidR="00427B30">
          <w:rPr>
            <w:noProof/>
            <w:webHidden/>
          </w:rPr>
          <w:fldChar w:fldCharType="begin"/>
        </w:r>
        <w:r w:rsidR="00427B30">
          <w:rPr>
            <w:noProof/>
            <w:webHidden/>
          </w:rPr>
          <w:instrText xml:space="preserve"> PAGEREF _Toc92965262 \h </w:instrText>
        </w:r>
        <w:r w:rsidR="00427B30">
          <w:rPr>
            <w:noProof/>
            <w:webHidden/>
          </w:rPr>
        </w:r>
        <w:r w:rsidR="00427B30">
          <w:rPr>
            <w:noProof/>
            <w:webHidden/>
          </w:rPr>
          <w:fldChar w:fldCharType="separate"/>
        </w:r>
        <w:r w:rsidR="009F315E">
          <w:rPr>
            <w:noProof/>
            <w:webHidden/>
          </w:rPr>
          <w:t>23</w:t>
        </w:r>
        <w:r w:rsidR="00427B30">
          <w:rPr>
            <w:noProof/>
            <w:webHidden/>
          </w:rPr>
          <w:fldChar w:fldCharType="end"/>
        </w:r>
      </w:hyperlink>
    </w:p>
    <w:p w14:paraId="6886BE94" w14:textId="71D8038E" w:rsidR="00427B30" w:rsidRDefault="00B73F40">
      <w:pPr>
        <w:pStyle w:val="TOC1"/>
        <w:rPr>
          <w:rFonts w:asciiTheme="minorHAnsi" w:eastAsiaTheme="minorEastAsia" w:hAnsiTheme="minorHAnsi" w:cstheme="minorBidi"/>
          <w:noProof/>
          <w:sz w:val="22"/>
          <w:szCs w:val="22"/>
          <w:lang w:val="fr-LU" w:eastAsia="fr-LU"/>
        </w:rPr>
      </w:pPr>
      <w:hyperlink w:anchor="_Toc92965263" w:history="1">
        <w:r w:rsidR="00427B30" w:rsidRPr="00EF6D7E">
          <w:rPr>
            <w:rStyle w:val="Hyperlink"/>
            <w:noProof/>
          </w:rPr>
          <w:t>12.</w:t>
        </w:r>
        <w:r w:rsidR="00427B30">
          <w:rPr>
            <w:rFonts w:asciiTheme="minorHAnsi" w:eastAsiaTheme="minorEastAsia" w:hAnsiTheme="minorHAnsi" w:cstheme="minorBidi"/>
            <w:noProof/>
            <w:sz w:val="22"/>
            <w:szCs w:val="22"/>
            <w:lang w:val="fr-LU" w:eastAsia="fr-LU"/>
          </w:rPr>
          <w:tab/>
        </w:r>
        <w:r w:rsidR="00427B30" w:rsidRPr="00EF6D7E">
          <w:rPr>
            <w:rStyle w:val="Hyperlink"/>
            <w:noProof/>
          </w:rPr>
          <w:t>Assistenza</w:t>
        </w:r>
        <w:r w:rsidR="00427B30">
          <w:rPr>
            <w:noProof/>
            <w:webHidden/>
          </w:rPr>
          <w:tab/>
        </w:r>
        <w:r w:rsidR="00427B30">
          <w:rPr>
            <w:noProof/>
            <w:webHidden/>
          </w:rPr>
          <w:fldChar w:fldCharType="begin"/>
        </w:r>
        <w:r w:rsidR="00427B30">
          <w:rPr>
            <w:noProof/>
            <w:webHidden/>
          </w:rPr>
          <w:instrText xml:space="preserve"> PAGEREF _Toc92965263 \h </w:instrText>
        </w:r>
        <w:r w:rsidR="00427B30">
          <w:rPr>
            <w:noProof/>
            <w:webHidden/>
          </w:rPr>
        </w:r>
        <w:r w:rsidR="00427B30">
          <w:rPr>
            <w:noProof/>
            <w:webHidden/>
          </w:rPr>
          <w:fldChar w:fldCharType="separate"/>
        </w:r>
        <w:r w:rsidR="009F315E">
          <w:rPr>
            <w:noProof/>
            <w:webHidden/>
          </w:rPr>
          <w:t>25</w:t>
        </w:r>
        <w:r w:rsidR="00427B30">
          <w:rPr>
            <w:noProof/>
            <w:webHidden/>
          </w:rPr>
          <w:fldChar w:fldCharType="end"/>
        </w:r>
      </w:hyperlink>
    </w:p>
    <w:p w14:paraId="144A28E2" w14:textId="11039E56" w:rsidR="00427B30" w:rsidRDefault="00B73F40">
      <w:pPr>
        <w:pStyle w:val="TOC1"/>
        <w:rPr>
          <w:rFonts w:asciiTheme="minorHAnsi" w:eastAsiaTheme="minorEastAsia" w:hAnsiTheme="minorHAnsi" w:cstheme="minorBidi"/>
          <w:noProof/>
          <w:sz w:val="22"/>
          <w:szCs w:val="22"/>
          <w:lang w:val="fr-LU" w:eastAsia="fr-LU"/>
        </w:rPr>
      </w:pPr>
      <w:hyperlink w:anchor="_Toc92965264" w:history="1">
        <w:r w:rsidR="00427B30" w:rsidRPr="00EF6D7E">
          <w:rPr>
            <w:rStyle w:val="Hyperlink"/>
            <w:noProof/>
          </w:rPr>
          <w:t>13.</w:t>
        </w:r>
        <w:r w:rsidR="00427B30">
          <w:rPr>
            <w:rFonts w:asciiTheme="minorHAnsi" w:eastAsiaTheme="minorEastAsia" w:hAnsiTheme="minorHAnsi" w:cstheme="minorBidi"/>
            <w:noProof/>
            <w:sz w:val="22"/>
            <w:szCs w:val="22"/>
            <w:lang w:val="fr-LU" w:eastAsia="fr-LU"/>
          </w:rPr>
          <w:tab/>
        </w:r>
        <w:r w:rsidR="00427B30" w:rsidRPr="00EF6D7E">
          <w:rPr>
            <w:rStyle w:val="Hyperlink"/>
            <w:noProof/>
          </w:rPr>
          <w:t>Importante</w:t>
        </w:r>
        <w:r w:rsidR="00427B30">
          <w:rPr>
            <w:noProof/>
            <w:webHidden/>
          </w:rPr>
          <w:tab/>
        </w:r>
        <w:r w:rsidR="00427B30">
          <w:rPr>
            <w:noProof/>
            <w:webHidden/>
          </w:rPr>
          <w:fldChar w:fldCharType="begin"/>
        </w:r>
        <w:r w:rsidR="00427B30">
          <w:rPr>
            <w:noProof/>
            <w:webHidden/>
          </w:rPr>
          <w:instrText xml:space="preserve"> PAGEREF _Toc92965264 \h </w:instrText>
        </w:r>
        <w:r w:rsidR="00427B30">
          <w:rPr>
            <w:noProof/>
            <w:webHidden/>
          </w:rPr>
        </w:r>
        <w:r w:rsidR="00427B30">
          <w:rPr>
            <w:noProof/>
            <w:webHidden/>
          </w:rPr>
          <w:fldChar w:fldCharType="separate"/>
        </w:r>
        <w:r w:rsidR="009F315E">
          <w:rPr>
            <w:noProof/>
            <w:webHidden/>
          </w:rPr>
          <w:t>26</w:t>
        </w:r>
        <w:r w:rsidR="00427B30">
          <w:rPr>
            <w:noProof/>
            <w:webHidden/>
          </w:rPr>
          <w:fldChar w:fldCharType="end"/>
        </w:r>
      </w:hyperlink>
    </w:p>
    <w:p w14:paraId="4D152A2B" w14:textId="32DB80E1" w:rsidR="0084666C" w:rsidRPr="00991E10" w:rsidRDefault="00340A6F" w:rsidP="00B57534">
      <w:pPr>
        <w:widowControl w:val="0"/>
      </w:pPr>
      <w:r w:rsidRPr="00991E10">
        <w:rPr>
          <w:sz w:val="16"/>
        </w:rPr>
        <w:fldChar w:fldCharType="end"/>
      </w:r>
    </w:p>
    <w:p w14:paraId="62C1CABA" w14:textId="6C15280B" w:rsidR="0062273B" w:rsidRPr="00991E10" w:rsidRDefault="0062273B" w:rsidP="00623078">
      <w:pPr>
        <w:pStyle w:val="Heading1"/>
        <w:numPr>
          <w:ilvl w:val="0"/>
          <w:numId w:val="54"/>
        </w:numPr>
        <w:tabs>
          <w:tab w:val="left" w:pos="284"/>
        </w:tabs>
        <w:ind w:left="0" w:firstLine="0"/>
      </w:pPr>
      <w:r w:rsidRPr="00991E10">
        <w:br w:type="page"/>
      </w:r>
      <w:bookmarkStart w:id="1" w:name="_Toc92965225"/>
      <w:r w:rsidRPr="00991E10">
        <w:lastRenderedPageBreak/>
        <w:t>Introduzione</w:t>
      </w:r>
      <w:bookmarkEnd w:id="1"/>
    </w:p>
    <w:p w14:paraId="1281A2B9" w14:textId="4F8BAA46" w:rsidR="00526CED" w:rsidRPr="00991E10" w:rsidRDefault="00494E0C" w:rsidP="00AD584E">
      <w:pPr>
        <w:widowControl w:val="0"/>
      </w:pPr>
      <w:r w:rsidRPr="00991E10">
        <w:t xml:space="preserve">Il presente documento è un invito a presentare proposte per </w:t>
      </w:r>
      <w:r w:rsidRPr="00991E10">
        <w:rPr>
          <w:b/>
          <w:bCs/>
        </w:rPr>
        <w:t>sovvenzioni di azioni</w:t>
      </w:r>
      <w:r w:rsidRPr="00991E10">
        <w:t xml:space="preserve"> a livello dell’UE concernenti l’impegno e la partecipazione dei cittadini nell’ambito del </w:t>
      </w:r>
      <w:r w:rsidRPr="00991E10">
        <w:rPr>
          <w:b/>
          <w:bCs/>
        </w:rPr>
        <w:t>programma Cittadini, uguaglianza, diritti e valori (CERV)</w:t>
      </w:r>
      <w:r w:rsidRPr="00991E10">
        <w:t>. Il quadro normativo relativo a questo programma di finanziamento dell’UE è definito nei seguenti documenti:</w:t>
      </w:r>
    </w:p>
    <w:p w14:paraId="124C55BF" w14:textId="5EB49267" w:rsidR="00526CED" w:rsidRPr="00991E10" w:rsidRDefault="00526CED" w:rsidP="00584316">
      <w:pPr>
        <w:numPr>
          <w:ilvl w:val="0"/>
          <w:numId w:val="32"/>
        </w:numPr>
        <w:spacing w:after="120"/>
        <w:ind w:left="568" w:hanging="284"/>
      </w:pPr>
      <w:r w:rsidRPr="00991E10">
        <w:t>il regolamento (UE, Euratom) 2018/1046 (</w:t>
      </w:r>
      <w:hyperlink r:id="rId21" w:history="1">
        <w:r w:rsidRPr="00991E10">
          <w:rPr>
            <w:rStyle w:val="Hyperlink"/>
          </w:rPr>
          <w:t>regolamento finanziario dell’UE</w:t>
        </w:r>
      </w:hyperlink>
      <w:r w:rsidRPr="00991E10">
        <w:t>);</w:t>
      </w:r>
    </w:p>
    <w:p w14:paraId="15823F41" w14:textId="50615B46" w:rsidR="00526CED" w:rsidRPr="00991E10" w:rsidRDefault="00526CED" w:rsidP="42BB08A3">
      <w:pPr>
        <w:numPr>
          <w:ilvl w:val="0"/>
          <w:numId w:val="32"/>
        </w:numPr>
        <w:ind w:left="568" w:hanging="284"/>
        <w:rPr>
          <w:u w:val="single"/>
        </w:rPr>
      </w:pPr>
      <w:r w:rsidRPr="00991E10">
        <w:t xml:space="preserve">l’atto di base [regolamento (UE) </w:t>
      </w:r>
      <w:hyperlink r:id="rId22" w:history="1">
        <w:r w:rsidRPr="00991E10">
          <w:rPr>
            <w:rStyle w:val="Hyperlink"/>
          </w:rPr>
          <w:t>2021/692</w:t>
        </w:r>
      </w:hyperlink>
      <w:r w:rsidR="000D6EA6" w:rsidRPr="00991E10">
        <w:rPr>
          <w:rStyle w:val="FootnoteReference"/>
        </w:rPr>
        <w:footnoteReference w:id="2"/>
      </w:r>
      <w:r w:rsidRPr="00991E10">
        <w:t xml:space="preserve"> (regolamento CERV)].</w:t>
      </w:r>
    </w:p>
    <w:p w14:paraId="12AD4BB0" w14:textId="464B2AA2" w:rsidR="0000139E" w:rsidRPr="00991E10" w:rsidRDefault="00526CED" w:rsidP="0000139E">
      <w:pPr>
        <w:autoSpaceDE w:val="0"/>
        <w:autoSpaceDN w:val="0"/>
        <w:adjustRightInd w:val="0"/>
        <w:rPr>
          <w:bCs/>
          <w:color w:val="000000"/>
        </w:rPr>
      </w:pPr>
      <w:r w:rsidRPr="00991E10">
        <w:t>Il presente invito è pubblicato in conformità del programma di lavoro 2021-2022 (</w:t>
      </w:r>
      <w:r w:rsidR="00494E0C" w:rsidRPr="00991E10">
        <w:rPr>
          <w:vertAlign w:val="superscript"/>
        </w:rPr>
        <w:footnoteReference w:id="3"/>
      </w:r>
      <w:r w:rsidRPr="00991E10">
        <w:t>) e sarà gestito dall’</w:t>
      </w:r>
      <w:r w:rsidRPr="00991E10">
        <w:rPr>
          <w:b/>
        </w:rPr>
        <w:t>Agenzia esecutiva europea per l’istruzione e la cultura (EACEA)</w:t>
      </w:r>
      <w:r w:rsidRPr="00991E10">
        <w:t xml:space="preserve"> (di seguito «l’Agenzia»).</w:t>
      </w:r>
    </w:p>
    <w:p w14:paraId="03C747D1" w14:textId="54C3BAAB" w:rsidR="00494E0C" w:rsidRPr="00991E10" w:rsidRDefault="00330493" w:rsidP="00CC2315">
      <w:pPr>
        <w:spacing w:after="120"/>
      </w:pPr>
      <w:r w:rsidRPr="00991E10">
        <w:t xml:space="preserve">L’invito riguarda i seguenti </w:t>
      </w:r>
      <w:r w:rsidRPr="00991E10">
        <w:rPr>
          <w:b/>
        </w:rPr>
        <w:t>temi</w:t>
      </w:r>
      <w:r w:rsidRPr="00991E10">
        <w:t>:</w:t>
      </w:r>
    </w:p>
    <w:p w14:paraId="0F1AE17D" w14:textId="55D45AD3" w:rsidR="00AD584E" w:rsidRPr="00991E10" w:rsidRDefault="00AD584E" w:rsidP="42BB08A3">
      <w:pPr>
        <w:numPr>
          <w:ilvl w:val="0"/>
          <w:numId w:val="29"/>
        </w:numPr>
        <w:rPr>
          <w:b/>
          <w:bCs/>
        </w:rPr>
      </w:pPr>
      <w:r w:rsidRPr="00991E10">
        <w:rPr>
          <w:b/>
          <w:bCs/>
          <w:color w:val="A50021"/>
        </w:rPr>
        <w:t>CERV-2022-CITIZENS-TOWN-TT (tema 1)</w:t>
      </w:r>
      <w:r w:rsidRPr="00991E10">
        <w:rPr>
          <w:b/>
          <w:bCs/>
        </w:rPr>
        <w:t xml:space="preserve"> – Gemellaggi di città</w:t>
      </w:r>
    </w:p>
    <w:p w14:paraId="1549339B" w14:textId="4EAD4397" w:rsidR="00AD584E" w:rsidRPr="00991E10" w:rsidRDefault="00AD584E" w:rsidP="42BB08A3">
      <w:pPr>
        <w:numPr>
          <w:ilvl w:val="0"/>
          <w:numId w:val="29"/>
        </w:numPr>
      </w:pPr>
      <w:r w:rsidRPr="00991E10">
        <w:rPr>
          <w:b/>
          <w:bCs/>
          <w:color w:val="A50021"/>
        </w:rPr>
        <w:t>CERV-2022-CITIZENS-TOWN-NT (tema 2)</w:t>
      </w:r>
      <w:r w:rsidRPr="00991E10">
        <w:rPr>
          <w:b/>
          <w:bCs/>
        </w:rPr>
        <w:t xml:space="preserve"> – Reti di città</w:t>
      </w:r>
    </w:p>
    <w:p w14:paraId="52501F07" w14:textId="77777777" w:rsidR="00743E49" w:rsidRPr="00991E10" w:rsidRDefault="00743E49" w:rsidP="00743E49">
      <w:pPr>
        <w:autoSpaceDE w:val="0"/>
        <w:autoSpaceDN w:val="0"/>
        <w:adjustRightInd w:val="0"/>
        <w:rPr>
          <w:rFonts w:cs="Verdana"/>
          <w:color w:val="000000"/>
        </w:rPr>
      </w:pPr>
      <w:r w:rsidRPr="00991E10">
        <w:t>Ciascuna domanda relativa a un progetto a norma del presente invito deve riguardare uno solo di essi. I richiedenti che desiderano presentare domande relative a più di un tema devono inviare una proposta separata per ciascuno di essi.</w:t>
      </w:r>
    </w:p>
    <w:p w14:paraId="043E9BF0" w14:textId="57542D0A" w:rsidR="004D29DC" w:rsidRPr="00991E10" w:rsidRDefault="004D29DC" w:rsidP="004D29DC">
      <w:pPr>
        <w:autoSpaceDE w:val="0"/>
        <w:autoSpaceDN w:val="0"/>
        <w:adjustRightInd w:val="0"/>
        <w:rPr>
          <w:rFonts w:cs="Verdana"/>
          <w:color w:val="000000"/>
        </w:rPr>
      </w:pPr>
      <w:r w:rsidRPr="00991E10">
        <w:rPr>
          <w:color w:val="000000"/>
        </w:rPr>
        <w:t>Si invita a leggere attentamente la documentazione relativa all’invito, e in particolare il presente documento di invito, il modello di convenzione di sovvenzione, il</w:t>
      </w:r>
      <w:r w:rsidRPr="00991E10">
        <w:t xml:space="preserve"> </w:t>
      </w:r>
      <w:hyperlink r:id="rId23" w:history="1">
        <w:r w:rsidRPr="00991E10">
          <w:rPr>
            <w:rStyle w:val="Hyperlink"/>
          </w:rPr>
          <w:t>manuale online del portale dell’UE Finanziamenti e gare d’appalto</w:t>
        </w:r>
      </w:hyperlink>
      <w:r w:rsidRPr="00991E10">
        <w:t xml:space="preserve"> e la </w:t>
      </w:r>
      <w:hyperlink r:id="rId24" w:history="1">
        <w:r w:rsidRPr="00991E10">
          <w:rPr>
            <w:rStyle w:val="Hyperlink"/>
          </w:rPr>
          <w:t>CSC (convenzione di sovvenzione commentata) dell’UE</w:t>
        </w:r>
      </w:hyperlink>
      <w:r w:rsidRPr="00991E10">
        <w:t>.</w:t>
      </w:r>
    </w:p>
    <w:p w14:paraId="69E91152" w14:textId="77777777" w:rsidR="00494E0C" w:rsidRPr="00991E10" w:rsidRDefault="00494E0C" w:rsidP="00494E0C">
      <w:pPr>
        <w:autoSpaceDE w:val="0"/>
        <w:autoSpaceDN w:val="0"/>
        <w:adjustRightInd w:val="0"/>
        <w:rPr>
          <w:rFonts w:cs="Verdana"/>
          <w:color w:val="000000"/>
        </w:rPr>
      </w:pPr>
      <w:r w:rsidRPr="00991E10">
        <w:rPr>
          <w:color w:val="000000"/>
        </w:rPr>
        <w:t xml:space="preserve">Questi documenti contengono chiarimenti e risposte ai quesiti che potrebbero sorgere in fase di preparazione della domanda. </w:t>
      </w:r>
    </w:p>
    <w:p w14:paraId="2D4A671C" w14:textId="77777777" w:rsidR="00494E0C" w:rsidRPr="00991E10" w:rsidRDefault="00E06F7E" w:rsidP="00584316">
      <w:pPr>
        <w:numPr>
          <w:ilvl w:val="0"/>
          <w:numId w:val="29"/>
        </w:numPr>
        <w:autoSpaceDE w:val="0"/>
        <w:autoSpaceDN w:val="0"/>
        <w:adjustRightInd w:val="0"/>
        <w:jc w:val="left"/>
        <w:rPr>
          <w:rFonts w:cs="Verdana"/>
          <w:color w:val="000000"/>
        </w:rPr>
      </w:pPr>
      <w:r w:rsidRPr="00991E10">
        <w:rPr>
          <w:color w:val="000000"/>
        </w:rPr>
        <w:t xml:space="preserve">Il </w:t>
      </w:r>
      <w:r w:rsidRPr="00991E10">
        <w:rPr>
          <w:color w:val="000000"/>
          <w:u w:val="single"/>
        </w:rPr>
        <w:t>documento di invito</w:t>
      </w:r>
      <w:r w:rsidRPr="00991E10">
        <w:rPr>
          <w:color w:val="000000"/>
        </w:rPr>
        <w:t xml:space="preserve"> illustra: </w:t>
      </w:r>
    </w:p>
    <w:p w14:paraId="1A625B5D" w14:textId="77777777" w:rsidR="00E06F7E" w:rsidRPr="00991E10" w:rsidRDefault="00E06F7E" w:rsidP="008B1F42">
      <w:pPr>
        <w:numPr>
          <w:ilvl w:val="1"/>
          <w:numId w:val="41"/>
        </w:numPr>
        <w:autoSpaceDE w:val="0"/>
        <w:autoSpaceDN w:val="0"/>
        <w:adjustRightInd w:val="0"/>
        <w:rPr>
          <w:rFonts w:cs="Verdana"/>
          <w:color w:val="000000"/>
        </w:rPr>
      </w:pPr>
      <w:r w:rsidRPr="00991E10">
        <w:rPr>
          <w:color w:val="000000"/>
        </w:rPr>
        <w:t>contesto, obiettivi, ambito di applicazione, attività finanziabili e risultati attesi (sezioni 1 e 2);</w:t>
      </w:r>
    </w:p>
    <w:p w14:paraId="4A57CF7C" w14:textId="77777777" w:rsidR="00E06F7E" w:rsidRPr="00991E10" w:rsidRDefault="00E06F7E" w:rsidP="008B1F42">
      <w:pPr>
        <w:numPr>
          <w:ilvl w:val="1"/>
          <w:numId w:val="41"/>
        </w:numPr>
        <w:autoSpaceDE w:val="0"/>
        <w:autoSpaceDN w:val="0"/>
        <w:adjustRightInd w:val="0"/>
        <w:rPr>
          <w:rFonts w:cs="Verdana"/>
          <w:color w:val="000000"/>
        </w:rPr>
      </w:pPr>
      <w:r w:rsidRPr="00991E10">
        <w:rPr>
          <w:color w:val="000000"/>
        </w:rPr>
        <w:t xml:space="preserve">calendario e dotazione finanziaria disponibile (sezioni 3 e 4); </w:t>
      </w:r>
    </w:p>
    <w:p w14:paraId="789651DB" w14:textId="77777777" w:rsidR="00F114D2" w:rsidRPr="00991E10" w:rsidRDefault="00F114D2" w:rsidP="008B1F42">
      <w:pPr>
        <w:numPr>
          <w:ilvl w:val="1"/>
          <w:numId w:val="41"/>
        </w:numPr>
        <w:autoSpaceDE w:val="0"/>
        <w:autoSpaceDN w:val="0"/>
        <w:adjustRightInd w:val="0"/>
        <w:rPr>
          <w:rFonts w:cs="Verdana"/>
          <w:color w:val="000000"/>
        </w:rPr>
      </w:pPr>
      <w:r w:rsidRPr="00991E10">
        <w:rPr>
          <w:color w:val="000000"/>
        </w:rPr>
        <w:t>condizioni di ricevibilità e ammissibilità (compresi i documenti obbligatori; sezioni 5 e 6);</w:t>
      </w:r>
    </w:p>
    <w:p w14:paraId="39CF2DC1" w14:textId="77777777" w:rsidR="00F114D2" w:rsidRPr="00991E10" w:rsidRDefault="00F114D2" w:rsidP="008B1F42">
      <w:pPr>
        <w:numPr>
          <w:ilvl w:val="1"/>
          <w:numId w:val="41"/>
        </w:numPr>
        <w:autoSpaceDE w:val="0"/>
        <w:autoSpaceDN w:val="0"/>
        <w:adjustRightInd w:val="0"/>
        <w:rPr>
          <w:rFonts w:cs="Verdana"/>
          <w:color w:val="000000"/>
        </w:rPr>
      </w:pPr>
      <w:r w:rsidRPr="00991E10">
        <w:rPr>
          <w:color w:val="000000"/>
        </w:rPr>
        <w:t>criteri relativi alla capacità finanziaria e operativa e all’esclusione (sezione 7);</w:t>
      </w:r>
    </w:p>
    <w:p w14:paraId="418D4BD7" w14:textId="77777777" w:rsidR="00E06F7E" w:rsidRPr="00991E10" w:rsidRDefault="00E06F7E" w:rsidP="008B1F42">
      <w:pPr>
        <w:numPr>
          <w:ilvl w:val="1"/>
          <w:numId w:val="41"/>
        </w:numPr>
        <w:autoSpaceDE w:val="0"/>
        <w:autoSpaceDN w:val="0"/>
        <w:adjustRightInd w:val="0"/>
        <w:rPr>
          <w:rFonts w:cs="Verdana"/>
          <w:color w:val="000000"/>
        </w:rPr>
      </w:pPr>
      <w:r w:rsidRPr="00991E10">
        <w:rPr>
          <w:color w:val="000000"/>
        </w:rPr>
        <w:t>procedura di valutazione e aggiudicazione (sezione 8);</w:t>
      </w:r>
    </w:p>
    <w:p w14:paraId="64A33DFC" w14:textId="77777777" w:rsidR="00510B7E" w:rsidRPr="00991E10" w:rsidRDefault="00510B7E" w:rsidP="008B1F42">
      <w:pPr>
        <w:numPr>
          <w:ilvl w:val="1"/>
          <w:numId w:val="41"/>
        </w:numPr>
        <w:autoSpaceDE w:val="0"/>
        <w:autoSpaceDN w:val="0"/>
        <w:adjustRightInd w:val="0"/>
        <w:rPr>
          <w:rFonts w:cs="Verdana"/>
          <w:color w:val="000000"/>
        </w:rPr>
      </w:pPr>
      <w:r w:rsidRPr="00991E10">
        <w:rPr>
          <w:color w:val="000000"/>
        </w:rPr>
        <w:t xml:space="preserve">criteri di aggiudicazione (sezione 9); </w:t>
      </w:r>
    </w:p>
    <w:p w14:paraId="658DE64E" w14:textId="77777777" w:rsidR="00736C6F" w:rsidRPr="00991E10" w:rsidRDefault="00E06F7E" w:rsidP="008B1F42">
      <w:pPr>
        <w:numPr>
          <w:ilvl w:val="1"/>
          <w:numId w:val="41"/>
        </w:numPr>
        <w:autoSpaceDE w:val="0"/>
        <w:autoSpaceDN w:val="0"/>
        <w:adjustRightInd w:val="0"/>
        <w:rPr>
          <w:rFonts w:cs="Verdana"/>
          <w:color w:val="000000"/>
        </w:rPr>
      </w:pPr>
      <w:r w:rsidRPr="00991E10">
        <w:rPr>
          <w:color w:val="000000"/>
        </w:rPr>
        <w:t>struttura giuridica e finanziaria delle convenzioni di sovvenzione (sezione 10);</w:t>
      </w:r>
    </w:p>
    <w:p w14:paraId="0FC91E8C" w14:textId="77777777" w:rsidR="00604FA0" w:rsidRPr="00991E10" w:rsidRDefault="00604FA0" w:rsidP="008B1F42">
      <w:pPr>
        <w:numPr>
          <w:ilvl w:val="1"/>
          <w:numId w:val="41"/>
        </w:numPr>
        <w:autoSpaceDE w:val="0"/>
        <w:autoSpaceDN w:val="0"/>
        <w:adjustRightInd w:val="0"/>
        <w:rPr>
          <w:rFonts w:cs="Verdana"/>
          <w:color w:val="000000"/>
        </w:rPr>
      </w:pPr>
      <w:r w:rsidRPr="00991E10">
        <w:t>modalità di presentazione della domanda (sezione 11).</w:t>
      </w:r>
    </w:p>
    <w:p w14:paraId="31A59D07" w14:textId="77777777" w:rsidR="00494E0C" w:rsidRPr="00991E10" w:rsidRDefault="00E06F7E" w:rsidP="00584316">
      <w:pPr>
        <w:numPr>
          <w:ilvl w:val="0"/>
          <w:numId w:val="29"/>
        </w:numPr>
        <w:autoSpaceDE w:val="0"/>
        <w:autoSpaceDN w:val="0"/>
        <w:adjustRightInd w:val="0"/>
        <w:jc w:val="left"/>
        <w:rPr>
          <w:rFonts w:cs="Verdana"/>
          <w:color w:val="000000"/>
        </w:rPr>
      </w:pPr>
      <w:r w:rsidRPr="00991E10">
        <w:rPr>
          <w:color w:val="000000"/>
        </w:rPr>
        <w:lastRenderedPageBreak/>
        <w:t xml:space="preserve">Il </w:t>
      </w:r>
      <w:r w:rsidRPr="00991E10">
        <w:rPr>
          <w:color w:val="000000"/>
          <w:u w:val="single"/>
        </w:rPr>
        <w:t>manuale online</w:t>
      </w:r>
      <w:r w:rsidRPr="00991E10">
        <w:rPr>
          <w:color w:val="000000"/>
        </w:rPr>
        <w:t xml:space="preserve"> illustra: </w:t>
      </w:r>
    </w:p>
    <w:p w14:paraId="3985E9EA" w14:textId="77777777" w:rsidR="00494E0C" w:rsidRPr="00991E10" w:rsidRDefault="00494E0C" w:rsidP="008B1F42">
      <w:pPr>
        <w:numPr>
          <w:ilvl w:val="1"/>
          <w:numId w:val="41"/>
        </w:numPr>
        <w:autoSpaceDE w:val="0"/>
        <w:autoSpaceDN w:val="0"/>
        <w:adjustRightInd w:val="0"/>
        <w:rPr>
          <w:rFonts w:cs="Verdana"/>
        </w:rPr>
      </w:pPr>
      <w:r w:rsidRPr="00991E10">
        <w:t xml:space="preserve">le procedure per la registrazione e la presentazione delle proposte online attraverso il portale dell’UE Finanziamenti e gare d’appalto (di seguito «il portale»); </w:t>
      </w:r>
    </w:p>
    <w:p w14:paraId="616B7DB6" w14:textId="77777777" w:rsidR="00494E0C" w:rsidRPr="00991E10" w:rsidRDefault="00494E0C" w:rsidP="008B1F42">
      <w:pPr>
        <w:numPr>
          <w:ilvl w:val="1"/>
          <w:numId w:val="41"/>
        </w:numPr>
        <w:autoSpaceDE w:val="0"/>
        <w:autoSpaceDN w:val="0"/>
        <w:adjustRightInd w:val="0"/>
        <w:rPr>
          <w:rFonts w:cs="Verdana"/>
          <w:color w:val="000000"/>
        </w:rPr>
      </w:pPr>
      <w:r w:rsidRPr="00991E10">
        <w:rPr>
          <w:color w:val="000000"/>
        </w:rPr>
        <w:t>le indicazioni per la preparazione della domanda.</w:t>
      </w:r>
    </w:p>
    <w:p w14:paraId="73C2A8CC" w14:textId="79977971" w:rsidR="00494E0C" w:rsidRPr="00991E10" w:rsidRDefault="00524F18" w:rsidP="00584316">
      <w:pPr>
        <w:numPr>
          <w:ilvl w:val="0"/>
          <w:numId w:val="29"/>
        </w:numPr>
        <w:autoSpaceDE w:val="0"/>
        <w:autoSpaceDN w:val="0"/>
        <w:adjustRightInd w:val="0"/>
        <w:jc w:val="left"/>
        <w:rPr>
          <w:rFonts w:cs="Verdana"/>
          <w:color w:val="000000"/>
        </w:rPr>
      </w:pPr>
      <w:r w:rsidRPr="00991E10">
        <w:rPr>
          <w:color w:val="000000"/>
        </w:rPr>
        <w:t xml:space="preserve">La </w:t>
      </w:r>
      <w:r w:rsidRPr="00991E10">
        <w:rPr>
          <w:color w:val="000000"/>
          <w:u w:val="single"/>
        </w:rPr>
        <w:t>convenzione di sovvenzione commentata</w:t>
      </w:r>
      <w:r w:rsidRPr="00991E10">
        <w:rPr>
          <w:color w:val="000000"/>
        </w:rPr>
        <w:t xml:space="preserve"> (CSC) contiene:</w:t>
      </w:r>
    </w:p>
    <w:p w14:paraId="0DD299B7" w14:textId="77777777" w:rsidR="00494E0C" w:rsidRPr="00991E10" w:rsidRDefault="00736C6F" w:rsidP="008B1F42">
      <w:pPr>
        <w:numPr>
          <w:ilvl w:val="1"/>
          <w:numId w:val="41"/>
        </w:numPr>
        <w:autoSpaceDE w:val="0"/>
        <w:autoSpaceDN w:val="0"/>
        <w:adjustRightInd w:val="0"/>
        <w:rPr>
          <w:rFonts w:cs="Verdana"/>
          <w:color w:val="000000"/>
        </w:rPr>
      </w:pPr>
      <w:r w:rsidRPr="00991E10">
        <w:rPr>
          <w:color w:val="000000"/>
        </w:rPr>
        <w:t>osservazioni dettagliate su tutte le disposizioni della convenzione di sovvenzione, che dovrà essere firmata affinché la sovvenzione possa essere concessa</w:t>
      </w:r>
      <w:r w:rsidRPr="00991E10">
        <w:rPr>
          <w:i/>
          <w:color w:val="000000"/>
        </w:rPr>
        <w:t xml:space="preserve"> (fra cui costi ammissibili, calendario dei pagamenti, obblighi accessori, ecc.)</w:t>
      </w:r>
      <w:r w:rsidRPr="00991E10">
        <w:rPr>
          <w:color w:val="000000"/>
        </w:rPr>
        <w:t xml:space="preserve">. </w:t>
      </w:r>
    </w:p>
    <w:p w14:paraId="635FC1D8" w14:textId="5C347818" w:rsidR="00774448" w:rsidRPr="00991E10" w:rsidRDefault="00526CED" w:rsidP="42BB08A3">
      <w:pPr>
        <w:autoSpaceDE w:val="0"/>
        <w:autoSpaceDN w:val="0"/>
        <w:adjustRightInd w:val="0"/>
        <w:rPr>
          <w:rFonts w:cs="Verdana"/>
          <w:color w:val="000000"/>
        </w:rPr>
      </w:pPr>
      <w:r w:rsidRPr="00991E10">
        <w:rPr>
          <w:color w:val="000000"/>
        </w:rPr>
        <w:t xml:space="preserve">Si invita inoltre a visitare il </w:t>
      </w:r>
      <w:hyperlink r:id="rId25" w:history="1">
        <w:r w:rsidRPr="00991E10">
          <w:rPr>
            <w:rStyle w:val="Hyperlink"/>
          </w:rPr>
          <w:t>sito Internet relativo ai risultati del Programma Europa per i cittadini</w:t>
        </w:r>
      </w:hyperlink>
      <w:r w:rsidRPr="00991E10">
        <w:rPr>
          <w:color w:val="000000"/>
        </w:rPr>
        <w:t xml:space="preserve">, </w:t>
      </w:r>
      <w:hyperlink r:id="rId26" w:history="1">
        <w:r w:rsidRPr="00991E10">
          <w:rPr>
            <w:rStyle w:val="Hyperlink"/>
          </w:rPr>
          <w:t>la pagina Internet relativa ai risultati del programma REC</w:t>
        </w:r>
      </w:hyperlink>
      <w:r w:rsidRPr="00991E10">
        <w:rPr>
          <w:color w:val="000000"/>
        </w:rPr>
        <w:t xml:space="preserve"> e il </w:t>
      </w:r>
      <w:hyperlink r:id="rId27" w:history="1">
        <w:r w:rsidRPr="00991E10">
          <w:rPr>
            <w:rStyle w:val="Hyperlink"/>
          </w:rPr>
          <w:t>Daphne Toolkit</w:t>
        </w:r>
      </w:hyperlink>
      <w:r w:rsidRPr="00991E10">
        <w:rPr>
          <w:color w:val="000000"/>
        </w:rPr>
        <w:t xml:space="preserve"> per consultare l’elenco dei progetti finanziati in precedenza. </w:t>
      </w:r>
    </w:p>
    <w:p w14:paraId="6B9C566E" w14:textId="6F44641E" w:rsidR="00B57534" w:rsidRPr="00991E10" w:rsidRDefault="00B57534" w:rsidP="00623078">
      <w:pPr>
        <w:pStyle w:val="Heading1"/>
        <w:numPr>
          <w:ilvl w:val="0"/>
          <w:numId w:val="54"/>
        </w:numPr>
        <w:tabs>
          <w:tab w:val="left" w:pos="284"/>
        </w:tabs>
        <w:ind w:left="0" w:firstLine="0"/>
      </w:pPr>
      <w:bookmarkStart w:id="2" w:name="_Toc92965226"/>
      <w:r w:rsidRPr="00991E10">
        <w:t>Contesto</w:t>
      </w:r>
      <w:bookmarkEnd w:id="2"/>
    </w:p>
    <w:p w14:paraId="369A6579" w14:textId="3C1F1087" w:rsidR="0062273B" w:rsidRPr="00991E10" w:rsidRDefault="008B1F42" w:rsidP="00623078">
      <w:pPr>
        <w:pStyle w:val="paragraph"/>
        <w:spacing w:before="0" w:beforeAutospacing="0" w:after="200" w:afterAutospacing="0"/>
        <w:jc w:val="both"/>
        <w:textAlignment w:val="baseline"/>
        <w:rPr>
          <w:rStyle w:val="normaltextrun"/>
          <w:rFonts w:ascii="Verdana" w:hAnsi="Verdana"/>
          <w:sz w:val="20"/>
          <w:szCs w:val="20"/>
        </w:rPr>
      </w:pPr>
      <w:r w:rsidRPr="00991E10">
        <w:rPr>
          <w:rFonts w:ascii="Verdana" w:hAnsi="Verdana"/>
          <w:sz w:val="20"/>
          <w:szCs w:val="20"/>
        </w:rPr>
        <w:t>Il programma Cittadini, uguaglianza, diritti e valori prevede finanziamenti per promuovere l’impegno dei cittadini, l’uguaglianza per tutti e l’attuazione dei diritti e dei valori dell’UE. Il programma Cittadini, uguaglianza, diritti e valori (di seguito «il programma») riunisce i precedenti programmi Diritti, uguaglianza e cittadinanza (</w:t>
      </w:r>
      <w:r w:rsidRPr="00007A3B">
        <w:rPr>
          <w:rFonts w:ascii="Verdana" w:hAnsi="Verdana"/>
          <w:sz w:val="20"/>
          <w:szCs w:val="20"/>
          <w:vertAlign w:val="superscript"/>
          <w:lang w:val="en-GB"/>
        </w:rPr>
        <w:footnoteReference w:id="4"/>
      </w:r>
      <w:r w:rsidRPr="00991E10">
        <w:rPr>
          <w:rFonts w:ascii="Verdana" w:hAnsi="Verdana"/>
          <w:sz w:val="20"/>
          <w:szCs w:val="20"/>
        </w:rPr>
        <w:t>) e L’Europa per i cittadini (</w:t>
      </w:r>
      <w:r w:rsidRPr="00991E10">
        <w:rPr>
          <w:rStyle w:val="FootnoteReference"/>
          <w:rFonts w:ascii="Verdana" w:hAnsi="Verdana"/>
          <w:sz w:val="20"/>
          <w:szCs w:val="20"/>
          <w:lang w:val="en-GB"/>
        </w:rPr>
        <w:footnoteReference w:id="5"/>
      </w:r>
      <w:r w:rsidRPr="00991E10">
        <w:rPr>
          <w:rFonts w:ascii="Verdana" w:hAnsi="Verdana"/>
          <w:sz w:val="20"/>
          <w:szCs w:val="20"/>
        </w:rPr>
        <w:t>).</w:t>
      </w:r>
    </w:p>
    <w:p w14:paraId="516FC889" w14:textId="77777777" w:rsidR="008B1F42" w:rsidRPr="00991E10" w:rsidRDefault="008B1F42" w:rsidP="008B1F42">
      <w:pPr>
        <w:rPr>
          <w:rFonts w:eastAsia="Verdana" w:cs="Verdana"/>
        </w:rPr>
      </w:pPr>
      <w:r w:rsidRPr="00991E10">
        <w:t>Il programma promuove gli scambi tra persone di paesi differenti, rafforza la comprensione e la tolleranza reciproche e offre alle persone l’opportunità di allargare i propri orizzonti e di sviluppare un senso di appartenenza e identità europee grazie ai gemellaggi di città e alle reti di città. Pur mantenendo un approccio dal basso verso l’alto, il programma offre l’occasione, in particolare alle reti di città, di concentrarsi sulle priorità dell’UE, ad esempio, mirando a migliorare la conoscenza della Carta dei diritti fondamentali dell’UE da parte dei cittadini, a contribuire a una maggiore partecipazione e a candidature inclusive alle elezioni per il Parlamento europeo, nonché a svolgere attività di sensibilizzazione sulla discriminazione, il razzismo e le relative conseguenze.</w:t>
      </w:r>
    </w:p>
    <w:p w14:paraId="65A00F56" w14:textId="4DA47FF4" w:rsidR="009A57EA" w:rsidRPr="00991E10" w:rsidRDefault="008B1F42" w:rsidP="0062273B">
      <w:pPr>
        <w:spacing w:after="0"/>
        <w:rPr>
          <w:rFonts w:eastAsia="Verdana" w:cs="Verdana"/>
        </w:rPr>
      </w:pPr>
      <w:r w:rsidRPr="00991E10">
        <w:t>Il presente invito a presentare proposte mira a sostenere le seguenti iniziative politiche: il piano d’azione per la democrazia europea (</w:t>
      </w:r>
      <w:r w:rsidRPr="00991E10">
        <w:rPr>
          <w:rStyle w:val="FootnoteReference"/>
          <w:rFonts w:eastAsia="Verdana" w:cs="Verdana"/>
        </w:rPr>
        <w:footnoteReference w:id="6"/>
      </w:r>
      <w:r w:rsidRPr="00991E10">
        <w:t>), il quadro strategico dell’UE per l’uguaglianza, l’inclusione e la partecipazione dei rom (</w:t>
      </w:r>
      <w:r w:rsidRPr="00991E10">
        <w:rPr>
          <w:rStyle w:val="FootnoteReference"/>
          <w:rFonts w:eastAsia="Verdana" w:cs="Verdana"/>
        </w:rPr>
        <w:footnoteReference w:id="7"/>
      </w:r>
      <w:r w:rsidRPr="00991E10">
        <w:t>), la strategia per rafforzare l’applicazione della Carta dei diritti fondamentali nell’UE (</w:t>
      </w:r>
      <w:r w:rsidRPr="00991E10">
        <w:rPr>
          <w:rStyle w:val="FootnoteReference"/>
          <w:rFonts w:eastAsia="Verdana" w:cs="Verdana"/>
        </w:rPr>
        <w:footnoteReference w:id="8"/>
      </w:r>
      <w:r w:rsidRPr="00991E10">
        <w:t>) e la relazione 2020 sulla cittadinanza dell’Unione (</w:t>
      </w:r>
      <w:r w:rsidRPr="00991E10">
        <w:rPr>
          <w:rStyle w:val="FootnoteReference"/>
          <w:rFonts w:eastAsia="Verdana" w:cs="Verdana"/>
        </w:rPr>
        <w:footnoteReference w:id="9"/>
      </w:r>
      <w:r w:rsidRPr="00991E10">
        <w:t xml:space="preserve">). </w:t>
      </w:r>
    </w:p>
    <w:p w14:paraId="3ACDA2AF" w14:textId="77777777" w:rsidR="0062273B" w:rsidRPr="00991E10" w:rsidRDefault="0062273B" w:rsidP="0062273B">
      <w:pPr>
        <w:spacing w:after="0"/>
      </w:pPr>
    </w:p>
    <w:p w14:paraId="2B0ABE9D" w14:textId="5A8C4B79" w:rsidR="00CC2315" w:rsidRPr="00991E10" w:rsidRDefault="00276AD7" w:rsidP="00427B30">
      <w:pPr>
        <w:pStyle w:val="Heading1"/>
        <w:keepNext/>
        <w:numPr>
          <w:ilvl w:val="0"/>
          <w:numId w:val="54"/>
        </w:numPr>
        <w:tabs>
          <w:tab w:val="left" w:pos="284"/>
        </w:tabs>
        <w:ind w:left="0" w:firstLine="0"/>
      </w:pPr>
      <w:bookmarkStart w:id="3" w:name="_Toc92965227"/>
      <w:r w:rsidRPr="00991E10">
        <w:t>Obiettivi – Temi e priorità – Attività finanziabili – Effetti attesi</w:t>
      </w:r>
      <w:bookmarkEnd w:id="3"/>
    </w:p>
    <w:p w14:paraId="10C94222" w14:textId="3D5C2B6B" w:rsidR="008B1F42" w:rsidRPr="00991E10" w:rsidRDefault="00BF7239" w:rsidP="008B1F42">
      <w:pPr>
        <w:widowControl w:val="0"/>
        <w:outlineLvl w:val="1"/>
        <w:rPr>
          <w:b/>
          <w:bCs/>
          <w:color w:val="A50021"/>
          <w:u w:val="single"/>
        </w:rPr>
      </w:pPr>
      <w:r w:rsidRPr="00991E10">
        <w:rPr>
          <w:b/>
          <w:bCs/>
          <w:color w:val="A50021"/>
          <w:u w:val="single"/>
        </w:rPr>
        <w:t>CERV-2022-CITIZENS-TOWN-TT – Gemellaggi di città</w:t>
      </w:r>
    </w:p>
    <w:p w14:paraId="13FAC18F" w14:textId="77777777" w:rsidR="008B1F42" w:rsidRPr="00991E10" w:rsidRDefault="008B1F42" w:rsidP="008B1F42">
      <w:pPr>
        <w:pStyle w:val="Heading3"/>
      </w:pPr>
      <w:bookmarkStart w:id="4" w:name="_Toc92965228"/>
      <w:r w:rsidRPr="00991E10">
        <w:t>Obiettivi</w:t>
      </w:r>
      <w:bookmarkEnd w:id="4"/>
      <w:r w:rsidRPr="00991E10">
        <w:t xml:space="preserve"> </w:t>
      </w:r>
    </w:p>
    <w:p w14:paraId="15E04F10" w14:textId="77777777" w:rsidR="008B1F42" w:rsidRPr="00991E10" w:rsidRDefault="008B1F42" w:rsidP="008B1F42">
      <w:pPr>
        <w:pStyle w:val="ListParagraph"/>
        <w:numPr>
          <w:ilvl w:val="0"/>
          <w:numId w:val="47"/>
        </w:numPr>
        <w:snapToGrid w:val="0"/>
        <w:spacing w:after="200"/>
        <w:jc w:val="both"/>
        <w:rPr>
          <w:rFonts w:eastAsia="Verdana" w:cs="Verdana"/>
        </w:rPr>
      </w:pPr>
      <w:r w:rsidRPr="00991E10">
        <w:rPr>
          <w:sz w:val="20"/>
          <w:szCs w:val="20"/>
        </w:rPr>
        <w:t>Promuovere gli scambi tra cittadini di paesi differenti;</w:t>
      </w:r>
    </w:p>
    <w:p w14:paraId="5945D08F" w14:textId="77777777" w:rsidR="008B1F42" w:rsidRPr="00991E10" w:rsidRDefault="008B1F42" w:rsidP="008B1F42">
      <w:pPr>
        <w:pStyle w:val="ListParagraph"/>
        <w:numPr>
          <w:ilvl w:val="0"/>
          <w:numId w:val="47"/>
        </w:numPr>
        <w:snapToGrid w:val="0"/>
        <w:spacing w:after="200"/>
        <w:jc w:val="both"/>
        <w:rPr>
          <w:rFonts w:eastAsia="Verdana" w:cs="Verdana"/>
        </w:rPr>
      </w:pPr>
      <w:r w:rsidRPr="00991E10">
        <w:rPr>
          <w:sz w:val="20"/>
          <w:szCs w:val="20"/>
        </w:rPr>
        <w:lastRenderedPageBreak/>
        <w:t>offrire ai cittadini l’opportunità di scoprire la diversità culturale dell’Unione europea e far comprendere loro che i valori e il patrimonio culturale europei costituiscono le basi di un futuro comune</w:t>
      </w:r>
      <w:r w:rsidRPr="00991E10">
        <w:rPr>
          <w:iCs/>
          <w:sz w:val="20"/>
          <w:szCs w:val="20"/>
        </w:rPr>
        <w:t xml:space="preserve">; </w:t>
      </w:r>
    </w:p>
    <w:p w14:paraId="665EDD2E" w14:textId="77777777" w:rsidR="008B1F42" w:rsidRPr="00991E10" w:rsidRDefault="008B1F42" w:rsidP="008B1F42">
      <w:pPr>
        <w:pStyle w:val="ListParagraph"/>
        <w:numPr>
          <w:ilvl w:val="0"/>
          <w:numId w:val="47"/>
        </w:numPr>
        <w:snapToGrid w:val="0"/>
        <w:spacing w:after="200"/>
        <w:jc w:val="both"/>
        <w:rPr>
          <w:rFonts w:eastAsia="Verdana" w:cs="Verdana"/>
        </w:rPr>
      </w:pPr>
      <w:r w:rsidRPr="00991E10">
        <w:rPr>
          <w:sz w:val="20"/>
          <w:szCs w:val="20"/>
        </w:rPr>
        <w:t>garantire relazioni pacifiche tra gli europei e assicurare la loro attiva partecipazione a livello locale;</w:t>
      </w:r>
    </w:p>
    <w:p w14:paraId="605828BE" w14:textId="77777777" w:rsidR="008B1F42" w:rsidRPr="00991E10" w:rsidRDefault="008B1F42" w:rsidP="008B1F42">
      <w:pPr>
        <w:pStyle w:val="ListParagraph"/>
        <w:numPr>
          <w:ilvl w:val="0"/>
          <w:numId w:val="47"/>
        </w:numPr>
        <w:snapToGrid w:val="0"/>
        <w:spacing w:after="200"/>
        <w:jc w:val="both"/>
        <w:rPr>
          <w:rFonts w:eastAsia="Verdana" w:cs="Verdana"/>
        </w:rPr>
      </w:pPr>
      <w:r w:rsidRPr="00991E10">
        <w:rPr>
          <w:sz w:val="20"/>
          <w:szCs w:val="20"/>
        </w:rPr>
        <w:t>rafforzare la comprensione e l’amicizia reciproche tra i cittadini europei;</w:t>
      </w:r>
    </w:p>
    <w:p w14:paraId="311FE49B" w14:textId="77777777" w:rsidR="008B1F42" w:rsidRPr="00991E10" w:rsidRDefault="008B1F42" w:rsidP="008B1F42">
      <w:pPr>
        <w:pStyle w:val="ListParagraph"/>
        <w:numPr>
          <w:ilvl w:val="0"/>
          <w:numId w:val="47"/>
        </w:numPr>
        <w:snapToGrid w:val="0"/>
        <w:spacing w:after="200"/>
        <w:jc w:val="both"/>
        <w:rPr>
          <w:rFonts w:eastAsia="Verdana" w:cs="Verdana"/>
          <w:sz w:val="20"/>
          <w:szCs w:val="20"/>
        </w:rPr>
      </w:pPr>
      <w:r w:rsidRPr="00991E10">
        <w:rPr>
          <w:sz w:val="20"/>
          <w:szCs w:val="20"/>
        </w:rPr>
        <w:t>incoraggiare la cooperazione tra i comuni e lo scambio delle migliori pratiche;</w:t>
      </w:r>
    </w:p>
    <w:p w14:paraId="2F91D125" w14:textId="77777777" w:rsidR="008B1F42" w:rsidRPr="00991E10" w:rsidRDefault="008B1F42" w:rsidP="008B1F42">
      <w:pPr>
        <w:pStyle w:val="ListParagraph"/>
        <w:numPr>
          <w:ilvl w:val="0"/>
          <w:numId w:val="47"/>
        </w:numPr>
        <w:snapToGrid w:val="0"/>
        <w:spacing w:after="200"/>
        <w:jc w:val="both"/>
        <w:rPr>
          <w:rFonts w:eastAsia="Verdana" w:cs="Verdana"/>
          <w:sz w:val="20"/>
          <w:szCs w:val="20"/>
        </w:rPr>
      </w:pPr>
      <w:r w:rsidRPr="00991E10">
        <w:rPr>
          <w:sz w:val="20"/>
          <w:szCs w:val="20"/>
        </w:rPr>
        <w:t>sostenere una buona amministrazione locale e potenziare il ruolo delle autorità locali e regionali nel processo d’integrazione europea.</w:t>
      </w:r>
    </w:p>
    <w:p w14:paraId="0811532F" w14:textId="77777777" w:rsidR="008B1F42" w:rsidRPr="00991E10" w:rsidRDefault="008B1F42" w:rsidP="008B1F42">
      <w:pPr>
        <w:pStyle w:val="ListParagraph"/>
        <w:spacing w:after="200"/>
        <w:ind w:left="0"/>
        <w:jc w:val="both"/>
        <w:rPr>
          <w:rFonts w:eastAsia="Verdana" w:cs="Verdana"/>
          <w:sz w:val="20"/>
          <w:szCs w:val="20"/>
        </w:rPr>
      </w:pPr>
    </w:p>
    <w:p w14:paraId="18B8EBBE" w14:textId="2BAD98CB" w:rsidR="008B1F42" w:rsidRPr="00991E10" w:rsidRDefault="008B1F42" w:rsidP="00CC2315">
      <w:pPr>
        <w:pStyle w:val="ListParagraph"/>
        <w:spacing w:after="200"/>
        <w:ind w:left="0"/>
        <w:jc w:val="both"/>
        <w:rPr>
          <w:rFonts w:eastAsia="Verdana" w:cs="Verdana"/>
          <w:sz w:val="20"/>
          <w:szCs w:val="20"/>
        </w:rPr>
      </w:pPr>
      <w:r w:rsidRPr="00991E10">
        <w:rPr>
          <w:sz w:val="20"/>
          <w:szCs w:val="20"/>
        </w:rPr>
        <w:t>I progetti relativi ai gemellaggi di città dovrebbero tenere conto del nuovo contesto motivazionale per l’Europa, secondo un approccio costruttivo orientato ai cittadini e rivolto al futuro, che promuova l’uguaglianza e riesca a coinvolgere maggiormente, in particolare, la generazione più giovane. I progetti possono fondarsi sugli esiti delle consultazioni dei cittadini e stimolare dibattiti sui modi concreti per creare un’Unione più democratica, affinché i cittadini possano riprendere a impegnarsi nell’UE e sviluppare un senso più profondo di appartenenza al progetto europeo.</w:t>
      </w:r>
    </w:p>
    <w:p w14:paraId="6C324617" w14:textId="7DEA1873" w:rsidR="008B1F42" w:rsidRPr="00991E10" w:rsidRDefault="008B1F42" w:rsidP="008B1F42">
      <w:pPr>
        <w:pStyle w:val="Heading3"/>
      </w:pPr>
      <w:bookmarkStart w:id="5" w:name="_Toc92965229"/>
      <w:r w:rsidRPr="00991E10">
        <w:t>Temi e priorità (ambito di applicazione)</w:t>
      </w:r>
      <w:bookmarkEnd w:id="5"/>
    </w:p>
    <w:p w14:paraId="5FB7D970" w14:textId="77777777" w:rsidR="008B1F42" w:rsidRPr="00991E10" w:rsidRDefault="008B1F42" w:rsidP="008B1F42">
      <w:pPr>
        <w:numPr>
          <w:ilvl w:val="0"/>
          <w:numId w:val="48"/>
        </w:numPr>
        <w:rPr>
          <w:rFonts w:eastAsia="Verdana" w:cs="Verdana"/>
        </w:rPr>
      </w:pPr>
      <w:r w:rsidRPr="00991E10">
        <w:rPr>
          <w:b/>
          <w:bCs/>
        </w:rPr>
        <w:t>Sensibilizzare alla ricchezza dell’ambiente culturale e linguistico in Europa</w:t>
      </w:r>
    </w:p>
    <w:p w14:paraId="2B1D8BE9" w14:textId="77777777" w:rsidR="008B1F42" w:rsidRPr="00991E10" w:rsidRDefault="008B1F42" w:rsidP="008B1F42">
      <w:pPr>
        <w:rPr>
          <w:rFonts w:eastAsia="Verdana" w:cs="Verdana"/>
        </w:rPr>
      </w:pPr>
      <w:r w:rsidRPr="00991E10">
        <w:t xml:space="preserve">Il programma contribuisce alla promozione del dialogo interculturale riunendo persone di nazionalità e lingue differenti e offrendo loro l’opportunità di partecipare ad attività comuni. In tale contesto, i progetti relativi ai gemellaggi di città dovrebbero contribuire a una maggiore sensibilizzazione alla ricchezza dell’ambiente culturale e linguistico in Europa e promuovere la comprensione e la tolleranza reciproche, sostenendo in tal modo lo sviluppo di un’identità europea rispettosa, dinamica e multiforme nonché il rispetto dei valori comuni, della democrazia e dei diritti fondamentali. </w:t>
      </w:r>
    </w:p>
    <w:p w14:paraId="278D248A" w14:textId="77777777" w:rsidR="008B1F42" w:rsidRPr="00991E10" w:rsidRDefault="008B1F42" w:rsidP="008B1F42">
      <w:pPr>
        <w:numPr>
          <w:ilvl w:val="0"/>
          <w:numId w:val="48"/>
        </w:numPr>
        <w:rPr>
          <w:rFonts w:eastAsia="Verdana" w:cs="Verdana"/>
        </w:rPr>
      </w:pPr>
      <w:r w:rsidRPr="00991E10">
        <w:rPr>
          <w:b/>
          <w:bCs/>
        </w:rPr>
        <w:t>Sensibilizzare all’importanza di rafforzare il processo di integrazione europea basato sulla solidarietà</w:t>
      </w:r>
    </w:p>
    <w:p w14:paraId="6CBF9321" w14:textId="77777777" w:rsidR="008B1F42" w:rsidRPr="00991E10" w:rsidRDefault="008B1F42" w:rsidP="008B1F42">
      <w:pPr>
        <w:rPr>
          <w:rFonts w:eastAsia="Verdana" w:cs="Verdana"/>
        </w:rPr>
      </w:pPr>
      <w:r w:rsidRPr="00991E10">
        <w:t>L’Unione europea si fonda sulla solidarietà: solidarietà tra i suoi cittadini, solidarietà attraverso i confini tra i suoi Stati membri, solidarietà mediante azioni di sostegno all’interno e all’esterno dell’Unione. La solidarietà è un valore condiviso che crea coesione e dà risposta alle sfide sociali. I progetti relativi ai gemellaggi di città dovrebbero contribuire al superamento delle percezioni nazionali stimolando la comprensione reciproca e creando forum in cui sia possibile discutere le soluzioni comuni in modo costruttivo. Questi progetti dovrebbero avere lo scopo di sensibilizzare all’importanza di rafforzare il processo di integrazione europea basato sulla solidarietà e sui valori comuni.</w:t>
      </w:r>
    </w:p>
    <w:p w14:paraId="0C7C4065" w14:textId="77777777" w:rsidR="008B1F42" w:rsidRPr="00991E10" w:rsidRDefault="008B1F42" w:rsidP="008B1F42">
      <w:pPr>
        <w:numPr>
          <w:ilvl w:val="0"/>
          <w:numId w:val="48"/>
        </w:numPr>
        <w:rPr>
          <w:rFonts w:eastAsia="Verdana" w:cs="Verdana"/>
        </w:rPr>
      </w:pPr>
      <w:r w:rsidRPr="00991E10">
        <w:rPr>
          <w:b/>
          <w:bCs/>
        </w:rPr>
        <w:t xml:space="preserve">Promuovere un senso di appartenenza all’Europa stimolando la discussione sul futuro dell’Europa </w:t>
      </w:r>
    </w:p>
    <w:p w14:paraId="1B7C766D" w14:textId="77777777" w:rsidR="008B1F42" w:rsidRPr="00991E10" w:rsidRDefault="008B1F42" w:rsidP="008B1F42">
      <w:pPr>
        <w:rPr>
          <w:rFonts w:eastAsia="Verdana" w:cs="Verdana"/>
        </w:rPr>
      </w:pPr>
      <w:r w:rsidRPr="00991E10">
        <w:t xml:space="preserve">I progetti relativi ai gemellaggi di città dovrebbero offrire ai cittadini l’opportunità di esprimersi in merito a quale tipo di Europa vogliono. Le discussioni sostenute nell’ambito dei gemellaggi di città dovrebbero basarsi sui risultati concreti ottenuti dall’Unione europea e sugli insegnamenti tratti dalla storia. Inoltre, tali discussioni dovrebbero rispecchiare le tendenze attuali e consentire ai partecipanti di contrastare l’euroscetticismo proponendo azioni che l’Unione europea potrebbe intraprendere per promuovere un senso di appartenenza all’Europa, far comprendere i vantaggi dell’Unione europea e accrescervi la coesione sociale e politica. I comuni gemellati sono </w:t>
      </w:r>
      <w:r w:rsidRPr="00991E10">
        <w:lastRenderedPageBreak/>
        <w:t>incoraggiati a tenere conto degli obiettivi della conferenza sul futuro dell’Europa (</w:t>
      </w:r>
      <w:r w:rsidRPr="00991E10">
        <w:rPr>
          <w:rStyle w:val="FootnoteReference"/>
          <w:rFonts w:eastAsia="Verdana" w:cs="Verdana"/>
        </w:rPr>
        <w:footnoteReference w:id="10"/>
      </w:r>
      <w:r w:rsidRPr="00991E10">
        <w:t>). Inoltre, le discussioni dovrebbero promuovere una cultura volta allo scambio democratico in cui le opinioni di tutti i partecipanti sono valutate su un piano di parità, indipendentemente dal genere, dall’età o dalla provenienza etnica.</w:t>
      </w:r>
    </w:p>
    <w:p w14:paraId="10D7F696" w14:textId="77777777" w:rsidR="008B1F42" w:rsidRPr="00991E10" w:rsidRDefault="008B1F42" w:rsidP="008B1F42">
      <w:pPr>
        <w:numPr>
          <w:ilvl w:val="0"/>
          <w:numId w:val="48"/>
        </w:numPr>
        <w:rPr>
          <w:rFonts w:eastAsia="Verdana" w:cs="Verdana"/>
          <w:b/>
          <w:bCs/>
        </w:rPr>
      </w:pPr>
      <w:r w:rsidRPr="00991E10">
        <w:rPr>
          <w:b/>
          <w:bCs/>
        </w:rPr>
        <w:t>Riflettere sull’impatto della pandemia di COVID-19 sulle comunità locali</w:t>
      </w:r>
    </w:p>
    <w:p w14:paraId="481B9ACE" w14:textId="77777777" w:rsidR="008B1F42" w:rsidRPr="00991E10" w:rsidRDefault="008B1F42" w:rsidP="008B1F42">
      <w:pPr>
        <w:rPr>
          <w:rFonts w:eastAsia="Verdana" w:cs="Verdana"/>
        </w:rPr>
      </w:pPr>
      <w:r w:rsidRPr="00991E10">
        <w:t>La pandemia di COVID-19 ha influenzato le modalità di funzionamento delle nostre democrazie e della nostra partecipazione civica. La necessità di prevenire la diffusione del contagio ha portato all’imposizione di severe restrizioni della libertà individuale e collettiva. I progetti relativi ai gemellaggi di città dovrebbero avviare una riflessione in merito all’impatto della pandemia di COVID-19 sulla vita all’interno delle comunità locali e sul loro funzionamento, nonché sulle forme della partecipazione civica durante la crisi correlata alla pandemia.</w:t>
      </w:r>
    </w:p>
    <w:p w14:paraId="36719A73" w14:textId="77777777" w:rsidR="008B1F42" w:rsidRPr="00991E10" w:rsidRDefault="008B1F42" w:rsidP="008B1F42">
      <w:pPr>
        <w:widowControl w:val="0"/>
        <w:outlineLvl w:val="1"/>
        <w:rPr>
          <w:i/>
          <w:color w:val="A50021"/>
          <w:u w:val="single"/>
        </w:rPr>
      </w:pPr>
      <w:r w:rsidRPr="00991E10">
        <w:rPr>
          <w:i/>
          <w:color w:val="A50021"/>
          <w:u w:val="single"/>
        </w:rPr>
        <w:t>Attività finanziabili (ambito di applicazione)</w:t>
      </w:r>
    </w:p>
    <w:p w14:paraId="3F3EFBB4" w14:textId="77777777" w:rsidR="008B1F42" w:rsidRPr="00991E10" w:rsidRDefault="008B1F42" w:rsidP="008B1F42">
      <w:pPr>
        <w:widowControl w:val="0"/>
        <w:outlineLvl w:val="1"/>
      </w:pPr>
      <w:r w:rsidRPr="00991E10">
        <w:t>Le attività possono comprendere, tra l’altro:</w:t>
      </w:r>
    </w:p>
    <w:p w14:paraId="6E4AFEA1" w14:textId="2D94E985" w:rsidR="008B1F42" w:rsidRPr="00991E10" w:rsidRDefault="008B1F42" w:rsidP="008B1F42">
      <w:pPr>
        <w:pStyle w:val="Text3"/>
        <w:numPr>
          <w:ilvl w:val="0"/>
          <w:numId w:val="48"/>
        </w:numPr>
        <w:tabs>
          <w:tab w:val="left" w:pos="567"/>
        </w:tabs>
        <w:ind w:left="567" w:hanging="207"/>
      </w:pPr>
      <w:r w:rsidRPr="00991E10">
        <w:t>workshop, seminari, conferenze, attività di formazione, riunioni di esperti, webinar, attività di sensibilizzazione, raccolta e consultazione di dati, sviluppo, scambi e divulgazione di buone pratiche tra autorità pubbliche e organizzazioni della società civile, sviluppo di strumenti di comunicazione e utilizzo dei media sociali.</w:t>
      </w:r>
    </w:p>
    <w:p w14:paraId="44CF613E" w14:textId="055AEA4F" w:rsidR="00BF5947" w:rsidRPr="00991E10" w:rsidRDefault="00BF5947" w:rsidP="00CC2315">
      <w:pPr>
        <w:widowControl w:val="0"/>
      </w:pPr>
      <w:r w:rsidRPr="00991E10">
        <w:t xml:space="preserve">Si dovrebbe tener conto della prospettiva della parità di genere nella fase di definizione del «formato» delle attività, per garantire l’accessibilità e la partecipazione di donne e uomini a parità di condizioni. </w:t>
      </w:r>
    </w:p>
    <w:p w14:paraId="4E176950" w14:textId="7F1D3AA0" w:rsidR="008B1F42" w:rsidRPr="00991E10" w:rsidRDefault="008B1F42" w:rsidP="008B1F42">
      <w:pPr>
        <w:widowControl w:val="0"/>
        <w:outlineLvl w:val="1"/>
        <w:rPr>
          <w:i/>
          <w:color w:val="A50021"/>
          <w:u w:val="single"/>
        </w:rPr>
      </w:pPr>
      <w:r w:rsidRPr="00991E10">
        <w:rPr>
          <w:i/>
          <w:color w:val="A50021"/>
          <w:u w:val="single"/>
        </w:rPr>
        <w:t>Effetti attesi</w:t>
      </w:r>
    </w:p>
    <w:p w14:paraId="73300198" w14:textId="7369E399" w:rsidR="008B1F42" w:rsidRPr="00991E10" w:rsidRDefault="008B1F42" w:rsidP="008B1F42">
      <w:pPr>
        <w:pStyle w:val="ListParagraph"/>
        <w:numPr>
          <w:ilvl w:val="0"/>
          <w:numId w:val="49"/>
        </w:numPr>
        <w:snapToGrid w:val="0"/>
        <w:rPr>
          <w:rFonts w:eastAsia="Verdana" w:cs="Verdana"/>
          <w:sz w:val="20"/>
          <w:szCs w:val="20"/>
        </w:rPr>
      </w:pPr>
      <w:r w:rsidRPr="00991E10">
        <w:rPr>
          <w:sz w:val="20"/>
          <w:szCs w:val="20"/>
        </w:rPr>
        <w:t>Aumentare e incoraggiare la comprensione e l’amicizia reciproche tra vari cittadini a livello locale;</w:t>
      </w:r>
    </w:p>
    <w:p w14:paraId="13BA14C4" w14:textId="77777777" w:rsidR="008B1F42" w:rsidRPr="00991E10" w:rsidRDefault="008B1F42" w:rsidP="008B1F42">
      <w:pPr>
        <w:pStyle w:val="ListParagraph"/>
        <w:numPr>
          <w:ilvl w:val="0"/>
          <w:numId w:val="49"/>
        </w:numPr>
        <w:snapToGrid w:val="0"/>
        <w:rPr>
          <w:rFonts w:eastAsia="Verdana" w:cs="Verdana"/>
          <w:sz w:val="20"/>
          <w:szCs w:val="20"/>
        </w:rPr>
      </w:pPr>
      <w:r w:rsidRPr="00991E10">
        <w:rPr>
          <w:sz w:val="20"/>
          <w:szCs w:val="20"/>
        </w:rPr>
        <w:t>coinvolgere diversi cittadini delle comunità locali e le loro esperienze, e riconoscere il valore aggiunto che l’UE apporta grazie all’approccio dal basso;</w:t>
      </w:r>
    </w:p>
    <w:p w14:paraId="64BB5015" w14:textId="77777777" w:rsidR="008B1F42" w:rsidRPr="00991E10" w:rsidRDefault="008B1F42" w:rsidP="009C148E">
      <w:pPr>
        <w:pStyle w:val="ListParagraph"/>
        <w:numPr>
          <w:ilvl w:val="0"/>
          <w:numId w:val="49"/>
        </w:numPr>
        <w:snapToGrid w:val="0"/>
        <w:spacing w:after="200"/>
        <w:rPr>
          <w:rFonts w:eastAsia="Verdana" w:cs="Verdana"/>
          <w:sz w:val="20"/>
          <w:szCs w:val="20"/>
        </w:rPr>
      </w:pPr>
      <w:r w:rsidRPr="00991E10">
        <w:rPr>
          <w:sz w:val="20"/>
          <w:szCs w:val="20"/>
        </w:rPr>
        <w:t>promuovere un maggiore senso di appartenenza all’UE.</w:t>
      </w:r>
    </w:p>
    <w:p w14:paraId="3816CD76" w14:textId="5D6DCC68" w:rsidR="008B1F42" w:rsidRPr="00991E10" w:rsidRDefault="00C70A0F" w:rsidP="008B1F42">
      <w:pPr>
        <w:widowControl w:val="0"/>
        <w:outlineLvl w:val="1"/>
        <w:rPr>
          <w:b/>
          <w:bCs/>
          <w:color w:val="A50021"/>
        </w:rPr>
      </w:pPr>
      <w:r w:rsidRPr="00991E10">
        <w:rPr>
          <w:b/>
          <w:bCs/>
          <w:color w:val="A50021"/>
          <w:u w:val="single"/>
        </w:rPr>
        <w:t>CERV-2022-CITIZENS-TOWN-</w:t>
      </w:r>
      <w:r>
        <w:rPr>
          <w:b/>
          <w:bCs/>
          <w:color w:val="A50021"/>
          <w:u w:val="single"/>
        </w:rPr>
        <w:t xml:space="preserve">NT </w:t>
      </w:r>
      <w:r w:rsidR="00BF7239" w:rsidRPr="00991E10">
        <w:rPr>
          <w:b/>
          <w:bCs/>
          <w:color w:val="A50021"/>
          <w:u w:val="single"/>
        </w:rPr>
        <w:t>– Reti di città</w:t>
      </w:r>
      <w:r w:rsidR="00BF7239" w:rsidRPr="00991E10">
        <w:rPr>
          <w:b/>
          <w:bCs/>
          <w:color w:val="A50021"/>
        </w:rPr>
        <w:t xml:space="preserve"> </w:t>
      </w:r>
    </w:p>
    <w:p w14:paraId="5DD50407" w14:textId="77777777" w:rsidR="008B1F42" w:rsidRPr="00991E10" w:rsidRDefault="008B1F42" w:rsidP="008B1F42">
      <w:pPr>
        <w:pStyle w:val="Heading3"/>
      </w:pPr>
      <w:bookmarkStart w:id="6" w:name="_Toc92965230"/>
      <w:r w:rsidRPr="00991E10">
        <w:t>Obiettivi</w:t>
      </w:r>
      <w:bookmarkEnd w:id="6"/>
      <w:r w:rsidRPr="00991E10">
        <w:t xml:space="preserve"> </w:t>
      </w:r>
    </w:p>
    <w:p w14:paraId="50086A6A" w14:textId="77777777" w:rsidR="008B1F42" w:rsidRPr="00991E10" w:rsidRDefault="008B1F42" w:rsidP="008B1F42">
      <w:pPr>
        <w:pStyle w:val="ListParagraph"/>
        <w:numPr>
          <w:ilvl w:val="0"/>
          <w:numId w:val="47"/>
        </w:numPr>
        <w:snapToGrid w:val="0"/>
        <w:spacing w:after="200"/>
        <w:jc w:val="both"/>
        <w:rPr>
          <w:rFonts w:eastAsia="Verdana" w:cs="Verdana"/>
          <w:sz w:val="20"/>
          <w:szCs w:val="20"/>
        </w:rPr>
      </w:pPr>
      <w:r w:rsidRPr="00991E10">
        <w:rPr>
          <w:sz w:val="20"/>
          <w:szCs w:val="20"/>
        </w:rPr>
        <w:t>Promuovere gli scambi tra cittadini di paesi differenti;</w:t>
      </w:r>
    </w:p>
    <w:p w14:paraId="4930950B" w14:textId="58DB2063" w:rsidR="008B1F42" w:rsidRPr="00991E10" w:rsidRDefault="008B1F42" w:rsidP="008B1F42">
      <w:pPr>
        <w:pStyle w:val="ListParagraph"/>
        <w:numPr>
          <w:ilvl w:val="0"/>
          <w:numId w:val="47"/>
        </w:numPr>
        <w:snapToGrid w:val="0"/>
        <w:spacing w:after="200"/>
        <w:jc w:val="both"/>
        <w:rPr>
          <w:rFonts w:eastAsia="Verdana" w:cs="Verdana"/>
          <w:sz w:val="20"/>
          <w:szCs w:val="20"/>
        </w:rPr>
      </w:pPr>
      <w:r w:rsidRPr="00991E10">
        <w:rPr>
          <w:sz w:val="20"/>
          <w:szCs w:val="20"/>
        </w:rPr>
        <w:t>offrire ai cittadini l’opportunità di scoprire la diversità culturale dell’Unione europea e far comprendere loro che i valori e il patrimonio culturale europei costituiscono le basi di un futuro comune</w:t>
      </w:r>
      <w:r w:rsidRPr="00991E10">
        <w:rPr>
          <w:iCs/>
          <w:sz w:val="20"/>
          <w:szCs w:val="20"/>
        </w:rPr>
        <w:t>;</w:t>
      </w:r>
    </w:p>
    <w:p w14:paraId="67D2B464" w14:textId="77777777" w:rsidR="008B1F42" w:rsidRPr="00991E10" w:rsidRDefault="008B1F42" w:rsidP="008B1F42">
      <w:pPr>
        <w:pStyle w:val="ListParagraph"/>
        <w:numPr>
          <w:ilvl w:val="0"/>
          <w:numId w:val="47"/>
        </w:numPr>
        <w:snapToGrid w:val="0"/>
        <w:spacing w:after="200"/>
        <w:jc w:val="both"/>
        <w:rPr>
          <w:rFonts w:eastAsia="Verdana" w:cs="Verdana"/>
          <w:sz w:val="20"/>
          <w:szCs w:val="20"/>
        </w:rPr>
      </w:pPr>
      <w:r w:rsidRPr="00991E10">
        <w:rPr>
          <w:sz w:val="20"/>
          <w:szCs w:val="20"/>
        </w:rPr>
        <w:t>garantire relazioni pacifiche tra gli europei e assicurare la loro attiva partecipazione a livello locale;</w:t>
      </w:r>
    </w:p>
    <w:p w14:paraId="195F41AA" w14:textId="77777777" w:rsidR="008B1F42" w:rsidRPr="00991E10" w:rsidRDefault="008B1F42" w:rsidP="008B1F42">
      <w:pPr>
        <w:pStyle w:val="ListParagraph"/>
        <w:numPr>
          <w:ilvl w:val="0"/>
          <w:numId w:val="47"/>
        </w:numPr>
        <w:snapToGrid w:val="0"/>
        <w:spacing w:after="200"/>
        <w:jc w:val="both"/>
        <w:rPr>
          <w:rFonts w:eastAsia="Verdana" w:cs="Verdana"/>
          <w:sz w:val="20"/>
          <w:szCs w:val="20"/>
        </w:rPr>
      </w:pPr>
      <w:r w:rsidRPr="00991E10">
        <w:rPr>
          <w:sz w:val="20"/>
          <w:szCs w:val="20"/>
        </w:rPr>
        <w:t>rafforzare la comprensione e l’amicizia reciproche tra i cittadini europei;</w:t>
      </w:r>
    </w:p>
    <w:p w14:paraId="7666C85B" w14:textId="77777777" w:rsidR="008B1F42" w:rsidRPr="00991E10" w:rsidRDefault="008B1F42" w:rsidP="008B1F42">
      <w:pPr>
        <w:pStyle w:val="ListParagraph"/>
        <w:numPr>
          <w:ilvl w:val="0"/>
          <w:numId w:val="47"/>
        </w:numPr>
        <w:snapToGrid w:val="0"/>
        <w:spacing w:after="200"/>
        <w:jc w:val="both"/>
        <w:rPr>
          <w:rFonts w:eastAsia="Verdana" w:cs="Verdana"/>
          <w:sz w:val="20"/>
          <w:szCs w:val="20"/>
        </w:rPr>
      </w:pPr>
      <w:r w:rsidRPr="00991E10">
        <w:rPr>
          <w:sz w:val="20"/>
          <w:szCs w:val="20"/>
        </w:rPr>
        <w:t>incoraggiare la cooperazione tra i comuni e lo scambio delle migliori pratiche;</w:t>
      </w:r>
    </w:p>
    <w:p w14:paraId="602154B3" w14:textId="77777777" w:rsidR="008B1F42" w:rsidRPr="00991E10" w:rsidRDefault="008B1F42" w:rsidP="008B1F42">
      <w:pPr>
        <w:pStyle w:val="ListParagraph"/>
        <w:numPr>
          <w:ilvl w:val="0"/>
          <w:numId w:val="47"/>
        </w:numPr>
        <w:snapToGrid w:val="0"/>
        <w:spacing w:after="200"/>
        <w:jc w:val="both"/>
        <w:rPr>
          <w:rFonts w:eastAsia="Verdana" w:cs="Verdana"/>
          <w:sz w:val="20"/>
          <w:szCs w:val="20"/>
        </w:rPr>
      </w:pPr>
      <w:r w:rsidRPr="00991E10">
        <w:rPr>
          <w:sz w:val="20"/>
          <w:szCs w:val="20"/>
        </w:rPr>
        <w:lastRenderedPageBreak/>
        <w:t>sostenere una buona amministrazione locale e potenziare il ruolo delle autorità locali e regionali nel processo d’integrazione europea.</w:t>
      </w:r>
    </w:p>
    <w:p w14:paraId="79BB4ACA" w14:textId="77777777" w:rsidR="008B1F42" w:rsidRPr="00991E10" w:rsidRDefault="008B1F42" w:rsidP="008B1F42">
      <w:pPr>
        <w:rPr>
          <w:rFonts w:eastAsia="Verdana" w:cs="Verdana"/>
        </w:rPr>
      </w:pPr>
      <w:r w:rsidRPr="00991E10">
        <w:t>I progetti relativi alla creazione di reti di città dovrebbero tenere conto del nuovo discorso narrativo per l’Europa, secondo un approccio costruttivo orientato ai cittadini e rivolto al futuro, che promuova l’uguaglianza e riesca a coinvolgere maggiormente, in particolare, la generazione più giovane. I progetti possono fondarsi sugli esiti delle consultazioni dei cittadini e stimolare dibattiti sui modi concreti per creare un’Unione più democratica, affinché i cittadini possano riprendere a impegnarsi nell’UE e sviluppare un senso più profondo di appartenenza al progetto europeo.</w:t>
      </w:r>
    </w:p>
    <w:p w14:paraId="21311993" w14:textId="77777777" w:rsidR="008B1F42" w:rsidRPr="00991E10" w:rsidRDefault="008B1F42" w:rsidP="008B1F42">
      <w:pPr>
        <w:rPr>
          <w:rFonts w:eastAsia="Verdana" w:cs="Verdana"/>
        </w:rPr>
      </w:pPr>
      <w:r w:rsidRPr="00991E10">
        <w:t>Le reti di città dovrebbero offrire alle città e ai comuni la possibilità di approfondire e intensificare la loro cooperazione e discutere in una prospettiva di lungo periodo, di creare reti sostenibili e di delineare la loro visione di lungo termine per il futuro dell’integrazione europea.</w:t>
      </w:r>
    </w:p>
    <w:p w14:paraId="73AEEF58" w14:textId="77777777" w:rsidR="008B1F42" w:rsidRPr="00991E10" w:rsidRDefault="008B1F42" w:rsidP="008B1F42">
      <w:pPr>
        <w:pStyle w:val="Heading3"/>
      </w:pPr>
      <w:bookmarkStart w:id="7" w:name="_Toc92965231"/>
      <w:r w:rsidRPr="00991E10">
        <w:t>Temi e priorità (ambito di applicazione)</w:t>
      </w:r>
      <w:bookmarkEnd w:id="7"/>
    </w:p>
    <w:p w14:paraId="19210619" w14:textId="5F6CD73A" w:rsidR="008B1F42" w:rsidRPr="00991E10" w:rsidRDefault="008B1F42" w:rsidP="008B1F42">
      <w:pPr>
        <w:pStyle w:val="Text3"/>
        <w:ind w:left="0"/>
        <w:rPr>
          <w:rFonts w:eastAsia="Verdana" w:cs="Verdana"/>
        </w:rPr>
      </w:pPr>
      <w:r w:rsidRPr="00991E10">
        <w:t>Pur mantenendo un approccio dal basso verso l’alto, un’attenzione specifica potrebbe essere dedicata alle seguenti tematiche:</w:t>
      </w:r>
    </w:p>
    <w:p w14:paraId="0114D3C8" w14:textId="77777777" w:rsidR="00DF1A7E" w:rsidRPr="00991E10" w:rsidRDefault="00DF1A7E" w:rsidP="00DF1A7E">
      <w:pPr>
        <w:numPr>
          <w:ilvl w:val="0"/>
          <w:numId w:val="48"/>
        </w:numPr>
        <w:rPr>
          <w:rFonts w:eastAsia="Verdana" w:cs="Verdana"/>
        </w:rPr>
      </w:pPr>
      <w:r w:rsidRPr="00991E10">
        <w:rPr>
          <w:b/>
        </w:rPr>
        <w:t>Rafforzare la dimensione europea e democratica del processo decisionale dell’UE</w:t>
      </w:r>
    </w:p>
    <w:p w14:paraId="170D5575" w14:textId="591CBCC7" w:rsidR="00DF1A7E" w:rsidRPr="00991E10" w:rsidRDefault="00DF1A7E" w:rsidP="00DF1A7E">
      <w:r w:rsidRPr="00991E10">
        <w:t>Le reti di città sono invitate a definire progetti che rafforzano la governance democratica sostenendo la partecipazione attiva dei cittadini alla vita politica europea e l’esercizio dei loro diritti elettorali. Tali progetti potrebbero aiutare a contrastare la scarsa affluenza alle elezioni, il populismo, la disinformazione e le sfide della società civile.</w:t>
      </w:r>
    </w:p>
    <w:p w14:paraId="75942D03" w14:textId="57AAA631" w:rsidR="00DF1A7E" w:rsidRPr="00991E10" w:rsidRDefault="00DF1A7E" w:rsidP="00DF1A7E">
      <w:pPr>
        <w:numPr>
          <w:ilvl w:val="0"/>
          <w:numId w:val="48"/>
        </w:numPr>
        <w:rPr>
          <w:rFonts w:eastAsia="Verdana" w:cs="Verdana"/>
          <w:b/>
        </w:rPr>
      </w:pPr>
      <w:r w:rsidRPr="00991E10">
        <w:rPr>
          <w:b/>
        </w:rPr>
        <w:t>Sostenere elezioni libere ed eque in Europa</w:t>
      </w:r>
    </w:p>
    <w:p w14:paraId="508FCAAE" w14:textId="13093283" w:rsidR="00DF1A7E" w:rsidRPr="00991E10" w:rsidRDefault="00DF1A7E" w:rsidP="00DF1A7E">
      <w:pPr>
        <w:rPr>
          <w:rFonts w:eastAsia="Verdana" w:cs="Verdana"/>
        </w:rPr>
      </w:pPr>
      <w:r w:rsidRPr="00991E10">
        <w:t>In vista delle elezioni europee del 2024, le reti di città sono invitate a lavorare sul mantenimento delle istituzioni democratiche dell’UE e sulla relativa partecipazione dei cittadini. Il coordinamento all’interno e tra le reti pertinenti potrebbe portare in particolare alla creazione di metodi di lavoro comuni, allo sviluppo di capacità per individuare e affrontare le minacce alle elezioni, all’elaborazione di modelli di buone prassi e linee guida.</w:t>
      </w:r>
    </w:p>
    <w:p w14:paraId="609BDE0C" w14:textId="77777777" w:rsidR="00DF1A7E" w:rsidRPr="00991E10" w:rsidRDefault="00DF1A7E" w:rsidP="00DF1A7E">
      <w:pPr>
        <w:numPr>
          <w:ilvl w:val="0"/>
          <w:numId w:val="48"/>
        </w:numPr>
        <w:rPr>
          <w:rFonts w:eastAsia="Verdana" w:cs="Verdana"/>
        </w:rPr>
      </w:pPr>
      <w:r w:rsidRPr="00991E10">
        <w:rPr>
          <w:b/>
          <w:bCs/>
        </w:rPr>
        <w:t xml:space="preserve">Promuovere un senso di appartenenza all’Europa stimolando la discussione sul futuro dell’Europa </w:t>
      </w:r>
    </w:p>
    <w:p w14:paraId="56A249A6" w14:textId="404D5832" w:rsidR="00DF1A7E" w:rsidRPr="00991E10" w:rsidRDefault="00DF1A7E" w:rsidP="00DF1A7E">
      <w:pPr>
        <w:rPr>
          <w:rFonts w:eastAsia="Verdana" w:cs="Verdana"/>
        </w:rPr>
      </w:pPr>
      <w:r w:rsidRPr="00991E10">
        <w:t>Le reti di città potrebbero offrire ai cittadini l’opportunità di esprimere quale tipo di Europa vogliono. Le discussioni dovrebbero basarsi sui risultati concreti ottenuti dall’Unione europea e sugli insegnamenti della storia. Tali discussioni potrebbero suggerire azioni possibili che l’Unione europea potrebbe intraprendere per promuovere un senso di appartenenza all’Europa, far comprendere i vantaggi dell’Unione europea e accrescere la coesione sociale e politica dell’UE. Le reti di città sono incoraggiate a dare risposta agli obiettivi della conferenza sul futuro dell’Europa.</w:t>
      </w:r>
    </w:p>
    <w:p w14:paraId="2AF05699" w14:textId="77777777" w:rsidR="00DF1A7E" w:rsidRPr="00991E10" w:rsidRDefault="00DF1A7E" w:rsidP="00DF1A7E">
      <w:pPr>
        <w:numPr>
          <w:ilvl w:val="0"/>
          <w:numId w:val="48"/>
        </w:numPr>
        <w:rPr>
          <w:rFonts w:eastAsia="Verdana" w:cs="Verdana"/>
          <w:b/>
          <w:bCs/>
        </w:rPr>
      </w:pPr>
      <w:r w:rsidRPr="00991E10">
        <w:rPr>
          <w:b/>
          <w:bCs/>
        </w:rPr>
        <w:t>Riflettere sull’impatto della pandemia di COVID-19 sulle comunità locali</w:t>
      </w:r>
    </w:p>
    <w:p w14:paraId="4F1B2504" w14:textId="23705276" w:rsidR="00DF1A7E" w:rsidRPr="00991E10" w:rsidRDefault="00DF1A7E" w:rsidP="006F58BD">
      <w:pPr>
        <w:pStyle w:val="Text3"/>
        <w:ind w:left="0"/>
        <w:rPr>
          <w:rFonts w:eastAsia="Verdana" w:cs="Verdana"/>
        </w:rPr>
      </w:pPr>
      <w:r w:rsidRPr="00991E10">
        <w:t>La pandemia di COVID-19 ha influenzato le modalità di funzionamento delle nostre democrazie e della nostra partecipazione civica. La necessità di prevenire la diffusione del contagio ha portato all’imposizione di severe restrizioni della libertà individuale e collettiva. Le reti di città sono incoraggiate a riflettere in merito all’impatto della pandemia di COVID-19 sulla vita all’interno delle comunità locali e sul loro funzionamento, nonché sulle forme della partecipazione civica durante la crisi COVID-19.</w:t>
      </w:r>
    </w:p>
    <w:p w14:paraId="67B84D45" w14:textId="5CF8C7F0" w:rsidR="008B1F42" w:rsidRPr="00991E10" w:rsidRDefault="008B1F42" w:rsidP="008B1F42">
      <w:pPr>
        <w:pStyle w:val="Heading3"/>
      </w:pPr>
      <w:bookmarkStart w:id="8" w:name="_Toc92965232"/>
      <w:r w:rsidRPr="00991E10">
        <w:lastRenderedPageBreak/>
        <w:t>Attività finanziabili (ambito di applicazione)</w:t>
      </w:r>
      <w:bookmarkEnd w:id="8"/>
    </w:p>
    <w:p w14:paraId="24792C88" w14:textId="77777777" w:rsidR="008B1F42" w:rsidRPr="00991E10" w:rsidRDefault="008B1F42" w:rsidP="008B1F42">
      <w:pPr>
        <w:widowControl w:val="0"/>
        <w:outlineLvl w:val="1"/>
      </w:pPr>
      <w:r w:rsidRPr="00991E10">
        <w:t>Le attività possono comprendere, tra l’altro:</w:t>
      </w:r>
    </w:p>
    <w:p w14:paraId="31F23C7A" w14:textId="77777777" w:rsidR="008B1F42" w:rsidRPr="00991E10" w:rsidRDefault="008B1F42" w:rsidP="008B1F42">
      <w:pPr>
        <w:pStyle w:val="Text3"/>
        <w:numPr>
          <w:ilvl w:val="0"/>
          <w:numId w:val="48"/>
        </w:numPr>
        <w:tabs>
          <w:tab w:val="left" w:pos="567"/>
        </w:tabs>
        <w:ind w:left="567" w:hanging="207"/>
      </w:pPr>
      <w:r w:rsidRPr="00991E10">
        <w:t>workshop, seminari, conferenze, attività di formazione, riunioni di esperti, webinar, attività di sensibilizzazione, raccolta e consultazione di dati, sviluppo, scambi e divulgazione di buone pratiche tra autorità pubbliche e organizzazioni della società civile, sviluppo di strumenti di comunicazione e utilizzo dei media sociali.</w:t>
      </w:r>
    </w:p>
    <w:p w14:paraId="4FBCD5D4" w14:textId="58457A61" w:rsidR="00E83685" w:rsidRPr="00991E10" w:rsidRDefault="00E83685" w:rsidP="00E83685">
      <w:pPr>
        <w:widowControl w:val="0"/>
      </w:pPr>
      <w:r w:rsidRPr="00991E10">
        <w:t xml:space="preserve">Si dovrebbe tener conto della prospettiva della parità di genere nella fase di definizione del «formato» delle attività, per garantire l’accessibilità e la partecipazione di donne e uomini a parità di condizioni. </w:t>
      </w:r>
    </w:p>
    <w:p w14:paraId="60B4B3FC" w14:textId="77777777" w:rsidR="00BF5947" w:rsidRPr="00991E10" w:rsidRDefault="00BF5947" w:rsidP="00BF5947">
      <w:pPr>
        <w:widowControl w:val="0"/>
      </w:pPr>
      <w:r w:rsidRPr="00991E10">
        <w:t>La definizione e l’attuazione dei progetti dovrebbero promuovere la parità di genere e l’integrazione della dimensione di non discriminazione. Per esempio, i richiedenti potrebbero svolgere e allegare alla loro proposta un’analisi di genere, utile per rintracciare i possibili diversi effetti del progetto e delle attività correlate su donne e uomini, così come su ragazze e ragazzi in tutta la loro diversità. In questo modo, le conseguenze negative involontarie dell’intervento su entrambi i generi potrebbero essere evitate (approccio del «non nuocere»).</w:t>
      </w:r>
      <w:r w:rsidRPr="00991E10">
        <w:rPr>
          <w:rStyle w:val="FootnoteReference"/>
        </w:rPr>
        <w:footnoteReference w:id="11"/>
      </w:r>
    </w:p>
    <w:p w14:paraId="363A4BA3" w14:textId="77777777" w:rsidR="008B1F42" w:rsidRPr="00991E10" w:rsidRDefault="008B1F42" w:rsidP="008B1F42">
      <w:pPr>
        <w:pStyle w:val="Heading3"/>
      </w:pPr>
      <w:bookmarkStart w:id="9" w:name="_Toc92965233"/>
      <w:r w:rsidRPr="00991E10">
        <w:t>Effetti attesi</w:t>
      </w:r>
      <w:bookmarkEnd w:id="9"/>
    </w:p>
    <w:p w14:paraId="757470EC" w14:textId="77777777" w:rsidR="008B1F42" w:rsidRPr="00991E10" w:rsidRDefault="008B1F42" w:rsidP="008B1F42">
      <w:pPr>
        <w:pStyle w:val="ListParagraph"/>
        <w:numPr>
          <w:ilvl w:val="0"/>
          <w:numId w:val="50"/>
        </w:numPr>
        <w:snapToGrid w:val="0"/>
        <w:rPr>
          <w:rFonts w:eastAsia="Verdana" w:cs="Verdana"/>
          <w:sz w:val="20"/>
          <w:szCs w:val="20"/>
        </w:rPr>
      </w:pPr>
      <w:r w:rsidRPr="00991E10">
        <w:rPr>
          <w:sz w:val="20"/>
          <w:szCs w:val="20"/>
        </w:rPr>
        <w:t xml:space="preserve">Offrire alle città e ai comuni l’opportunità di elaborare progetti di più ampia scala allo scopo di aumentare gli effetti e la sostenibilità degli stessi; </w:t>
      </w:r>
    </w:p>
    <w:p w14:paraId="0F1CFD3B" w14:textId="71D1656A" w:rsidR="008B1F42" w:rsidRPr="00991E10" w:rsidRDefault="008B1F42" w:rsidP="008B1F42">
      <w:pPr>
        <w:pStyle w:val="ListParagraph"/>
        <w:numPr>
          <w:ilvl w:val="0"/>
          <w:numId w:val="50"/>
        </w:numPr>
        <w:snapToGrid w:val="0"/>
        <w:rPr>
          <w:rFonts w:eastAsia="Verdana" w:cs="Verdana"/>
          <w:sz w:val="20"/>
          <w:szCs w:val="20"/>
        </w:rPr>
      </w:pPr>
      <w:r w:rsidRPr="00991E10">
        <w:rPr>
          <w:sz w:val="20"/>
          <w:szCs w:val="20"/>
        </w:rPr>
        <w:t>permettere ai beneficiari di elaborare progetti più strettamente tematici e relativi alle politiche;</w:t>
      </w:r>
      <w:r w:rsidR="00991E10">
        <w:rPr>
          <w:sz w:val="20"/>
          <w:szCs w:val="20"/>
        </w:rPr>
        <w:t xml:space="preserve"> </w:t>
      </w:r>
    </w:p>
    <w:p w14:paraId="662B7EB2" w14:textId="77777777" w:rsidR="008B1F42" w:rsidRPr="00991E10" w:rsidRDefault="008B1F42" w:rsidP="008B1F42">
      <w:pPr>
        <w:pStyle w:val="ListParagraph"/>
        <w:numPr>
          <w:ilvl w:val="0"/>
          <w:numId w:val="50"/>
        </w:numPr>
        <w:snapToGrid w:val="0"/>
        <w:rPr>
          <w:rFonts w:eastAsia="Verdana" w:cs="Verdana"/>
          <w:sz w:val="20"/>
          <w:szCs w:val="20"/>
        </w:rPr>
      </w:pPr>
      <w:r w:rsidRPr="00991E10">
        <w:rPr>
          <w:sz w:val="20"/>
          <w:szCs w:val="20"/>
        </w:rPr>
        <w:t xml:space="preserve">creare legami duraturi con le organizzazioni partner; </w:t>
      </w:r>
    </w:p>
    <w:p w14:paraId="2DA870B2" w14:textId="77777777" w:rsidR="008B1F42" w:rsidRPr="00991E10" w:rsidRDefault="008B1F42" w:rsidP="008B1F42">
      <w:pPr>
        <w:pStyle w:val="ListParagraph"/>
        <w:numPr>
          <w:ilvl w:val="0"/>
          <w:numId w:val="50"/>
        </w:numPr>
        <w:snapToGrid w:val="0"/>
        <w:rPr>
          <w:rFonts w:eastAsia="Verdana" w:cs="Verdana"/>
          <w:sz w:val="20"/>
          <w:szCs w:val="20"/>
        </w:rPr>
      </w:pPr>
      <w:r w:rsidRPr="00991E10">
        <w:rPr>
          <w:sz w:val="20"/>
          <w:szCs w:val="20"/>
        </w:rPr>
        <w:t xml:space="preserve">sensibilizzare ai vantaggi della diversità e contrastare la discriminazione e il razzismo; </w:t>
      </w:r>
    </w:p>
    <w:p w14:paraId="31F82412" w14:textId="77777777" w:rsidR="008B1F42" w:rsidRPr="00991E10" w:rsidRDefault="008B1F42" w:rsidP="008B1F42">
      <w:pPr>
        <w:pStyle w:val="ListParagraph"/>
        <w:numPr>
          <w:ilvl w:val="0"/>
          <w:numId w:val="50"/>
        </w:numPr>
        <w:snapToGrid w:val="0"/>
        <w:rPr>
          <w:rFonts w:eastAsia="Verdana" w:cs="Verdana"/>
          <w:sz w:val="20"/>
          <w:szCs w:val="20"/>
        </w:rPr>
      </w:pPr>
      <w:r w:rsidRPr="00991E10">
        <w:rPr>
          <w:sz w:val="20"/>
          <w:szCs w:val="20"/>
        </w:rPr>
        <w:t xml:space="preserve">accrescere e incoraggiare la comprensione reciproca e l’accettazione delle minoranze europee, come i rom; </w:t>
      </w:r>
    </w:p>
    <w:p w14:paraId="178CA45A" w14:textId="77777777" w:rsidR="008B1F42" w:rsidRPr="00991E10" w:rsidRDefault="008B1F42" w:rsidP="008B1F42">
      <w:pPr>
        <w:pStyle w:val="ListParagraph"/>
        <w:numPr>
          <w:ilvl w:val="0"/>
          <w:numId w:val="50"/>
        </w:numPr>
        <w:snapToGrid w:val="0"/>
        <w:rPr>
          <w:rFonts w:eastAsia="Verdana" w:cs="Verdana"/>
          <w:sz w:val="20"/>
          <w:szCs w:val="20"/>
        </w:rPr>
      </w:pPr>
      <w:r w:rsidRPr="00991E10">
        <w:rPr>
          <w:sz w:val="20"/>
          <w:szCs w:val="20"/>
        </w:rPr>
        <w:t xml:space="preserve">accrescere la conoscenza della Carta dei diritti fondamentali dell’UE e della sua applicazione, oltre a promuovere una cultura dei diritti fondamentali; </w:t>
      </w:r>
    </w:p>
    <w:p w14:paraId="0989D40F" w14:textId="77777777" w:rsidR="008B1F42" w:rsidRPr="00991E10" w:rsidRDefault="008B1F42" w:rsidP="008B1F42">
      <w:pPr>
        <w:pStyle w:val="ListParagraph"/>
        <w:numPr>
          <w:ilvl w:val="0"/>
          <w:numId w:val="50"/>
        </w:numPr>
        <w:snapToGrid w:val="0"/>
        <w:rPr>
          <w:rFonts w:eastAsia="Verdana" w:cs="Verdana"/>
          <w:sz w:val="20"/>
          <w:szCs w:val="20"/>
        </w:rPr>
      </w:pPr>
      <w:r w:rsidRPr="00991E10">
        <w:rPr>
          <w:sz w:val="20"/>
          <w:szCs w:val="20"/>
        </w:rPr>
        <w:t>migliorare le informazioni sui diritti conferiti dalla cittadinanza dell’UE e migliorare la loro applicazione negli Stati membri;</w:t>
      </w:r>
    </w:p>
    <w:p w14:paraId="0799023E" w14:textId="0EEC0001" w:rsidR="008B1F42" w:rsidRPr="00991E10" w:rsidRDefault="008B1F42" w:rsidP="001E6C28">
      <w:pPr>
        <w:pStyle w:val="ListParagraph"/>
        <w:numPr>
          <w:ilvl w:val="0"/>
          <w:numId w:val="50"/>
        </w:numPr>
        <w:snapToGrid w:val="0"/>
        <w:rPr>
          <w:rFonts w:eastAsia="Verdana" w:cs="Verdana"/>
          <w:sz w:val="20"/>
          <w:szCs w:val="20"/>
        </w:rPr>
      </w:pPr>
      <w:r w:rsidRPr="00991E10">
        <w:rPr>
          <w:sz w:val="20"/>
          <w:szCs w:val="20"/>
        </w:rPr>
        <w:t>accrescere la consapevolezza e l’informazione dei cittadini mobili dell’UE e dei loro familiari in merito ai loro diritti connessi alla cittadinanza dell’UE.</w:t>
      </w:r>
    </w:p>
    <w:p w14:paraId="0EC8E6E1" w14:textId="77777777" w:rsidR="001E6C28" w:rsidRPr="00D436C0" w:rsidRDefault="001E6C28" w:rsidP="001E6C28">
      <w:pPr>
        <w:pStyle w:val="ListParagraph"/>
        <w:snapToGrid w:val="0"/>
        <w:rPr>
          <w:rFonts w:eastAsia="Verdana" w:cs="Verdana"/>
          <w:sz w:val="20"/>
          <w:szCs w:val="20"/>
        </w:rPr>
      </w:pPr>
    </w:p>
    <w:p w14:paraId="0B640087" w14:textId="37226C81" w:rsidR="007926FA" w:rsidRPr="00991E10" w:rsidRDefault="007926FA" w:rsidP="00623078">
      <w:pPr>
        <w:pStyle w:val="Heading1"/>
        <w:numPr>
          <w:ilvl w:val="0"/>
          <w:numId w:val="54"/>
        </w:numPr>
        <w:tabs>
          <w:tab w:val="left" w:pos="284"/>
        </w:tabs>
        <w:ind w:left="0" w:firstLine="0"/>
      </w:pPr>
      <w:bookmarkStart w:id="10" w:name="_Toc92965234"/>
      <w:r w:rsidRPr="00991E10">
        <w:t>Bilancio disponibile</w:t>
      </w:r>
      <w:bookmarkEnd w:id="10"/>
    </w:p>
    <w:p w14:paraId="0930E03A" w14:textId="36C575EE" w:rsidR="003D5D72" w:rsidRPr="00991E10" w:rsidRDefault="008246AA" w:rsidP="00F114D2">
      <w:r w:rsidRPr="00991E10">
        <w:t xml:space="preserve">La dotazione finanziaria disponibile per l’invito ammonta a </w:t>
      </w:r>
      <w:r w:rsidRPr="00991E10">
        <w:rPr>
          <w:b/>
        </w:rPr>
        <w:t>EUR 11 000000.</w:t>
      </w:r>
    </w:p>
    <w:p w14:paraId="0AD2884B" w14:textId="156487E9" w:rsidR="003D5D72" w:rsidRPr="00991E10" w:rsidRDefault="003D5D72" w:rsidP="003D5D72">
      <w:pPr>
        <w:spacing w:after="240"/>
      </w:pPr>
      <w:r w:rsidRPr="00991E10">
        <w:t>Informazioni di bilancio specifiche per ciascun tema sono riportate nella tabella seguente.</w:t>
      </w:r>
    </w:p>
    <w:tbl>
      <w:tblPr>
        <w:tblW w:w="4032" w:type="dxa"/>
        <w:jc w:val="center"/>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1E0" w:firstRow="1" w:lastRow="1" w:firstColumn="1" w:lastColumn="1" w:noHBand="0" w:noVBand="0"/>
      </w:tblPr>
      <w:tblGrid>
        <w:gridCol w:w="2044"/>
        <w:gridCol w:w="1988"/>
      </w:tblGrid>
      <w:tr w:rsidR="00F96E2C" w:rsidRPr="00991E10" w14:paraId="2BC8F981" w14:textId="77777777" w:rsidTr="0062273B">
        <w:trPr>
          <w:trHeight w:val="416"/>
          <w:jc w:val="center"/>
        </w:trPr>
        <w:tc>
          <w:tcPr>
            <w:tcW w:w="2044" w:type="dxa"/>
            <w:tcBorders>
              <w:top w:val="single" w:sz="12" w:space="0" w:color="BFBFBF"/>
              <w:left w:val="single" w:sz="12" w:space="0" w:color="BFBFBF"/>
              <w:bottom w:val="single" w:sz="12" w:space="0" w:color="BFBFBF"/>
              <w:right w:val="single" w:sz="12" w:space="0" w:color="BFBFBF"/>
            </w:tcBorders>
            <w:shd w:val="clear" w:color="auto" w:fill="F2F2F2"/>
            <w:hideMark/>
          </w:tcPr>
          <w:p w14:paraId="68ADA62B" w14:textId="77777777" w:rsidR="00F96E2C" w:rsidRPr="00991E10" w:rsidRDefault="00F96E2C">
            <w:pPr>
              <w:spacing w:before="120" w:after="120"/>
              <w:jc w:val="left"/>
              <w:rPr>
                <w:rFonts w:cs="Arial"/>
                <w:b/>
                <w:color w:val="595959"/>
                <w:sz w:val="16"/>
                <w:szCs w:val="16"/>
                <w:highlight w:val="lightGray"/>
              </w:rPr>
            </w:pPr>
            <w:r w:rsidRPr="00991E10">
              <w:rPr>
                <w:b/>
                <w:color w:val="595959"/>
                <w:sz w:val="16"/>
                <w:szCs w:val="16"/>
                <w:highlight w:val="lightGray"/>
              </w:rPr>
              <w:t>Tema</w:t>
            </w:r>
          </w:p>
        </w:tc>
        <w:tc>
          <w:tcPr>
            <w:tcW w:w="1988" w:type="dxa"/>
            <w:tcBorders>
              <w:top w:val="single" w:sz="12" w:space="0" w:color="BFBFBF"/>
              <w:left w:val="single" w:sz="12" w:space="0" w:color="BFBFBF"/>
              <w:bottom w:val="single" w:sz="12" w:space="0" w:color="BFBFBF"/>
              <w:right w:val="single" w:sz="12" w:space="0" w:color="BFBFBF"/>
            </w:tcBorders>
            <w:shd w:val="clear" w:color="auto" w:fill="F2F2F2"/>
            <w:hideMark/>
          </w:tcPr>
          <w:p w14:paraId="68CC9EDA" w14:textId="77777777" w:rsidR="00F96E2C" w:rsidRPr="00991E10" w:rsidRDefault="00F96E2C">
            <w:pPr>
              <w:spacing w:before="120" w:after="120"/>
              <w:jc w:val="center"/>
              <w:rPr>
                <w:rFonts w:cs="Arial"/>
                <w:b/>
                <w:color w:val="595959"/>
                <w:sz w:val="16"/>
                <w:szCs w:val="16"/>
                <w:highlight w:val="lightGray"/>
              </w:rPr>
            </w:pPr>
            <w:r w:rsidRPr="00991E10">
              <w:rPr>
                <w:b/>
                <w:color w:val="595959"/>
                <w:sz w:val="16"/>
                <w:szCs w:val="16"/>
                <w:highlight w:val="lightGray"/>
              </w:rPr>
              <w:t>Dotazione finanziaria per ciascun tema</w:t>
            </w:r>
          </w:p>
        </w:tc>
      </w:tr>
      <w:tr w:rsidR="00F96E2C" w:rsidRPr="00991E10" w14:paraId="76597913" w14:textId="77777777" w:rsidTr="0062273B">
        <w:trPr>
          <w:trHeight w:val="677"/>
          <w:jc w:val="center"/>
        </w:trPr>
        <w:tc>
          <w:tcPr>
            <w:tcW w:w="2044" w:type="dxa"/>
            <w:tcBorders>
              <w:top w:val="single" w:sz="12" w:space="0" w:color="BFBFBF"/>
              <w:left w:val="single" w:sz="12" w:space="0" w:color="BFBFBF"/>
              <w:bottom w:val="single" w:sz="12" w:space="0" w:color="BFBFBF"/>
              <w:right w:val="single" w:sz="12" w:space="0" w:color="BFBFBF"/>
            </w:tcBorders>
            <w:hideMark/>
          </w:tcPr>
          <w:p w14:paraId="5818A49A" w14:textId="5F8ACD0B" w:rsidR="00F96E2C" w:rsidRPr="00991E10" w:rsidRDefault="00732A4F" w:rsidP="00982C03">
            <w:pPr>
              <w:pStyle w:val="Default"/>
              <w:spacing w:before="120" w:after="120"/>
              <w:rPr>
                <w:rFonts w:ascii="Calibri" w:hAnsi="Calibri" w:cs="Calibri"/>
                <w:color w:val="595959"/>
                <w:sz w:val="18"/>
                <w:szCs w:val="18"/>
              </w:rPr>
            </w:pPr>
            <w:r w:rsidRPr="00991E10">
              <w:rPr>
                <w:rFonts w:ascii="Calibri" w:hAnsi="Calibri"/>
                <w:color w:val="595959"/>
                <w:sz w:val="18"/>
                <w:szCs w:val="18"/>
              </w:rPr>
              <w:t>1 – Gemellaggi di città</w:t>
            </w:r>
          </w:p>
        </w:tc>
        <w:tc>
          <w:tcPr>
            <w:tcW w:w="1988" w:type="dxa"/>
            <w:tcBorders>
              <w:top w:val="single" w:sz="12" w:space="0" w:color="BFBFBF"/>
              <w:left w:val="single" w:sz="12" w:space="0" w:color="BFBFBF"/>
              <w:bottom w:val="single" w:sz="12" w:space="0" w:color="BFBFBF"/>
              <w:right w:val="single" w:sz="12" w:space="0" w:color="BFBFBF"/>
            </w:tcBorders>
            <w:hideMark/>
          </w:tcPr>
          <w:p w14:paraId="446F8083" w14:textId="7AA8B48E" w:rsidR="00F96E2C" w:rsidRPr="00991E10" w:rsidRDefault="00F96E2C" w:rsidP="00BF7239">
            <w:pPr>
              <w:tabs>
                <w:tab w:val="left" w:pos="2160"/>
              </w:tabs>
              <w:spacing w:before="120" w:after="120"/>
              <w:jc w:val="center"/>
              <w:rPr>
                <w:b/>
                <w:color w:val="595959"/>
                <w:sz w:val="16"/>
              </w:rPr>
            </w:pPr>
            <w:r w:rsidRPr="00991E10">
              <w:rPr>
                <w:b/>
                <w:color w:val="595959"/>
                <w:sz w:val="16"/>
              </w:rPr>
              <w:t xml:space="preserve">4 500 000 EUR </w:t>
            </w:r>
          </w:p>
        </w:tc>
      </w:tr>
      <w:tr w:rsidR="00F96E2C" w:rsidRPr="00991E10" w14:paraId="6BFB59AD" w14:textId="77777777" w:rsidTr="0062273B">
        <w:trPr>
          <w:trHeight w:val="586"/>
          <w:jc w:val="center"/>
        </w:trPr>
        <w:tc>
          <w:tcPr>
            <w:tcW w:w="2044" w:type="dxa"/>
            <w:tcBorders>
              <w:top w:val="single" w:sz="12" w:space="0" w:color="BFBFBF"/>
              <w:left w:val="single" w:sz="12" w:space="0" w:color="BFBFBF"/>
              <w:bottom w:val="single" w:sz="12" w:space="0" w:color="BFBFBF"/>
              <w:right w:val="single" w:sz="12" w:space="0" w:color="BFBFBF"/>
            </w:tcBorders>
            <w:hideMark/>
          </w:tcPr>
          <w:p w14:paraId="6186D585" w14:textId="6DBBF70D" w:rsidR="00F96E2C" w:rsidRPr="00991E10" w:rsidRDefault="00732A4F" w:rsidP="00F86AB3">
            <w:pPr>
              <w:pStyle w:val="Default"/>
              <w:spacing w:before="120" w:after="120"/>
              <w:rPr>
                <w:rFonts w:ascii="Calibri" w:hAnsi="Calibri" w:cs="Calibri"/>
              </w:rPr>
            </w:pPr>
            <w:r w:rsidRPr="00991E10">
              <w:rPr>
                <w:rFonts w:ascii="Calibri" w:hAnsi="Calibri"/>
                <w:color w:val="595959"/>
                <w:sz w:val="18"/>
                <w:szCs w:val="18"/>
              </w:rPr>
              <w:t>2 – Reti di città</w:t>
            </w:r>
          </w:p>
        </w:tc>
        <w:tc>
          <w:tcPr>
            <w:tcW w:w="1988" w:type="dxa"/>
            <w:tcBorders>
              <w:top w:val="single" w:sz="12" w:space="0" w:color="BFBFBF"/>
              <w:left w:val="single" w:sz="12" w:space="0" w:color="BFBFBF"/>
              <w:bottom w:val="single" w:sz="12" w:space="0" w:color="BFBFBF"/>
              <w:right w:val="single" w:sz="12" w:space="0" w:color="BFBFBF"/>
            </w:tcBorders>
            <w:hideMark/>
          </w:tcPr>
          <w:p w14:paraId="0CBA46D5" w14:textId="364B41A5" w:rsidR="00F96E2C" w:rsidRPr="00991E10" w:rsidRDefault="00F96E2C" w:rsidP="00BF7239">
            <w:pPr>
              <w:tabs>
                <w:tab w:val="left" w:pos="2160"/>
              </w:tabs>
              <w:spacing w:before="120" w:after="120"/>
              <w:jc w:val="center"/>
              <w:rPr>
                <w:b/>
                <w:color w:val="595959"/>
                <w:sz w:val="16"/>
              </w:rPr>
            </w:pPr>
            <w:r w:rsidRPr="00991E10">
              <w:rPr>
                <w:b/>
                <w:color w:val="595959"/>
                <w:sz w:val="16"/>
              </w:rPr>
              <w:t xml:space="preserve">6 500 000 EUR </w:t>
            </w:r>
          </w:p>
        </w:tc>
      </w:tr>
    </w:tbl>
    <w:p w14:paraId="24AC267A" w14:textId="77777777" w:rsidR="003D5D72" w:rsidRPr="00991E10" w:rsidRDefault="003D5D72" w:rsidP="000579AF">
      <w:pPr>
        <w:spacing w:after="0"/>
      </w:pPr>
    </w:p>
    <w:p w14:paraId="5155AA30" w14:textId="193C0ACA" w:rsidR="008246AA" w:rsidRPr="00991E10" w:rsidRDefault="005764E8" w:rsidP="000579AF">
      <w:pPr>
        <w:spacing w:after="0"/>
      </w:pPr>
      <w:r w:rsidRPr="00991E10">
        <w:lastRenderedPageBreak/>
        <w:t xml:space="preserve">L’EACEA si riserva il diritto di non assegnare tutti i fondi disponibili o di ridistribuirli tra le tematiche dell’invito, a seconda delle proposte ricevute e dei risultati della valutazione. </w:t>
      </w:r>
    </w:p>
    <w:p w14:paraId="2F76B7EF" w14:textId="77777777" w:rsidR="00E17677" w:rsidRPr="00C05637" w:rsidRDefault="00E17677" w:rsidP="00623078">
      <w:pPr>
        <w:pStyle w:val="ListParagraph"/>
        <w:snapToGrid w:val="0"/>
        <w:rPr>
          <w:rFonts w:eastAsia="Verdana" w:cs="Verdana"/>
          <w:sz w:val="20"/>
          <w:szCs w:val="20"/>
        </w:rPr>
      </w:pPr>
    </w:p>
    <w:p w14:paraId="443BB5FD" w14:textId="3369C3E2" w:rsidR="0081075D" w:rsidRPr="00991E10" w:rsidRDefault="0081075D" w:rsidP="00623078">
      <w:pPr>
        <w:pStyle w:val="Heading1"/>
        <w:numPr>
          <w:ilvl w:val="0"/>
          <w:numId w:val="54"/>
        </w:numPr>
        <w:tabs>
          <w:tab w:val="left" w:pos="284"/>
        </w:tabs>
        <w:ind w:left="0" w:firstLine="0"/>
      </w:pPr>
      <w:bookmarkStart w:id="11" w:name="_Toc92965235"/>
      <w:r w:rsidRPr="00991E10">
        <w:t>Calendario e scadenze</w:t>
      </w:r>
      <w:bookmarkEnd w:id="11"/>
      <w:r w:rsidRPr="00991E10">
        <w:t xml:space="preserve"> </w:t>
      </w:r>
    </w:p>
    <w:tbl>
      <w:tblPr>
        <w:tblW w:w="0" w:type="auto"/>
        <w:tblInd w:w="588"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1E0" w:firstRow="1" w:lastRow="1" w:firstColumn="1" w:lastColumn="1" w:noHBand="0" w:noVBand="0"/>
      </w:tblPr>
      <w:tblGrid>
        <w:gridCol w:w="3631"/>
        <w:gridCol w:w="3402"/>
      </w:tblGrid>
      <w:tr w:rsidR="0081075D" w:rsidRPr="00991E10" w14:paraId="2551C42E" w14:textId="77777777" w:rsidTr="0081075D">
        <w:tc>
          <w:tcPr>
            <w:tcW w:w="7033" w:type="dxa"/>
            <w:gridSpan w:val="2"/>
            <w:shd w:val="clear" w:color="auto" w:fill="F2F2F2"/>
          </w:tcPr>
          <w:p w14:paraId="35F223BC" w14:textId="77777777" w:rsidR="0081075D" w:rsidRPr="00991E10" w:rsidRDefault="0081075D" w:rsidP="008138D1">
            <w:pPr>
              <w:spacing w:before="120" w:after="120"/>
              <w:jc w:val="left"/>
              <w:rPr>
                <w:rFonts w:cs="Arial"/>
                <w:b/>
                <w:color w:val="595959"/>
                <w:sz w:val="16"/>
                <w:szCs w:val="16"/>
              </w:rPr>
            </w:pPr>
            <w:r w:rsidRPr="00991E10">
              <w:rPr>
                <w:b/>
                <w:color w:val="595959"/>
                <w:sz w:val="16"/>
                <w:szCs w:val="16"/>
              </w:rPr>
              <w:t>Calendario e scadenze</w:t>
            </w:r>
          </w:p>
        </w:tc>
      </w:tr>
      <w:tr w:rsidR="00D51B6C" w:rsidRPr="00991E10" w14:paraId="2A67B858" w14:textId="77777777" w:rsidTr="0081075D">
        <w:tc>
          <w:tcPr>
            <w:tcW w:w="3631" w:type="dxa"/>
            <w:shd w:val="clear" w:color="auto" w:fill="F2F2F2"/>
          </w:tcPr>
          <w:p w14:paraId="4CDFED3B" w14:textId="77777777" w:rsidR="00D51B6C" w:rsidRPr="00991E10" w:rsidRDefault="00D51B6C" w:rsidP="00D51B6C">
            <w:pPr>
              <w:spacing w:before="120" w:after="120"/>
              <w:jc w:val="left"/>
              <w:rPr>
                <w:rFonts w:cs="Arial"/>
                <w:color w:val="595959"/>
                <w:sz w:val="16"/>
                <w:szCs w:val="16"/>
              </w:rPr>
            </w:pPr>
            <w:r w:rsidRPr="00991E10">
              <w:rPr>
                <w:color w:val="595959"/>
                <w:sz w:val="16"/>
                <w:szCs w:val="16"/>
              </w:rPr>
              <w:t>Pubblicazione dell’invito a presentare proposte</w:t>
            </w:r>
          </w:p>
        </w:tc>
        <w:tc>
          <w:tcPr>
            <w:tcW w:w="3402" w:type="dxa"/>
            <w:shd w:val="clear" w:color="auto" w:fill="auto"/>
          </w:tcPr>
          <w:p w14:paraId="459CC614" w14:textId="1A965A82" w:rsidR="00D51B6C" w:rsidRPr="00991E10" w:rsidRDefault="00FB7748" w:rsidP="00D51B6C">
            <w:pPr>
              <w:spacing w:before="120" w:after="120"/>
              <w:jc w:val="center"/>
              <w:rPr>
                <w:rFonts w:cs="Arial"/>
                <w:color w:val="595959"/>
                <w:sz w:val="16"/>
                <w:szCs w:val="16"/>
              </w:rPr>
            </w:pPr>
            <w:r w:rsidRPr="00991E10">
              <w:rPr>
                <w:color w:val="595959"/>
                <w:sz w:val="16"/>
                <w:szCs w:val="16"/>
              </w:rPr>
              <w:t>16 novembre 2021</w:t>
            </w:r>
          </w:p>
        </w:tc>
      </w:tr>
      <w:tr w:rsidR="00D51B6C" w:rsidRPr="00991E10" w14:paraId="13487F30" w14:textId="77777777" w:rsidTr="0081075D">
        <w:tc>
          <w:tcPr>
            <w:tcW w:w="3631" w:type="dxa"/>
            <w:shd w:val="clear" w:color="auto" w:fill="F2F2F2"/>
          </w:tcPr>
          <w:p w14:paraId="6817E1F5" w14:textId="77777777" w:rsidR="00D51B6C" w:rsidRPr="00991E10" w:rsidRDefault="00D51B6C" w:rsidP="00D51B6C">
            <w:pPr>
              <w:spacing w:before="120" w:after="120"/>
              <w:jc w:val="left"/>
              <w:rPr>
                <w:rFonts w:cs="Arial"/>
                <w:color w:val="595959"/>
                <w:sz w:val="16"/>
                <w:szCs w:val="16"/>
                <w:u w:val="single"/>
              </w:rPr>
            </w:pPr>
            <w:r w:rsidRPr="00991E10">
              <w:rPr>
                <w:color w:val="595959"/>
                <w:sz w:val="16"/>
                <w:szCs w:val="16"/>
                <w:u w:val="single"/>
              </w:rPr>
              <w:t>Termine per la presentazione delle proposte</w:t>
            </w:r>
          </w:p>
        </w:tc>
        <w:tc>
          <w:tcPr>
            <w:tcW w:w="3402" w:type="dxa"/>
            <w:shd w:val="clear" w:color="auto" w:fill="auto"/>
          </w:tcPr>
          <w:p w14:paraId="7744539C" w14:textId="65D0B910" w:rsidR="00D51B6C" w:rsidRPr="00991E10" w:rsidRDefault="00FB7748" w:rsidP="00D51B6C">
            <w:pPr>
              <w:spacing w:before="120" w:after="120"/>
              <w:jc w:val="center"/>
              <w:rPr>
                <w:rFonts w:cs="Arial"/>
                <w:color w:val="595959"/>
                <w:sz w:val="16"/>
                <w:szCs w:val="16"/>
                <w:u w:val="single"/>
              </w:rPr>
            </w:pPr>
            <w:r w:rsidRPr="00991E10">
              <w:rPr>
                <w:color w:val="595959"/>
                <w:sz w:val="16"/>
                <w:szCs w:val="16"/>
                <w:u w:val="single"/>
              </w:rPr>
              <w:t>24 marzo 2022 alle ore 17:00 CET (ora di Bruxelles)</w:t>
            </w:r>
          </w:p>
        </w:tc>
      </w:tr>
      <w:tr w:rsidR="00D51B6C" w:rsidRPr="00991E10" w14:paraId="4E10F558" w14:textId="77777777" w:rsidTr="0081075D">
        <w:tc>
          <w:tcPr>
            <w:tcW w:w="3631" w:type="dxa"/>
            <w:shd w:val="clear" w:color="auto" w:fill="F2F2F2"/>
          </w:tcPr>
          <w:p w14:paraId="5F43FD1F" w14:textId="77777777" w:rsidR="00D51B6C" w:rsidRPr="00991E10" w:rsidRDefault="00D51B6C" w:rsidP="00D51B6C">
            <w:pPr>
              <w:spacing w:before="120" w:after="120"/>
              <w:jc w:val="left"/>
              <w:rPr>
                <w:rFonts w:cs="Arial"/>
                <w:color w:val="595959"/>
                <w:sz w:val="16"/>
                <w:szCs w:val="16"/>
              </w:rPr>
            </w:pPr>
            <w:r w:rsidRPr="00991E10">
              <w:rPr>
                <w:color w:val="595959"/>
                <w:sz w:val="16"/>
                <w:szCs w:val="16"/>
              </w:rPr>
              <w:t>Periodo di valutazione:</w:t>
            </w:r>
          </w:p>
        </w:tc>
        <w:tc>
          <w:tcPr>
            <w:tcW w:w="3402" w:type="dxa"/>
            <w:shd w:val="clear" w:color="auto" w:fill="auto"/>
          </w:tcPr>
          <w:p w14:paraId="4E52804D" w14:textId="53BEE602" w:rsidR="00D51B6C" w:rsidRPr="00991E10" w:rsidRDefault="006F58BD" w:rsidP="00D51B6C">
            <w:pPr>
              <w:spacing w:before="120" w:after="120"/>
              <w:jc w:val="center"/>
              <w:rPr>
                <w:rFonts w:cs="Arial"/>
                <w:color w:val="595959"/>
                <w:sz w:val="16"/>
                <w:szCs w:val="16"/>
              </w:rPr>
            </w:pPr>
            <w:r w:rsidRPr="00991E10">
              <w:rPr>
                <w:color w:val="595959"/>
                <w:sz w:val="16"/>
                <w:szCs w:val="16"/>
              </w:rPr>
              <w:t>marzo-giugno 2022</w:t>
            </w:r>
          </w:p>
        </w:tc>
      </w:tr>
      <w:tr w:rsidR="00D51B6C" w:rsidRPr="00991E10" w14:paraId="16AD7E30" w14:textId="77777777" w:rsidTr="0081075D">
        <w:tc>
          <w:tcPr>
            <w:tcW w:w="3631" w:type="dxa"/>
            <w:shd w:val="clear" w:color="auto" w:fill="F2F2F2"/>
          </w:tcPr>
          <w:p w14:paraId="7BA115F8" w14:textId="77777777" w:rsidR="00D51B6C" w:rsidRPr="00991E10" w:rsidRDefault="00D51B6C" w:rsidP="00D51B6C">
            <w:pPr>
              <w:spacing w:before="120" w:after="120"/>
              <w:jc w:val="left"/>
              <w:rPr>
                <w:rFonts w:cs="Arial"/>
                <w:color w:val="595959"/>
                <w:sz w:val="16"/>
                <w:szCs w:val="16"/>
              </w:rPr>
            </w:pPr>
            <w:r w:rsidRPr="00991E10">
              <w:rPr>
                <w:color w:val="595959"/>
                <w:sz w:val="16"/>
                <w:szCs w:val="16"/>
              </w:rPr>
              <w:t>Informazioni sui risultati della valutazione</w:t>
            </w:r>
          </w:p>
        </w:tc>
        <w:tc>
          <w:tcPr>
            <w:tcW w:w="3402" w:type="dxa"/>
            <w:shd w:val="clear" w:color="auto" w:fill="auto"/>
          </w:tcPr>
          <w:p w14:paraId="6DD4C599" w14:textId="302F0E77" w:rsidR="00D51B6C" w:rsidRPr="00991E10" w:rsidRDefault="00FB7748" w:rsidP="00D51B6C">
            <w:pPr>
              <w:spacing w:before="120" w:after="120"/>
              <w:jc w:val="center"/>
              <w:rPr>
                <w:rFonts w:cs="Arial"/>
                <w:color w:val="595959"/>
                <w:sz w:val="16"/>
                <w:szCs w:val="16"/>
              </w:rPr>
            </w:pPr>
            <w:r w:rsidRPr="00991E10">
              <w:rPr>
                <w:color w:val="595959"/>
                <w:sz w:val="16"/>
                <w:szCs w:val="16"/>
              </w:rPr>
              <w:t>Giugno-luglio 2022</w:t>
            </w:r>
          </w:p>
        </w:tc>
      </w:tr>
      <w:tr w:rsidR="00D51B6C" w:rsidRPr="00991E10" w14:paraId="122CA5CC" w14:textId="77777777" w:rsidTr="0081075D">
        <w:tc>
          <w:tcPr>
            <w:tcW w:w="3631" w:type="dxa"/>
            <w:shd w:val="clear" w:color="auto" w:fill="F2F2F2"/>
          </w:tcPr>
          <w:p w14:paraId="18CEB7CE" w14:textId="77777777" w:rsidR="00D51B6C" w:rsidRPr="00991E10" w:rsidRDefault="00D51B6C" w:rsidP="00D51B6C">
            <w:pPr>
              <w:spacing w:before="120" w:after="120"/>
              <w:jc w:val="left"/>
              <w:rPr>
                <w:rFonts w:cs="Arial"/>
                <w:color w:val="595959"/>
                <w:sz w:val="16"/>
                <w:szCs w:val="16"/>
              </w:rPr>
            </w:pPr>
            <w:r w:rsidRPr="00991E10">
              <w:rPr>
                <w:color w:val="595959"/>
                <w:sz w:val="16"/>
                <w:szCs w:val="16"/>
              </w:rPr>
              <w:t>Firma della CS</w:t>
            </w:r>
          </w:p>
        </w:tc>
        <w:tc>
          <w:tcPr>
            <w:tcW w:w="3402" w:type="dxa"/>
            <w:shd w:val="clear" w:color="auto" w:fill="auto"/>
          </w:tcPr>
          <w:p w14:paraId="4D6E0E6F" w14:textId="06911F90" w:rsidR="00D51B6C" w:rsidRPr="00991E10" w:rsidRDefault="0086598B" w:rsidP="00D51B6C">
            <w:pPr>
              <w:spacing w:before="120" w:after="120"/>
              <w:jc w:val="center"/>
              <w:rPr>
                <w:rFonts w:cs="Arial"/>
                <w:color w:val="595959"/>
                <w:sz w:val="16"/>
                <w:szCs w:val="16"/>
              </w:rPr>
            </w:pPr>
            <w:r w:rsidRPr="00991E10">
              <w:rPr>
                <w:color w:val="595959"/>
                <w:sz w:val="16"/>
                <w:szCs w:val="16"/>
              </w:rPr>
              <w:t>Agosto-novembre 2022</w:t>
            </w:r>
          </w:p>
        </w:tc>
      </w:tr>
    </w:tbl>
    <w:p w14:paraId="55E1450C" w14:textId="77777777" w:rsidR="00C50DC1" w:rsidRPr="00991E10" w:rsidRDefault="00C50DC1" w:rsidP="00A2572D">
      <w:pPr>
        <w:widowControl w:val="0"/>
        <w:jc w:val="left"/>
        <w:rPr>
          <w:color w:val="595959"/>
          <w:highlight w:val="yellow"/>
        </w:rPr>
      </w:pPr>
    </w:p>
    <w:p w14:paraId="0915A488" w14:textId="055C12B6" w:rsidR="00B57534" w:rsidRPr="00991E10" w:rsidRDefault="00276AD7" w:rsidP="000579AF">
      <w:pPr>
        <w:pStyle w:val="Heading1"/>
        <w:numPr>
          <w:ilvl w:val="0"/>
          <w:numId w:val="54"/>
        </w:numPr>
        <w:tabs>
          <w:tab w:val="left" w:pos="284"/>
        </w:tabs>
        <w:ind w:left="0" w:firstLine="0"/>
      </w:pPr>
      <w:bookmarkStart w:id="12" w:name="_Toc92965236"/>
      <w:r w:rsidRPr="00991E10">
        <w:t>Ricevibilità e documenti</w:t>
      </w:r>
      <w:bookmarkEnd w:id="12"/>
    </w:p>
    <w:p w14:paraId="1E55A5E3" w14:textId="4F37B5A9" w:rsidR="00C41E84" w:rsidRPr="00991E10" w:rsidRDefault="000A7529" w:rsidP="00C41E84">
      <w:pPr>
        <w:pStyle w:val="Text1"/>
        <w:tabs>
          <w:tab w:val="clear" w:pos="2160"/>
        </w:tabs>
        <w:ind w:left="0"/>
        <w:rPr>
          <w:rFonts w:cs="Arial"/>
          <w:iCs/>
        </w:rPr>
      </w:pPr>
      <w:r w:rsidRPr="00991E10">
        <w:t xml:space="preserve">Le proposte devono essere presentate entro il termine di </w:t>
      </w:r>
      <w:r w:rsidRPr="00991E10">
        <w:rPr>
          <w:b/>
          <w:iCs/>
        </w:rPr>
        <w:t>scadenza dell’invito</w:t>
      </w:r>
      <w:r w:rsidRPr="00991E10">
        <w:t xml:space="preserve"> </w:t>
      </w:r>
      <w:r w:rsidRPr="00991E10">
        <w:rPr>
          <w:i/>
          <w:iCs/>
        </w:rPr>
        <w:t>(cfr. calendario, sezione 4)</w:t>
      </w:r>
      <w:r w:rsidRPr="00991E10">
        <w:t>.</w:t>
      </w:r>
    </w:p>
    <w:p w14:paraId="56C9BCF2" w14:textId="63F01A37" w:rsidR="00C41E84" w:rsidRPr="00991E10" w:rsidRDefault="000A7529" w:rsidP="00C41E84">
      <w:pPr>
        <w:rPr>
          <w:rFonts w:cs="Arial"/>
        </w:rPr>
      </w:pPr>
      <w:r w:rsidRPr="00991E10">
        <w:t xml:space="preserve">Le proposte devono essere presentate </w:t>
      </w:r>
      <w:r w:rsidRPr="00991E10">
        <w:rPr>
          <w:b/>
          <w:iCs/>
        </w:rPr>
        <w:t>per via elettronica</w:t>
      </w:r>
      <w:r w:rsidRPr="00991E10">
        <w:t xml:space="preserve"> tramite il sistema di presentazione elettronica del portale Finanziamenti e gare d’appalto (accessibile alla pagina dedicata nella sezione </w:t>
      </w:r>
      <w:hyperlink r:id="rId28" w:history="1">
        <w:r w:rsidRPr="00991E10">
          <w:rPr>
            <w:rStyle w:val="Hyperlink"/>
          </w:rPr>
          <w:t>Ricerca Finanziamenti e gare d’appalto</w:t>
        </w:r>
      </w:hyperlink>
      <w:r w:rsidRPr="00991E10">
        <w:t>). NON è possibile la presentazione di proposte in formato cartaceo.</w:t>
      </w:r>
    </w:p>
    <w:p w14:paraId="146274B2" w14:textId="31716E89" w:rsidR="004A47F3" w:rsidRPr="00991E10" w:rsidRDefault="000A7529" w:rsidP="004A47F3">
      <w:pPr>
        <w:pStyle w:val="Text1"/>
        <w:tabs>
          <w:tab w:val="clear" w:pos="2160"/>
        </w:tabs>
        <w:ind w:left="0"/>
        <w:rPr>
          <w:rFonts w:cs="Arial"/>
          <w:iCs/>
        </w:rPr>
      </w:pPr>
      <w:r w:rsidRPr="00991E10">
        <w:t xml:space="preserve">Le proposte (comprensive degli allegati e dei documenti giustificativi) devono essere presentate utilizzando i moduli forniti </w:t>
      </w:r>
      <w:r w:rsidRPr="00991E10">
        <w:rPr>
          <w:i/>
          <w:iCs/>
        </w:rPr>
        <w:t>all’interno</w:t>
      </w:r>
      <w:r w:rsidRPr="00991E10">
        <w:t xml:space="preserve"> del sistema di presentazione (</w:t>
      </w:r>
      <w:r w:rsidRPr="00991E10">
        <w:rPr>
          <w:noProof/>
          <w:lang w:val="en-IE" w:eastAsia="en-IE"/>
        </w:rPr>
        <w:drawing>
          <wp:inline distT="0" distB="0" distL="0" distR="0" wp14:anchorId="53E97A52" wp14:editId="1DC5343B">
            <wp:extent cx="187960" cy="187960"/>
            <wp:effectExtent l="0" t="0" r="0" b="0"/>
            <wp:docPr id="4" name="Picture 14186836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8683680"/>
                    <pic:cNvPicPr>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rsidRPr="00991E10">
        <w:t xml:space="preserve"> NON i documenti disponibili sulla pagina tematica, che vi figurano solo a titolo informativo).</w:t>
      </w:r>
    </w:p>
    <w:p w14:paraId="2EA1C106" w14:textId="77777777" w:rsidR="00615B82" w:rsidRPr="00991E10" w:rsidRDefault="00615B82" w:rsidP="00615B82">
      <w:pPr>
        <w:pStyle w:val="Body"/>
      </w:pPr>
      <w:r w:rsidRPr="00991E10">
        <w:t xml:space="preserve">Le proposte devono essere </w:t>
      </w:r>
      <w:r w:rsidRPr="00991E10">
        <w:rPr>
          <w:b/>
        </w:rPr>
        <w:t>complete</w:t>
      </w:r>
      <w:r w:rsidRPr="00991E10">
        <w:t xml:space="preserve"> e contenere tutte le informazioni richieste e tutti gli allegati e i documenti giustificativi richiesti: </w:t>
      </w:r>
    </w:p>
    <w:p w14:paraId="0E76C2A6" w14:textId="77777777" w:rsidR="00615B82" w:rsidRPr="00991E10" w:rsidRDefault="00615B82" w:rsidP="008B1F42">
      <w:pPr>
        <w:pStyle w:val="ListParagraph"/>
        <w:numPr>
          <w:ilvl w:val="0"/>
          <w:numId w:val="42"/>
        </w:numPr>
        <w:autoSpaceDE w:val="0"/>
        <w:autoSpaceDN w:val="0"/>
        <w:adjustRightInd w:val="0"/>
        <w:spacing w:after="200"/>
        <w:contextualSpacing w:val="0"/>
        <w:jc w:val="both"/>
        <w:rPr>
          <w:rFonts w:eastAsia="SimSun"/>
          <w:sz w:val="20"/>
          <w:szCs w:val="20"/>
        </w:rPr>
      </w:pPr>
      <w:r w:rsidRPr="00991E10">
        <w:rPr>
          <w:sz w:val="20"/>
          <w:szCs w:val="20"/>
        </w:rPr>
        <w:t xml:space="preserve">parte A del modulo di domanda: contiene informazioni amministrative sui partecipanti (futuro coordinatore, beneficiari ed entità affiliate) e la dotazione finanziaria riassuntiva del progetto </w:t>
      </w:r>
      <w:r w:rsidRPr="00991E10">
        <w:rPr>
          <w:i/>
          <w:sz w:val="20"/>
          <w:szCs w:val="20"/>
        </w:rPr>
        <w:t>(da compilare direttamente online)</w:t>
      </w:r>
      <w:r w:rsidRPr="00991E10">
        <w:rPr>
          <w:sz w:val="20"/>
          <w:szCs w:val="20"/>
        </w:rPr>
        <w:t>;</w:t>
      </w:r>
    </w:p>
    <w:p w14:paraId="1DD9CE56" w14:textId="32209A5E" w:rsidR="00F255C8" w:rsidRPr="00991E10" w:rsidRDefault="00F255C8" w:rsidP="008B1F42">
      <w:pPr>
        <w:pStyle w:val="ListParagraph"/>
        <w:numPr>
          <w:ilvl w:val="0"/>
          <w:numId w:val="42"/>
        </w:numPr>
        <w:autoSpaceDE w:val="0"/>
        <w:autoSpaceDN w:val="0"/>
        <w:adjustRightInd w:val="0"/>
        <w:spacing w:after="200"/>
        <w:contextualSpacing w:val="0"/>
        <w:jc w:val="both"/>
        <w:rPr>
          <w:rFonts w:eastAsia="SimSun"/>
          <w:sz w:val="20"/>
          <w:szCs w:val="20"/>
        </w:rPr>
      </w:pPr>
      <w:r w:rsidRPr="00991E10">
        <w:rPr>
          <w:sz w:val="20"/>
          <w:szCs w:val="20"/>
        </w:rPr>
        <w:t xml:space="preserve">parte B del modulo di domanda: contiene la descrizione tecnica del progetto </w:t>
      </w:r>
      <w:r w:rsidRPr="00991E10">
        <w:rPr>
          <w:i/>
          <w:sz w:val="20"/>
          <w:szCs w:val="20"/>
        </w:rPr>
        <w:t>(da scaricare dal portale Sistema di presentazione, compilare e poi assemblare e caricare)</w:t>
      </w:r>
      <w:r w:rsidRPr="00991E10">
        <w:rPr>
          <w:sz w:val="20"/>
          <w:szCs w:val="20"/>
        </w:rPr>
        <w:t>;</w:t>
      </w:r>
    </w:p>
    <w:p w14:paraId="513E2D49" w14:textId="29EB43E2" w:rsidR="00615B82" w:rsidRPr="00991E10" w:rsidRDefault="00615B82" w:rsidP="008B1F42">
      <w:pPr>
        <w:pStyle w:val="ListParagraph"/>
        <w:numPr>
          <w:ilvl w:val="0"/>
          <w:numId w:val="42"/>
        </w:numPr>
        <w:autoSpaceDE w:val="0"/>
        <w:autoSpaceDN w:val="0"/>
        <w:adjustRightInd w:val="0"/>
        <w:snapToGrid w:val="0"/>
        <w:spacing w:after="200"/>
        <w:ind w:left="714" w:hanging="357"/>
        <w:contextualSpacing w:val="0"/>
        <w:jc w:val="both"/>
        <w:rPr>
          <w:rFonts w:eastAsia="SimSun"/>
          <w:sz w:val="20"/>
          <w:szCs w:val="20"/>
        </w:rPr>
      </w:pPr>
      <w:r w:rsidRPr="00991E10">
        <w:rPr>
          <w:sz w:val="20"/>
          <w:szCs w:val="20"/>
        </w:rPr>
        <w:t xml:space="preserve">parte C </w:t>
      </w:r>
      <w:r w:rsidRPr="00991E10">
        <w:rPr>
          <w:i/>
          <w:sz w:val="20"/>
          <w:szCs w:val="20"/>
        </w:rPr>
        <w:t>(da compilare direttamente online)</w:t>
      </w:r>
      <w:r w:rsidRPr="00991E10">
        <w:rPr>
          <w:sz w:val="20"/>
          <w:szCs w:val="20"/>
        </w:rPr>
        <w:t>: contiene dati supplementari sul progetto, compresi gli indicatori obbligatori;</w:t>
      </w:r>
    </w:p>
    <w:p w14:paraId="595C2D66" w14:textId="17D26FBA" w:rsidR="00615B82" w:rsidRPr="00991E10" w:rsidRDefault="00615B82" w:rsidP="008B1F42">
      <w:pPr>
        <w:pStyle w:val="ListParagraph"/>
        <w:numPr>
          <w:ilvl w:val="0"/>
          <w:numId w:val="42"/>
        </w:numPr>
        <w:autoSpaceDE w:val="0"/>
        <w:autoSpaceDN w:val="0"/>
        <w:adjustRightInd w:val="0"/>
        <w:snapToGrid w:val="0"/>
        <w:spacing w:after="200"/>
        <w:contextualSpacing w:val="0"/>
        <w:jc w:val="both"/>
        <w:rPr>
          <w:sz w:val="20"/>
          <w:szCs w:val="20"/>
        </w:rPr>
      </w:pPr>
      <w:r w:rsidRPr="00991E10">
        <w:rPr>
          <w:b/>
          <w:sz w:val="20"/>
          <w:szCs w:val="20"/>
        </w:rPr>
        <w:t xml:space="preserve">allegati e documenti giustificativi obbligatori </w:t>
      </w:r>
      <w:r w:rsidRPr="00991E10">
        <w:rPr>
          <w:i/>
          <w:sz w:val="20"/>
          <w:szCs w:val="20"/>
        </w:rPr>
        <w:t>(da caricare)</w:t>
      </w:r>
      <w:r w:rsidRPr="00991E10">
        <w:rPr>
          <w:sz w:val="20"/>
          <w:szCs w:val="20"/>
        </w:rPr>
        <w:t>:</w:t>
      </w:r>
    </w:p>
    <w:p w14:paraId="6BC6A974" w14:textId="24D51A6E" w:rsidR="00615B82" w:rsidRPr="00991E10" w:rsidRDefault="005E363C" w:rsidP="008B1F42">
      <w:pPr>
        <w:pStyle w:val="Default"/>
        <w:numPr>
          <w:ilvl w:val="1"/>
          <w:numId w:val="42"/>
        </w:numPr>
        <w:spacing w:after="120"/>
        <w:jc w:val="both"/>
        <w:rPr>
          <w:rFonts w:ascii="Verdana" w:hAnsi="Verdana" w:cs="Arial"/>
          <w:i/>
          <w:color w:val="auto"/>
          <w:sz w:val="20"/>
          <w:szCs w:val="20"/>
        </w:rPr>
      </w:pPr>
      <w:r w:rsidRPr="00991E10">
        <w:rPr>
          <w:rFonts w:ascii="Verdana" w:hAnsi="Verdana"/>
          <w:sz w:val="20"/>
          <w:szCs w:val="20"/>
        </w:rPr>
        <w:t xml:space="preserve">tabella di bilancio dettagliata: </w:t>
      </w:r>
      <w:r w:rsidRPr="00991E10">
        <w:rPr>
          <w:rFonts w:ascii="Verdana" w:hAnsi="Verdana"/>
          <w:i/>
          <w:sz w:val="20"/>
          <w:szCs w:val="20"/>
        </w:rPr>
        <w:t>non applicabile</w:t>
      </w:r>
      <w:r w:rsidRPr="00991E10">
        <w:rPr>
          <w:rFonts w:ascii="Verdana" w:hAnsi="Verdana"/>
          <w:sz w:val="20"/>
          <w:szCs w:val="20"/>
        </w:rPr>
        <w:t>;</w:t>
      </w:r>
    </w:p>
    <w:p w14:paraId="0BB50662" w14:textId="4785DDDB" w:rsidR="00615B82" w:rsidRPr="00991E10" w:rsidRDefault="00615B82" w:rsidP="008B1F42">
      <w:pPr>
        <w:pStyle w:val="Default"/>
        <w:numPr>
          <w:ilvl w:val="1"/>
          <w:numId w:val="42"/>
        </w:numPr>
        <w:spacing w:after="120"/>
        <w:jc w:val="both"/>
        <w:rPr>
          <w:rFonts w:ascii="Verdana" w:hAnsi="Verdana" w:cs="Arial"/>
          <w:color w:val="auto"/>
          <w:sz w:val="20"/>
          <w:szCs w:val="20"/>
        </w:rPr>
      </w:pPr>
      <w:r w:rsidRPr="00991E10">
        <w:rPr>
          <w:rFonts w:ascii="Verdana" w:hAnsi="Verdana"/>
          <w:color w:val="auto"/>
          <w:sz w:val="20"/>
          <w:szCs w:val="20"/>
        </w:rPr>
        <w:t xml:space="preserve">CV dei membri principali del gruppo di progetto: </w:t>
      </w:r>
      <w:r w:rsidRPr="00991E10">
        <w:rPr>
          <w:rFonts w:ascii="Verdana" w:hAnsi="Verdana"/>
          <w:i/>
          <w:color w:val="auto"/>
          <w:sz w:val="20"/>
          <w:szCs w:val="20"/>
        </w:rPr>
        <w:t>non applicabile</w:t>
      </w:r>
      <w:r w:rsidRPr="00991E10">
        <w:rPr>
          <w:rFonts w:ascii="Verdana" w:hAnsi="Verdana"/>
          <w:color w:val="auto"/>
          <w:sz w:val="20"/>
          <w:szCs w:val="20"/>
        </w:rPr>
        <w:t>;</w:t>
      </w:r>
    </w:p>
    <w:p w14:paraId="0DB52E74" w14:textId="77777777" w:rsidR="0062273B" w:rsidRPr="00991E10" w:rsidRDefault="009F0186" w:rsidP="000579AF">
      <w:pPr>
        <w:pStyle w:val="Default"/>
        <w:numPr>
          <w:ilvl w:val="1"/>
          <w:numId w:val="42"/>
        </w:numPr>
        <w:spacing w:after="120"/>
        <w:jc w:val="both"/>
        <w:rPr>
          <w:rFonts w:ascii="Verdana" w:hAnsi="Verdana" w:cs="Arial"/>
          <w:color w:val="auto"/>
          <w:sz w:val="20"/>
          <w:szCs w:val="20"/>
        </w:rPr>
      </w:pPr>
      <w:r w:rsidRPr="00991E10">
        <w:rPr>
          <w:rFonts w:ascii="Verdana" w:hAnsi="Verdana"/>
          <w:color w:val="auto"/>
          <w:sz w:val="20"/>
          <w:szCs w:val="20"/>
        </w:rPr>
        <w:t xml:space="preserve">relazioni sulle attività dell’ultimo anno: </w:t>
      </w:r>
      <w:r w:rsidRPr="00991E10">
        <w:rPr>
          <w:rFonts w:ascii="Verdana" w:hAnsi="Verdana"/>
          <w:i/>
          <w:color w:val="auto"/>
          <w:sz w:val="20"/>
          <w:szCs w:val="20"/>
        </w:rPr>
        <w:t>non applicabile</w:t>
      </w:r>
      <w:r w:rsidRPr="00991E10">
        <w:rPr>
          <w:rFonts w:ascii="Verdana" w:hAnsi="Verdana"/>
          <w:color w:val="auto"/>
          <w:sz w:val="20"/>
          <w:szCs w:val="20"/>
        </w:rPr>
        <w:t>;</w:t>
      </w:r>
    </w:p>
    <w:p w14:paraId="14276D93" w14:textId="5EFB3A3D" w:rsidR="0046713C" w:rsidRPr="00991E10" w:rsidRDefault="0046713C" w:rsidP="000579AF">
      <w:pPr>
        <w:pStyle w:val="Default"/>
        <w:numPr>
          <w:ilvl w:val="1"/>
          <w:numId w:val="42"/>
        </w:numPr>
        <w:spacing w:after="120"/>
        <w:jc w:val="both"/>
        <w:rPr>
          <w:rFonts w:ascii="Verdana" w:hAnsi="Verdana" w:cs="Arial"/>
          <w:color w:val="auto"/>
          <w:sz w:val="20"/>
          <w:szCs w:val="20"/>
        </w:rPr>
      </w:pPr>
      <w:r w:rsidRPr="00991E10">
        <w:rPr>
          <w:rFonts w:ascii="Verdana" w:hAnsi="Verdana"/>
          <w:color w:val="auto"/>
          <w:sz w:val="20"/>
          <w:szCs w:val="20"/>
        </w:rPr>
        <w:t xml:space="preserve">elenco dei progetti precedenti (progetti chiave negli ultimi quattro anni) </w:t>
      </w:r>
      <w:r w:rsidRPr="00991E10">
        <w:rPr>
          <w:rFonts w:ascii="Verdana" w:hAnsi="Verdana"/>
          <w:i/>
          <w:color w:val="auto"/>
          <w:sz w:val="20"/>
          <w:szCs w:val="20"/>
        </w:rPr>
        <w:t>(modulo disponibile nella parte B)</w:t>
      </w:r>
    </w:p>
    <w:p w14:paraId="38848BCB" w14:textId="0D2AA698" w:rsidR="00BF64FB" w:rsidRPr="00991E10" w:rsidRDefault="00BF64FB" w:rsidP="008B1F42">
      <w:pPr>
        <w:pStyle w:val="ListParagraph"/>
        <w:numPr>
          <w:ilvl w:val="1"/>
          <w:numId w:val="42"/>
        </w:numPr>
        <w:spacing w:after="200"/>
        <w:jc w:val="both"/>
        <w:rPr>
          <w:sz w:val="20"/>
          <w:szCs w:val="20"/>
        </w:rPr>
      </w:pPr>
      <w:r w:rsidRPr="00991E10">
        <w:rPr>
          <w:sz w:val="20"/>
          <w:szCs w:val="20"/>
        </w:rPr>
        <w:lastRenderedPageBreak/>
        <w:t xml:space="preserve">per i partecipanti le cui attività coinvolgono minori: la politica in materia di tutela dei minori applicabile per le quattro aree è descritta nelle </w:t>
      </w:r>
      <w:hyperlink r:id="rId30" w:history="1">
        <w:r w:rsidRPr="00991E10">
          <w:rPr>
            <w:rStyle w:val="Hyperlink"/>
            <w:sz w:val="20"/>
            <w:szCs w:val="20"/>
          </w:rPr>
          <w:t>Norme sulla tutela dei minori in condizioni di sicurezza</w:t>
        </w:r>
      </w:hyperlink>
    </w:p>
    <w:p w14:paraId="296D7873" w14:textId="6CB2F708" w:rsidR="00C51A9B" w:rsidRPr="00991E10" w:rsidRDefault="00C51A9B" w:rsidP="008B1F42">
      <w:pPr>
        <w:pStyle w:val="Default"/>
        <w:numPr>
          <w:ilvl w:val="1"/>
          <w:numId w:val="42"/>
        </w:numPr>
        <w:spacing w:after="200"/>
        <w:rPr>
          <w:rFonts w:ascii="Verdana" w:hAnsi="Verdana" w:cs="Arial"/>
          <w:color w:val="auto"/>
          <w:sz w:val="20"/>
          <w:szCs w:val="20"/>
        </w:rPr>
      </w:pPr>
      <w:r w:rsidRPr="00991E10">
        <w:rPr>
          <w:rFonts w:ascii="Verdana" w:hAnsi="Verdana"/>
          <w:color w:val="auto"/>
          <w:sz w:val="20"/>
          <w:szCs w:val="20"/>
        </w:rPr>
        <w:t>calcolo della somma forfettaria;</w:t>
      </w:r>
    </w:p>
    <w:p w14:paraId="45541BAB" w14:textId="711029D4" w:rsidR="00615B82" w:rsidRPr="00991E10" w:rsidRDefault="00683BCF" w:rsidP="00683BCF">
      <w:pPr>
        <w:pStyle w:val="Default"/>
        <w:numPr>
          <w:ilvl w:val="1"/>
          <w:numId w:val="51"/>
        </w:numPr>
        <w:spacing w:after="200"/>
        <w:jc w:val="both"/>
        <w:rPr>
          <w:rFonts w:ascii="Verdana" w:eastAsia="Calibri" w:hAnsi="Verdana" w:cs="Calibri"/>
          <w:color w:val="auto"/>
          <w:sz w:val="20"/>
          <w:szCs w:val="20"/>
        </w:rPr>
      </w:pPr>
      <w:r w:rsidRPr="00991E10">
        <w:rPr>
          <w:rFonts w:ascii="Verdana" w:hAnsi="Verdana"/>
          <w:color w:val="auto"/>
          <w:sz w:val="20"/>
          <w:szCs w:val="20"/>
        </w:rPr>
        <w:t>lettera di sostegno firmata dall’autorità comunale (per i richiedenti e i partner appartenenti alla categoria «Organizzazione senza fini di lucro che rappresenta un’autorità locale»).</w:t>
      </w:r>
    </w:p>
    <w:p w14:paraId="2F01E376" w14:textId="2EF943E2" w:rsidR="00510B7E" w:rsidRPr="00991E10" w:rsidRDefault="00510B7E" w:rsidP="00831954">
      <w:pPr>
        <w:spacing w:after="120"/>
        <w:rPr>
          <w:rFonts w:cs="Arial"/>
        </w:rPr>
      </w:pPr>
      <w:r w:rsidRPr="00991E10">
        <w:t xml:space="preserve">Al momento della presentazione della proposta, si dovrà confermare di avere il </w:t>
      </w:r>
      <w:r w:rsidRPr="00991E10">
        <w:rPr>
          <w:b/>
        </w:rPr>
        <w:t>mandato ad agire</w:t>
      </w:r>
      <w:r w:rsidRPr="00991E10">
        <w:t xml:space="preserve"> per tutti i richiedenti. Inoltre, si dovrà confermare che le informazioni contenute nella domanda sono corrette e complete e che i partecipanti soddisfano le condizioni per ricevere i finanziamenti dell’UE (in particolare ammissibilità, capacità finanziaria e operativa, esclusione ecc.). Prima di firmare la sovvenzione, ciascun beneficiario e ciascuna entità affiliata dovranno confermare nuovamente quanto sopra sottoscrivendo una dichiarazione sull’onore. Le proposte non debitamente documentate saranno respinte.</w:t>
      </w:r>
    </w:p>
    <w:p w14:paraId="767FE960" w14:textId="3E689F5D" w:rsidR="00C41E84" w:rsidRPr="00991E10" w:rsidRDefault="00D37706" w:rsidP="00C41E84">
      <w:pPr>
        <w:pStyle w:val="Text1"/>
        <w:tabs>
          <w:tab w:val="clear" w:pos="2160"/>
        </w:tabs>
        <w:ind w:left="0"/>
        <w:rPr>
          <w:rFonts w:cs="Arial"/>
          <w:iCs/>
        </w:rPr>
      </w:pPr>
      <w:r w:rsidRPr="00991E10">
        <w:t xml:space="preserve">La domanda deve essere </w:t>
      </w:r>
      <w:r w:rsidRPr="00991E10">
        <w:rPr>
          <w:b/>
          <w:iCs/>
        </w:rPr>
        <w:t>leggibile, accessibile e stampabile</w:t>
      </w:r>
      <w:r w:rsidRPr="00991E10">
        <w:t>.</w:t>
      </w:r>
    </w:p>
    <w:p w14:paraId="7BB5113A" w14:textId="29ADC151" w:rsidR="00D37706" w:rsidRPr="00991E10" w:rsidRDefault="00D37706" w:rsidP="42BB08A3">
      <w:pPr>
        <w:pStyle w:val="Text1"/>
        <w:tabs>
          <w:tab w:val="clear" w:pos="2160"/>
        </w:tabs>
        <w:ind w:left="0"/>
        <w:rPr>
          <w:rFonts w:cs="Arial"/>
        </w:rPr>
      </w:pPr>
      <w:r w:rsidRPr="00991E10">
        <w:t xml:space="preserve">Le proposte devono essere limitate a un massimo di </w:t>
      </w:r>
      <w:r w:rsidRPr="00991E10">
        <w:rPr>
          <w:b/>
        </w:rPr>
        <w:t>40 pagine per il tema Gemellaggi di città</w:t>
      </w:r>
      <w:r w:rsidRPr="00991E10">
        <w:t xml:space="preserve"> (parte B) e di </w:t>
      </w:r>
      <w:r w:rsidRPr="00991E10">
        <w:rPr>
          <w:b/>
        </w:rPr>
        <w:t xml:space="preserve">70 pagine per il tema Reti di città </w:t>
      </w:r>
      <w:r w:rsidRPr="00991E10">
        <w:t>(parte B). I valutatori non prenderanno in considerazione le pagine in eccesso.</w:t>
      </w:r>
    </w:p>
    <w:p w14:paraId="709B3081" w14:textId="77777777" w:rsidR="00510B7E" w:rsidRPr="00991E10" w:rsidRDefault="00510B7E" w:rsidP="00510B7E">
      <w:r w:rsidRPr="00991E10">
        <w:t xml:space="preserve">In una fase successiva si potrebbe essere invitati a presentare ulteriori documenti </w:t>
      </w:r>
      <w:r w:rsidRPr="00991E10">
        <w:rPr>
          <w:i/>
        </w:rPr>
        <w:t>(per la convalida dell’entità giuridica, il controllo della capacità finanziaria, la convalida del conto bancario ecc.)</w:t>
      </w:r>
      <w:r w:rsidRPr="00991E10">
        <w:t>.</w:t>
      </w:r>
    </w:p>
    <w:p w14:paraId="0CF762E6" w14:textId="3845DD4D" w:rsidR="00510B7E" w:rsidRPr="00991E10" w:rsidRDefault="005A3754" w:rsidP="00510B7E">
      <w:pPr>
        <w:rPr>
          <w:szCs w:val="21"/>
        </w:rPr>
      </w:pPr>
      <w:r w:rsidRPr="00991E10">
        <w:rPr>
          <w:noProof/>
          <w:lang w:val="en-IE" w:eastAsia="en-IE"/>
        </w:rPr>
        <w:drawing>
          <wp:inline distT="0" distB="0" distL="0" distR="0" wp14:anchorId="3F067661" wp14:editId="12A41E51">
            <wp:extent cx="187960" cy="187960"/>
            <wp:effectExtent l="0" t="0" r="0" b="0"/>
            <wp:docPr id="5" name="Picture 787288596" title="Title: Title: Title: https://lh5.googleusercontent.com/-n5VVWXljoCs/T8X1egaB-BI/AAAAAAAAC1I/fLBP4VIzxQM/s16/infoIcon_blu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7288596" name="Picture 787288596" title="Title: Title: Title: https://lh5.googleusercontent.com/-n5VVWXljoCs/T8X1egaB-BI/AAAAAAAAC1I/fLBP4VIzxQM/s16/infoIcon_blue.png"/>
                    <pic:cNvPicPr/>
                  </pic:nvPicPr>
                  <pic:blipFill>
                    <a:blip r:embed="rId31">
                      <a:extLst>
                        <a:ext uri="{28A0092B-C50C-407E-A947-70E740481C1C}">
                          <a14:useLocalDpi xmlns:a14="http://schemas.microsoft.com/office/drawing/2010/main" val="0"/>
                        </a:ext>
                      </a:extLst>
                    </a:blip>
                    <a:stretch>
                      <a:fillRect/>
                    </a:stretch>
                  </pic:blipFill>
                  <pic:spPr>
                    <a:xfrm>
                      <a:off x="0" y="0"/>
                      <a:ext cx="187960" cy="187960"/>
                    </a:xfrm>
                    <a:prstGeom prst="rect">
                      <a:avLst/>
                    </a:prstGeom>
                  </pic:spPr>
                </pic:pic>
              </a:graphicData>
            </a:graphic>
          </wp:inline>
        </w:drawing>
      </w:r>
      <w:r w:rsidRPr="00991E10">
        <w:t xml:space="preserve"> Per maggiori informazioni sulla procedura di presentazione (compresi gli aspetti informatici) consultare il </w:t>
      </w:r>
      <w:hyperlink r:id="rId32">
        <w:r w:rsidRPr="00991E10">
          <w:rPr>
            <w:rStyle w:val="Hyperlink"/>
          </w:rPr>
          <w:t>manuale online</w:t>
        </w:r>
      </w:hyperlink>
      <w:r w:rsidRPr="00991E10">
        <w:rPr>
          <w:rStyle w:val="Hyperlink"/>
          <w:color w:val="auto"/>
          <w:u w:val="none"/>
        </w:rPr>
        <w:t>.</w:t>
      </w:r>
    </w:p>
    <w:p w14:paraId="0B8E5F40" w14:textId="0D29000C" w:rsidR="00B612F2" w:rsidRPr="00991E10" w:rsidRDefault="00B612F2" w:rsidP="000579AF">
      <w:pPr>
        <w:pStyle w:val="Heading1"/>
        <w:numPr>
          <w:ilvl w:val="0"/>
          <w:numId w:val="54"/>
        </w:numPr>
        <w:tabs>
          <w:tab w:val="left" w:pos="284"/>
        </w:tabs>
        <w:ind w:left="0" w:firstLine="0"/>
      </w:pPr>
      <w:bookmarkStart w:id="13" w:name="_Toc92965237"/>
      <w:r w:rsidRPr="00991E10">
        <w:t>Ammissibilità</w:t>
      </w:r>
      <w:bookmarkEnd w:id="13"/>
      <w:r w:rsidRPr="00991E10">
        <w:t xml:space="preserve"> </w:t>
      </w:r>
    </w:p>
    <w:p w14:paraId="4EF2E3B8" w14:textId="77777777" w:rsidR="00B57534" w:rsidRPr="00991E10" w:rsidRDefault="00736C6F" w:rsidP="00FC6FD4">
      <w:pPr>
        <w:pStyle w:val="Heading3"/>
      </w:pPr>
      <w:bookmarkStart w:id="14" w:name="_Toc92965238"/>
      <w:r w:rsidRPr="00991E10">
        <w:t>Partecipanti ammissibili (paesi ammissibili)</w:t>
      </w:r>
      <w:bookmarkEnd w:id="14"/>
    </w:p>
    <w:p w14:paraId="5716E987" w14:textId="39C30B39" w:rsidR="00D11251" w:rsidRPr="00991E10" w:rsidRDefault="00D11251" w:rsidP="00D11251">
      <w:pPr>
        <w:pStyle w:val="Text1"/>
        <w:tabs>
          <w:tab w:val="clear" w:pos="2160"/>
        </w:tabs>
        <w:spacing w:after="120"/>
        <w:ind w:left="0"/>
        <w:rPr>
          <w:rFonts w:cs="Arial"/>
        </w:rPr>
      </w:pPr>
      <w:r w:rsidRPr="00991E10">
        <w:t>Per essere considerati ammissibili i richiedenti (beneficiari ed entità affiliate) devono:</w:t>
      </w:r>
    </w:p>
    <w:p w14:paraId="2509B829" w14:textId="78B5B051" w:rsidR="00D11251" w:rsidRPr="00991E10" w:rsidRDefault="00D9492C" w:rsidP="008B1F42">
      <w:pPr>
        <w:widowControl w:val="0"/>
        <w:numPr>
          <w:ilvl w:val="0"/>
          <w:numId w:val="36"/>
        </w:numPr>
        <w:spacing w:after="120"/>
        <w:ind w:left="709"/>
        <w:rPr>
          <w:rFonts w:cs="Arial"/>
        </w:rPr>
      </w:pPr>
      <w:r w:rsidRPr="00991E10">
        <w:t xml:space="preserve">essere soggetti giuridici (organismi pubblici o privati); </w:t>
      </w:r>
    </w:p>
    <w:p w14:paraId="49FDD5D5" w14:textId="77777777" w:rsidR="00D11251" w:rsidRPr="00991E10" w:rsidRDefault="00D11251" w:rsidP="008B1F42">
      <w:pPr>
        <w:widowControl w:val="0"/>
        <w:numPr>
          <w:ilvl w:val="0"/>
          <w:numId w:val="36"/>
        </w:numPr>
        <w:spacing w:after="120"/>
        <w:ind w:left="709"/>
        <w:jc w:val="left"/>
        <w:rPr>
          <w:rFonts w:cs="Arial"/>
        </w:rPr>
      </w:pPr>
      <w:r w:rsidRPr="00991E10">
        <w:t xml:space="preserve">essere stabiliti in uno dei paesi ammissibili, ossia: </w:t>
      </w:r>
    </w:p>
    <w:p w14:paraId="0BDBB030" w14:textId="355AADDA" w:rsidR="00D11251" w:rsidRPr="00991E10" w:rsidRDefault="00D11251" w:rsidP="008B1F42">
      <w:pPr>
        <w:widowControl w:val="0"/>
        <w:numPr>
          <w:ilvl w:val="0"/>
          <w:numId w:val="37"/>
        </w:numPr>
        <w:spacing w:after="120"/>
        <w:ind w:left="1276"/>
        <w:jc w:val="left"/>
        <w:rPr>
          <w:rFonts w:cs="Arial"/>
        </w:rPr>
      </w:pPr>
      <w:r w:rsidRPr="00991E10">
        <w:t>Stati membri dell’UE (compresi i paesi e territori d’oltremare);</w:t>
      </w:r>
    </w:p>
    <w:p w14:paraId="346FD509" w14:textId="0BF8D141" w:rsidR="00D11251" w:rsidRPr="00991E10" w:rsidRDefault="00D11251" w:rsidP="008B1F42">
      <w:pPr>
        <w:widowControl w:val="0"/>
        <w:numPr>
          <w:ilvl w:val="0"/>
          <w:numId w:val="37"/>
        </w:numPr>
        <w:spacing w:after="120"/>
        <w:ind w:left="1276"/>
        <w:jc w:val="left"/>
        <w:rPr>
          <w:rFonts w:cs="Arial"/>
        </w:rPr>
      </w:pPr>
      <w:r w:rsidRPr="00991E10">
        <w:t>paesi terzi:</w:t>
      </w:r>
    </w:p>
    <w:p w14:paraId="414C90BD" w14:textId="6B47A2C5" w:rsidR="004F0F5C" w:rsidRPr="00991E10" w:rsidRDefault="004F0F5C" w:rsidP="008B1F42">
      <w:pPr>
        <w:pStyle w:val="Text1"/>
        <w:numPr>
          <w:ilvl w:val="0"/>
          <w:numId w:val="38"/>
        </w:numPr>
        <w:tabs>
          <w:tab w:val="clear" w:pos="2160"/>
        </w:tabs>
        <w:spacing w:after="120"/>
        <w:ind w:left="1701"/>
        <w:rPr>
          <w:rFonts w:cs="Arial"/>
        </w:rPr>
      </w:pPr>
      <w:r w:rsidRPr="00991E10">
        <w:t>paesi associati al programma CERV o paesi con i quali sono in corso negoziati per un accordo di associazione e nei quali tale accordo entra in vigore prima della firma della sovvenzione (</w:t>
      </w:r>
      <w:hyperlink r:id="rId33" w:history="1">
        <w:r w:rsidRPr="00991E10">
          <w:rPr>
            <w:rStyle w:val="Hyperlink"/>
          </w:rPr>
          <w:t>elenco dei paesi partecipanti</w:t>
        </w:r>
      </w:hyperlink>
      <w:r w:rsidRPr="00991E10">
        <w:t>)</w:t>
      </w:r>
    </w:p>
    <w:p w14:paraId="511297B8" w14:textId="3133FE23" w:rsidR="006F58BD" w:rsidRPr="00991E10" w:rsidRDefault="00D11251" w:rsidP="008B1F42">
      <w:pPr>
        <w:widowControl w:val="0"/>
        <w:numPr>
          <w:ilvl w:val="0"/>
          <w:numId w:val="36"/>
        </w:numPr>
        <w:spacing w:after="120"/>
        <w:ind w:left="709" w:right="227" w:hanging="357"/>
        <w:jc w:val="left"/>
        <w:rPr>
          <w:rFonts w:cs="Arial"/>
        </w:rPr>
      </w:pPr>
      <w:r w:rsidRPr="00991E10">
        <w:t>soddisfare altre condizioni speciali:</w:t>
      </w:r>
    </w:p>
    <w:p w14:paraId="3403588B" w14:textId="671BC073" w:rsidR="00E85E35" w:rsidRPr="00991E10" w:rsidRDefault="00E85E35" w:rsidP="0062273B">
      <w:pPr>
        <w:widowControl w:val="0"/>
        <w:ind w:firstLine="720"/>
        <w:rPr>
          <w:b/>
          <w:bCs/>
        </w:rPr>
      </w:pPr>
      <w:r w:rsidRPr="00991E10">
        <w:rPr>
          <w:b/>
          <w:color w:val="A50021"/>
        </w:rPr>
        <w:t>CERV-2022-CITIZENS-TOWN-TT – Gemellaggi di città:</w:t>
      </w:r>
      <w:r w:rsidRPr="00991E10">
        <w:rPr>
          <w:b/>
          <w:bCs/>
        </w:rPr>
        <w:t xml:space="preserve"> </w:t>
      </w:r>
    </w:p>
    <w:p w14:paraId="33CEAF57" w14:textId="6E0BD8D2" w:rsidR="007303E9" w:rsidRPr="00991E10" w:rsidRDefault="000159B8" w:rsidP="00B41972">
      <w:pPr>
        <w:widowControl w:val="0"/>
        <w:numPr>
          <w:ilvl w:val="1"/>
          <w:numId w:val="36"/>
        </w:numPr>
        <w:spacing w:after="120"/>
        <w:ind w:left="1418" w:hanging="416"/>
        <w:jc w:val="left"/>
        <w:rPr>
          <w:rFonts w:cs="Arial"/>
        </w:rPr>
      </w:pPr>
      <w:r w:rsidRPr="00991E10">
        <w:t>il richiedente deve essere un organismo pubblico o un’organizzazione senza fini di lucro: città/comuni e/o altri livelli di autorità locali o i loro comitati di gemellaggio, ovvero altre organizzazioni senza fini di lucro che rappresentano le autorità locali;</w:t>
      </w:r>
    </w:p>
    <w:p w14:paraId="6386E76B" w14:textId="10829B1A" w:rsidR="000159B8" w:rsidRPr="00991E10" w:rsidRDefault="000159B8" w:rsidP="00E85E35">
      <w:pPr>
        <w:widowControl w:val="0"/>
        <w:numPr>
          <w:ilvl w:val="1"/>
          <w:numId w:val="36"/>
        </w:numPr>
        <w:spacing w:after="120"/>
        <w:ind w:left="1418" w:hanging="416"/>
        <w:jc w:val="left"/>
        <w:rPr>
          <w:rFonts w:cs="Arial"/>
        </w:rPr>
      </w:pPr>
      <w:r w:rsidRPr="00991E10">
        <w:t>il progetto deve coinvolgere le amministrazioni comunali di almeno due paesi ammissibili, di cui almeno uno è uno Stato membro dell’UE;</w:t>
      </w:r>
    </w:p>
    <w:p w14:paraId="69F32FFD" w14:textId="5AE10145" w:rsidR="000159B8" w:rsidRPr="00991E10" w:rsidRDefault="000159B8" w:rsidP="000159B8">
      <w:pPr>
        <w:widowControl w:val="0"/>
        <w:numPr>
          <w:ilvl w:val="1"/>
          <w:numId w:val="36"/>
        </w:numPr>
        <w:spacing w:after="120"/>
        <w:ind w:left="1418" w:hanging="416"/>
        <w:jc w:val="left"/>
        <w:rPr>
          <w:rFonts w:eastAsia="Verdana" w:cs="Verdana"/>
        </w:rPr>
      </w:pPr>
      <w:r w:rsidRPr="00991E10">
        <w:lastRenderedPageBreak/>
        <w:t>le attività devono svolgersi in un paese ammissibile che partecipa al progetto;</w:t>
      </w:r>
    </w:p>
    <w:p w14:paraId="611776F1" w14:textId="5F534056" w:rsidR="00942BB9" w:rsidRPr="00991E10" w:rsidRDefault="00942BB9" w:rsidP="000159B8">
      <w:pPr>
        <w:widowControl w:val="0"/>
        <w:numPr>
          <w:ilvl w:val="1"/>
          <w:numId w:val="36"/>
        </w:numPr>
        <w:spacing w:after="120"/>
        <w:ind w:left="1418" w:hanging="416"/>
        <w:jc w:val="left"/>
        <w:rPr>
          <w:rFonts w:eastAsia="Verdana" w:cs="Verdana"/>
        </w:rPr>
      </w:pPr>
      <w:r w:rsidRPr="00991E10">
        <w:t>gli eventi devono coinvolgere almeno 50 partecipanti diretti, di cui almeno 25 devono essere «partecipanti invitati»</w:t>
      </w:r>
      <w:r w:rsidR="00CC2315" w:rsidRPr="00991E10">
        <w:rPr>
          <w:rStyle w:val="FootnoteReference"/>
          <w:rFonts w:eastAsia="Verdana" w:cs="Verdana"/>
        </w:rPr>
        <w:footnoteReference w:id="12"/>
      </w:r>
      <w:r w:rsidRPr="00991E10">
        <w:t xml:space="preserve">. </w:t>
      </w:r>
    </w:p>
    <w:p w14:paraId="7A8FF669" w14:textId="6A62825D" w:rsidR="00E85E35" w:rsidRPr="00991E10" w:rsidRDefault="00E85E35" w:rsidP="0062273B">
      <w:pPr>
        <w:widowControl w:val="0"/>
        <w:ind w:firstLine="720"/>
        <w:rPr>
          <w:b/>
          <w:color w:val="A50021"/>
        </w:rPr>
      </w:pPr>
      <w:r w:rsidRPr="00991E10">
        <w:rPr>
          <w:b/>
          <w:color w:val="A50021"/>
        </w:rPr>
        <w:t>CERV-2022-CITIZENS-TOWN-NT – Reti di città:</w:t>
      </w:r>
    </w:p>
    <w:p w14:paraId="7034CCF5" w14:textId="383FF38D" w:rsidR="000159B8" w:rsidRPr="00991E10" w:rsidRDefault="000159B8" w:rsidP="000159B8">
      <w:pPr>
        <w:widowControl w:val="0"/>
        <w:numPr>
          <w:ilvl w:val="1"/>
          <w:numId w:val="36"/>
        </w:numPr>
        <w:spacing w:after="120"/>
        <w:ind w:left="1418" w:hanging="416"/>
        <w:jc w:val="left"/>
        <w:rPr>
          <w:rFonts w:cs="Arial"/>
        </w:rPr>
      </w:pPr>
      <w:r w:rsidRPr="00991E10">
        <w:t>il richiedente</w:t>
      </w:r>
      <w:r w:rsidRPr="00991E10">
        <w:rPr>
          <w:rStyle w:val="FootnoteReference"/>
          <w:rFonts w:cs="Arial"/>
        </w:rPr>
        <w:footnoteReference w:id="13"/>
      </w:r>
      <w:r w:rsidRPr="00991E10">
        <w:t xml:space="preserve"> e i partner devono essere un organismo pubblico o un’organizzazione senza fini di lucro: città/comuni e/o altri livelli di autorità locali o i loro comitati di gemellaggio, ovvero altre organizzazioni senza fini di lucro che rappresentano le autorità locali;</w:t>
      </w:r>
    </w:p>
    <w:p w14:paraId="07E9E7B6" w14:textId="4658A64A" w:rsidR="000159B8" w:rsidRPr="00991E10" w:rsidRDefault="000159B8" w:rsidP="000159B8">
      <w:pPr>
        <w:widowControl w:val="0"/>
        <w:numPr>
          <w:ilvl w:val="1"/>
          <w:numId w:val="36"/>
        </w:numPr>
        <w:spacing w:after="120"/>
        <w:ind w:left="1418" w:right="227" w:hanging="142"/>
        <w:jc w:val="left"/>
        <w:rPr>
          <w:rFonts w:cs="Arial"/>
        </w:rPr>
      </w:pPr>
      <w:r w:rsidRPr="00991E10">
        <w:t>il progetto deve coinvolgere le amministrazioni comunali di almeno cinque paesi ammissibili, di cui almeno tre devono essere Stati membri dell’UE;</w:t>
      </w:r>
    </w:p>
    <w:p w14:paraId="7F71F908" w14:textId="79ED681A" w:rsidR="000159B8" w:rsidRPr="00991E10" w:rsidRDefault="000159B8" w:rsidP="000159B8">
      <w:pPr>
        <w:widowControl w:val="0"/>
        <w:numPr>
          <w:ilvl w:val="1"/>
          <w:numId w:val="36"/>
        </w:numPr>
        <w:spacing w:after="120"/>
        <w:ind w:left="1418" w:right="227" w:hanging="142"/>
        <w:jc w:val="left"/>
      </w:pPr>
      <w:r w:rsidRPr="00991E10">
        <w:t>le attività devono svolgersi in almeno due differenti paesi ammissibili partecipanti al programma.</w:t>
      </w:r>
    </w:p>
    <w:p w14:paraId="690454F4" w14:textId="363C4A91" w:rsidR="00D11251" w:rsidRPr="00991E10" w:rsidRDefault="00EF14AD" w:rsidP="00D11251">
      <w:pPr>
        <w:rPr>
          <w:rFonts w:cs="Arial"/>
        </w:rPr>
      </w:pPr>
      <w:r w:rsidRPr="00991E10">
        <w:t xml:space="preserve">I beneficiari e le entità affiliate devono registrarsi nel </w:t>
      </w:r>
      <w:hyperlink r:id="rId34" w:history="1">
        <w:r w:rsidRPr="00991E10">
          <w:rPr>
            <w:rStyle w:val="Hyperlink"/>
          </w:rPr>
          <w:t>registro dei partecipanti</w:t>
        </w:r>
      </w:hyperlink>
      <w:r w:rsidRPr="00991E10">
        <w:t xml:space="preserve"> prima di presentare la proposta e devono essere convalidati dal servizio centrale di convalida (convalida REA). Ai fini della convalida sarà chiesto loro di caricare documenti attestanti lo status giuridico e il paese d’origine.</w:t>
      </w:r>
    </w:p>
    <w:p w14:paraId="663BF90B" w14:textId="77777777" w:rsidR="00D11251" w:rsidRPr="00991E10" w:rsidRDefault="00D11251" w:rsidP="00D11251">
      <w:pPr>
        <w:rPr>
          <w:iCs/>
        </w:rPr>
      </w:pPr>
      <w:r w:rsidRPr="00991E10">
        <w:t xml:space="preserve">Altri soggetti possono partecipare in altri ruoli nel consorzio, ad esempio partner associati, subappaltatori, terzi che forniscono contributi in natura ecc. </w:t>
      </w:r>
      <w:r w:rsidRPr="00991E10">
        <w:rPr>
          <w:i/>
          <w:iCs/>
        </w:rPr>
        <w:t>(cfr. la sezione 13)</w:t>
      </w:r>
      <w:r w:rsidRPr="00991E10">
        <w:t>.</w:t>
      </w:r>
    </w:p>
    <w:p w14:paraId="4C122898" w14:textId="77777777" w:rsidR="00D11251" w:rsidRPr="00991E10" w:rsidRDefault="00D11251" w:rsidP="00D11251">
      <w:pPr>
        <w:rPr>
          <w:i/>
          <w:color w:val="A50021"/>
          <w:highlight w:val="yellow"/>
        </w:rPr>
      </w:pPr>
      <w:r w:rsidRPr="00991E10">
        <w:rPr>
          <w:i/>
          <w:color w:val="A50021"/>
        </w:rPr>
        <w:t>Casi specifici</w:t>
      </w:r>
      <w:r w:rsidRPr="00991E10">
        <w:rPr>
          <w:i/>
          <w:color w:val="A50021"/>
          <w:highlight w:val="yellow"/>
        </w:rPr>
        <w:t xml:space="preserve"> </w:t>
      </w:r>
    </w:p>
    <w:p w14:paraId="7C0C81EC" w14:textId="3519175F" w:rsidR="00D11251" w:rsidRPr="00991E10" w:rsidRDefault="00D11251" w:rsidP="00D11251">
      <w:pPr>
        <w:rPr>
          <w:rFonts w:cs="Arial"/>
        </w:rPr>
      </w:pPr>
      <w:r w:rsidRPr="00991E10">
        <w:t>Persone fisiche: le persone fisiche NON sono ammissibili (ad eccezione dei lavoratori autonomi, ossia gli imprenditori individuali la cui impresa non ha una personalità giuridica distinta da quella della persona fisica).</w:t>
      </w:r>
    </w:p>
    <w:p w14:paraId="06E140DC" w14:textId="5B93CEEF" w:rsidR="00D11251" w:rsidRPr="00991E10" w:rsidRDefault="00D51B6C" w:rsidP="00D11251">
      <w:pPr>
        <w:rPr>
          <w:rFonts w:cs="Arial"/>
        </w:rPr>
      </w:pPr>
      <w:r w:rsidRPr="00991E10">
        <w:t>Organizzazioni internazionali: le organizzazioni internazionali sono ammissibili. Le norme sui paesi ammissibili non si applicano a tali organizzazioni.</w:t>
      </w:r>
    </w:p>
    <w:p w14:paraId="45271331" w14:textId="77777777" w:rsidR="00D11251" w:rsidRPr="00991E10" w:rsidRDefault="00D11251" w:rsidP="00D11251">
      <w:pPr>
        <w:rPr>
          <w:rFonts w:cs="Arial"/>
          <w:iCs/>
        </w:rPr>
      </w:pPr>
      <w:r w:rsidRPr="00991E10">
        <w:t>Entità prive di personalità giuridica: le entità non aventi personalità giuridica a norma del rispettivo diritto nazionale possono partecipare in via eccezionale, purché i loro rappresentanti abbiano la capacità di assumere impegni giuridici in loro nome e offrano garanzie per la tutela degli interessi finanziari dell’UE equivalenti a quelle offerte dalle persone giuridiche (</w:t>
      </w:r>
      <w:r w:rsidRPr="00991E10">
        <w:rPr>
          <w:rStyle w:val="FootnoteReference"/>
          <w:rFonts w:cs="Arial"/>
          <w:iCs/>
        </w:rPr>
        <w:footnoteReference w:id="14"/>
      </w:r>
      <w:r w:rsidRPr="00991E10">
        <w:t>).</w:t>
      </w:r>
    </w:p>
    <w:p w14:paraId="42989BB3" w14:textId="77777777" w:rsidR="00D11251" w:rsidRPr="00991E10" w:rsidRDefault="00D11251" w:rsidP="00D11251">
      <w:pPr>
        <w:rPr>
          <w:rFonts w:eastAsia="Verdana" w:cs="Verdana"/>
        </w:rPr>
      </w:pPr>
      <w:r w:rsidRPr="00991E10">
        <w:t>Organismi dell’UE: gli organismi dell’UE NON possono far parte del consorzio (ad eccezione del Centro comune di ricerca della Commissione europea).</w:t>
      </w:r>
    </w:p>
    <w:p w14:paraId="73A5993C" w14:textId="5CAF4A75" w:rsidR="005056C4" w:rsidRPr="00991E10" w:rsidRDefault="6C7DCFD5" w:rsidP="42BB08A3">
      <w:pPr>
        <w:rPr>
          <w:rFonts w:cs="Arial"/>
        </w:rPr>
      </w:pPr>
      <w:r w:rsidRPr="00991E10">
        <w:t>Associazioni e gruppi d’interesse: le entità composte da membri possono partecipare in qualità di «beneficiari unici» o di «beneficiari privi di personalità giuridica» (</w:t>
      </w:r>
      <w:r w:rsidR="00D11251" w:rsidRPr="00991E10">
        <w:rPr>
          <w:rStyle w:val="FootnoteReference"/>
        </w:rPr>
        <w:footnoteReference w:id="15"/>
      </w:r>
      <w:r w:rsidRPr="00991E10">
        <w:t xml:space="preserve">). </w:t>
      </w:r>
      <w:r w:rsidRPr="00991E10">
        <w:rPr>
          <w:noProof/>
          <w:color w:val="7F7F7F"/>
          <w:sz w:val="18"/>
          <w:szCs w:val="21"/>
          <w:lang w:val="en-IE" w:eastAsia="en-IE"/>
        </w:rPr>
        <w:drawing>
          <wp:inline distT="0" distB="0" distL="0" distR="0" wp14:anchorId="75F831DD" wp14:editId="5DD55874">
            <wp:extent cx="187960" cy="187960"/>
            <wp:effectExtent l="0" t="0" r="0" b="0"/>
            <wp:docPr id="6" name="Picture 6"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arni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rsidRPr="00991E10">
        <w:rPr>
          <w:color w:val="7F7F7F"/>
          <w:sz w:val="18"/>
          <w:szCs w:val="18"/>
        </w:rPr>
        <w:t xml:space="preserve"> </w:t>
      </w:r>
      <w:r w:rsidRPr="00991E10">
        <w:t xml:space="preserve">Si fa presente che, se l’azione sarà realizzata dai membri, dovrebbero partecipare anch’essi (in qualità di beneficiari o di entità affiliate, altrimenti i loro costi NON saranno ammissibili). </w:t>
      </w:r>
    </w:p>
    <w:p w14:paraId="367E29D4" w14:textId="50768096" w:rsidR="00DC3A61" w:rsidRPr="00991E10" w:rsidRDefault="00DC3A61" w:rsidP="00202AF1">
      <w:pPr>
        <w:pStyle w:val="NormalWeb"/>
        <w:spacing w:before="0" w:beforeAutospacing="0" w:after="200" w:afterAutospacing="0"/>
        <w:jc w:val="both"/>
        <w:rPr>
          <w:rFonts w:ascii="Verdana" w:hAnsi="Verdana"/>
          <w:color w:val="000000"/>
          <w:sz w:val="20"/>
          <w:szCs w:val="20"/>
        </w:rPr>
      </w:pPr>
      <w:r w:rsidRPr="00991E10">
        <w:rPr>
          <w:rFonts w:ascii="Verdana" w:hAnsi="Verdana"/>
          <w:color w:val="000000"/>
          <w:sz w:val="20"/>
          <w:szCs w:val="20"/>
        </w:rPr>
        <w:t xml:space="preserve">Punti di contatto del programma: sono ammissibili con il ruolo di coordinatori o beneficiari negli inviti aperti, a condizione che dispongano di procedure per separare le </w:t>
      </w:r>
      <w:r w:rsidRPr="00991E10">
        <w:rPr>
          <w:rFonts w:ascii="Verdana" w:hAnsi="Verdana"/>
          <w:color w:val="000000"/>
          <w:sz w:val="20"/>
          <w:szCs w:val="20"/>
        </w:rPr>
        <w:lastRenderedPageBreak/>
        <w:t xml:space="preserve">funzioni di gestione del progetto da quelle di informazione e siano in grado di dimostrare la separazione dei costi (ossia che le sovvenzioni ricevute per il progetto non coprono i costi previsti dalla loro altra sovvenzione). A tal fine è necessario: </w:t>
      </w:r>
    </w:p>
    <w:p w14:paraId="21178116" w14:textId="4EF7788A" w:rsidR="00DC3A61" w:rsidRPr="00991E10" w:rsidRDefault="00DC3A61" w:rsidP="008B1F42">
      <w:pPr>
        <w:numPr>
          <w:ilvl w:val="0"/>
          <w:numId w:val="45"/>
        </w:numPr>
        <w:rPr>
          <w:color w:val="000000"/>
        </w:rPr>
      </w:pPr>
      <w:r w:rsidRPr="00991E10">
        <w:rPr>
          <w:color w:val="000000"/>
        </w:rPr>
        <w:t xml:space="preserve">applicare la contabilità analitica, che permette di gestire la contabilità dei costi utilizzando gli appositi codici nonché chiavi di ripartizione dei costi; INOLTRE, applicare tali codici e chiavi per individuare e separare i costi (ossia attribuirli a una delle due sovvenzioni); </w:t>
      </w:r>
    </w:p>
    <w:p w14:paraId="1DBFDF05" w14:textId="5BA07C46" w:rsidR="00DC3A61" w:rsidRPr="00991E10" w:rsidRDefault="00DC3A61" w:rsidP="008B1F42">
      <w:pPr>
        <w:numPr>
          <w:ilvl w:val="0"/>
          <w:numId w:val="45"/>
        </w:numPr>
        <w:rPr>
          <w:color w:val="000000"/>
        </w:rPr>
      </w:pPr>
      <w:r w:rsidRPr="00991E10">
        <w:rPr>
          <w:color w:val="000000"/>
        </w:rPr>
        <w:t xml:space="preserve">registrare tutti i costi reali sostenuti per le attività previste dalle due sovvenzioni (compresi i costi indiretti); </w:t>
      </w:r>
    </w:p>
    <w:p w14:paraId="08082F37" w14:textId="6D2FEB8E" w:rsidR="00832213" w:rsidRPr="00991E10" w:rsidRDefault="00DC3A61" w:rsidP="008B1F42">
      <w:pPr>
        <w:numPr>
          <w:ilvl w:val="0"/>
          <w:numId w:val="45"/>
        </w:numPr>
        <w:rPr>
          <w:rFonts w:cs="Arial"/>
        </w:rPr>
      </w:pPr>
      <w:r w:rsidRPr="00991E10">
        <w:rPr>
          <w:color w:val="000000"/>
        </w:rPr>
        <w:t>ripartire i costi in maniera tale da ottenere un risultato equo, obiettivo e realistico.</w:t>
      </w:r>
    </w:p>
    <w:p w14:paraId="63646EA9" w14:textId="75D8A1BB" w:rsidR="00F556B0" w:rsidRPr="00991E10" w:rsidRDefault="00F556B0" w:rsidP="00202AF1">
      <w:pPr>
        <w:rPr>
          <w:iCs/>
        </w:rPr>
      </w:pPr>
      <w:r w:rsidRPr="00991E10">
        <w:t xml:space="preserve">Paesi che stanno negoziando accordi di associazione: i beneficiari dei paesi con cui sono in corso negoziati </w:t>
      </w:r>
      <w:r w:rsidRPr="00991E10">
        <w:rPr>
          <w:i/>
          <w:szCs w:val="18"/>
        </w:rPr>
        <w:t>(cfr. sopra)</w:t>
      </w:r>
      <w:r w:rsidRPr="00991E10">
        <w:t xml:space="preserve"> possono partecipare all’invito e firmare le sovvenzioni a condizione che detti negoziati si concludano prima della firma della sovvenzione (con effetto retroattivo, se previsto dall’accordo).</w:t>
      </w:r>
    </w:p>
    <w:p w14:paraId="6FC8312B" w14:textId="6314207D" w:rsidR="000F4465" w:rsidRPr="00991E10" w:rsidRDefault="00FE2BCA" w:rsidP="00D11251">
      <w:pPr>
        <w:pStyle w:val="Text1"/>
        <w:tabs>
          <w:tab w:val="clear" w:pos="2160"/>
        </w:tabs>
        <w:spacing w:after="120"/>
        <w:ind w:left="0"/>
      </w:pPr>
      <w:r w:rsidRPr="00991E10">
        <w:t xml:space="preserve">Misure restrittive dell’UE: a determinate entità si applicano regole speciali </w:t>
      </w:r>
      <w:r w:rsidRPr="00991E10">
        <w:rPr>
          <w:i/>
        </w:rPr>
        <w:t xml:space="preserve">(ad esempio le entità soggette alle </w:t>
      </w:r>
      <w:hyperlink r:id="rId36" w:history="1">
        <w:r w:rsidRPr="00991E10">
          <w:rPr>
            <w:rStyle w:val="Hyperlink"/>
            <w:i/>
          </w:rPr>
          <w:t>misure restrittive dell’UE</w:t>
        </w:r>
      </w:hyperlink>
      <w:r w:rsidRPr="00991E10">
        <w:rPr>
          <w:i/>
        </w:rPr>
        <w:t xml:space="preserve"> a norma dell’articolo 29 del trattato sull’Unione europea e dell’articolo 215 del trattato sul funzionamento dell’Unione europea) (</w:t>
      </w:r>
      <w:r w:rsidRPr="00991E10">
        <w:rPr>
          <w:rFonts w:eastAsia="Arial Unicode MS" w:cs="Arial"/>
          <w:i/>
          <w:vertAlign w:val="superscript"/>
          <w:lang w:eastAsia="en-GB"/>
        </w:rPr>
        <w:footnoteReference w:id="16"/>
      </w:r>
      <w:r w:rsidRPr="00991E10">
        <w:rPr>
          <w:i/>
        </w:rPr>
        <w:t>) nonché le entità contemplate dagli orientamenti della Commissione </w:t>
      </w:r>
      <w:hyperlink r:id="rId37" w:history="1">
        <w:r w:rsidRPr="00991E10">
          <w:rPr>
            <w:rStyle w:val="Hyperlink"/>
            <w:i/>
          </w:rPr>
          <w:t>2013/C 205/05</w:t>
        </w:r>
      </w:hyperlink>
      <w:r w:rsidRPr="00991E10">
        <w:t> (</w:t>
      </w:r>
      <w:r w:rsidRPr="00991E10">
        <w:rPr>
          <w:rStyle w:val="FootnoteReference"/>
          <w:rFonts w:cs="Arial"/>
          <w:i/>
        </w:rPr>
        <w:footnoteReference w:id="17"/>
      </w:r>
      <w:r w:rsidRPr="00991E10">
        <w:rPr>
          <w:i/>
        </w:rPr>
        <w:t>)].</w:t>
      </w:r>
      <w:r w:rsidRPr="00991E10">
        <w:t xml:space="preserve"> Queste entità non sono ammesse a partecipare a nessun titolo, neanche in qualità di beneficiari, entità affiliate, partner associati, subappaltatori o destinatari del sostegno finanziario a terzi (se del caso).</w:t>
      </w:r>
    </w:p>
    <w:p w14:paraId="718A4FB8" w14:textId="162F5911" w:rsidR="00736C6F" w:rsidRPr="00991E10" w:rsidRDefault="005A3754" w:rsidP="00736C6F">
      <w:pPr>
        <w:autoSpaceDE w:val="0"/>
        <w:autoSpaceDN w:val="0"/>
        <w:adjustRightInd w:val="0"/>
        <w:rPr>
          <w:rFonts w:cs="Verdana"/>
        </w:rPr>
      </w:pPr>
      <w:r w:rsidRPr="00991E10">
        <w:rPr>
          <w:noProof/>
          <w:lang w:val="en-IE" w:eastAsia="en-IE"/>
        </w:rPr>
        <w:drawing>
          <wp:inline distT="0" distB="0" distL="0" distR="0" wp14:anchorId="4D9DE831" wp14:editId="2CF3293B">
            <wp:extent cx="187960" cy="187960"/>
            <wp:effectExtent l="0" t="0" r="0" b="0"/>
            <wp:docPr id="7" name="Picture 217534909" title="Title: Title: Title: https://lh5.googleusercontent.com/-n5VVWXljoCs/T8X1egaB-BI/AAAAAAAAC1I/fLBP4VIzxQM/s16/infoIcon_blu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7534909" name="Picture 217534909" title="Title: Title: Title: https://lh5.googleusercontent.com/-n5VVWXljoCs/T8X1egaB-BI/AAAAAAAAC1I/fLBP4VIzxQM/s16/infoIcon_blue.png"/>
                    <pic:cNvPicPr/>
                  </pic:nvPicPr>
                  <pic:blipFill>
                    <a:blip r:embed="rId31">
                      <a:extLst>
                        <a:ext uri="{28A0092B-C50C-407E-A947-70E740481C1C}">
                          <a14:useLocalDpi xmlns:a14="http://schemas.microsoft.com/office/drawing/2010/main" val="0"/>
                        </a:ext>
                      </a:extLst>
                    </a:blip>
                    <a:stretch>
                      <a:fillRect/>
                    </a:stretch>
                  </pic:blipFill>
                  <pic:spPr>
                    <a:xfrm>
                      <a:off x="0" y="0"/>
                      <a:ext cx="187960" cy="187960"/>
                    </a:xfrm>
                    <a:prstGeom prst="rect">
                      <a:avLst/>
                    </a:prstGeom>
                  </pic:spPr>
                </pic:pic>
              </a:graphicData>
            </a:graphic>
          </wp:inline>
        </w:drawing>
      </w:r>
      <w:r w:rsidRPr="00991E10">
        <w:t xml:space="preserve"> Per maggiori informazioni </w:t>
      </w:r>
      <w:r w:rsidRPr="00991E10">
        <w:rPr>
          <w:i/>
          <w:iCs/>
        </w:rPr>
        <w:t xml:space="preserve">cfr. le </w:t>
      </w:r>
      <w:hyperlink r:id="rId38">
        <w:r w:rsidRPr="00991E10">
          <w:rPr>
            <w:rStyle w:val="Hyperlink"/>
            <w:i/>
            <w:iCs/>
          </w:rPr>
          <w:t>Norme per la convalida del soggetto giuridico, la nomina del LEAR e la valutazione della capacità finanziaria</w:t>
        </w:r>
      </w:hyperlink>
      <w:r w:rsidRPr="00991E10">
        <w:t xml:space="preserve">. </w:t>
      </w:r>
    </w:p>
    <w:p w14:paraId="1DD70A2C" w14:textId="78969716" w:rsidR="00027143" w:rsidRPr="00991E10" w:rsidRDefault="00736C6F" w:rsidP="00CC2315">
      <w:pPr>
        <w:pStyle w:val="Heading3"/>
      </w:pPr>
      <w:bookmarkStart w:id="15" w:name="_Toc92965239"/>
      <w:r w:rsidRPr="00991E10">
        <w:t>Composizione del consorzio</w:t>
      </w:r>
      <w:bookmarkEnd w:id="15"/>
    </w:p>
    <w:p w14:paraId="667D29A2" w14:textId="1ADD61B2" w:rsidR="007903BC" w:rsidRPr="00991E10" w:rsidRDefault="007903BC" w:rsidP="007903BC">
      <w:pPr>
        <w:widowControl w:val="0"/>
        <w:rPr>
          <w:b/>
          <w:bCs/>
        </w:rPr>
      </w:pPr>
      <w:r w:rsidRPr="00991E10">
        <w:rPr>
          <w:b/>
          <w:color w:val="A50021"/>
        </w:rPr>
        <w:t>CERV-2022-CITIZENS-TOWN-TT – Gemellaggi di città:</w:t>
      </w:r>
      <w:r w:rsidRPr="00991E10">
        <w:rPr>
          <w:b/>
          <w:bCs/>
        </w:rPr>
        <w:t xml:space="preserve"> </w:t>
      </w:r>
    </w:p>
    <w:p w14:paraId="1CC7CA67" w14:textId="27B50492" w:rsidR="007903BC" w:rsidRPr="00991E10" w:rsidRDefault="007903BC" w:rsidP="007903BC">
      <w:pPr>
        <w:widowControl w:val="0"/>
        <w:rPr>
          <w:i/>
          <w:iCs/>
        </w:rPr>
      </w:pPr>
      <w:r w:rsidRPr="00991E10">
        <w:t>sono ammesse soltanto le domande di singoli richiedenti.</w:t>
      </w:r>
    </w:p>
    <w:p w14:paraId="37AC9AD9" w14:textId="64A403D2" w:rsidR="007903BC" w:rsidRPr="00991E10" w:rsidRDefault="007903BC" w:rsidP="007903BC">
      <w:pPr>
        <w:pStyle w:val="Text3"/>
        <w:tabs>
          <w:tab w:val="left" w:pos="567"/>
        </w:tabs>
        <w:ind w:left="0"/>
        <w:rPr>
          <w:rFonts w:eastAsia="Verdana" w:cs="Verdana"/>
        </w:rPr>
      </w:pPr>
      <w:r w:rsidRPr="00991E10">
        <w:t>Le proposte relative ai gemellaggi di città devono coinvolgere le amministrazioni comunali di almeno due paesi ammissibili, di cui almeno uno deve essere uno Stato membro dell’UE.</w:t>
      </w:r>
    </w:p>
    <w:p w14:paraId="5B216039" w14:textId="203107A8" w:rsidR="007903BC" w:rsidRPr="00991E10" w:rsidRDefault="007903BC" w:rsidP="007903BC">
      <w:pPr>
        <w:widowControl w:val="0"/>
        <w:rPr>
          <w:b/>
          <w:color w:val="A50021"/>
        </w:rPr>
      </w:pPr>
      <w:r w:rsidRPr="00991E10">
        <w:rPr>
          <w:b/>
          <w:color w:val="A50021"/>
        </w:rPr>
        <w:t>CERV-2022-CITIZENS-TOWN-NT – Reti di città</w:t>
      </w:r>
    </w:p>
    <w:p w14:paraId="2A754E5D" w14:textId="17B8FF9F" w:rsidR="007903BC" w:rsidRPr="00991E10" w:rsidRDefault="007903BC" w:rsidP="007903BC">
      <w:pPr>
        <w:widowControl w:val="0"/>
      </w:pPr>
      <w:r w:rsidRPr="00991E10">
        <w:t xml:space="preserve">Le proposte devono essere presentate da un consorzio di almeno cinque richiedenti (beneficiari; entità non affiliate) che soddisfano le seguenti condizioni: </w:t>
      </w:r>
    </w:p>
    <w:p w14:paraId="683D723D" w14:textId="1473FE2C" w:rsidR="007903BC" w:rsidRPr="00991E10" w:rsidRDefault="007903BC" w:rsidP="007903BC">
      <w:pPr>
        <w:numPr>
          <w:ilvl w:val="0"/>
          <w:numId w:val="53"/>
        </w:numPr>
        <w:ind w:left="360"/>
      </w:pPr>
      <w:r w:rsidRPr="00991E10">
        <w:t>le entità sono amministrazioni comunali di almeno cinque paesi ammissibili, di cui almeno tre devono essere Stati membri dell’UE.</w:t>
      </w:r>
    </w:p>
    <w:p w14:paraId="4E8B42AB" w14:textId="77777777" w:rsidR="00656CD7" w:rsidRPr="00991E10" w:rsidRDefault="00736C6F" w:rsidP="00510B7E">
      <w:pPr>
        <w:pStyle w:val="Heading3"/>
      </w:pPr>
      <w:bookmarkStart w:id="16" w:name="_Toc92965240"/>
      <w:r w:rsidRPr="00991E10">
        <w:t>Attività ammissibili</w:t>
      </w:r>
      <w:bookmarkEnd w:id="16"/>
    </w:p>
    <w:p w14:paraId="5C9A0D56" w14:textId="6D5E2AD2" w:rsidR="000159B8" w:rsidRPr="00991E10" w:rsidRDefault="00656CD7" w:rsidP="00656CD7">
      <w:r w:rsidRPr="00991E10">
        <w:t>Le attività ammissibili sono quelle illustrate nella precedente sezione 2.</w:t>
      </w:r>
    </w:p>
    <w:p w14:paraId="4DCC9648" w14:textId="77777777" w:rsidR="00656CD7" w:rsidRPr="00991E10" w:rsidRDefault="00267836" w:rsidP="00656CD7">
      <w:r w:rsidRPr="00991E10">
        <w:lastRenderedPageBreak/>
        <w:t>I progetti dovrebbero tenere conto dei risultati dei progetti sostenuti da altri programmi di finanziamento dell’UE. Le complementarità devono essere descritte nelle proposte di progetto (parte B del modulo di domanda).</w:t>
      </w:r>
    </w:p>
    <w:p w14:paraId="3CAE18EE" w14:textId="77777777" w:rsidR="00C96229" w:rsidRPr="00991E10" w:rsidRDefault="00C96229" w:rsidP="00656CD7">
      <w:r w:rsidRPr="00991E10">
        <w:t xml:space="preserve">I progetti devono essere conformi alle priorità e agli interessi politici dell’UE </w:t>
      </w:r>
      <w:r w:rsidRPr="00991E10">
        <w:rPr>
          <w:i/>
        </w:rPr>
        <w:t>(ad esempio ambiente, politica sociale, sicurezza, politica industriale e commerciale ecc.)</w:t>
      </w:r>
      <w:r w:rsidRPr="00991E10">
        <w:t>.</w:t>
      </w:r>
    </w:p>
    <w:p w14:paraId="23359E9F" w14:textId="69E0A675" w:rsidR="00557219" w:rsidRPr="00991E10" w:rsidRDefault="004A47F3" w:rsidP="0075170E">
      <w:pPr>
        <w:rPr>
          <w:highlight w:val="yellow"/>
        </w:rPr>
      </w:pPr>
      <w:r w:rsidRPr="00991E10">
        <w:t>Non è ammesso il sostegno finanziario a soggetti terzi.</w:t>
      </w:r>
    </w:p>
    <w:p w14:paraId="4ED03ED8" w14:textId="7C17FD62" w:rsidR="00942BB9" w:rsidRPr="00991E10" w:rsidRDefault="00E81CEB" w:rsidP="00942BB9">
      <w:pPr>
        <w:pStyle w:val="Text3"/>
        <w:tabs>
          <w:tab w:val="clear" w:pos="2160"/>
          <w:tab w:val="left" w:pos="567"/>
        </w:tabs>
        <w:ind w:left="0"/>
        <w:rPr>
          <w:b/>
          <w:color w:val="A50021"/>
        </w:rPr>
      </w:pPr>
      <w:r w:rsidRPr="00991E10">
        <w:rPr>
          <w:b/>
          <w:color w:val="A50021"/>
        </w:rPr>
        <w:t>CERV-2022-CITIZENS-TOWN-TT – Gemellaggi di città</w:t>
      </w:r>
    </w:p>
    <w:p w14:paraId="2607B279" w14:textId="77777777" w:rsidR="00942BB9" w:rsidRPr="00991E10" w:rsidRDefault="00942BB9" w:rsidP="00942BB9">
      <w:pPr>
        <w:pStyle w:val="Text3"/>
        <w:tabs>
          <w:tab w:val="clear" w:pos="2160"/>
          <w:tab w:val="left" w:pos="567"/>
        </w:tabs>
        <w:ind w:left="0"/>
        <w:rPr>
          <w:rFonts w:eastAsia="Verdana" w:cs="Verdana"/>
        </w:rPr>
      </w:pPr>
      <w:r w:rsidRPr="00991E10">
        <w:t>Gli eventi relativi ai gemellaggi di città devono coinvolgere almeno 50 partecipanti diretti, di cui almeno 25 devono essere «partecipanti invitati». Per «partecipanti invitati» s’intendono le delegazioni provenienti dai paesi ammissibili partner del progetto diversi dal paese che ospita l’evento relativo al gemellaggio di città.</w:t>
      </w:r>
    </w:p>
    <w:p w14:paraId="09E75F68" w14:textId="77777777" w:rsidR="00500DB3" w:rsidRPr="00991E10" w:rsidRDefault="00330493" w:rsidP="00510B7E">
      <w:pPr>
        <w:pStyle w:val="Heading3"/>
      </w:pPr>
      <w:bookmarkStart w:id="17" w:name="_Toc92965241"/>
      <w:r w:rsidRPr="00991E10">
        <w:t>Ubicazione geografica (paesi destinatari)</w:t>
      </w:r>
      <w:bookmarkEnd w:id="17"/>
    </w:p>
    <w:p w14:paraId="0C43BD80" w14:textId="6FE81E62" w:rsidR="00C76084" w:rsidRPr="00991E10" w:rsidRDefault="00C76084" w:rsidP="00C76084">
      <w:r w:rsidRPr="00991E10">
        <w:t xml:space="preserve">Le proposte devono riguardare attività che hanno luogo nei paesi ammissibili </w:t>
      </w:r>
      <w:r w:rsidRPr="00991E10">
        <w:rPr>
          <w:i/>
        </w:rPr>
        <w:t>(cfr. sopra)</w:t>
      </w:r>
      <w:r w:rsidRPr="00991E10">
        <w:t>.</w:t>
      </w:r>
    </w:p>
    <w:p w14:paraId="2B7201A8" w14:textId="071CD026" w:rsidR="0075170E" w:rsidRPr="00991E10" w:rsidRDefault="0075170E" w:rsidP="0075170E">
      <w:pPr>
        <w:pStyle w:val="Text3"/>
        <w:tabs>
          <w:tab w:val="left" w:pos="567"/>
        </w:tabs>
        <w:ind w:left="0"/>
        <w:rPr>
          <w:b/>
          <w:color w:val="A50021"/>
        </w:rPr>
      </w:pPr>
      <w:r w:rsidRPr="00991E10">
        <w:rPr>
          <w:b/>
          <w:color w:val="A50021"/>
        </w:rPr>
        <w:t>CERV-2022-CITIZENS-TOWN-TT – Gemellaggi di città</w:t>
      </w:r>
    </w:p>
    <w:p w14:paraId="4FB65ED9" w14:textId="729AC7F7" w:rsidR="0075170E" w:rsidRPr="00991E10" w:rsidRDefault="0075170E" w:rsidP="0075170E">
      <w:pPr>
        <w:pStyle w:val="Text3"/>
        <w:tabs>
          <w:tab w:val="left" w:pos="567"/>
        </w:tabs>
        <w:ind w:left="0"/>
        <w:rPr>
          <w:rFonts w:eastAsia="Verdana" w:cs="Verdana"/>
        </w:rPr>
      </w:pPr>
      <w:r w:rsidRPr="00991E10">
        <w:t>Le attività devono svolgersi in un paese ammissibile che partecipa al progetto.</w:t>
      </w:r>
    </w:p>
    <w:p w14:paraId="22619C5A" w14:textId="1782A5E2" w:rsidR="0075170E" w:rsidRPr="00991E10" w:rsidRDefault="0075170E" w:rsidP="0075170E">
      <w:pPr>
        <w:pStyle w:val="Text3"/>
        <w:tabs>
          <w:tab w:val="left" w:pos="567"/>
        </w:tabs>
        <w:ind w:left="0"/>
        <w:rPr>
          <w:b/>
          <w:color w:val="A50021"/>
        </w:rPr>
      </w:pPr>
      <w:r w:rsidRPr="00991E10">
        <w:rPr>
          <w:b/>
          <w:color w:val="A50021"/>
        </w:rPr>
        <w:t>CERV-2022-CITIZENS-TOWN-NT – Reti di città</w:t>
      </w:r>
    </w:p>
    <w:p w14:paraId="15B7E34B" w14:textId="77777777" w:rsidR="0075170E" w:rsidRPr="00991E10" w:rsidRDefault="0075170E" w:rsidP="0075170E">
      <w:r w:rsidRPr="00991E10">
        <w:t>Le attività devono svolgersi in almeno due differenti paesi ammissibili partecipanti al programma.</w:t>
      </w:r>
    </w:p>
    <w:p w14:paraId="5ED1FBB4" w14:textId="5B3FEB91" w:rsidR="0075170E" w:rsidRPr="00991E10" w:rsidRDefault="00312A94" w:rsidP="00CC2315">
      <w:pPr>
        <w:pStyle w:val="Heading3"/>
      </w:pPr>
      <w:bookmarkStart w:id="18" w:name="_Toc92965242"/>
      <w:r w:rsidRPr="00991E10">
        <w:t>Durata</w:t>
      </w:r>
      <w:bookmarkEnd w:id="18"/>
    </w:p>
    <w:p w14:paraId="2932A4E8" w14:textId="57A7E390" w:rsidR="0075170E" w:rsidRPr="00991E10" w:rsidRDefault="0075170E" w:rsidP="0075170E">
      <w:pPr>
        <w:pStyle w:val="Text3"/>
        <w:tabs>
          <w:tab w:val="left" w:pos="567"/>
        </w:tabs>
        <w:ind w:left="0"/>
        <w:rPr>
          <w:b/>
          <w:color w:val="A50021"/>
        </w:rPr>
      </w:pPr>
      <w:r w:rsidRPr="00991E10">
        <w:rPr>
          <w:b/>
          <w:color w:val="A50021"/>
        </w:rPr>
        <w:t>CERV-2022-CITIZENS-TOWN-TT – Gemellaggi di città</w:t>
      </w:r>
    </w:p>
    <w:p w14:paraId="16ED1FD7" w14:textId="77777777" w:rsidR="0075170E" w:rsidRPr="00991E10" w:rsidRDefault="0075170E" w:rsidP="0075170E">
      <w:r w:rsidRPr="00991E10">
        <w:t>Di norma, i progetti dovrebbero avere una durata non superiore a 12 mesi (sono ammesse proroghe, purché debitamente giustificate e richieste mediante modifica della domanda).</w:t>
      </w:r>
    </w:p>
    <w:p w14:paraId="21EB407E" w14:textId="02DDA381" w:rsidR="0075170E" w:rsidRPr="00991E10" w:rsidRDefault="0075170E" w:rsidP="0075170E">
      <w:pPr>
        <w:pStyle w:val="Text3"/>
        <w:tabs>
          <w:tab w:val="left" w:pos="567"/>
        </w:tabs>
        <w:ind w:left="0"/>
        <w:rPr>
          <w:b/>
          <w:color w:val="A50021"/>
        </w:rPr>
      </w:pPr>
      <w:r w:rsidRPr="00991E10">
        <w:rPr>
          <w:b/>
          <w:color w:val="A50021"/>
        </w:rPr>
        <w:t xml:space="preserve">CERV-2022-CITIZENS-TOWN-NT – Reti di città </w:t>
      </w:r>
    </w:p>
    <w:p w14:paraId="5915DCE4" w14:textId="705101FA" w:rsidR="0075170E" w:rsidRPr="00991E10" w:rsidRDefault="00D37706" w:rsidP="0075170E">
      <w:r w:rsidRPr="00991E10">
        <w:t>Di norma, i progetti dovrebbero avere una durata compresa tra 12 e 24 mesi (sono ammesse proroghe, purché debitamente giustificate e richieste mediante modifica della domanda).</w:t>
      </w:r>
    </w:p>
    <w:p w14:paraId="6E47F135" w14:textId="56E7A647" w:rsidR="007926FA" w:rsidRPr="00991E10" w:rsidRDefault="007926FA" w:rsidP="00510B7E">
      <w:pPr>
        <w:pStyle w:val="Heading3"/>
      </w:pPr>
      <w:bookmarkStart w:id="19" w:name="_Toc92965243"/>
      <w:r w:rsidRPr="00991E10">
        <w:t>Etica e valori dell’UE</w:t>
      </w:r>
      <w:bookmarkEnd w:id="19"/>
    </w:p>
    <w:p w14:paraId="58FD832D" w14:textId="77777777" w:rsidR="007926FA" w:rsidRPr="00991E10" w:rsidRDefault="007926FA" w:rsidP="007926FA">
      <w:pPr>
        <w:pStyle w:val="Text3"/>
        <w:ind w:left="0"/>
        <w:rPr>
          <w:rFonts w:eastAsia="Calibri"/>
          <w:color w:val="000000"/>
        </w:rPr>
      </w:pPr>
      <w:r w:rsidRPr="00991E10">
        <w:t>I progetti devono essere conformi:</w:t>
      </w:r>
    </w:p>
    <w:p w14:paraId="109E382E" w14:textId="1126BB4E" w:rsidR="00B703B7" w:rsidRPr="00991E10" w:rsidRDefault="009E08C3" w:rsidP="008B1F42">
      <w:pPr>
        <w:numPr>
          <w:ilvl w:val="0"/>
          <w:numId w:val="33"/>
        </w:numPr>
        <w:spacing w:after="120"/>
        <w:ind w:left="709"/>
        <w:jc w:val="left"/>
      </w:pPr>
      <w:r w:rsidRPr="00991E10">
        <w:t xml:space="preserve">agli standard etici più elevati; </w:t>
      </w:r>
    </w:p>
    <w:p w14:paraId="20DE0698" w14:textId="52F85922" w:rsidR="00B703B7" w:rsidRPr="00991E10" w:rsidRDefault="00B703B7" w:rsidP="008B1F42">
      <w:pPr>
        <w:numPr>
          <w:ilvl w:val="0"/>
          <w:numId w:val="33"/>
        </w:numPr>
        <w:spacing w:after="120"/>
        <w:ind w:left="709"/>
        <w:jc w:val="left"/>
        <w:rPr>
          <w:sz w:val="24"/>
          <w:szCs w:val="24"/>
        </w:rPr>
      </w:pPr>
      <w:r w:rsidRPr="00991E10">
        <w:tab/>
        <w:t xml:space="preserve">ai valori dell’UE di cui all’articolo 2 del trattato sull’Unione europea e all’articolo 21 della Carta dei diritti fondamentali dell’UE; </w:t>
      </w:r>
    </w:p>
    <w:p w14:paraId="00AFAC72" w14:textId="3178AC1B" w:rsidR="00B703B7" w:rsidRPr="00991E10" w:rsidRDefault="00B703B7" w:rsidP="008B1F42">
      <w:pPr>
        <w:numPr>
          <w:ilvl w:val="0"/>
          <w:numId w:val="33"/>
        </w:numPr>
        <w:ind w:left="709" w:hanging="357"/>
        <w:jc w:val="left"/>
        <w:rPr>
          <w:rFonts w:ascii="Calibri" w:eastAsia="Calibri" w:hAnsi="Calibri" w:cs="Calibri"/>
        </w:rPr>
      </w:pPr>
      <w:r w:rsidRPr="00991E10">
        <w:t xml:space="preserve">ad altre normative dell’UE, internazionali e nazionali applicabili [compreso il regolamento generale sulla protezione dei dati (UE) </w:t>
      </w:r>
      <w:hyperlink r:id="rId39" w:history="1">
        <w:r w:rsidRPr="00991E10">
          <w:rPr>
            <w:rStyle w:val="Hyperlink"/>
          </w:rPr>
          <w:t>2016/679</w:t>
        </w:r>
      </w:hyperlink>
      <w:r w:rsidRPr="00991E10">
        <w:t>].</w:t>
      </w:r>
    </w:p>
    <w:p w14:paraId="4377E80A" w14:textId="639DAA7A" w:rsidR="00E95AAC" w:rsidRPr="00991E10" w:rsidRDefault="00E95AAC" w:rsidP="42BB08A3">
      <w:pPr>
        <w:widowControl w:val="0"/>
        <w:rPr>
          <w:rFonts w:eastAsia="Calibri"/>
          <w:color w:val="000000"/>
        </w:rPr>
      </w:pPr>
      <w:r w:rsidRPr="00991E10">
        <w:rPr>
          <w:color w:val="000000"/>
        </w:rPr>
        <w:t xml:space="preserve">I progetti devono mirare a promuovere l’integrazione della parità di genere e della non discriminazione in conformità dello </w:t>
      </w:r>
      <w:hyperlink r:id="rId40" w:history="1">
        <w:r w:rsidRPr="00991E10">
          <w:rPr>
            <w:rStyle w:val="Hyperlink"/>
          </w:rPr>
          <w:t>strumento per l’integrazione della dimensione di genere</w:t>
        </w:r>
      </w:hyperlink>
      <w:r w:rsidRPr="00991E10">
        <w:rPr>
          <w:color w:val="000000"/>
        </w:rPr>
        <w:t xml:space="preserve">. Le attività previste dal progetto dovrebbero contribuire al conferimento di responsabilità su base paritaria a uomini e donne in tutta la loro diversità, affinché possano esprimere appieno le rispettive potenzialità e godere degli stessi diritti </w:t>
      </w:r>
      <w:r w:rsidRPr="00991E10">
        <w:rPr>
          <w:i/>
          <w:iCs/>
          <w:color w:val="000000"/>
        </w:rPr>
        <w:t xml:space="preserve">(cfr. </w:t>
      </w:r>
      <w:hyperlink r:id="rId41" w:anchor=":~:text=Non-discrimination%20mainstreaming%20is%20about%20%E2%80%98placing%20equality%20considerations%20at,the%20EU-%20wide%20network%20of%20specialised%20equality%20bodies%29." w:history="1">
        <w:r w:rsidRPr="00991E10">
          <w:rPr>
            <w:rStyle w:val="Hyperlink"/>
            <w:i/>
            <w:iCs/>
          </w:rPr>
          <w:t>Non-discrimination mainstreaming instruments, case studies and ways forward</w:t>
        </w:r>
      </w:hyperlink>
      <w:r w:rsidRPr="00991E10">
        <w:rPr>
          <w:i/>
          <w:iCs/>
          <w:color w:val="000000"/>
        </w:rPr>
        <w:t>, Strumenti per l’integrazione della non discriminazione, casi di studio e strategie future)</w:t>
      </w:r>
      <w:r w:rsidRPr="00991E10">
        <w:rPr>
          <w:color w:val="000000"/>
        </w:rPr>
        <w:t>. Le attività dovrebbero altresì mirare ad abbassare i livelli di discriminazione cui sono sottoposte categorie specifiche (e quelle a rischio di discriminazioni multiple) e a migliorare i risultati in termini di parità per i singoli (</w:t>
      </w:r>
      <w:r w:rsidRPr="00991E10">
        <w:rPr>
          <w:rStyle w:val="FootnoteReference"/>
          <w:rFonts w:eastAsia="Calibri"/>
          <w:color w:val="000000"/>
          <w:lang w:val="en-IE" w:eastAsia="en-GB"/>
        </w:rPr>
        <w:footnoteReference w:id="18"/>
      </w:r>
      <w:r w:rsidRPr="00991E10">
        <w:rPr>
          <w:color w:val="000000"/>
        </w:rPr>
        <w:t xml:space="preserve">). Le proposte dovrebbero comprendere considerazioni relative al genere e alla non discriminazione e mirare a una raffigurazione equilibrata sotto il profilo del genere nei gruppi e nelle attività del progetto. È importante inoltre che i dati individuali raccolti dai beneficiari siano disaggregati, per quanto possibile, in base al sesso </w:t>
      </w:r>
      <w:r w:rsidRPr="00991E10">
        <w:rPr>
          <w:i/>
          <w:iCs/>
          <w:color w:val="000000"/>
        </w:rPr>
        <w:t>(</w:t>
      </w:r>
      <w:hyperlink r:id="rId42" w:history="1">
        <w:r w:rsidRPr="00991E10">
          <w:rPr>
            <w:rStyle w:val="Hyperlink"/>
            <w:i/>
            <w:iCs/>
          </w:rPr>
          <w:t>dati disaggregati in base al sesso</w:t>
        </w:r>
      </w:hyperlink>
      <w:r w:rsidRPr="00991E10">
        <w:rPr>
          <w:i/>
          <w:iCs/>
          <w:color w:val="000000"/>
        </w:rPr>
        <w:t>)</w:t>
      </w:r>
      <w:r w:rsidRPr="00991E10">
        <w:rPr>
          <w:color w:val="000000"/>
        </w:rPr>
        <w:t xml:space="preserve">, a eventuali disabilità o all’età. </w:t>
      </w:r>
    </w:p>
    <w:p w14:paraId="28266E90" w14:textId="10C9CFF0" w:rsidR="00E95AAC" w:rsidRPr="00991E10" w:rsidRDefault="00E95AAC" w:rsidP="42BB08A3">
      <w:pPr>
        <w:widowControl w:val="0"/>
        <w:rPr>
          <w:rFonts w:eastAsia="Calibri"/>
          <w:color w:val="000000"/>
        </w:rPr>
      </w:pPr>
      <w:r w:rsidRPr="00991E10">
        <w:t>Nella domanda i richiedenti devono dimostrare di rispettare i principi etici e i valori dell’UE di cui all’articolo 2 del trattato sull’Unione europea e all’articolo 21 della Carta dei diritti fondamentali dell’UE.</w:t>
      </w:r>
      <w:r w:rsidRPr="00991E10">
        <w:rPr>
          <w:color w:val="000000"/>
        </w:rPr>
        <w:t xml:space="preserve"> </w:t>
      </w:r>
    </w:p>
    <w:p w14:paraId="293AE190" w14:textId="32A1EE47" w:rsidR="008C58B6" w:rsidRPr="00991E10" w:rsidRDefault="008C58B6" w:rsidP="42BB08A3">
      <w:pPr>
        <w:widowControl w:val="0"/>
        <w:rPr>
          <w:rFonts w:eastAsia="Calibri"/>
          <w:color w:val="000000"/>
        </w:rPr>
      </w:pPr>
      <w:r w:rsidRPr="00991E10">
        <w:t xml:space="preserve">I partecipanti le cui attività coinvolgono minori devono altresì attuare una politica in materia di tutela degli stessi che si applichi le quattro aree descritte nelle </w:t>
      </w:r>
      <w:hyperlink r:id="rId43" w:history="1">
        <w:r w:rsidRPr="00991E10">
          <w:rPr>
            <w:rStyle w:val="Hyperlink"/>
          </w:rPr>
          <w:t>Norme sulla tutela dei minori in condizioni di sicurezza</w:t>
        </w:r>
      </w:hyperlink>
      <w:r w:rsidRPr="00991E10">
        <w:rPr>
          <w:rStyle w:val="Hyperlink"/>
          <w:color w:val="auto"/>
          <w:u w:val="none"/>
        </w:rPr>
        <w:t>.</w:t>
      </w:r>
      <w:r w:rsidRPr="00991E10">
        <w:t xml:space="preserve"> Questa politica deve essere trasparente e disponibile online per chiunque venga in contatto con l’organizzazione. Deve comprendere informazioni chiare sulle modalità di assunzione del personale (inclusi tirocinanti e volontari) e prevedere controlli dei precedenti personali (indagine di sicurezza). Inoltre, deve comprendere procedure e norme chiare per il personale, incluse le regole per la rendicontazione, e attività di formazione continua.</w:t>
      </w:r>
    </w:p>
    <w:p w14:paraId="53A471EE" w14:textId="683081E0" w:rsidR="00656CD7" w:rsidRPr="00991E10" w:rsidRDefault="007926FA" w:rsidP="000579AF">
      <w:pPr>
        <w:pStyle w:val="Heading1"/>
        <w:numPr>
          <w:ilvl w:val="0"/>
          <w:numId w:val="54"/>
        </w:numPr>
        <w:tabs>
          <w:tab w:val="left" w:pos="284"/>
        </w:tabs>
        <w:ind w:left="0" w:firstLine="0"/>
      </w:pPr>
      <w:bookmarkStart w:id="20" w:name="_Toc92965244"/>
      <w:r w:rsidRPr="00991E10">
        <w:t>Capacità finanziaria e operativa ed esclusione</w:t>
      </w:r>
      <w:bookmarkEnd w:id="20"/>
    </w:p>
    <w:p w14:paraId="66B3A3A8" w14:textId="77777777" w:rsidR="006E2A2A" w:rsidRPr="00991E10" w:rsidRDefault="006E2A2A" w:rsidP="00510B7E">
      <w:pPr>
        <w:pStyle w:val="Heading3"/>
      </w:pPr>
      <w:bookmarkStart w:id="21" w:name="_Toc92965245"/>
      <w:r w:rsidRPr="00991E10">
        <w:t>Capacità finanziaria</w:t>
      </w:r>
      <w:bookmarkEnd w:id="21"/>
    </w:p>
    <w:p w14:paraId="149A48F6" w14:textId="77777777" w:rsidR="006E2A2A" w:rsidRPr="00991E10" w:rsidRDefault="00C3565C" w:rsidP="006E2A2A">
      <w:pPr>
        <w:autoSpaceDE w:val="0"/>
        <w:autoSpaceDN w:val="0"/>
        <w:adjustRightInd w:val="0"/>
        <w:rPr>
          <w:rFonts w:cs="Verdana"/>
        </w:rPr>
      </w:pPr>
      <w:r w:rsidRPr="00991E10">
        <w:t xml:space="preserve">I richiedenti devono disporre di </w:t>
      </w:r>
      <w:r w:rsidRPr="00991E10">
        <w:rPr>
          <w:b/>
        </w:rPr>
        <w:t>risorse stabili e sufficienti</w:t>
      </w:r>
      <w:r w:rsidRPr="00991E10">
        <w:t xml:space="preserve"> per attuare con successo i progetti e contribuire con la propria quota. Le organizzazioni che partecipano a più progetti devono disporre di capacità sufficienti per attuare tutti questi progetti.</w:t>
      </w:r>
    </w:p>
    <w:p w14:paraId="7DEDD28A" w14:textId="093ED91C" w:rsidR="006E2A2A" w:rsidRPr="00991E10" w:rsidRDefault="006E2A2A" w:rsidP="006E2A2A">
      <w:pPr>
        <w:autoSpaceDE w:val="0"/>
        <w:autoSpaceDN w:val="0"/>
        <w:adjustRightInd w:val="0"/>
        <w:rPr>
          <w:rFonts w:cs="Verdana"/>
        </w:rPr>
      </w:pPr>
      <w:r w:rsidRPr="00991E10">
        <w:rPr>
          <w:color w:val="000000"/>
        </w:rPr>
        <w:t xml:space="preserve">Il controllo della capacità finanziaria sarà effettuato sulla base dei documenti da caricare nel </w:t>
      </w:r>
      <w:hyperlink r:id="rId44" w:history="1">
        <w:r w:rsidRPr="00991E10">
          <w:rPr>
            <w:rStyle w:val="Hyperlink"/>
          </w:rPr>
          <w:t>registro dei partecipanti</w:t>
        </w:r>
      </w:hyperlink>
      <w:r w:rsidRPr="00991E10">
        <w:rPr>
          <w:color w:val="000000"/>
        </w:rPr>
        <w:t xml:space="preserve"> durante la preparazione della sovvenzione </w:t>
      </w:r>
      <w:r w:rsidRPr="00991E10">
        <w:rPr>
          <w:i/>
          <w:color w:val="000000"/>
        </w:rPr>
        <w:t xml:space="preserve">(ad esempio </w:t>
      </w:r>
      <w:r w:rsidRPr="00991E10">
        <w:rPr>
          <w:i/>
        </w:rPr>
        <w:t>conto profitti e perdite e stato patrimoniale, piano economico, relazione di audit elaborata da un revisore dei conti esterno autorizzato, certificazione dei conti dell’ultimo esercizio finanziario chiuso ecc.)</w:t>
      </w:r>
      <w:r w:rsidRPr="00991E10">
        <w:t>. L’analisi si baserà su indicatori finanziari neutri, ma terrà conto anche di altri aspetti, quali la dipendenza dai finanziamenti dell’UE, il disavanzo e le entrate degli anni precedenti.</w:t>
      </w:r>
    </w:p>
    <w:p w14:paraId="27B2FBC9" w14:textId="77777777" w:rsidR="006E2A2A" w:rsidRPr="00991E10" w:rsidRDefault="00736C6F" w:rsidP="006E2A2A">
      <w:pPr>
        <w:autoSpaceDE w:val="0"/>
        <w:autoSpaceDN w:val="0"/>
        <w:adjustRightInd w:val="0"/>
        <w:spacing w:after="120"/>
        <w:rPr>
          <w:rFonts w:cs="Verdana"/>
        </w:rPr>
      </w:pPr>
      <w:r w:rsidRPr="00991E10">
        <w:t xml:space="preserve">Il controllo sarà effettuato di norma per tutti i beneficiari, tranne nei seguenti casi: </w:t>
      </w:r>
    </w:p>
    <w:p w14:paraId="1872070B" w14:textId="6F724904" w:rsidR="006E2A2A" w:rsidRPr="00991E10" w:rsidRDefault="006E2A2A" w:rsidP="008B1F42">
      <w:pPr>
        <w:widowControl w:val="0"/>
        <w:numPr>
          <w:ilvl w:val="0"/>
          <w:numId w:val="34"/>
        </w:numPr>
        <w:spacing w:after="120"/>
        <w:ind w:left="709"/>
        <w:jc w:val="left"/>
        <w:rPr>
          <w:rFonts w:cs="Verdana"/>
        </w:rPr>
      </w:pPr>
      <w:r w:rsidRPr="00991E10">
        <w:t>organismi pubblici (entità istituite come organismi pubblici a norma del diritto nazionale, comprese le autorità locali, regionali o nazionali) o organizzazioni internazionali;</w:t>
      </w:r>
    </w:p>
    <w:p w14:paraId="6984ED3C" w14:textId="77777777" w:rsidR="006E2A2A" w:rsidRPr="00991E10" w:rsidRDefault="006E2A2A" w:rsidP="008B1F42">
      <w:pPr>
        <w:widowControl w:val="0"/>
        <w:numPr>
          <w:ilvl w:val="0"/>
          <w:numId w:val="34"/>
        </w:numPr>
        <w:ind w:left="709" w:hanging="357"/>
        <w:rPr>
          <w:rFonts w:cs="Verdana"/>
        </w:rPr>
      </w:pPr>
      <w:r w:rsidRPr="00991E10">
        <w:t>se l’importo della sovvenzione individuale richiesta non supera 60 000 EUR.</w:t>
      </w:r>
    </w:p>
    <w:p w14:paraId="2B8E1880" w14:textId="77777777" w:rsidR="008D31F6" w:rsidRPr="00991E10" w:rsidRDefault="008D31F6" w:rsidP="008D31F6">
      <w:pPr>
        <w:autoSpaceDE w:val="0"/>
        <w:autoSpaceDN w:val="0"/>
        <w:adjustRightInd w:val="0"/>
        <w:rPr>
          <w:rFonts w:cs="Verdana"/>
        </w:rPr>
      </w:pPr>
      <w:r w:rsidRPr="00991E10">
        <w:t>Laddove necessario, il controllo può essere effettuato anche per le entità affiliate.</w:t>
      </w:r>
    </w:p>
    <w:p w14:paraId="054EAA17" w14:textId="77777777" w:rsidR="006E2A2A" w:rsidRPr="00991E10" w:rsidRDefault="006E2A2A" w:rsidP="006E2A2A">
      <w:pPr>
        <w:autoSpaceDE w:val="0"/>
        <w:autoSpaceDN w:val="0"/>
        <w:adjustRightInd w:val="0"/>
        <w:spacing w:after="120"/>
        <w:rPr>
          <w:rFonts w:cs="Verdana"/>
        </w:rPr>
      </w:pPr>
      <w:r w:rsidRPr="00991E10">
        <w:t>Se l’EACEA ritiene che la capacità finanziaria non sia soddisfacente, potrebbe richiedere:</w:t>
      </w:r>
    </w:p>
    <w:p w14:paraId="35DFE1B0" w14:textId="77777777" w:rsidR="006E2A2A" w:rsidRPr="00991E10" w:rsidRDefault="006E2A2A" w:rsidP="008B1F42">
      <w:pPr>
        <w:widowControl w:val="0"/>
        <w:numPr>
          <w:ilvl w:val="0"/>
          <w:numId w:val="35"/>
        </w:numPr>
        <w:spacing w:after="120"/>
        <w:jc w:val="left"/>
        <w:rPr>
          <w:rFonts w:cs="Verdana"/>
        </w:rPr>
      </w:pPr>
      <w:r w:rsidRPr="00991E10">
        <w:t>ulteriori informazioni;</w:t>
      </w:r>
    </w:p>
    <w:p w14:paraId="68E1F2A7" w14:textId="77777777" w:rsidR="006E2A2A" w:rsidRPr="00991E10" w:rsidRDefault="006E2A2A" w:rsidP="008B1F42">
      <w:pPr>
        <w:widowControl w:val="0"/>
        <w:numPr>
          <w:ilvl w:val="0"/>
          <w:numId w:val="35"/>
        </w:numPr>
        <w:spacing w:after="120"/>
        <w:jc w:val="left"/>
        <w:rPr>
          <w:rFonts w:cs="Verdana"/>
        </w:rPr>
      </w:pPr>
      <w:r w:rsidRPr="00991E10">
        <w:t xml:space="preserve">un regime di responsabilità finanziaria rafforzata, ossia la responsabilità in solido di tutti i beneficiari o la responsabilità in solido delle entità affiliate </w:t>
      </w:r>
      <w:r w:rsidRPr="00991E10">
        <w:rPr>
          <w:i/>
        </w:rPr>
        <w:t>(cfr. di seguito la sezione 10)</w:t>
      </w:r>
      <w:r w:rsidRPr="00991E10">
        <w:t>;</w:t>
      </w:r>
    </w:p>
    <w:p w14:paraId="3F26E914" w14:textId="77777777" w:rsidR="006E2A2A" w:rsidRPr="00991E10" w:rsidRDefault="006E2A2A" w:rsidP="008B1F42">
      <w:pPr>
        <w:widowControl w:val="0"/>
        <w:numPr>
          <w:ilvl w:val="0"/>
          <w:numId w:val="35"/>
        </w:numPr>
        <w:spacing w:after="120"/>
        <w:jc w:val="left"/>
        <w:rPr>
          <w:rFonts w:cs="Verdana"/>
        </w:rPr>
      </w:pPr>
      <w:r w:rsidRPr="00991E10">
        <w:lastRenderedPageBreak/>
        <w:t xml:space="preserve">il versamento rateale del prefinanziamento; </w:t>
      </w:r>
    </w:p>
    <w:p w14:paraId="52C87A22" w14:textId="77777777" w:rsidR="006E2A2A" w:rsidRPr="00991E10" w:rsidRDefault="006E2A2A" w:rsidP="008B1F42">
      <w:pPr>
        <w:widowControl w:val="0"/>
        <w:numPr>
          <w:ilvl w:val="0"/>
          <w:numId w:val="35"/>
        </w:numPr>
        <w:spacing w:after="120"/>
        <w:jc w:val="left"/>
        <w:rPr>
          <w:rFonts w:cs="Verdana"/>
        </w:rPr>
      </w:pPr>
      <w:r w:rsidRPr="00991E10">
        <w:t xml:space="preserve">(una o più) garanzie di prefinanziamento </w:t>
      </w:r>
      <w:r w:rsidRPr="00991E10">
        <w:rPr>
          <w:i/>
        </w:rPr>
        <w:t>(cfr. di seguito la sezione 10)</w:t>
      </w:r>
    </w:p>
    <w:p w14:paraId="70024A55" w14:textId="77777777" w:rsidR="006E2A2A" w:rsidRPr="00991E10" w:rsidRDefault="006E2A2A" w:rsidP="006526A5">
      <w:pPr>
        <w:autoSpaceDE w:val="0"/>
        <w:autoSpaceDN w:val="0"/>
        <w:adjustRightInd w:val="0"/>
        <w:spacing w:after="120"/>
        <w:ind w:left="360"/>
        <w:rPr>
          <w:rFonts w:cs="Verdana"/>
        </w:rPr>
      </w:pPr>
      <w:r w:rsidRPr="00991E10">
        <w:t>oppure potrebbe</w:t>
      </w:r>
    </w:p>
    <w:p w14:paraId="22EA92DF" w14:textId="77777777" w:rsidR="006E2A2A" w:rsidRPr="00991E10" w:rsidRDefault="00F82473" w:rsidP="008B1F42">
      <w:pPr>
        <w:widowControl w:val="0"/>
        <w:numPr>
          <w:ilvl w:val="0"/>
          <w:numId w:val="35"/>
        </w:numPr>
        <w:spacing w:after="120"/>
        <w:jc w:val="left"/>
        <w:rPr>
          <w:rFonts w:cs="Verdana"/>
        </w:rPr>
      </w:pPr>
      <w:r w:rsidRPr="00991E10">
        <w:t>proporre che non sia concesso alcun prefinanziamento;</w:t>
      </w:r>
    </w:p>
    <w:p w14:paraId="1C112F62" w14:textId="77777777" w:rsidR="004872A5" w:rsidRPr="00991E10" w:rsidRDefault="00F82473" w:rsidP="008B1F42">
      <w:pPr>
        <w:widowControl w:val="0"/>
        <w:numPr>
          <w:ilvl w:val="0"/>
          <w:numId w:val="35"/>
        </w:numPr>
        <w:ind w:left="714" w:hanging="357"/>
        <w:jc w:val="left"/>
        <w:rPr>
          <w:rFonts w:cs="Verdana"/>
        </w:rPr>
      </w:pPr>
      <w:r w:rsidRPr="00991E10">
        <w:t>chiedere una sostituzione o, se necessario, respingere l’intera proposta.</w:t>
      </w:r>
    </w:p>
    <w:p w14:paraId="51C2ADF5" w14:textId="4B1BCD4E" w:rsidR="004872A5" w:rsidRPr="00991E10" w:rsidRDefault="005A3754" w:rsidP="004872A5">
      <w:pPr>
        <w:autoSpaceDE w:val="0"/>
        <w:autoSpaceDN w:val="0"/>
        <w:adjustRightInd w:val="0"/>
        <w:rPr>
          <w:rFonts w:cs="Verdana"/>
        </w:rPr>
      </w:pPr>
      <w:r w:rsidRPr="00991E10">
        <w:rPr>
          <w:noProof/>
          <w:lang w:val="en-IE" w:eastAsia="en-IE"/>
        </w:rPr>
        <w:drawing>
          <wp:inline distT="0" distB="0" distL="0" distR="0" wp14:anchorId="3DE171D9" wp14:editId="51BBA326">
            <wp:extent cx="187960" cy="187960"/>
            <wp:effectExtent l="0" t="0" r="0" b="0"/>
            <wp:docPr id="8" name="Picture 670183101" title="Title: Title: Title: https://lh5.googleusercontent.com/-n5VVWXljoCs/T8X1egaB-BI/AAAAAAAAC1I/fLBP4VIzxQM/s16/infoIcon_blu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0183101" name="Picture 670183101" title="Title: Title: Title: https://lh5.googleusercontent.com/-n5VVWXljoCs/T8X1egaB-BI/AAAAAAAAC1I/fLBP4VIzxQM/s16/infoIcon_blue.png"/>
                    <pic:cNvPicPr/>
                  </pic:nvPicPr>
                  <pic:blipFill>
                    <a:blip r:embed="rId31">
                      <a:extLst>
                        <a:ext uri="{28A0092B-C50C-407E-A947-70E740481C1C}">
                          <a14:useLocalDpi xmlns:a14="http://schemas.microsoft.com/office/drawing/2010/main" val="0"/>
                        </a:ext>
                      </a:extLst>
                    </a:blip>
                    <a:stretch>
                      <a:fillRect/>
                    </a:stretch>
                  </pic:blipFill>
                  <pic:spPr>
                    <a:xfrm>
                      <a:off x="0" y="0"/>
                      <a:ext cx="187960" cy="187960"/>
                    </a:xfrm>
                    <a:prstGeom prst="rect">
                      <a:avLst/>
                    </a:prstGeom>
                  </pic:spPr>
                </pic:pic>
              </a:graphicData>
            </a:graphic>
          </wp:inline>
        </w:drawing>
      </w:r>
      <w:r w:rsidRPr="00991E10">
        <w:t xml:space="preserve"> Per maggiori informazioni </w:t>
      </w:r>
      <w:r w:rsidRPr="00991E10">
        <w:rPr>
          <w:i/>
          <w:iCs/>
        </w:rPr>
        <w:t xml:space="preserve">cfr. le </w:t>
      </w:r>
      <w:hyperlink r:id="rId45">
        <w:r w:rsidRPr="00991E10">
          <w:rPr>
            <w:rStyle w:val="Hyperlink"/>
            <w:i/>
            <w:iCs/>
          </w:rPr>
          <w:t>Norme per la convalida del soggetto giuridico, la nomina del LEAR e la valutazione della capacità finanziaria</w:t>
        </w:r>
      </w:hyperlink>
      <w:r w:rsidRPr="00991E10">
        <w:t xml:space="preserve">. </w:t>
      </w:r>
    </w:p>
    <w:p w14:paraId="3ACB9AAA" w14:textId="77777777" w:rsidR="006E2A2A" w:rsidRPr="00991E10" w:rsidRDefault="006E2A2A" w:rsidP="00510B7E">
      <w:pPr>
        <w:pStyle w:val="Heading3"/>
      </w:pPr>
      <w:bookmarkStart w:id="22" w:name="_Toc92965246"/>
      <w:r w:rsidRPr="00991E10">
        <w:t>Capacità operativa</w:t>
      </w:r>
      <w:bookmarkEnd w:id="22"/>
    </w:p>
    <w:p w14:paraId="2FF93796" w14:textId="77777777" w:rsidR="006E2A2A" w:rsidRPr="00991E10" w:rsidRDefault="00C3565C" w:rsidP="006E2A2A">
      <w:pPr>
        <w:pStyle w:val="Text3"/>
        <w:ind w:left="0"/>
      </w:pPr>
      <w:r w:rsidRPr="00991E10">
        <w:t xml:space="preserve">I candidati devono possedere </w:t>
      </w:r>
      <w:r w:rsidRPr="00991E10">
        <w:rPr>
          <w:b/>
          <w:bCs/>
        </w:rPr>
        <w:t xml:space="preserve">le competenze, le qualifiche </w:t>
      </w:r>
      <w:r w:rsidRPr="00991E10">
        <w:t xml:space="preserve">e </w:t>
      </w:r>
      <w:r w:rsidRPr="00991E10">
        <w:rPr>
          <w:b/>
          <w:bCs/>
        </w:rPr>
        <w:t>le risorse</w:t>
      </w:r>
      <w:r w:rsidRPr="00991E10">
        <w:t xml:space="preserve"> necessarie per attuare con esito positivo i progetti e contribuire con la loro quota (compresa un’esperienza sufficiente in progetti di dimensioni e natura comparabili). </w:t>
      </w:r>
    </w:p>
    <w:p w14:paraId="2201BC88" w14:textId="782EDE19" w:rsidR="00ED6A73" w:rsidRPr="00991E10" w:rsidRDefault="00B63826" w:rsidP="00B63826">
      <w:pPr>
        <w:pStyle w:val="Text3"/>
        <w:ind w:left="0"/>
      </w:pPr>
      <w:r w:rsidRPr="00991E10">
        <w:t xml:space="preserve">Tale capacità sarà valutata insieme al criterio di aggiudicazione «Qualità» sulla base delle competenze e dell’esperienza dei richiedenti e delle loro squadre di progetto, comprese le risorse operative (umane, tecniche e di altro tipo) o, in via eccezionale, le misure proposte per conseguire tale capacità entro l’inizio dell’esecuzione dei compiti. </w:t>
      </w:r>
    </w:p>
    <w:p w14:paraId="4FA70017" w14:textId="4406A1FB" w:rsidR="00B63826" w:rsidRPr="00991E10" w:rsidRDefault="00B63826" w:rsidP="00B63826">
      <w:pPr>
        <w:pStyle w:val="Text3"/>
        <w:ind w:left="0"/>
        <w:rPr>
          <w:iCs/>
        </w:rPr>
      </w:pPr>
      <w:r w:rsidRPr="00991E10">
        <w:t xml:space="preserve">Se la valutazione del criterio di aggiudicazione è positiva, si ritiene che i richiedenti dispongano di sufficiente capacità operativa. </w:t>
      </w:r>
    </w:p>
    <w:p w14:paraId="100BC74F" w14:textId="210545B4" w:rsidR="006E2A2A" w:rsidRPr="00991E10" w:rsidRDefault="006E2A2A" w:rsidP="006E2A2A">
      <w:pPr>
        <w:pStyle w:val="Text3"/>
        <w:spacing w:after="120"/>
        <w:ind w:left="0"/>
        <w:rPr>
          <w:iCs/>
        </w:rPr>
      </w:pPr>
      <w:r w:rsidRPr="00991E10">
        <w:t>I richiedenti dovranno dar prova della propria capacità fornendo le seguenti informazioni:</w:t>
      </w:r>
    </w:p>
    <w:p w14:paraId="2EE9C956" w14:textId="77777777" w:rsidR="006E2A2A" w:rsidRPr="00991E10" w:rsidRDefault="006E2A2A" w:rsidP="008B1F42">
      <w:pPr>
        <w:widowControl w:val="0"/>
        <w:numPr>
          <w:ilvl w:val="0"/>
          <w:numId w:val="39"/>
        </w:numPr>
        <w:spacing w:after="120"/>
        <w:ind w:left="709"/>
        <w:rPr>
          <w:iCs/>
        </w:rPr>
      </w:pPr>
      <w:r w:rsidRPr="00991E10">
        <w:t>profili generali (qualifiche ed esperienze) del personale responsabile della gestione e attuazione del progetto;</w:t>
      </w:r>
    </w:p>
    <w:p w14:paraId="59DDC574" w14:textId="11BA162A" w:rsidR="006E2A2A" w:rsidRPr="00991E10" w:rsidRDefault="003D41B5" w:rsidP="008B1F42">
      <w:pPr>
        <w:widowControl w:val="0"/>
        <w:numPr>
          <w:ilvl w:val="0"/>
          <w:numId w:val="39"/>
        </w:numPr>
        <w:spacing w:after="120"/>
        <w:ind w:left="709"/>
        <w:jc w:val="left"/>
        <w:rPr>
          <w:iCs/>
        </w:rPr>
      </w:pPr>
      <w:r w:rsidRPr="00991E10">
        <w:t>descrizione dei partecipanti al consorzio (se del caso);</w:t>
      </w:r>
    </w:p>
    <w:p w14:paraId="636FD13C" w14:textId="34E49CF9" w:rsidR="0091480A" w:rsidRPr="00991E10" w:rsidRDefault="009F0186" w:rsidP="008B1F42">
      <w:pPr>
        <w:widowControl w:val="0"/>
        <w:numPr>
          <w:ilvl w:val="0"/>
          <w:numId w:val="39"/>
        </w:numPr>
        <w:spacing w:after="120"/>
        <w:ind w:left="709"/>
        <w:jc w:val="left"/>
        <w:rPr>
          <w:iCs/>
        </w:rPr>
      </w:pPr>
      <w:r w:rsidRPr="00991E10">
        <w:t>elenco di progetti precedenti (progetti principali degli ultimi quattro anni).</w:t>
      </w:r>
    </w:p>
    <w:p w14:paraId="4146F9AB" w14:textId="77777777" w:rsidR="00500DB3" w:rsidRPr="00991E10" w:rsidRDefault="00FD4F03" w:rsidP="006E2A2A">
      <w:pPr>
        <w:pStyle w:val="Text3"/>
        <w:ind w:left="0"/>
        <w:rPr>
          <w:iCs/>
        </w:rPr>
      </w:pPr>
      <w:r w:rsidRPr="00991E10">
        <w:t>Possono essere richiesti ulteriori documenti giustificativi, se necessari per confermare la capacità operativa di un richiedente.</w:t>
      </w:r>
    </w:p>
    <w:p w14:paraId="5AE4F088" w14:textId="4829F045" w:rsidR="006E2A2A" w:rsidRPr="00991E10" w:rsidRDefault="006E2A2A" w:rsidP="006E2A2A">
      <w:pPr>
        <w:pStyle w:val="Text3"/>
        <w:ind w:left="0"/>
        <w:rPr>
          <w:iCs/>
        </w:rPr>
      </w:pPr>
      <w:r w:rsidRPr="00991E10">
        <w:t xml:space="preserve">Gli organismi pubblici, le organizzazioni degli Stati membri e le organizzazioni internazionali sono esonerati dal controllo della capacità operativa. </w:t>
      </w:r>
    </w:p>
    <w:p w14:paraId="66520A48" w14:textId="77777777" w:rsidR="00276AD7" w:rsidRPr="00991E10" w:rsidRDefault="00267836" w:rsidP="00510B7E">
      <w:pPr>
        <w:pStyle w:val="Heading3"/>
      </w:pPr>
      <w:bookmarkStart w:id="23" w:name="_Toc92965247"/>
      <w:r w:rsidRPr="00991E10">
        <w:t>Esclusione</w:t>
      </w:r>
      <w:bookmarkEnd w:id="23"/>
    </w:p>
    <w:p w14:paraId="746153C7" w14:textId="77777777" w:rsidR="00267836" w:rsidRPr="00991E10" w:rsidRDefault="0030065F" w:rsidP="002B5DFF">
      <w:pPr>
        <w:pStyle w:val="Text1"/>
        <w:spacing w:after="120"/>
        <w:ind w:left="0"/>
        <w:rPr>
          <w:rFonts w:eastAsia="Calibri"/>
        </w:rPr>
      </w:pPr>
      <w:r w:rsidRPr="00991E10">
        <w:t xml:space="preserve">NON possono partecipare i richiedenti che sono soggetti a una </w:t>
      </w:r>
      <w:r w:rsidRPr="00991E10">
        <w:rPr>
          <w:b/>
        </w:rPr>
        <w:t xml:space="preserve">decisione di esclusione dell’UE </w:t>
      </w:r>
      <w:r w:rsidRPr="00991E10">
        <w:t xml:space="preserve">o che si trovano in una delle seguenti </w:t>
      </w:r>
      <w:r w:rsidRPr="00991E10">
        <w:rPr>
          <w:b/>
        </w:rPr>
        <w:t>situazioni di esclusione</w:t>
      </w:r>
      <w:r w:rsidRPr="00991E10">
        <w:t xml:space="preserve"> che vietano loro di ricevere finanziamenti dell’UE (</w:t>
      </w:r>
      <w:r w:rsidR="005124D8" w:rsidRPr="00991E10">
        <w:rPr>
          <w:rFonts w:eastAsia="SimSun"/>
          <w:vertAlign w:val="superscript"/>
        </w:rPr>
        <w:footnoteReference w:id="19"/>
      </w:r>
      <w:r w:rsidRPr="00991E10">
        <w:t>):</w:t>
      </w:r>
    </w:p>
    <w:p w14:paraId="7DBEE11E" w14:textId="77777777" w:rsidR="00267836" w:rsidRPr="00991E10" w:rsidRDefault="00267836" w:rsidP="00584316">
      <w:pPr>
        <w:numPr>
          <w:ilvl w:val="3"/>
          <w:numId w:val="19"/>
        </w:numPr>
        <w:snapToGrid w:val="0"/>
        <w:spacing w:after="120"/>
        <w:ind w:left="709"/>
        <w:rPr>
          <w:rFonts w:eastAsia="Calibri"/>
        </w:rPr>
      </w:pPr>
      <w:r w:rsidRPr="00991E10">
        <w:t>sono in stato di fallimento, liquidazione, amministrazione controllata, concordato preventivo, sospensione dell’attività o altre procedure analoghe (comprese le procedure per le persone con responsabilità illimitata per i debiti del richiedente);</w:t>
      </w:r>
    </w:p>
    <w:p w14:paraId="1ECF36A2" w14:textId="77777777" w:rsidR="00267836" w:rsidRPr="00991E10" w:rsidRDefault="00267836" w:rsidP="00584316">
      <w:pPr>
        <w:numPr>
          <w:ilvl w:val="2"/>
          <w:numId w:val="20"/>
        </w:numPr>
        <w:snapToGrid w:val="0"/>
        <w:spacing w:after="120"/>
        <w:ind w:left="709"/>
        <w:rPr>
          <w:rFonts w:eastAsia="Calibri"/>
        </w:rPr>
      </w:pPr>
      <w:r w:rsidRPr="00991E10">
        <w:t>hanno violato gli obblighi relativi al pagamento dei contributi previdenziali e assistenziali o al pagamento di imposte e tasse (anche se la violazione è stata commessa da persone con responsabilità illimitata per i debiti del richiedente);</w:t>
      </w:r>
    </w:p>
    <w:p w14:paraId="0E6FACB6" w14:textId="32F9B49C" w:rsidR="00267836" w:rsidRPr="00991E10" w:rsidRDefault="00267836" w:rsidP="00584316">
      <w:pPr>
        <w:numPr>
          <w:ilvl w:val="2"/>
          <w:numId w:val="20"/>
        </w:numPr>
        <w:snapToGrid w:val="0"/>
        <w:spacing w:after="120"/>
        <w:ind w:left="709"/>
        <w:rPr>
          <w:rFonts w:eastAsia="Calibri"/>
        </w:rPr>
      </w:pPr>
      <w:r w:rsidRPr="00991E10">
        <w:lastRenderedPageBreak/>
        <w:t>si sono resi colpevoli di gravi illeciti professionali (</w:t>
      </w:r>
      <w:r w:rsidRPr="00991E10">
        <w:rPr>
          <w:rFonts w:eastAsia="Calibri"/>
          <w:vertAlign w:val="superscript"/>
          <w:lang w:eastAsia="zh-CN"/>
        </w:rPr>
        <w:footnoteReference w:id="20"/>
      </w:r>
      <w:r w:rsidRPr="00991E10">
        <w:t xml:space="preserve">) (anche se commessi da persone aventi mandato di rappresentanza, di decisione o di controllo, beneficiari effettivi o persone che sono essenziali per la concessione/l’attuazione della sovvenzione); </w:t>
      </w:r>
    </w:p>
    <w:p w14:paraId="0465AD17" w14:textId="74F042D4" w:rsidR="00267836" w:rsidRPr="00991E10" w:rsidRDefault="00FE58D1" w:rsidP="00584316">
      <w:pPr>
        <w:numPr>
          <w:ilvl w:val="2"/>
          <w:numId w:val="20"/>
        </w:numPr>
        <w:snapToGrid w:val="0"/>
        <w:spacing w:after="120"/>
        <w:ind w:left="709"/>
        <w:rPr>
          <w:rFonts w:eastAsia="Calibri"/>
        </w:rPr>
      </w:pPr>
      <w:r w:rsidRPr="00991E10">
        <w:t>si sono resi colpevoli di frode, corruzione, legami con un’organizzazione criminale, riciclaggio di denaro, reati connessi al terrorismo (compreso il relativo finanziamento), lavoro minorile o tratta di esseri umani (anche se commessi da persone aventi mandato di rappresentanza, di decisione o di controllo, beneficiari effettivi o persone che sono essenziali per la concessione/l’attuazione della sovvenzione);</w:t>
      </w:r>
    </w:p>
    <w:p w14:paraId="4BAE0C78" w14:textId="1064C024" w:rsidR="00267836" w:rsidRPr="00991E10" w:rsidRDefault="00267836" w:rsidP="00584316">
      <w:pPr>
        <w:numPr>
          <w:ilvl w:val="1"/>
          <w:numId w:val="19"/>
        </w:numPr>
        <w:snapToGrid w:val="0"/>
        <w:spacing w:after="120"/>
        <w:ind w:left="709" w:hanging="357"/>
        <w:rPr>
          <w:rFonts w:eastAsia="Calibri"/>
        </w:rPr>
      </w:pPr>
      <w:r w:rsidRPr="00991E10">
        <w:t>hanno mostrato significative carenze nell’adempimento dei principali obblighi previsti da un contratto di appalto, una convenzione di sovvenzione, un premio, un contratto di esperti o simili dell’UE (anche se tali carenze sono ascrivibili a persone aventi mandato di rappresentanza, di decisione o di controllo, beneficiari effettivi o persone che sono essenziali per la concessione/l’attuazione della sovvenzione);</w:t>
      </w:r>
    </w:p>
    <w:p w14:paraId="6F212B83" w14:textId="04A003C7" w:rsidR="00E94DFF" w:rsidRPr="00991E10" w:rsidRDefault="00267836" w:rsidP="00584316">
      <w:pPr>
        <w:numPr>
          <w:ilvl w:val="1"/>
          <w:numId w:val="19"/>
        </w:numPr>
        <w:snapToGrid w:val="0"/>
        <w:ind w:left="709" w:hanging="357"/>
        <w:rPr>
          <w:rFonts w:eastAsia="Calibri"/>
        </w:rPr>
      </w:pPr>
      <w:r w:rsidRPr="00991E10">
        <w:t>hanno commesso irregolarità ai sensi dell’articolo 1, paragrafo 2, del regolamento (CE) n. </w:t>
      </w:r>
      <w:hyperlink r:id="rId46" w:history="1">
        <w:r w:rsidRPr="00991E10">
          <w:rPr>
            <w:rStyle w:val="Hyperlink"/>
          </w:rPr>
          <w:t>2988/95</w:t>
        </w:r>
      </w:hyperlink>
      <w:r w:rsidRPr="00991E10">
        <w:t xml:space="preserve"> (anche se commesse da persone aventi mandato di rappresentanza, di decisione o di controllo, beneficiari effettivi o persone che sono essenziali per la concessione/l’attuazione della sovvenzione);</w:t>
      </w:r>
    </w:p>
    <w:p w14:paraId="668F2B36" w14:textId="65F190E1" w:rsidR="00276AD7" w:rsidRPr="00991E10" w:rsidRDefault="00E94DFF" w:rsidP="00584316">
      <w:pPr>
        <w:numPr>
          <w:ilvl w:val="1"/>
          <w:numId w:val="19"/>
        </w:numPr>
        <w:snapToGrid w:val="0"/>
        <w:ind w:left="709" w:hanging="357"/>
        <w:rPr>
          <w:rFonts w:eastAsia="Calibri"/>
        </w:rPr>
      </w:pPr>
      <w:r w:rsidRPr="00991E10">
        <w:t>si sono costituiti in entità in una giurisdizione diversa con l’intento di eludere obblighi fiscali, sociali o altri obblighi giuridici nel paese di origine o hanno creato un’altra entità a tal fine (anche nel caso di persone aventi mandato di rappresentanza, di decisione o di controllo, beneficiari effettivi o persone che sono essenziali per la concessione/l’attuazione della sovvenzione).</w:t>
      </w:r>
    </w:p>
    <w:p w14:paraId="1D79A2BE" w14:textId="77777777" w:rsidR="000844D0" w:rsidRPr="00991E10" w:rsidRDefault="000844D0" w:rsidP="00F81E91">
      <w:pPr>
        <w:snapToGrid w:val="0"/>
      </w:pPr>
      <w:r w:rsidRPr="00991E10">
        <w:t>I richiedenti saranno inoltre respinti se risulta che (</w:t>
      </w:r>
      <w:r w:rsidR="00C9027A" w:rsidRPr="00991E10">
        <w:rPr>
          <w:rStyle w:val="FootnoteReference"/>
          <w:rFonts w:eastAsia="Calibri"/>
          <w:lang w:eastAsia="zh-CN"/>
        </w:rPr>
        <w:footnoteReference w:id="21"/>
      </w:r>
      <w:r w:rsidRPr="00991E10">
        <w:t xml:space="preserve">): </w:t>
      </w:r>
    </w:p>
    <w:p w14:paraId="6555470F" w14:textId="77777777" w:rsidR="000844D0" w:rsidRPr="00991E10" w:rsidRDefault="00B7081A" w:rsidP="00584316">
      <w:pPr>
        <w:pStyle w:val="Default"/>
        <w:numPr>
          <w:ilvl w:val="0"/>
          <w:numId w:val="21"/>
        </w:numPr>
        <w:spacing w:after="200"/>
        <w:jc w:val="both"/>
        <w:rPr>
          <w:rFonts w:ascii="Verdana" w:hAnsi="Verdana"/>
          <w:sz w:val="20"/>
          <w:szCs w:val="20"/>
        </w:rPr>
      </w:pPr>
      <w:r w:rsidRPr="00991E10">
        <w:rPr>
          <w:rFonts w:ascii="Verdana" w:hAnsi="Verdana"/>
          <w:sz w:val="20"/>
          <w:szCs w:val="20"/>
        </w:rPr>
        <w:t xml:space="preserve">durante la procedura di aggiudicazione hanno presentato in modo erroneo le informazioni richieste come condizione per partecipare o non hanno fornito tali informazioni; </w:t>
      </w:r>
    </w:p>
    <w:p w14:paraId="1393E75D" w14:textId="77777777" w:rsidR="00C93C87" w:rsidRPr="00991E10" w:rsidRDefault="00B7081A" w:rsidP="00584316">
      <w:pPr>
        <w:pStyle w:val="Default"/>
        <w:numPr>
          <w:ilvl w:val="0"/>
          <w:numId w:val="21"/>
        </w:numPr>
        <w:spacing w:after="200"/>
        <w:jc w:val="both"/>
        <w:rPr>
          <w:rFonts w:ascii="Verdana" w:hAnsi="Verdana"/>
          <w:sz w:val="20"/>
          <w:szCs w:val="20"/>
        </w:rPr>
      </w:pPr>
      <w:r w:rsidRPr="00991E10">
        <w:rPr>
          <w:rFonts w:ascii="Verdana" w:hAnsi="Verdana"/>
          <w:sz w:val="20"/>
          <w:szCs w:val="20"/>
        </w:rPr>
        <w:t>in precedenza hanno partecipato alla preparazione dell’invito laddove ciò comporti una distorsione della concorrenza che non può essere altrimenti sanata (conflitto di interessi).</w:t>
      </w:r>
    </w:p>
    <w:p w14:paraId="52FA627E" w14:textId="6564E345" w:rsidR="0076737E" w:rsidRPr="00991E10" w:rsidRDefault="00510B7E" w:rsidP="000579AF">
      <w:pPr>
        <w:pStyle w:val="Heading1"/>
        <w:numPr>
          <w:ilvl w:val="0"/>
          <w:numId w:val="54"/>
        </w:numPr>
        <w:tabs>
          <w:tab w:val="left" w:pos="284"/>
        </w:tabs>
        <w:ind w:left="0" w:firstLine="0"/>
      </w:pPr>
      <w:bookmarkStart w:id="24" w:name="_Toc92965248"/>
      <w:r w:rsidRPr="00991E10">
        <w:t>Procedura di valutazione e aggiudicazione</w:t>
      </w:r>
      <w:bookmarkEnd w:id="24"/>
    </w:p>
    <w:p w14:paraId="4AEDF33E" w14:textId="2A21C125" w:rsidR="001A2CE3" w:rsidRPr="00991E10" w:rsidRDefault="001E6C28" w:rsidP="001A2CE3">
      <w:r w:rsidRPr="00991E10">
        <w:t xml:space="preserve">Le proposte dovranno seguire la </w:t>
      </w:r>
      <w:r w:rsidRPr="00991E10">
        <w:rPr>
          <w:b/>
        </w:rPr>
        <w:t>procedura standard di presentazione e valutazione</w:t>
      </w:r>
      <w:r w:rsidRPr="00991E10">
        <w:t xml:space="preserve"> (presentazione in un’unica fase + valutazione in un’unica fase). </w:t>
      </w:r>
    </w:p>
    <w:p w14:paraId="1D076F53" w14:textId="1FE6714E" w:rsidR="00BD67F7" w:rsidRPr="00991E10" w:rsidRDefault="00593F0C" w:rsidP="0015357F">
      <w:r w:rsidRPr="00991E10">
        <w:t xml:space="preserve">Un </w:t>
      </w:r>
      <w:r w:rsidRPr="00991E10">
        <w:rPr>
          <w:b/>
        </w:rPr>
        <w:t>comitato di valutazione</w:t>
      </w:r>
      <w:r w:rsidRPr="00991E10">
        <w:t xml:space="preserve"> (assistito da esperti esterni indipendenti) valuterà tutte le domande. Le proposte saranno verificate innanzi tutto in base ai requisiti formali (ricevibilità e ammissibilità, </w:t>
      </w:r>
      <w:r w:rsidRPr="00991E10">
        <w:rPr>
          <w:i/>
        </w:rPr>
        <w:t>cfr. le sezioni 5 e 6</w:t>
      </w:r>
      <w:r w:rsidRPr="00991E10">
        <w:t xml:space="preserve">). Le proposte giudicate ricevibili e ammissibili saranno valutate (per ciascun tema) sulla base della capacità operativa e dei criteri di aggiudicazione </w:t>
      </w:r>
      <w:r w:rsidRPr="00991E10">
        <w:rPr>
          <w:i/>
        </w:rPr>
        <w:t>(cfr. le sezioni 7 e 9)</w:t>
      </w:r>
      <w:r w:rsidRPr="00991E10">
        <w:t xml:space="preserve"> e poi classificate a seconda del punteggio ottenuto.</w:t>
      </w:r>
    </w:p>
    <w:p w14:paraId="4BC27C4D" w14:textId="77777777" w:rsidR="00BE09D3" w:rsidRPr="00991E10" w:rsidRDefault="00500DB3" w:rsidP="00211623">
      <w:pPr>
        <w:autoSpaceDE w:val="0"/>
        <w:autoSpaceDN w:val="0"/>
        <w:adjustRightInd w:val="0"/>
        <w:rPr>
          <w:rFonts w:cs="Arial"/>
        </w:rPr>
      </w:pPr>
      <w:r w:rsidRPr="00991E10">
        <w:lastRenderedPageBreak/>
        <w:t>Per le proposte che hanno ottenuto il medesimo punteggio (nell’ambito di uno stesso tema o una stessa dotazione finanziaria) l’</w:t>
      </w:r>
      <w:r w:rsidRPr="00991E10">
        <w:rPr>
          <w:b/>
        </w:rPr>
        <w:t>ordine di priorità</w:t>
      </w:r>
      <w:r w:rsidRPr="00991E10">
        <w:t xml:space="preserve"> sarà stabilito in linea con l’approccio riportato di seguito. </w:t>
      </w:r>
    </w:p>
    <w:p w14:paraId="7F276C70" w14:textId="4CF76B9F" w:rsidR="00500DB3" w:rsidRPr="00991E10" w:rsidRDefault="00BE09D3" w:rsidP="00BD5FB0">
      <w:pPr>
        <w:autoSpaceDE w:val="0"/>
        <w:autoSpaceDN w:val="0"/>
        <w:adjustRightInd w:val="0"/>
        <w:ind w:left="284"/>
        <w:rPr>
          <w:rFonts w:cs="Arial"/>
        </w:rPr>
      </w:pPr>
      <w:r w:rsidRPr="00991E10">
        <w:t xml:space="preserve">In sequenza per ciascun gruppo di proposte ex aequo, partendo dal gruppo con il punteggio più alto e proseguendo in ordine discendente: </w:t>
      </w:r>
    </w:p>
    <w:p w14:paraId="63274A2E" w14:textId="3280FD8A" w:rsidR="00500DB3" w:rsidRPr="00991E10" w:rsidRDefault="00500DB3" w:rsidP="00584316">
      <w:pPr>
        <w:numPr>
          <w:ilvl w:val="0"/>
          <w:numId w:val="30"/>
        </w:numPr>
        <w:autoSpaceDE w:val="0"/>
        <w:autoSpaceDN w:val="0"/>
        <w:adjustRightInd w:val="0"/>
        <w:ind w:left="714" w:hanging="357"/>
        <w:rPr>
          <w:rFonts w:cs="Arial"/>
        </w:rPr>
      </w:pPr>
      <w:r w:rsidRPr="00991E10">
        <w:t xml:space="preserve">la priorità delle proposte ex aequo per lo stesso tema sarà stabilita in base ai punteggi ottenuti per il criterio di aggiudicazione «Rilevanza». Se questi punteggi sono uguali, la priorità farà riferimento ai punteggi per il criterio «Qualità». Se questi punteggi sono uguali, la priorità farà riferimento ai punteggi per il criterio «Effetti». </w:t>
      </w:r>
    </w:p>
    <w:p w14:paraId="309BB099" w14:textId="0A549492" w:rsidR="00A53E20" w:rsidRPr="00991E10" w:rsidRDefault="00510B7E" w:rsidP="00A32077">
      <w:pPr>
        <w:shd w:val="clear" w:color="auto" w:fill="FFFFFF"/>
      </w:pPr>
      <w:r w:rsidRPr="00991E10">
        <w:t>Tutti i proponenti saranno informati dell’esito della valutazione (</w:t>
      </w:r>
      <w:r w:rsidRPr="00991E10">
        <w:rPr>
          <w:b/>
          <w:bCs/>
        </w:rPr>
        <w:t>lettera di notifica dei risultati della valutazione</w:t>
      </w:r>
      <w:r w:rsidRPr="00991E10">
        <w:t xml:space="preserve">). I proponenti che hanno presentato le proposte selezionate saranno invitati alla fase di preparazione delle sovvenzioni; le altre proposte saranno inserite nell’elenco di riserva o respinte. </w:t>
      </w:r>
    </w:p>
    <w:p w14:paraId="300D5057" w14:textId="45043F45" w:rsidR="006004D2" w:rsidRPr="00991E10" w:rsidRDefault="005A3754" w:rsidP="006004D2">
      <w:pPr>
        <w:ind w:right="-31"/>
      </w:pPr>
      <w:r w:rsidRPr="00991E10">
        <w:rPr>
          <w:noProof/>
          <w:lang w:val="en-IE" w:eastAsia="en-IE"/>
        </w:rPr>
        <w:drawing>
          <wp:inline distT="0" distB="0" distL="0" distR="0" wp14:anchorId="0CD967B4" wp14:editId="6D17CC44">
            <wp:extent cx="187960" cy="187960"/>
            <wp:effectExtent l="0" t="0" r="0" b="0"/>
            <wp:docPr id="9" name="Picture 5487983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8798370"/>
                    <pic:cNvPicPr>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rsidRPr="00991E10">
        <w:t xml:space="preserve"> Nessun impegno di finanziamento: l’invito a preparare la sovvenzione NON costituisce un impegno formale di finanziamento. Saranno ancora necessarie varie verifiche giuridiche prima della concessione della sovvenzione: </w:t>
      </w:r>
      <w:r w:rsidRPr="00991E10">
        <w:rPr>
          <w:i/>
          <w:iCs/>
        </w:rPr>
        <w:t>convalida dell’entità giuridica, della capacità finanziaria, controllo dell’esclusione ecc.</w:t>
      </w:r>
    </w:p>
    <w:p w14:paraId="3A6DC8C6" w14:textId="25AE1349" w:rsidR="002B5DFF" w:rsidRPr="00991E10" w:rsidRDefault="002B5DFF" w:rsidP="002B5DFF">
      <w:pPr>
        <w:ind w:right="-31"/>
      </w:pPr>
      <w:r w:rsidRPr="00991E10">
        <w:t xml:space="preserve">La </w:t>
      </w:r>
      <w:r w:rsidRPr="00991E10">
        <w:rPr>
          <w:b/>
        </w:rPr>
        <w:t>preparazione della sovvenzione</w:t>
      </w:r>
      <w:r w:rsidRPr="00991E10">
        <w:t xml:space="preserve"> comprende un dialogo volto a mettere a punto gli aspetti tecnici o finanziari del progetto; a tal fine è possibile che vengano richieste ulteriori informazioni. Possono essere previsti anche adeguamenti della proposta per rispondere alle indicazioni del comitato di valutazione o ad altre osservazioni. La conformità sarà una condizione preliminare per la firma della sovvenzione.</w:t>
      </w:r>
    </w:p>
    <w:p w14:paraId="20BC1964" w14:textId="09BDA5FD" w:rsidR="006004D2" w:rsidRPr="00991E10" w:rsidRDefault="006004D2" w:rsidP="002B5DFF">
      <w:pPr>
        <w:ind w:right="-31"/>
      </w:pPr>
      <w:r w:rsidRPr="00991E10">
        <w:t xml:space="preserve">Se si ritiene che la procedura di valutazione sia viziata, è possibile presentare un </w:t>
      </w:r>
      <w:r w:rsidRPr="00991E10">
        <w:rPr>
          <w:b/>
        </w:rPr>
        <w:t xml:space="preserve">reclamo </w:t>
      </w:r>
      <w:r w:rsidRPr="00991E10">
        <w:t xml:space="preserve">(rispettando i termini e le procedure stabiliti nella lettera di notifica dei risultati della valutazione). Si noti che le notifiche che non sono state aperte entro 10 giorni dall’invio sono considerate lette e che le scadenze saranno conteggiate dall’apertura/dall’accesso </w:t>
      </w:r>
      <w:r w:rsidRPr="00991E10">
        <w:rPr>
          <w:i/>
        </w:rPr>
        <w:t xml:space="preserve">(cfr. anche </w:t>
      </w:r>
      <w:hyperlink r:id="rId47" w:history="1">
        <w:r w:rsidRPr="00991E10">
          <w:rPr>
            <w:rStyle w:val="Hyperlink"/>
            <w:i/>
          </w:rPr>
          <w:t>Termini e condizioni del portale Finanziamenti e gare d’appalto</w:t>
        </w:r>
      </w:hyperlink>
      <w:r w:rsidRPr="00991E10">
        <w:rPr>
          <w:i/>
        </w:rPr>
        <w:t>)</w:t>
      </w:r>
      <w:r w:rsidRPr="00991E10">
        <w:t>. Si fa presente altresì che può essere previsto un numero massimo di caratteri per i reclami presentati in formato elettronico.</w:t>
      </w:r>
    </w:p>
    <w:p w14:paraId="6B26D36A" w14:textId="263DE822" w:rsidR="00417F25" w:rsidRPr="00991E10" w:rsidRDefault="00417F25" w:rsidP="000579AF">
      <w:pPr>
        <w:pStyle w:val="Heading1"/>
        <w:numPr>
          <w:ilvl w:val="0"/>
          <w:numId w:val="54"/>
        </w:numPr>
        <w:tabs>
          <w:tab w:val="left" w:pos="284"/>
        </w:tabs>
        <w:ind w:left="0" w:firstLine="0"/>
      </w:pPr>
      <w:bookmarkStart w:id="25" w:name="_Toc92965249"/>
      <w:r w:rsidRPr="00991E10">
        <w:t>Criteri di aggiudicazione</w:t>
      </w:r>
      <w:bookmarkEnd w:id="25"/>
    </w:p>
    <w:p w14:paraId="71E5D15E" w14:textId="6A12DD70" w:rsidR="00417F25" w:rsidRPr="00991E10" w:rsidRDefault="00510B7E" w:rsidP="00417F25">
      <w:pPr>
        <w:pStyle w:val="Text1"/>
        <w:ind w:left="0"/>
        <w:rPr>
          <w:rFonts w:cs="Arial"/>
        </w:rPr>
      </w:pPr>
      <w:r w:rsidRPr="00991E10">
        <w:t xml:space="preserve">I </w:t>
      </w:r>
      <w:r w:rsidRPr="00991E10">
        <w:rPr>
          <w:b/>
        </w:rPr>
        <w:t>criteri di aggiudicazione</w:t>
      </w:r>
      <w:r w:rsidRPr="00991E10">
        <w:t xml:space="preserve"> del presente invito sono quelli di seguito riportati.</w:t>
      </w:r>
    </w:p>
    <w:p w14:paraId="75369EF4" w14:textId="1A7F2DAF" w:rsidR="00C3341E" w:rsidRPr="00991E10" w:rsidRDefault="00C3341E" w:rsidP="42BB08A3">
      <w:pPr>
        <w:numPr>
          <w:ilvl w:val="0"/>
          <w:numId w:val="22"/>
        </w:numPr>
        <w:spacing w:line="259" w:lineRule="auto"/>
        <w:ind w:left="720"/>
        <w:rPr>
          <w:rFonts w:cs="Arial"/>
        </w:rPr>
      </w:pPr>
      <w:r w:rsidRPr="00991E10">
        <w:rPr>
          <w:b/>
          <w:bCs/>
          <w:color w:val="A50021"/>
        </w:rPr>
        <w:t>Pertinenza:</w:t>
      </w:r>
      <w:r w:rsidRPr="00991E10">
        <w:t xml:space="preserve"> corrispondenza della proposta alle priorità e agli obiettivi dell’invito; esigenze chiaramente definite e approfondita valutazione delle stesse; gruppo di destinatari chiaramente definito, tenendo nel debito conto la prospettiva di genere; contributo al contesto strategico e legislativo dell’UE; dimensione europea/transnazionale; effetti/interesse per una serie di paesi (UE o paesi terzi ammissibili); possibilità di utilizzare i risultati in altri paesi (potenziale di trasferimento di buone pratiche); potenziale di sviluppo della fiducia reciproca/cooperazione transfrontaliera </w:t>
      </w:r>
      <w:r w:rsidRPr="00991E10">
        <w:rPr>
          <w:color w:val="4AA55B"/>
          <w:sz w:val="19"/>
          <w:szCs w:val="19"/>
        </w:rPr>
        <w:t>(40 punti).</w:t>
      </w:r>
    </w:p>
    <w:p w14:paraId="0B54B54E" w14:textId="5C3C8A79" w:rsidR="0036370D" w:rsidRPr="00991E10" w:rsidRDefault="00C3341E" w:rsidP="42BB08A3">
      <w:pPr>
        <w:numPr>
          <w:ilvl w:val="0"/>
          <w:numId w:val="22"/>
        </w:numPr>
        <w:ind w:left="720"/>
        <w:rPr>
          <w:rFonts w:cs="Arial"/>
        </w:rPr>
      </w:pPr>
      <w:r w:rsidRPr="00991E10">
        <w:rPr>
          <w:b/>
          <w:bCs/>
          <w:color w:val="A50021"/>
        </w:rPr>
        <w:t>Qualità:</w:t>
      </w:r>
      <w:r w:rsidRPr="00991E10">
        <w:t xml:space="preserve"> chiarezza e coerenza del progetto; nessi logici tra i problemi individuati, le esigenze e le soluzioni proposte (concetto del quadro logico); metodo per l’attuazione del progetto tenendo nel debito conto la prospettiva di genere (organizzazione del lavoro, calendario, assegnazione delle risorse e ripartizione dei compiti tra i partner, rischi e loro gestione, monitoraggio e valutazione); considerazione di questioni etiche; fattibilità del progetto entro le scadenze proposte </w:t>
      </w:r>
      <w:r w:rsidRPr="00991E10">
        <w:rPr>
          <w:color w:val="4AA55B"/>
          <w:sz w:val="19"/>
          <w:szCs w:val="19"/>
        </w:rPr>
        <w:t>(40 punti).</w:t>
      </w:r>
    </w:p>
    <w:p w14:paraId="245A3914" w14:textId="174240EB" w:rsidR="00417F25" w:rsidRPr="00991E10" w:rsidRDefault="00C3341E" w:rsidP="42BB08A3">
      <w:pPr>
        <w:numPr>
          <w:ilvl w:val="0"/>
          <w:numId w:val="22"/>
        </w:numPr>
        <w:ind w:left="720"/>
        <w:rPr>
          <w:rFonts w:cs="Arial"/>
        </w:rPr>
      </w:pPr>
      <w:r w:rsidRPr="00991E10">
        <w:rPr>
          <w:b/>
          <w:bCs/>
          <w:color w:val="A50021"/>
        </w:rPr>
        <w:lastRenderedPageBreak/>
        <w:t>Effetti:</w:t>
      </w:r>
      <w:r w:rsidRPr="00991E10">
        <w:rPr>
          <w:color w:val="A50021"/>
        </w:rPr>
        <w:t xml:space="preserve"> </w:t>
      </w:r>
      <w:r w:rsidRPr="00991E10">
        <w:t xml:space="preserve">portata ed effetti attesi a lungo termine dei risultati sui gruppi destinatari/sul grande pubblico; adeguata strategia di diffusione per garantire la sostenibilità e gli effetti a lungo termine; potenziale effetto moltiplicatore positivo; sostenibilità dei risultati dopo la fine dei finanziamenti dell’UE </w:t>
      </w:r>
      <w:r w:rsidRPr="00991E10">
        <w:rPr>
          <w:color w:val="4AA55B"/>
          <w:sz w:val="19"/>
          <w:szCs w:val="19"/>
        </w:rPr>
        <w:t>(20 punti).</w:t>
      </w:r>
    </w:p>
    <w:tbl>
      <w:tblPr>
        <w:tblpPr w:leftFromText="180" w:rightFromText="180" w:vertAnchor="text" w:tblpX="358"/>
        <w:tblW w:w="8539"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CellMar>
          <w:left w:w="0" w:type="dxa"/>
          <w:right w:w="0" w:type="dxa"/>
        </w:tblCellMar>
        <w:tblLook w:val="04A0" w:firstRow="1" w:lastRow="0" w:firstColumn="1" w:lastColumn="0" w:noHBand="0" w:noVBand="1"/>
      </w:tblPr>
      <w:tblGrid>
        <w:gridCol w:w="5980"/>
        <w:gridCol w:w="1251"/>
        <w:gridCol w:w="1308"/>
      </w:tblGrid>
      <w:tr w:rsidR="00417F25" w:rsidRPr="00991E10" w14:paraId="40C13E7F" w14:textId="77777777" w:rsidTr="00A32077">
        <w:tc>
          <w:tcPr>
            <w:tcW w:w="5980"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344C7228" w14:textId="77777777" w:rsidR="00417F25" w:rsidRPr="00991E10" w:rsidRDefault="00417F25" w:rsidP="00417F25">
            <w:pPr>
              <w:spacing w:before="120" w:after="120"/>
              <w:rPr>
                <w:rFonts w:cs="Arial"/>
                <w:color w:val="595959"/>
                <w:sz w:val="16"/>
                <w:szCs w:val="16"/>
              </w:rPr>
            </w:pPr>
            <w:r w:rsidRPr="00991E10">
              <w:rPr>
                <w:b/>
                <w:bCs/>
                <w:color w:val="000000"/>
                <w:sz w:val="16"/>
                <w:szCs w:val="16"/>
              </w:rPr>
              <w:t>Criteri di aggiudicazione</w:t>
            </w:r>
          </w:p>
        </w:tc>
        <w:tc>
          <w:tcPr>
            <w:tcW w:w="1251"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73C443B7" w14:textId="77777777" w:rsidR="00417F25" w:rsidRPr="00991E10" w:rsidRDefault="00417F25" w:rsidP="7EABDF9A">
            <w:pPr>
              <w:spacing w:before="120" w:after="120"/>
              <w:jc w:val="center"/>
              <w:rPr>
                <w:rFonts w:cs="Arial"/>
                <w:b/>
                <w:bCs/>
                <w:color w:val="595959"/>
                <w:sz w:val="16"/>
                <w:szCs w:val="16"/>
              </w:rPr>
            </w:pPr>
            <w:r w:rsidRPr="00991E10">
              <w:rPr>
                <w:b/>
                <w:bCs/>
                <w:color w:val="000000"/>
                <w:sz w:val="16"/>
                <w:szCs w:val="16"/>
              </w:rPr>
              <w:t>Punteggio minimo</w:t>
            </w:r>
          </w:p>
        </w:tc>
        <w:tc>
          <w:tcPr>
            <w:tcW w:w="1308"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4B66C5DB" w14:textId="77777777" w:rsidR="00417F25" w:rsidRPr="00991E10" w:rsidRDefault="00417F25" w:rsidP="00417F25">
            <w:pPr>
              <w:spacing w:before="120" w:after="120"/>
              <w:jc w:val="center"/>
              <w:rPr>
                <w:rFonts w:cs="Arial"/>
                <w:b/>
                <w:bCs/>
                <w:color w:val="595959"/>
                <w:sz w:val="16"/>
              </w:rPr>
            </w:pPr>
            <w:r w:rsidRPr="00991E10">
              <w:rPr>
                <w:b/>
                <w:bCs/>
                <w:color w:val="595959"/>
                <w:sz w:val="16"/>
              </w:rPr>
              <w:t>Punteggio massimo</w:t>
            </w:r>
          </w:p>
        </w:tc>
      </w:tr>
      <w:tr w:rsidR="00417F25" w:rsidRPr="00991E10" w14:paraId="46BB364E" w14:textId="77777777" w:rsidTr="00A32077">
        <w:tc>
          <w:tcPr>
            <w:tcW w:w="5980"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5087631B" w14:textId="77777777" w:rsidR="00417F25" w:rsidRPr="00991E10" w:rsidRDefault="00417F25" w:rsidP="00417F25">
            <w:pPr>
              <w:spacing w:before="120" w:after="120"/>
              <w:rPr>
                <w:rFonts w:cs="Arial"/>
                <w:color w:val="595959"/>
                <w:sz w:val="16"/>
              </w:rPr>
            </w:pPr>
            <w:r w:rsidRPr="00991E10">
              <w:rPr>
                <w:color w:val="595959"/>
                <w:sz w:val="16"/>
              </w:rPr>
              <w:t xml:space="preserve">Pertinenza </w:t>
            </w:r>
          </w:p>
        </w:tc>
        <w:tc>
          <w:tcPr>
            <w:tcW w:w="1251"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74F1DBE5" w14:textId="2917FB44" w:rsidR="00417F25" w:rsidRPr="00991E10" w:rsidRDefault="77501A39" w:rsidP="006F137B">
            <w:pPr>
              <w:spacing w:before="120" w:after="120"/>
              <w:jc w:val="center"/>
              <w:rPr>
                <w:rFonts w:cs="Arial"/>
                <w:color w:val="595959"/>
                <w:sz w:val="16"/>
                <w:szCs w:val="16"/>
              </w:rPr>
            </w:pPr>
            <w:r w:rsidRPr="00991E10">
              <w:rPr>
                <w:color w:val="595959"/>
                <w:sz w:val="16"/>
                <w:szCs w:val="16"/>
              </w:rPr>
              <w:t>25</w:t>
            </w:r>
          </w:p>
        </w:tc>
        <w:tc>
          <w:tcPr>
            <w:tcW w:w="1308"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7D8DDF44" w14:textId="10FBECA7" w:rsidR="00417F25" w:rsidRPr="00991E10" w:rsidRDefault="7A1506A9" w:rsidP="006F137B">
            <w:pPr>
              <w:spacing w:before="120" w:after="120" w:line="259" w:lineRule="auto"/>
              <w:jc w:val="center"/>
              <w:rPr>
                <w:sz w:val="16"/>
                <w:szCs w:val="16"/>
              </w:rPr>
            </w:pPr>
            <w:r w:rsidRPr="00991E10">
              <w:rPr>
                <w:color w:val="000000"/>
                <w:sz w:val="16"/>
                <w:szCs w:val="16"/>
              </w:rPr>
              <w:t>40</w:t>
            </w:r>
          </w:p>
        </w:tc>
      </w:tr>
      <w:tr w:rsidR="00417F25" w:rsidRPr="00991E10" w14:paraId="3973431E" w14:textId="77777777" w:rsidTr="00A32077">
        <w:tc>
          <w:tcPr>
            <w:tcW w:w="5980"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171F18E4" w14:textId="77777777" w:rsidR="00417F25" w:rsidRPr="00991E10" w:rsidRDefault="00417F25" w:rsidP="00417F25">
            <w:pPr>
              <w:spacing w:before="120" w:after="120"/>
              <w:rPr>
                <w:rFonts w:cs="Arial"/>
                <w:color w:val="595959"/>
                <w:sz w:val="16"/>
                <w:vertAlign w:val="superscript"/>
              </w:rPr>
            </w:pPr>
            <w:r w:rsidRPr="00991E10">
              <w:rPr>
                <w:color w:val="595959"/>
                <w:sz w:val="16"/>
              </w:rPr>
              <w:t>Qualità – Progettazione e attuazione del progetto</w:t>
            </w:r>
          </w:p>
        </w:tc>
        <w:tc>
          <w:tcPr>
            <w:tcW w:w="1251"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1F0AB268" w14:textId="46CF4D50" w:rsidR="00417F25" w:rsidRPr="00991E10" w:rsidRDefault="001411B2" w:rsidP="42BB08A3">
            <w:pPr>
              <w:spacing w:before="120" w:after="120"/>
              <w:jc w:val="center"/>
              <w:rPr>
                <w:rFonts w:cs="Arial"/>
                <w:color w:val="595959"/>
                <w:sz w:val="16"/>
                <w:szCs w:val="16"/>
              </w:rPr>
            </w:pPr>
            <w:r w:rsidRPr="00991E10">
              <w:rPr>
                <w:color w:val="000000"/>
                <w:sz w:val="16"/>
                <w:szCs w:val="16"/>
              </w:rPr>
              <w:t>n.p.</w:t>
            </w:r>
          </w:p>
        </w:tc>
        <w:tc>
          <w:tcPr>
            <w:tcW w:w="1308"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786AEF82" w14:textId="36F0E958" w:rsidR="00417F25" w:rsidRPr="00991E10" w:rsidRDefault="5A0A8866" w:rsidP="00142C5E">
            <w:pPr>
              <w:spacing w:before="120" w:after="120" w:line="259" w:lineRule="auto"/>
              <w:jc w:val="center"/>
              <w:rPr>
                <w:sz w:val="16"/>
                <w:szCs w:val="16"/>
              </w:rPr>
            </w:pPr>
            <w:r w:rsidRPr="00991E10">
              <w:rPr>
                <w:color w:val="595959"/>
                <w:sz w:val="16"/>
                <w:szCs w:val="16"/>
              </w:rPr>
              <w:t>40</w:t>
            </w:r>
          </w:p>
        </w:tc>
      </w:tr>
      <w:tr w:rsidR="00417F25" w:rsidRPr="00991E10" w14:paraId="57E68FC8" w14:textId="77777777" w:rsidTr="00A32077">
        <w:tc>
          <w:tcPr>
            <w:tcW w:w="5980"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tcPr>
          <w:p w14:paraId="15E2972A" w14:textId="77777777" w:rsidR="00417F25" w:rsidRPr="00991E10" w:rsidRDefault="00417F25" w:rsidP="00417F25">
            <w:pPr>
              <w:spacing w:before="120" w:after="120"/>
              <w:rPr>
                <w:rFonts w:cs="Arial"/>
                <w:color w:val="595959"/>
                <w:sz w:val="16"/>
              </w:rPr>
            </w:pPr>
            <w:r w:rsidRPr="00991E10">
              <w:rPr>
                <w:color w:val="595959"/>
                <w:sz w:val="16"/>
              </w:rPr>
              <w:t>Effetti</w:t>
            </w:r>
          </w:p>
        </w:tc>
        <w:tc>
          <w:tcPr>
            <w:tcW w:w="1251"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tcPr>
          <w:p w14:paraId="30CDE1C1" w14:textId="639251E3" w:rsidR="00417F25" w:rsidRPr="00991E10" w:rsidRDefault="001411B2" w:rsidP="42BB08A3">
            <w:pPr>
              <w:spacing w:before="120" w:after="120"/>
              <w:jc w:val="center"/>
              <w:rPr>
                <w:rFonts w:cs="Arial"/>
                <w:color w:val="595959"/>
                <w:sz w:val="16"/>
                <w:szCs w:val="16"/>
              </w:rPr>
            </w:pPr>
            <w:r w:rsidRPr="00991E10">
              <w:rPr>
                <w:color w:val="000000"/>
                <w:sz w:val="16"/>
                <w:szCs w:val="16"/>
              </w:rPr>
              <w:t>n.p.</w:t>
            </w:r>
          </w:p>
        </w:tc>
        <w:tc>
          <w:tcPr>
            <w:tcW w:w="1308"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tcPr>
          <w:p w14:paraId="655A6521" w14:textId="70DB36AF" w:rsidR="00417F25" w:rsidRPr="00991E10" w:rsidRDefault="1689B5CD" w:rsidP="00142C5E">
            <w:pPr>
              <w:spacing w:before="120" w:after="120" w:line="259" w:lineRule="auto"/>
              <w:jc w:val="center"/>
              <w:rPr>
                <w:sz w:val="16"/>
                <w:szCs w:val="16"/>
              </w:rPr>
            </w:pPr>
            <w:r w:rsidRPr="00991E10">
              <w:rPr>
                <w:color w:val="595959"/>
                <w:sz w:val="16"/>
                <w:szCs w:val="16"/>
              </w:rPr>
              <w:t>20</w:t>
            </w:r>
          </w:p>
        </w:tc>
      </w:tr>
      <w:tr w:rsidR="00417F25" w:rsidRPr="00991E10" w14:paraId="112E5C23" w14:textId="77777777" w:rsidTr="00A32077">
        <w:tc>
          <w:tcPr>
            <w:tcW w:w="5980"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4326E1F8" w14:textId="77777777" w:rsidR="00417F25" w:rsidRPr="00991E10" w:rsidRDefault="00417F25" w:rsidP="00417F25">
            <w:pPr>
              <w:spacing w:before="120" w:after="120"/>
              <w:rPr>
                <w:rFonts w:cs="Arial"/>
                <w:color w:val="595959"/>
                <w:sz w:val="16"/>
              </w:rPr>
            </w:pPr>
            <w:r w:rsidRPr="00991E10">
              <w:rPr>
                <w:b/>
                <w:bCs/>
                <w:color w:val="595959"/>
                <w:sz w:val="16"/>
              </w:rPr>
              <w:t>Punteggi (minimi) complessivi</w:t>
            </w:r>
          </w:p>
        </w:tc>
        <w:tc>
          <w:tcPr>
            <w:tcW w:w="1251"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45B7B9AA" w14:textId="77777777" w:rsidR="00417F25" w:rsidRPr="00991E10" w:rsidRDefault="00417F25" w:rsidP="00417F25">
            <w:pPr>
              <w:spacing w:before="120" w:after="120"/>
              <w:jc w:val="center"/>
              <w:rPr>
                <w:rFonts w:cs="Arial"/>
                <w:color w:val="595959"/>
                <w:sz w:val="16"/>
                <w:szCs w:val="16"/>
              </w:rPr>
            </w:pPr>
            <w:r w:rsidRPr="00991E10">
              <w:rPr>
                <w:b/>
                <w:bCs/>
                <w:color w:val="000000"/>
                <w:sz w:val="16"/>
                <w:szCs w:val="16"/>
                <w:lang w:eastAsia="en-GB"/>
              </w:rPr>
              <w:t>70</w:t>
            </w:r>
          </w:p>
        </w:tc>
        <w:tc>
          <w:tcPr>
            <w:tcW w:w="1308"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345A8F0B" w14:textId="77777777" w:rsidR="00417F25" w:rsidRPr="00991E10" w:rsidRDefault="00417F25" w:rsidP="00417F25">
            <w:pPr>
              <w:spacing w:before="120" w:after="120"/>
              <w:jc w:val="center"/>
              <w:rPr>
                <w:rFonts w:cs="Arial"/>
                <w:b/>
                <w:bCs/>
                <w:color w:val="595959"/>
                <w:sz w:val="16"/>
              </w:rPr>
            </w:pPr>
            <w:r w:rsidRPr="00991E10">
              <w:rPr>
                <w:b/>
                <w:bCs/>
                <w:color w:val="595959"/>
                <w:sz w:val="16"/>
              </w:rPr>
              <w:t>100</w:t>
            </w:r>
          </w:p>
        </w:tc>
      </w:tr>
    </w:tbl>
    <w:p w14:paraId="3A91549A" w14:textId="77777777" w:rsidR="00417F25" w:rsidRPr="00991E10" w:rsidRDefault="00417F25" w:rsidP="00417F25">
      <w:pPr>
        <w:pStyle w:val="Text1"/>
        <w:ind w:left="0"/>
        <w:rPr>
          <w:rFonts w:cs="Arial"/>
          <w:lang w:eastAsia="en-GB"/>
        </w:rPr>
      </w:pPr>
    </w:p>
    <w:p w14:paraId="74676006" w14:textId="77777777" w:rsidR="00417F25" w:rsidRPr="00991E10" w:rsidRDefault="00417F25" w:rsidP="00417F25">
      <w:pPr>
        <w:pStyle w:val="Text1"/>
        <w:ind w:left="0"/>
        <w:rPr>
          <w:rFonts w:cs="Arial"/>
        </w:rPr>
      </w:pPr>
      <w:r w:rsidRPr="00991E10">
        <w:t>Punteggio massimo: 100 punti.</w:t>
      </w:r>
    </w:p>
    <w:p w14:paraId="54D540AD" w14:textId="25B25F2B" w:rsidR="00417F25" w:rsidRPr="00991E10" w:rsidRDefault="00417F25" w:rsidP="42BB08A3">
      <w:pPr>
        <w:pStyle w:val="Text1"/>
        <w:ind w:left="0"/>
        <w:rPr>
          <w:rFonts w:cs="Arial"/>
        </w:rPr>
      </w:pPr>
      <w:r w:rsidRPr="00991E10">
        <w:t>Soglia individuale per il criterio «Pertinenza»: 25/40 punti.</w:t>
      </w:r>
    </w:p>
    <w:p w14:paraId="088F1A3D" w14:textId="77777777" w:rsidR="00417F25" w:rsidRPr="00991E10" w:rsidRDefault="00417F25" w:rsidP="00417F25">
      <w:pPr>
        <w:pStyle w:val="Text1"/>
        <w:ind w:left="0"/>
        <w:rPr>
          <w:rFonts w:cs="Arial"/>
        </w:rPr>
      </w:pPr>
      <w:r w:rsidRPr="00991E10">
        <w:t xml:space="preserve">Soglia complessiva: 70 punti. </w:t>
      </w:r>
    </w:p>
    <w:p w14:paraId="743867A2" w14:textId="5FB32EC7" w:rsidR="00417F25" w:rsidRPr="00991E10" w:rsidRDefault="000A7529" w:rsidP="42BB08A3">
      <w:pPr>
        <w:pStyle w:val="Text1"/>
        <w:ind w:left="0"/>
        <w:rPr>
          <w:rFonts w:cs="Arial"/>
        </w:rPr>
      </w:pPr>
      <w:r w:rsidRPr="00991E10">
        <w:t xml:space="preserve">Saranno prese in considerazione ai fini del finanziamento le proposte che superano la soglia individuale per il criterio «Pertinenza» E la soglia complessiva, entro i limiti della dotazione finanziaria disponibile per l’invito. Le altre proposte saranno respinte. </w:t>
      </w:r>
    </w:p>
    <w:p w14:paraId="32ECB61A" w14:textId="407D4955" w:rsidR="00276AD7" w:rsidRPr="00991E10" w:rsidRDefault="00276AD7" w:rsidP="000579AF">
      <w:pPr>
        <w:pStyle w:val="Heading1"/>
        <w:numPr>
          <w:ilvl w:val="0"/>
          <w:numId w:val="54"/>
        </w:numPr>
        <w:tabs>
          <w:tab w:val="left" w:pos="426"/>
        </w:tabs>
        <w:ind w:left="0" w:firstLine="0"/>
      </w:pPr>
      <w:bookmarkStart w:id="26" w:name="_Toc92965250"/>
      <w:r w:rsidRPr="00991E10">
        <w:t>Struttura giuridica e finanziaria delle convenzioni di sovvenzione</w:t>
      </w:r>
      <w:bookmarkEnd w:id="26"/>
    </w:p>
    <w:p w14:paraId="3E12CDD9" w14:textId="77777777" w:rsidR="00F468B9" w:rsidRPr="00991E10" w:rsidRDefault="00510B7E" w:rsidP="00F468B9">
      <w:r w:rsidRPr="00991E10">
        <w:t xml:space="preserve">I proponenti un progetto che avranno superato la valutazione saranno invitati alla fase di preparazione della convenzione di sovvenzione insieme al responsabile di progetto dell’UE. </w:t>
      </w:r>
    </w:p>
    <w:p w14:paraId="726FE5D4" w14:textId="77777777" w:rsidR="00A55E10" w:rsidRPr="00991E10" w:rsidRDefault="009A4762" w:rsidP="00F468B9">
      <w:r w:rsidRPr="00991E10">
        <w:t xml:space="preserve">La convenzione di sovvenzione definirà il quadro nonché le condizioni generali della stessa, in particolare per quanto riguarda i prodotti/servizi da fornire, le relazioni e i pagamenti. </w:t>
      </w:r>
    </w:p>
    <w:p w14:paraId="49D0FAB7" w14:textId="4B959355" w:rsidR="00F468B9" w:rsidRPr="00991E10" w:rsidRDefault="004E3F9E" w:rsidP="00F468B9">
      <w:r w:rsidRPr="00991E10">
        <w:t xml:space="preserve">Il modello di convenzione di sovvenzione che sarà utilizzato e tutti gli altri modelli e documenti di orientamento pertinenti sono reperibili nei </w:t>
      </w:r>
      <w:hyperlink r:id="rId48" w:history="1">
        <w:r w:rsidRPr="00991E10">
          <w:rPr>
            <w:rStyle w:val="Hyperlink"/>
          </w:rPr>
          <w:t>documenti di riferimento del portale</w:t>
        </w:r>
      </w:hyperlink>
      <w:r w:rsidRPr="00991E10">
        <w:t>.</w:t>
      </w:r>
    </w:p>
    <w:p w14:paraId="712F0C54" w14:textId="77777777" w:rsidR="00F468B9" w:rsidRPr="00991E10" w:rsidRDefault="00EF5018" w:rsidP="00510B7E">
      <w:pPr>
        <w:pStyle w:val="Heading3"/>
      </w:pPr>
      <w:bookmarkStart w:id="27" w:name="_Toc92965251"/>
      <w:r w:rsidRPr="00991E10">
        <w:t>Data di inizio e durata del progetto</w:t>
      </w:r>
      <w:bookmarkEnd w:id="27"/>
      <w:r w:rsidRPr="00991E10">
        <w:t xml:space="preserve"> </w:t>
      </w:r>
    </w:p>
    <w:p w14:paraId="34F8E827" w14:textId="193AA9A8" w:rsidR="00EF5018" w:rsidRPr="00991E10" w:rsidRDefault="00EF5018" w:rsidP="00EF5018">
      <w:r w:rsidRPr="00991E10">
        <w:t xml:space="preserve">La data di inizio e la durata del progetto saranno stabilite nella convenzione di sovvenzione </w:t>
      </w:r>
      <w:r w:rsidRPr="00991E10">
        <w:rPr>
          <w:i/>
          <w:iCs/>
        </w:rPr>
        <w:t>(scheda dati, punto 1)</w:t>
      </w:r>
      <w:r w:rsidRPr="00991E10">
        <w:t>. Di norma, la data di inizio è successiva alla firma della sovvenzione. L’applicazione retroattiva può essere concessa in via eccezionale per motivi debitamente giustificati, ma non può mai essere anteriore alla data di presentazione della proposta.</w:t>
      </w:r>
    </w:p>
    <w:p w14:paraId="15D66063" w14:textId="51D1D632" w:rsidR="00CB07A3" w:rsidRPr="00991E10" w:rsidRDefault="00CB07A3" w:rsidP="00EF5018">
      <w:pPr>
        <w:rPr>
          <w:rFonts w:cs="Arial"/>
        </w:rPr>
      </w:pPr>
      <w:r w:rsidRPr="00991E10">
        <w:t xml:space="preserve">Durata del progetto: </w:t>
      </w:r>
    </w:p>
    <w:p w14:paraId="2429D9A2" w14:textId="7FD8DB37" w:rsidR="00273AA8" w:rsidRPr="00991E10" w:rsidRDefault="00273AA8" w:rsidP="00273AA8">
      <w:pPr>
        <w:rPr>
          <w:rFonts w:cs="Arial"/>
        </w:rPr>
      </w:pPr>
      <w:r w:rsidRPr="00991E10">
        <w:rPr>
          <w:color w:val="A50021"/>
        </w:rPr>
        <w:t>CERV-2022-CITIZENS-TOWN-TT – Gemellaggi di città:</w:t>
      </w:r>
      <w:r w:rsidRPr="00991E10">
        <w:t xml:space="preserve"> fino a 12 mesi</w:t>
      </w:r>
    </w:p>
    <w:p w14:paraId="748ED34C" w14:textId="21136B02" w:rsidR="00273AA8" w:rsidRPr="00991E10" w:rsidRDefault="00273AA8" w:rsidP="00273AA8">
      <w:pPr>
        <w:rPr>
          <w:rFonts w:cs="Arial"/>
        </w:rPr>
      </w:pPr>
      <w:r w:rsidRPr="00991E10">
        <w:rPr>
          <w:color w:val="A50021"/>
        </w:rPr>
        <w:t>CERV-2022-CITIZENS-TOWN-NT – Reti di città:</w:t>
      </w:r>
      <w:r w:rsidRPr="00991E10">
        <w:t xml:space="preserve"> tra 12 e 24 mesi </w:t>
      </w:r>
    </w:p>
    <w:p w14:paraId="264CF456" w14:textId="407B2FF3" w:rsidR="00273AA8" w:rsidRPr="00991E10" w:rsidRDefault="00273AA8" w:rsidP="00273AA8">
      <w:pPr>
        <w:rPr>
          <w:rFonts w:cs="Arial"/>
        </w:rPr>
      </w:pPr>
      <w:r w:rsidRPr="00991E10">
        <w:t>(potranno essere concesse proroghe solo in casi eccezionali, per motivi debitamente giustificati e richieste mediante modifica della domanda).</w:t>
      </w:r>
    </w:p>
    <w:p w14:paraId="77CA20A6" w14:textId="77777777" w:rsidR="002D1390" w:rsidRPr="00991E10" w:rsidRDefault="002D1390" w:rsidP="00510B7E">
      <w:pPr>
        <w:pStyle w:val="Heading3"/>
      </w:pPr>
      <w:bookmarkStart w:id="28" w:name="_Toc92965252"/>
      <w:r w:rsidRPr="00991E10">
        <w:lastRenderedPageBreak/>
        <w:t>Traguardi e risultati tangibili</w:t>
      </w:r>
      <w:bookmarkEnd w:id="28"/>
    </w:p>
    <w:p w14:paraId="2053727F" w14:textId="77777777" w:rsidR="002D1390" w:rsidRPr="00991E10" w:rsidRDefault="002D1390" w:rsidP="002D1390">
      <w:pPr>
        <w:rPr>
          <w:rFonts w:cs="Arial"/>
        </w:rPr>
      </w:pPr>
      <w:r w:rsidRPr="00991E10">
        <w:t>I traguardi e i risultati tangibili per ciascun progetto saranno gestiti attraverso il sistema di gestione delle sovvenzioni del portale e saranno riportati nell’allegato 1 della convenzione di sovvenzione.</w:t>
      </w:r>
    </w:p>
    <w:p w14:paraId="14B285DB" w14:textId="77777777" w:rsidR="00F468B9" w:rsidRPr="00991E10" w:rsidRDefault="00D20E76" w:rsidP="00510B7E">
      <w:pPr>
        <w:pStyle w:val="Heading3"/>
      </w:pPr>
      <w:bookmarkStart w:id="29" w:name="_Toc92965253"/>
      <w:r w:rsidRPr="00991E10">
        <w:t>Forma, tasso di finanziamento e importo massimo della sovvenzione</w:t>
      </w:r>
      <w:bookmarkEnd w:id="29"/>
    </w:p>
    <w:p w14:paraId="1FC5D80F" w14:textId="77777777" w:rsidR="00F243C2" w:rsidRPr="00991E10" w:rsidRDefault="002D1390" w:rsidP="009C7F6F">
      <w:r w:rsidRPr="00991E10">
        <w:t xml:space="preserve">I parametri della sovvenzione </w:t>
      </w:r>
      <w:r w:rsidRPr="00991E10">
        <w:rPr>
          <w:i/>
        </w:rPr>
        <w:t>(importo massimo, tasso di finanziamento, costi ammissibili totali ecc.)</w:t>
      </w:r>
      <w:r w:rsidRPr="00991E10">
        <w:t xml:space="preserve"> saranno stabiliti nella convenzione di sovvenzione </w:t>
      </w:r>
      <w:r w:rsidRPr="00991E10">
        <w:rPr>
          <w:i/>
        </w:rPr>
        <w:t>(scheda dati, punto 3 e articolo 5)</w:t>
      </w:r>
      <w:r w:rsidRPr="00991E10">
        <w:t>.</w:t>
      </w:r>
    </w:p>
    <w:p w14:paraId="6D2C45B2" w14:textId="73D0FA7A" w:rsidR="00273AA8" w:rsidRPr="00991E10" w:rsidRDefault="00CB07A3" w:rsidP="009C7F6F">
      <w:r w:rsidRPr="00991E10">
        <w:t xml:space="preserve">Dotazione finanziaria del progetto (importo massimo della sovvenzione): </w:t>
      </w:r>
    </w:p>
    <w:p w14:paraId="7C5032A3" w14:textId="32B40F6F" w:rsidR="00273AA8" w:rsidRPr="00991E10" w:rsidRDefault="00273AA8" w:rsidP="00273AA8">
      <w:r w:rsidRPr="00991E10">
        <w:rPr>
          <w:b/>
          <w:bCs/>
          <w:color w:val="A50021"/>
        </w:rPr>
        <w:t>CERV-2022-CITIZENS-TOWN-TT – Gemellaggi di città</w:t>
      </w:r>
      <w:r w:rsidRPr="00991E10">
        <w:t>: 30 000 EUR per progetto</w:t>
      </w:r>
    </w:p>
    <w:p w14:paraId="2BB38450" w14:textId="044F40F5" w:rsidR="00273AA8" w:rsidRPr="00991E10" w:rsidRDefault="00E81CEB" w:rsidP="00273AA8">
      <w:pPr>
        <w:rPr>
          <w:b/>
          <w:color w:val="A50021"/>
        </w:rPr>
      </w:pPr>
      <w:r w:rsidRPr="00991E10">
        <w:rPr>
          <w:b/>
          <w:bCs/>
          <w:color w:val="A50021"/>
        </w:rPr>
        <w:t>CERV-2022-CITIZENS-TOWN-NT – Reti di città</w:t>
      </w:r>
      <w:r w:rsidRPr="00991E10">
        <w:t xml:space="preserve">: nessun limite </w:t>
      </w:r>
    </w:p>
    <w:p w14:paraId="03FE8574" w14:textId="5AC33A9A" w:rsidR="009C7F6F" w:rsidRPr="00991E10" w:rsidRDefault="009C7F6F" w:rsidP="009C7F6F">
      <w:r w:rsidRPr="00991E10">
        <w:t>La sovvenzione concessa può essere inferiore all’importo richiesto.</w:t>
      </w:r>
      <w:r w:rsidRPr="00991E10">
        <w:rPr>
          <w:highlight w:val="yellow"/>
        </w:rPr>
        <w:t xml:space="preserve"> </w:t>
      </w:r>
    </w:p>
    <w:p w14:paraId="032903FC" w14:textId="762E8A78" w:rsidR="009C7F6F" w:rsidRPr="00991E10" w:rsidRDefault="002D1390" w:rsidP="00EF5018">
      <w:r w:rsidRPr="00991E10">
        <w:t>La sovvenzione consisterà in una somma forfettaria. Ciò significa che rimborserà un importo fisso basato su una somma forfettaria o un finanziamento non correlati ai costi. L’importo sarà fissato dall’autorità erogante sulla base degli importi variabili da essa prestabiliti e delle stime indicate dai beneficiari nelle dotazioni finanziarie dei progetti.</w:t>
      </w:r>
    </w:p>
    <w:p w14:paraId="23ACF302" w14:textId="77777777" w:rsidR="00C35FDF" w:rsidRPr="00991E10" w:rsidRDefault="002D1390" w:rsidP="00510B7E">
      <w:pPr>
        <w:pStyle w:val="Heading3"/>
      </w:pPr>
      <w:bookmarkStart w:id="30" w:name="_Toc92965254"/>
      <w:r w:rsidRPr="00991E10">
        <w:t>Categorie di bilancio e norme di ammissibilità dei costi</w:t>
      </w:r>
      <w:bookmarkEnd w:id="30"/>
    </w:p>
    <w:p w14:paraId="0D9CC84A" w14:textId="222E6896" w:rsidR="00965369" w:rsidRPr="00991E10" w:rsidRDefault="00965369" w:rsidP="00C35FDF">
      <w:pPr>
        <w:rPr>
          <w:szCs w:val="21"/>
        </w:rPr>
      </w:pPr>
      <w:r w:rsidRPr="00991E10">
        <w:t xml:space="preserve">Le categorie di bilancio e le norme di ammissibilità dei costi sono stabilite nella convenzione di sovvenzione </w:t>
      </w:r>
      <w:r w:rsidRPr="00991E10">
        <w:rPr>
          <w:i/>
          <w:szCs w:val="21"/>
        </w:rPr>
        <w:t>(scheda dati, punto 3, articolo 6 e allegato 2).</w:t>
      </w:r>
    </w:p>
    <w:p w14:paraId="09C2A6BD" w14:textId="77777777" w:rsidR="00E85C9D" w:rsidRPr="00991E10" w:rsidRDefault="00E85C9D" w:rsidP="00E85C9D">
      <w:pPr>
        <w:spacing w:after="120"/>
        <w:rPr>
          <w:i/>
        </w:rPr>
      </w:pPr>
      <w:r w:rsidRPr="00991E10">
        <w:rPr>
          <w:i/>
        </w:rPr>
        <w:t>Categorie di bilancio per il presente invito:</w:t>
      </w:r>
    </w:p>
    <w:p w14:paraId="5AA85092" w14:textId="5699AD8F" w:rsidR="00273AA8" w:rsidRPr="00991E10" w:rsidRDefault="00E85C9D" w:rsidP="00273AA8">
      <w:pPr>
        <w:widowControl w:val="0"/>
        <w:numPr>
          <w:ilvl w:val="0"/>
          <w:numId w:val="31"/>
        </w:numPr>
        <w:ind w:left="709" w:hanging="357"/>
        <w:jc w:val="left"/>
        <w:rPr>
          <w:b/>
        </w:rPr>
      </w:pPr>
      <w:r w:rsidRPr="00991E10">
        <w:rPr>
          <w:b/>
        </w:rPr>
        <w:t>contributi a titolo di somma forfettaria (</w:t>
      </w:r>
      <w:r w:rsidR="00D77F61" w:rsidRPr="00991E10">
        <w:rPr>
          <w:rStyle w:val="FootnoteReference"/>
          <w:b/>
        </w:rPr>
        <w:footnoteReference w:id="22"/>
      </w:r>
      <w:r w:rsidRPr="00991E10">
        <w:rPr>
          <w:b/>
        </w:rPr>
        <w:t>)</w:t>
      </w:r>
    </w:p>
    <w:p w14:paraId="1DFE5A16" w14:textId="4F08AA43" w:rsidR="00273AA8" w:rsidRPr="00991E10" w:rsidRDefault="00273AA8" w:rsidP="00273AA8">
      <w:pPr>
        <w:spacing w:after="120"/>
        <w:rPr>
          <w:b/>
          <w:bCs/>
          <w:color w:val="A50021"/>
        </w:rPr>
      </w:pPr>
      <w:r w:rsidRPr="00991E10">
        <w:rPr>
          <w:b/>
          <w:bCs/>
          <w:color w:val="A50021"/>
        </w:rPr>
        <w:t>CERV-2022-CITIZENS-TOWN-TT – Gemellaggi di città</w:t>
      </w:r>
    </w:p>
    <w:p w14:paraId="41D2CC4B" w14:textId="306D1EAA" w:rsidR="00273AA8" w:rsidRPr="00991E10" w:rsidRDefault="00273AA8" w:rsidP="00273AA8">
      <w:pPr>
        <w:spacing w:after="120"/>
        <w:rPr>
          <w:rFonts w:eastAsia="Verdana" w:cs="Verdana"/>
          <w:iCs/>
        </w:rPr>
      </w:pPr>
      <w:r w:rsidRPr="00991E10">
        <w:t>Il calcolo della somma forfettaria si basa su un parametro, ossia il numero dei partecipanti internazionali (o «invitati») (numero di partecipanti provenienti dai paesi ammissibili aderenti al progetto e diversi dal paese che ospita l’evento relativo al gemellaggio di città).</w:t>
      </w:r>
    </w:p>
    <w:p w14:paraId="0241D98C" w14:textId="0A4EAB5B" w:rsidR="00273AA8" w:rsidRPr="00991E10" w:rsidRDefault="00273AA8" w:rsidP="00273AA8">
      <w:pPr>
        <w:spacing w:after="120"/>
      </w:pPr>
      <w:r w:rsidRPr="00991E10">
        <w:t>Un evento corrisponde a un pacchetto di lavoro nel modulo di domanda.</w:t>
      </w:r>
      <w:r w:rsidR="00991E10">
        <w:t xml:space="preserve"> </w:t>
      </w:r>
    </w:p>
    <w:p w14:paraId="653E3972" w14:textId="1E2EF24C" w:rsidR="00273AA8" w:rsidRPr="00991E10" w:rsidRDefault="00273AA8" w:rsidP="00273AA8">
      <w:pPr>
        <w:widowControl w:val="0"/>
        <w:jc w:val="left"/>
      </w:pPr>
      <w:r w:rsidRPr="00991E10">
        <w:t>1 pacchetto di lavoro = 1 evento = una o più attività</w:t>
      </w:r>
      <w:r w:rsidR="00991E10">
        <w:t xml:space="preserve"> </w:t>
      </w:r>
    </w:p>
    <w:p w14:paraId="4EF42BF7" w14:textId="56AB1036" w:rsidR="00273AA8" w:rsidRPr="00991E10" w:rsidRDefault="00273AA8" w:rsidP="00273AA8">
      <w:pPr>
        <w:spacing w:after="120"/>
        <w:rPr>
          <w:rFonts w:eastAsia="Verdana" w:cs="Verdana"/>
          <w:iCs/>
        </w:rPr>
      </w:pPr>
      <w:r w:rsidRPr="00991E10">
        <w:rPr>
          <w:b/>
          <w:bCs/>
          <w:color w:val="A50021"/>
        </w:rPr>
        <w:t>CERV-2022-CITIZENS-TOWN-NT – Reti di città</w:t>
      </w:r>
    </w:p>
    <w:p w14:paraId="084790F4" w14:textId="77777777" w:rsidR="00273AA8" w:rsidRPr="00991E10" w:rsidRDefault="00273AA8" w:rsidP="00273AA8">
      <w:pPr>
        <w:spacing w:after="120"/>
      </w:pPr>
      <w:r w:rsidRPr="00991E10">
        <w:t xml:space="preserve">Il calcolo della somma forfettaria si basa su due parametri: il numero dei partecipanti diretti e il numero dei paesi ammissibili per ciascun evento (in presenza o da remoto). </w:t>
      </w:r>
    </w:p>
    <w:p w14:paraId="3C909B89" w14:textId="77777777" w:rsidR="00273AA8" w:rsidRPr="00991E10" w:rsidRDefault="00273AA8" w:rsidP="00273AA8">
      <w:pPr>
        <w:spacing w:after="120"/>
      </w:pPr>
      <w:r w:rsidRPr="00991E10">
        <w:t xml:space="preserve">Un evento si svolge entro un determinato periodo di tempo e può comprendere differenti tipi di attività (conferenze, workshop, attività di formazione, seminari, dibattiti, webinar, mostre, proiezione/realizzazione di film, campagne, pubblicazioni, sondaggi, ricerche, flashmob ecc.). </w:t>
      </w:r>
    </w:p>
    <w:p w14:paraId="12ABA7C5" w14:textId="435D7FF2" w:rsidR="00273AA8" w:rsidRPr="00991E10" w:rsidRDefault="00273AA8" w:rsidP="00273AA8">
      <w:pPr>
        <w:spacing w:after="120"/>
      </w:pPr>
      <w:r w:rsidRPr="00991E10">
        <w:t>Un evento corrisponde a un pacchetto di lavoro nel modulo di domanda.</w:t>
      </w:r>
    </w:p>
    <w:p w14:paraId="757C1A00" w14:textId="58F887D8" w:rsidR="00273AA8" w:rsidRPr="00991E10" w:rsidRDefault="00273AA8" w:rsidP="00273AA8">
      <w:pPr>
        <w:widowControl w:val="0"/>
        <w:jc w:val="left"/>
      </w:pPr>
      <w:r w:rsidRPr="00991E10">
        <w:t>1 pacchetto di lavoro = 1 evento = una o più attività</w:t>
      </w:r>
    </w:p>
    <w:p w14:paraId="14EC2EA5" w14:textId="14E12378" w:rsidR="00741682" w:rsidRPr="00991E10" w:rsidRDefault="00F243C2" w:rsidP="00510B7E">
      <w:pPr>
        <w:pStyle w:val="Heading3"/>
      </w:pPr>
      <w:bookmarkStart w:id="31" w:name="_Toc92965255"/>
      <w:r w:rsidRPr="00991E10">
        <w:t>Rendicontazione e modalità di pagamento</w:t>
      </w:r>
      <w:bookmarkEnd w:id="31"/>
      <w:r w:rsidRPr="00991E10">
        <w:t xml:space="preserve"> </w:t>
      </w:r>
    </w:p>
    <w:p w14:paraId="43C62C09" w14:textId="0BF1CA1B" w:rsidR="00F243C2" w:rsidRPr="00991E10" w:rsidRDefault="00F243C2" w:rsidP="00741682">
      <w:pPr>
        <w:pStyle w:val="Text2"/>
        <w:ind w:left="0"/>
        <w:rPr>
          <w:rFonts w:cs="Arial"/>
        </w:rPr>
      </w:pPr>
      <w:r w:rsidRPr="00991E10">
        <w:lastRenderedPageBreak/>
        <w:t xml:space="preserve">Le modalità di rendicontazione e di pagamento sono stabilite nella convenzione di sovvenzione </w:t>
      </w:r>
      <w:r w:rsidRPr="00991E10">
        <w:rPr>
          <w:i/>
        </w:rPr>
        <w:t>(scheda dati, punto 4 e articoli 21 e 22)</w:t>
      </w:r>
      <w:r w:rsidRPr="00991E10">
        <w:t>.</w:t>
      </w:r>
    </w:p>
    <w:p w14:paraId="03D37E60" w14:textId="6DF5E4B5" w:rsidR="00273AA8" w:rsidRPr="00991E10" w:rsidRDefault="00273AA8" w:rsidP="00273AA8">
      <w:pPr>
        <w:spacing w:after="120"/>
        <w:rPr>
          <w:b/>
          <w:bCs/>
          <w:color w:val="A50021"/>
        </w:rPr>
      </w:pPr>
      <w:r w:rsidRPr="00991E10">
        <w:rPr>
          <w:b/>
          <w:bCs/>
          <w:color w:val="A50021"/>
        </w:rPr>
        <w:t>CERV-2022-CITIZENS-TOWN-TT – Gemellaggi di città</w:t>
      </w:r>
    </w:p>
    <w:p w14:paraId="63A3CB57" w14:textId="77777777" w:rsidR="00273AA8" w:rsidRPr="00991E10" w:rsidRDefault="00273AA8" w:rsidP="00273AA8">
      <w:pPr>
        <w:pStyle w:val="Text2"/>
        <w:ind w:left="0"/>
      </w:pPr>
      <w:r w:rsidRPr="00991E10">
        <w:t>Dopo la firma della sovvenzione il richiedente non riceve alcun prefinanziamento.</w:t>
      </w:r>
    </w:p>
    <w:p w14:paraId="1DBCB7BA" w14:textId="77777777" w:rsidR="00273AA8" w:rsidRPr="00991E10" w:rsidRDefault="00273AA8" w:rsidP="00273AA8">
      <w:r w:rsidRPr="00991E10">
        <w:t>Pagamento del saldo: al termine del progetto l’EACEA calcola l’importo finale della sovvenzione. Se il totale di eventuali pagamenti precedenti sarà superiore all’importo finale della sovvenzione, l’Agenzia chiede (al coordinatore) di restituire la differenza (recupero).</w:t>
      </w:r>
    </w:p>
    <w:p w14:paraId="6BE11C5B" w14:textId="5E8F163B" w:rsidR="00273AA8" w:rsidRPr="00991E10" w:rsidRDefault="00273AA8" w:rsidP="00273AA8">
      <w:pPr>
        <w:spacing w:after="120"/>
        <w:rPr>
          <w:b/>
          <w:bCs/>
          <w:color w:val="A50021"/>
        </w:rPr>
      </w:pPr>
      <w:r w:rsidRPr="00991E10">
        <w:rPr>
          <w:b/>
          <w:bCs/>
          <w:color w:val="A50021"/>
        </w:rPr>
        <w:t xml:space="preserve">CERV-2022-CITIZENS-TOWN-NT – Reti di città </w:t>
      </w:r>
    </w:p>
    <w:p w14:paraId="55E312F9" w14:textId="696F180F" w:rsidR="00273AA8" w:rsidRPr="00991E10" w:rsidRDefault="00273AA8" w:rsidP="00273AA8">
      <w:pPr>
        <w:widowControl w:val="0"/>
        <w:rPr>
          <w:rFonts w:cs="Arial"/>
        </w:rPr>
      </w:pPr>
      <w:r w:rsidRPr="00991E10">
        <w:t xml:space="preserve">Dopo la firma della sovvenzione il richiedente riceve di norma un </w:t>
      </w:r>
      <w:r w:rsidRPr="00991E10">
        <w:rPr>
          <w:b/>
        </w:rPr>
        <w:t>prefinanziamento</w:t>
      </w:r>
      <w:r w:rsidRPr="00991E10">
        <w:t xml:space="preserve"> per iniziare a lavorare al progetto (solitamente il </w:t>
      </w:r>
      <w:r w:rsidRPr="00991E10">
        <w:rPr>
          <w:b/>
        </w:rPr>
        <w:t>60 %</w:t>
      </w:r>
      <w:r w:rsidRPr="00991E10">
        <w:t xml:space="preserve"> dell’importo massimo della sovvenzione; in casi eccezionali un importo inferiore o nessun prefinanziamento). Il prefinanziamento è versato entro 30 giorni dall’entrata in vigore/dalla garanzia finanziaria (se richiesta), a seconda di quale delle due date è successiva.</w:t>
      </w:r>
    </w:p>
    <w:p w14:paraId="6177614D" w14:textId="40FBA4EA" w:rsidR="00741682" w:rsidRPr="00991E10" w:rsidRDefault="00AE5C30" w:rsidP="00741682">
      <w:pPr>
        <w:pStyle w:val="Text2"/>
        <w:ind w:left="0"/>
        <w:rPr>
          <w:rFonts w:cs="Arial"/>
        </w:rPr>
      </w:pPr>
      <w:r w:rsidRPr="00991E10">
        <w:rPr>
          <w:b/>
        </w:rPr>
        <w:t>Pagamento del saldo</w:t>
      </w:r>
      <w:r w:rsidRPr="00991E10">
        <w:t>: al termine del progetto l’EACEA calcola l’importo finale della sovvenzione. Se il totale dei pagamenti precedenti risulta superiore all’importo finale della sovvenzione, l’Agenzia chiede (al coordinatore) di restituire la differenza (recupero).</w:t>
      </w:r>
    </w:p>
    <w:p w14:paraId="3BDCBF75" w14:textId="77777777" w:rsidR="00B21F85" w:rsidRPr="00991E10" w:rsidRDefault="00B21F85" w:rsidP="00741682">
      <w:pPr>
        <w:pStyle w:val="Text2"/>
        <w:ind w:left="0"/>
      </w:pPr>
      <w:r w:rsidRPr="00991E10">
        <w:t>Tutti i pagamenti sono effettuati al coordinatore.</w:t>
      </w:r>
    </w:p>
    <w:p w14:paraId="7FE7E033" w14:textId="5C5DBFEB" w:rsidR="00A82A58" w:rsidRPr="00991E10" w:rsidRDefault="005A3754" w:rsidP="00A82A58">
      <w:pPr>
        <w:pStyle w:val="Text2"/>
        <w:ind w:left="0"/>
      </w:pPr>
      <w:r w:rsidRPr="00991E10">
        <w:rPr>
          <w:noProof/>
          <w:lang w:val="en-IE" w:eastAsia="en-IE"/>
        </w:rPr>
        <w:drawing>
          <wp:inline distT="0" distB="0" distL="0" distR="0" wp14:anchorId="4AE7EFB5" wp14:editId="6394BE84">
            <wp:extent cx="187960" cy="187960"/>
            <wp:effectExtent l="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rsidRPr="00991E10">
        <w:t xml:space="preserve"> Si tenga presente che i pagamenti saranno automaticamente ridotti se uno dei membri del consorzio ha debiti in essere nei confronti dell’UE (autorità concedente o altri organismi dell’UE). Tali debiti saranno compensati dall’Agenzia in linea con le condizioni stabilite nella convenzione di sovvenzione </w:t>
      </w:r>
      <w:r w:rsidRPr="00991E10">
        <w:rPr>
          <w:i/>
        </w:rPr>
        <w:t>(cfr. articolo 22)</w:t>
      </w:r>
      <w:r w:rsidRPr="00991E10">
        <w:t>.</w:t>
      </w:r>
    </w:p>
    <w:p w14:paraId="1EA9C858" w14:textId="1424599E" w:rsidR="000C6DE8" w:rsidRPr="00991E10" w:rsidRDefault="000C6DE8" w:rsidP="00A82A58">
      <w:pPr>
        <w:pStyle w:val="Text2"/>
        <w:ind w:left="0"/>
        <w:rPr>
          <w:rFonts w:cs="Arial"/>
        </w:rPr>
      </w:pPr>
      <w:r w:rsidRPr="00991E10">
        <w:t xml:space="preserve">Si fa altresì presente la responsabilità di conservare la documentazione di tutti i lavori eseguiti. </w:t>
      </w:r>
    </w:p>
    <w:p w14:paraId="6F7B0297" w14:textId="77777777" w:rsidR="00C038C5" w:rsidRPr="00991E10" w:rsidRDefault="00C038C5" w:rsidP="00C038C5">
      <w:pPr>
        <w:pStyle w:val="Heading3"/>
      </w:pPr>
      <w:bookmarkStart w:id="32" w:name="_Toc92965256"/>
      <w:r w:rsidRPr="00991E10">
        <w:t>Garanzie di prefinanziamento</w:t>
      </w:r>
      <w:bookmarkEnd w:id="32"/>
      <w:r w:rsidRPr="00991E10">
        <w:t xml:space="preserve"> </w:t>
      </w:r>
    </w:p>
    <w:p w14:paraId="5D1F5E81" w14:textId="77777777" w:rsidR="00C038C5" w:rsidRPr="00991E10" w:rsidRDefault="00C038C5" w:rsidP="00C038C5">
      <w:pPr>
        <w:pStyle w:val="Text2"/>
        <w:ind w:left="0"/>
      </w:pPr>
      <w:r w:rsidRPr="00991E10">
        <w:t xml:space="preserve">Laddove richiesta, la garanzia di prefinanziamento sarà stabilita nella convenzione di sovvenzione </w:t>
      </w:r>
      <w:r w:rsidRPr="00991E10">
        <w:rPr>
          <w:i/>
        </w:rPr>
        <w:t>(scheda dati, punto 4)</w:t>
      </w:r>
      <w:r w:rsidRPr="00991E10">
        <w:t>. L’importo sarà fissato durante la preparazione della sovvenzione e di norma sarà pari o inferiore al prefinanziamento della sovvenzione.</w:t>
      </w:r>
    </w:p>
    <w:p w14:paraId="17795A40" w14:textId="77777777" w:rsidR="00C038C5" w:rsidRPr="00991E10" w:rsidRDefault="00C038C5" w:rsidP="00C038C5">
      <w:pPr>
        <w:pStyle w:val="Text2"/>
        <w:ind w:left="0"/>
      </w:pPr>
      <w:r w:rsidRPr="00991E10">
        <w:t>La garanzia deve essere espressa in euro e rilasciata da un istituto bancario/finanziario autorizzato avente sede in uno Stato membro dell’UE. Si invitano gli interessati a contattare l’Agenzia se sono stabiliti in un paese extra UE e desiderano fornire una garanzia di un istituto bancario/finanziario del proprio paese (in via eccezionale, la garanzia potrebbe essere accettata se offre una sicurezza equivalente).</w:t>
      </w:r>
    </w:p>
    <w:p w14:paraId="2588057F" w14:textId="77777777" w:rsidR="00C038C5" w:rsidRPr="00991E10" w:rsidRDefault="00C038C5" w:rsidP="00C038C5">
      <w:pPr>
        <w:pStyle w:val="Text2"/>
        <w:ind w:left="0"/>
      </w:pPr>
      <w:r w:rsidRPr="00991E10">
        <w:t>NON sono accettati come garanzie finanziarie gli importi bloccati su conti bancari.</w:t>
      </w:r>
    </w:p>
    <w:p w14:paraId="6E478E1C" w14:textId="77777777" w:rsidR="00C038C5" w:rsidRPr="00991E10" w:rsidRDefault="00C038C5" w:rsidP="00C038C5">
      <w:pPr>
        <w:pStyle w:val="Text2"/>
        <w:ind w:left="0"/>
      </w:pPr>
      <w:r w:rsidRPr="00991E10">
        <w:t xml:space="preserve">Le garanzie di prefinanziamento NON sono formalmente collegate ai singoli membri del consorzio; ciò significa che è possibile stabilire liberamente le modalità di erogazione dell’importo della garanzia </w:t>
      </w:r>
      <w:r w:rsidRPr="00991E10">
        <w:rPr>
          <w:i/>
        </w:rPr>
        <w:t>(da parte di uno o più beneficiari per l’importo complessivo o più garanzie per importi parziali, rilasciate dal beneficiario interessato o da un altro beneficiario ecc.)</w:t>
      </w:r>
      <w:r w:rsidRPr="00991E10">
        <w:t>. È importante, tuttavia, che l’importo richiesto sia coperto e che la garanzia o le garanzie siano inviate in tempo utile per effettuare il prefinanziamento (copia scannerizzata tramite il portale E originale per posta).</w:t>
      </w:r>
    </w:p>
    <w:p w14:paraId="5675231B" w14:textId="77777777" w:rsidR="00C038C5" w:rsidRPr="00991E10" w:rsidRDefault="00C038C5" w:rsidP="00C038C5">
      <w:pPr>
        <w:pStyle w:val="Text2"/>
        <w:ind w:left="0"/>
      </w:pPr>
      <w:r w:rsidRPr="00991E10">
        <w:t>Se concordato con l’Agenzia, la garanzia bancaria può essere sostituita dalla garanzia di un terzo.</w:t>
      </w:r>
    </w:p>
    <w:p w14:paraId="66D0A676" w14:textId="77777777" w:rsidR="00C038C5" w:rsidRPr="00991E10" w:rsidRDefault="00C038C5" w:rsidP="00C038C5">
      <w:pPr>
        <w:pStyle w:val="Text2"/>
        <w:ind w:left="0"/>
      </w:pPr>
      <w:r w:rsidRPr="00991E10">
        <w:lastRenderedPageBreak/>
        <w:t>La garanzia sarà liberata al termine della sovvenzione, conformemente alle condizioni stabilite nella convenzione di sovvenzione.</w:t>
      </w:r>
    </w:p>
    <w:p w14:paraId="6D8EED08" w14:textId="77777777" w:rsidR="00EE2BCF" w:rsidRPr="00991E10" w:rsidRDefault="00EE2BCF" w:rsidP="00510B7E">
      <w:pPr>
        <w:pStyle w:val="Heading3"/>
      </w:pPr>
      <w:bookmarkStart w:id="33" w:name="_Toc92965257"/>
      <w:r w:rsidRPr="00991E10">
        <w:t>Certificati</w:t>
      </w:r>
      <w:bookmarkEnd w:id="33"/>
    </w:p>
    <w:p w14:paraId="1F2848E4" w14:textId="48031B10" w:rsidR="005224A7" w:rsidRPr="00991E10" w:rsidRDefault="005224A7" w:rsidP="00D16BC1">
      <w:pPr>
        <w:spacing w:after="120"/>
        <w:rPr>
          <w:highlight w:val="yellow"/>
        </w:rPr>
      </w:pPr>
      <w:r w:rsidRPr="00991E10">
        <w:t xml:space="preserve">A seconda del tipo di azione, dell’entità dell’importo della sovvenzione e del tipo di beneficiari, potrebbe essere chiesto di presentare vari certificati. I tipi, le scadenze e i requisiti minimi di ciascun certificato sono stabiliti nella convenzione di sovvenzione </w:t>
      </w:r>
      <w:r w:rsidRPr="00991E10">
        <w:rPr>
          <w:i/>
        </w:rPr>
        <w:t>(scheda dati, punto 4 e articolo 24)</w:t>
      </w:r>
      <w:r w:rsidRPr="00991E10">
        <w:t>.</w:t>
      </w:r>
    </w:p>
    <w:p w14:paraId="67810567" w14:textId="77777777" w:rsidR="007C1E0D" w:rsidRPr="00991E10" w:rsidRDefault="007C1E0D" w:rsidP="00510B7E">
      <w:pPr>
        <w:pStyle w:val="Heading3"/>
      </w:pPr>
      <w:bookmarkStart w:id="34" w:name="_Toc92965258"/>
      <w:r w:rsidRPr="00991E10">
        <w:t>Regime di responsabilità per i recuperi</w:t>
      </w:r>
      <w:bookmarkEnd w:id="34"/>
    </w:p>
    <w:p w14:paraId="5BB9318F" w14:textId="77777777" w:rsidR="002D1390" w:rsidRPr="00991E10" w:rsidRDefault="007C1E0D" w:rsidP="0015357F">
      <w:pPr>
        <w:widowControl w:val="0"/>
        <w:spacing w:after="120"/>
        <w:rPr>
          <w:i/>
        </w:rPr>
      </w:pPr>
      <w:r w:rsidRPr="00991E10">
        <w:t xml:space="preserve">Il regime di responsabilità per i recuperi è stabilito nella convenzione di sovvenzione </w:t>
      </w:r>
      <w:r w:rsidRPr="00991E10">
        <w:rPr>
          <w:i/>
        </w:rPr>
        <w:t>(scheda dati, punto 4.4 e articolo 22)</w:t>
      </w:r>
      <w:r w:rsidRPr="00991E10">
        <w:t>.</w:t>
      </w:r>
    </w:p>
    <w:p w14:paraId="6AAF1F6D" w14:textId="78BE0A71" w:rsidR="007C1E0D" w:rsidRPr="00991E10" w:rsidRDefault="00196064" w:rsidP="0015357F">
      <w:pPr>
        <w:widowControl w:val="0"/>
        <w:spacing w:after="120"/>
      </w:pPr>
      <w:r w:rsidRPr="00991E10">
        <w:t>Per i beneficiari, si tratta di uno dei seguenti regimi:</w:t>
      </w:r>
    </w:p>
    <w:p w14:paraId="4A08B607" w14:textId="5ACE3AC3" w:rsidR="00965369" w:rsidRPr="00991E10" w:rsidRDefault="00965369" w:rsidP="00584316">
      <w:pPr>
        <w:widowControl w:val="0"/>
        <w:numPr>
          <w:ilvl w:val="0"/>
          <w:numId w:val="31"/>
        </w:numPr>
        <w:spacing w:after="120"/>
        <w:ind w:left="709"/>
        <w:jc w:val="left"/>
        <w:rPr>
          <w:rFonts w:eastAsia="Calibri" w:cs="Arial"/>
        </w:rPr>
      </w:pPr>
      <w:r w:rsidRPr="00991E10">
        <w:t xml:space="preserve">responsabilità in solido limitata con massimali individuali: </w:t>
      </w:r>
      <w:r w:rsidRPr="00991E10">
        <w:rPr>
          <w:i/>
        </w:rPr>
        <w:t>ciascun beneficiario fino</w:t>
      </w:r>
      <w:r w:rsidRPr="00991E10">
        <w:t xml:space="preserve"> all’importo massimo della propria sovvenzione;</w:t>
      </w:r>
    </w:p>
    <w:p w14:paraId="22A8F057" w14:textId="77777777" w:rsidR="007C1E0D" w:rsidRPr="00991E10" w:rsidRDefault="007C1E0D" w:rsidP="00584316">
      <w:pPr>
        <w:widowControl w:val="0"/>
        <w:numPr>
          <w:ilvl w:val="0"/>
          <w:numId w:val="31"/>
        </w:numPr>
        <w:spacing w:after="120"/>
        <w:ind w:left="709"/>
        <w:jc w:val="left"/>
        <w:rPr>
          <w:bCs/>
        </w:rPr>
      </w:pPr>
      <w:r w:rsidRPr="00991E10">
        <w:t>responsabilità in solido incondizionata:</w:t>
      </w:r>
      <w:r w:rsidRPr="00991E10">
        <w:rPr>
          <w:i/>
          <w:szCs w:val="18"/>
        </w:rPr>
        <w:t xml:space="preserve"> ciascun beneficiario fino all’importo massimo della sovvenzione per l’azione;</w:t>
      </w:r>
      <w:r w:rsidRPr="00991E10">
        <w:t xml:space="preserve"> </w:t>
      </w:r>
    </w:p>
    <w:p w14:paraId="46190429" w14:textId="77777777" w:rsidR="00E85905" w:rsidRPr="00991E10" w:rsidRDefault="00E85905" w:rsidP="00E85905">
      <w:pPr>
        <w:widowControl w:val="0"/>
        <w:spacing w:after="120"/>
        <w:ind w:left="435"/>
        <w:rPr>
          <w:bCs/>
        </w:rPr>
      </w:pPr>
      <w:r w:rsidRPr="00991E10">
        <w:t>oppure</w:t>
      </w:r>
    </w:p>
    <w:p w14:paraId="48C16878" w14:textId="2DA3851E" w:rsidR="007C1E0D" w:rsidRPr="00991E10" w:rsidRDefault="007C1E0D" w:rsidP="00584316">
      <w:pPr>
        <w:widowControl w:val="0"/>
        <w:numPr>
          <w:ilvl w:val="0"/>
          <w:numId w:val="31"/>
        </w:numPr>
        <w:spacing w:after="120"/>
        <w:ind w:left="709"/>
        <w:jc w:val="left"/>
        <w:rPr>
          <w:bCs/>
        </w:rPr>
      </w:pPr>
      <w:r w:rsidRPr="00991E10">
        <w:t xml:space="preserve">responsabilità finanziaria individuale: </w:t>
      </w:r>
      <w:r w:rsidRPr="00991E10">
        <w:rPr>
          <w:i/>
          <w:szCs w:val="18"/>
        </w:rPr>
        <w:t>ciascun beneficiario solo per i propri debiti</w:t>
      </w:r>
      <w:r w:rsidRPr="00991E10">
        <w:t xml:space="preserve">. </w:t>
      </w:r>
    </w:p>
    <w:p w14:paraId="3ED199B0" w14:textId="77777777" w:rsidR="00196064" w:rsidRPr="00991E10" w:rsidRDefault="00196064" w:rsidP="00196064">
      <w:pPr>
        <w:widowControl w:val="0"/>
        <w:rPr>
          <w:bCs/>
        </w:rPr>
      </w:pPr>
      <w:r w:rsidRPr="00991E10">
        <w:t>Inoltre, l’autorità erogante può richiedere la responsabilità in solido delle entità affiliate (con il loro beneficiario).</w:t>
      </w:r>
    </w:p>
    <w:p w14:paraId="0A01C377" w14:textId="77777777" w:rsidR="002D1390" w:rsidRPr="00991E10" w:rsidRDefault="002D1390" w:rsidP="00510B7E">
      <w:pPr>
        <w:pStyle w:val="Heading3"/>
      </w:pPr>
      <w:bookmarkStart w:id="35" w:name="_Toc92965259"/>
      <w:r w:rsidRPr="00991E10">
        <w:t>Disposizioni relative all’attuazione del progetto</w:t>
      </w:r>
      <w:bookmarkEnd w:id="35"/>
    </w:p>
    <w:p w14:paraId="41C36EDF" w14:textId="77777777" w:rsidR="00C36932" w:rsidRPr="00991E10" w:rsidRDefault="00C36932" w:rsidP="00C36932">
      <w:pPr>
        <w:widowControl w:val="0"/>
        <w:rPr>
          <w:bCs/>
          <w:i/>
        </w:rPr>
      </w:pPr>
      <w:r w:rsidRPr="00991E10">
        <w:t xml:space="preserve">Norme in materia di DPI: </w:t>
      </w:r>
      <w:r w:rsidRPr="00991E10">
        <w:rPr>
          <w:bCs/>
          <w:i/>
        </w:rPr>
        <w:t>cfr. modello di convenzione di sovvenzione (articolo 16 e allegato 5):</w:t>
      </w:r>
    </w:p>
    <w:p w14:paraId="255EA0A4" w14:textId="769E98BA" w:rsidR="00C36932" w:rsidRPr="00991E10" w:rsidRDefault="00C36932" w:rsidP="008C3D9D">
      <w:pPr>
        <w:widowControl w:val="0"/>
        <w:numPr>
          <w:ilvl w:val="0"/>
          <w:numId w:val="31"/>
        </w:numPr>
        <w:ind w:left="709"/>
        <w:jc w:val="left"/>
        <w:rPr>
          <w:bCs/>
        </w:rPr>
      </w:pPr>
      <w:r w:rsidRPr="00991E10">
        <w:t>diritti d’uso sui risultati: sì</w:t>
      </w:r>
    </w:p>
    <w:p w14:paraId="1203D3C9" w14:textId="77777777" w:rsidR="00C36932" w:rsidRPr="00991E10" w:rsidRDefault="00C36932" w:rsidP="008C3D9D">
      <w:pPr>
        <w:widowControl w:val="0"/>
        <w:rPr>
          <w:bCs/>
          <w:i/>
        </w:rPr>
      </w:pPr>
      <w:r w:rsidRPr="00991E10">
        <w:t xml:space="preserve">Comunicazione, diffusione e visibilità dei finanziamenti: </w:t>
      </w:r>
      <w:r w:rsidRPr="00991E10">
        <w:rPr>
          <w:bCs/>
          <w:i/>
        </w:rPr>
        <w:t>cfr. modello di convenzione di sovvenzione (articolo 17 e allegato 5):</w:t>
      </w:r>
    </w:p>
    <w:p w14:paraId="3B53DB48" w14:textId="3BE8BC8F" w:rsidR="006C2D98" w:rsidRPr="00991E10" w:rsidRDefault="006C2D98" w:rsidP="008C3D9D">
      <w:pPr>
        <w:widowControl w:val="0"/>
        <w:numPr>
          <w:ilvl w:val="0"/>
          <w:numId w:val="31"/>
        </w:numPr>
        <w:ind w:left="709" w:hanging="357"/>
        <w:jc w:val="left"/>
        <w:rPr>
          <w:bCs/>
          <w:i/>
        </w:rPr>
      </w:pPr>
      <w:r w:rsidRPr="00991E10">
        <w:t>ulteriori attività di comunicazione e diffusione: sì</w:t>
      </w:r>
    </w:p>
    <w:p w14:paraId="79092A73" w14:textId="77777777" w:rsidR="00E752E3" w:rsidRPr="00991E10" w:rsidRDefault="00E752E3" w:rsidP="00510B7E">
      <w:pPr>
        <w:pStyle w:val="Heading3"/>
      </w:pPr>
      <w:bookmarkStart w:id="36" w:name="_Toc92965260"/>
      <w:r w:rsidRPr="00991E10">
        <w:t>Altre disposizioni specifiche</w:t>
      </w:r>
      <w:bookmarkEnd w:id="36"/>
      <w:r w:rsidRPr="00991E10">
        <w:t xml:space="preserve"> </w:t>
      </w:r>
    </w:p>
    <w:p w14:paraId="6FAE6CF8" w14:textId="3320AC1C" w:rsidR="006C2D98" w:rsidRPr="00991E10" w:rsidRDefault="006C2D98" w:rsidP="006C2D98">
      <w:pPr>
        <w:widowControl w:val="0"/>
        <w:rPr>
          <w:bCs/>
        </w:rPr>
      </w:pPr>
      <w:r w:rsidRPr="00991E10">
        <w:t>n.p.</w:t>
      </w:r>
    </w:p>
    <w:p w14:paraId="550096E5" w14:textId="77777777" w:rsidR="00E752E3" w:rsidRPr="00991E10" w:rsidRDefault="00E752E3" w:rsidP="00510B7E">
      <w:pPr>
        <w:pStyle w:val="Heading3"/>
      </w:pPr>
      <w:bookmarkStart w:id="37" w:name="_Toc92965261"/>
      <w:r w:rsidRPr="00991E10">
        <w:t>Inadempimento e violazione del contratto</w:t>
      </w:r>
      <w:bookmarkEnd w:id="37"/>
    </w:p>
    <w:p w14:paraId="12A9A690" w14:textId="77777777" w:rsidR="00E85C9D" w:rsidRPr="00991E10" w:rsidRDefault="00E752E3" w:rsidP="00E85C9D">
      <w:pPr>
        <w:widowControl w:val="0"/>
        <w:rPr>
          <w:bCs/>
        </w:rPr>
      </w:pPr>
      <w:r w:rsidRPr="00991E10">
        <w:t>La convenzione di sovvenzione (capitolo 5) prevede le misure che possono essere adottate in caso di violazione del contratto (e altre questioni di non conformità).</w:t>
      </w:r>
    </w:p>
    <w:p w14:paraId="11678DD9" w14:textId="4441F51A" w:rsidR="00E752E3" w:rsidRPr="00991E10" w:rsidRDefault="005A3754" w:rsidP="00E752E3">
      <w:pPr>
        <w:autoSpaceDE w:val="0"/>
        <w:autoSpaceDN w:val="0"/>
        <w:adjustRightInd w:val="0"/>
        <w:rPr>
          <w:rFonts w:cs="Verdana"/>
        </w:rPr>
      </w:pPr>
      <w:r w:rsidRPr="00991E10">
        <w:rPr>
          <w:noProof/>
          <w:lang w:val="en-IE" w:eastAsia="en-IE"/>
        </w:rPr>
        <w:drawing>
          <wp:inline distT="0" distB="0" distL="0" distR="0" wp14:anchorId="4DC826B7" wp14:editId="67CF715E">
            <wp:extent cx="187960" cy="187960"/>
            <wp:effectExtent l="0" t="0" r="0" b="0"/>
            <wp:docPr id="11" name="Picture 926709888" title="Title: Title: Title: https://lh5.googleusercontent.com/-n5VVWXljoCs/T8X1egaB-BI/AAAAAAAAC1I/fLBP4VIzxQM/s16/infoIcon_blu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6709888" name="Picture 926709888" title="Title: Title: Title: https://lh5.googleusercontent.com/-n5VVWXljoCs/T8X1egaB-BI/AAAAAAAAC1I/fLBP4VIzxQM/s16/infoIcon_blue.png"/>
                    <pic:cNvPicPr/>
                  </pic:nvPicPr>
                  <pic:blipFill>
                    <a:blip r:embed="rId31">
                      <a:extLst>
                        <a:ext uri="{28A0092B-C50C-407E-A947-70E740481C1C}">
                          <a14:useLocalDpi xmlns:a14="http://schemas.microsoft.com/office/drawing/2010/main" val="0"/>
                        </a:ext>
                      </a:extLst>
                    </a:blip>
                    <a:stretch>
                      <a:fillRect/>
                    </a:stretch>
                  </pic:blipFill>
                  <pic:spPr>
                    <a:xfrm>
                      <a:off x="0" y="0"/>
                      <a:ext cx="187960" cy="187960"/>
                    </a:xfrm>
                    <a:prstGeom prst="rect">
                      <a:avLst/>
                    </a:prstGeom>
                  </pic:spPr>
                </pic:pic>
              </a:graphicData>
            </a:graphic>
          </wp:inline>
        </w:drawing>
      </w:r>
      <w:r w:rsidRPr="00991E10">
        <w:t xml:space="preserve"> Per maggiori informazioni </w:t>
      </w:r>
      <w:r w:rsidRPr="00991E10">
        <w:rPr>
          <w:i/>
          <w:iCs/>
        </w:rPr>
        <w:t xml:space="preserve">cfr. la </w:t>
      </w:r>
      <w:hyperlink r:id="rId49">
        <w:r w:rsidRPr="00991E10">
          <w:rPr>
            <w:rStyle w:val="Hyperlink"/>
            <w:i/>
            <w:iCs/>
          </w:rPr>
          <w:t>CSC — Convenzione di sovvenzione commentata</w:t>
        </w:r>
      </w:hyperlink>
      <w:r w:rsidRPr="00991E10">
        <w:t xml:space="preserve">. </w:t>
      </w:r>
    </w:p>
    <w:p w14:paraId="52D0B17F" w14:textId="3C52329B" w:rsidR="00774448" w:rsidRPr="00991E10" w:rsidRDefault="00774448" w:rsidP="000579AF">
      <w:pPr>
        <w:pStyle w:val="Heading1"/>
        <w:numPr>
          <w:ilvl w:val="0"/>
          <w:numId w:val="54"/>
        </w:numPr>
        <w:tabs>
          <w:tab w:val="left" w:pos="426"/>
        </w:tabs>
        <w:ind w:left="0" w:firstLine="0"/>
      </w:pPr>
      <w:bookmarkStart w:id="38" w:name="_Toc92965262"/>
      <w:r w:rsidRPr="00991E10">
        <w:t>Modalità di presentazione della domanda</w:t>
      </w:r>
      <w:bookmarkEnd w:id="38"/>
    </w:p>
    <w:p w14:paraId="761BA98F" w14:textId="77777777" w:rsidR="00A82A58" w:rsidRPr="00991E10" w:rsidRDefault="00A82A58" w:rsidP="00A82A58">
      <w:pPr>
        <w:widowControl w:val="0"/>
      </w:pPr>
      <w:r w:rsidRPr="00991E10">
        <w:t xml:space="preserve">Tutte le proposte devono essere presentate direttamente online tramite il sistema di presentazione elettronica del portale Finanziamenti e gare d’appalto. NON saranno accettate domande in formato cartaceo. </w:t>
      </w:r>
    </w:p>
    <w:p w14:paraId="1E44B7CE" w14:textId="77777777" w:rsidR="00A82A58" w:rsidRPr="00991E10" w:rsidRDefault="00A82A58" w:rsidP="00A82A58">
      <w:r w:rsidRPr="00991E10">
        <w:t xml:space="preserve">La procedura di presentazione delle domande consta di </w:t>
      </w:r>
      <w:r w:rsidRPr="00991E10">
        <w:rPr>
          <w:b/>
        </w:rPr>
        <w:t>due fasi</w:t>
      </w:r>
      <w:r w:rsidRPr="00991E10">
        <w:t xml:space="preserve">: </w:t>
      </w:r>
    </w:p>
    <w:p w14:paraId="4D4C2031" w14:textId="4DCA710F" w:rsidR="00A82A58" w:rsidRPr="00991E10" w:rsidRDefault="00A82A58" w:rsidP="00965369">
      <w:pPr>
        <w:pStyle w:val="ListParagraph"/>
        <w:numPr>
          <w:ilvl w:val="1"/>
          <w:numId w:val="56"/>
        </w:numPr>
        <w:tabs>
          <w:tab w:val="left" w:pos="284"/>
        </w:tabs>
        <w:spacing w:after="200"/>
        <w:ind w:left="0" w:firstLine="0"/>
        <w:contextualSpacing w:val="0"/>
        <w:rPr>
          <w:sz w:val="20"/>
          <w:szCs w:val="20"/>
        </w:rPr>
      </w:pPr>
      <w:r w:rsidRPr="00991E10">
        <w:rPr>
          <w:b/>
          <w:sz w:val="20"/>
          <w:szCs w:val="20"/>
        </w:rPr>
        <w:lastRenderedPageBreak/>
        <w:t>creare un account utente e registrare la propria organizzazione</w:t>
      </w:r>
      <w:r w:rsidRPr="00991E10">
        <w:rPr>
          <w:sz w:val="20"/>
          <w:szCs w:val="20"/>
        </w:rPr>
        <w:t xml:space="preserve"> </w:t>
      </w:r>
    </w:p>
    <w:p w14:paraId="7C7BE724" w14:textId="3164BC64" w:rsidR="00A82A58" w:rsidRPr="00991E10" w:rsidRDefault="00A82A58" w:rsidP="00965369">
      <w:r w:rsidRPr="00991E10">
        <w:t xml:space="preserve">Per poter utilizzare il sistema di presentazione (l’unica modalità prevista per la presentazione delle domande), tutti i partecipanti devono </w:t>
      </w:r>
      <w:hyperlink r:id="rId50" w:history="1">
        <w:r w:rsidRPr="00991E10">
          <w:rPr>
            <w:color w:val="0088CC"/>
            <w:u w:val="single"/>
          </w:rPr>
          <w:t>creare un account utente EU Login</w:t>
        </w:r>
      </w:hyperlink>
      <w:r w:rsidRPr="00991E10">
        <w:t>.</w:t>
      </w:r>
    </w:p>
    <w:p w14:paraId="385F4D22" w14:textId="33796439" w:rsidR="00A82A58" w:rsidRPr="00991E10" w:rsidRDefault="00A82A58" w:rsidP="00A82A58">
      <w:r w:rsidRPr="00991E10">
        <w:t>Dopo aver creato un account EU</w:t>
      </w:r>
      <w:r w:rsidR="00007A3B">
        <w:t xml:space="preserve"> </w:t>
      </w:r>
      <w:r w:rsidRPr="00991E10">
        <w:t xml:space="preserve">Login è possibile </w:t>
      </w:r>
      <w:hyperlink r:id="rId51" w:history="1">
        <w:r w:rsidRPr="00991E10">
          <w:rPr>
            <w:color w:val="0088CC"/>
            <w:u w:val="single"/>
          </w:rPr>
          <w:t>registrare la propria organizzazione</w:t>
        </w:r>
      </w:hyperlink>
      <w:r w:rsidRPr="00991E10">
        <w:t xml:space="preserve"> nel registro dei partecipanti. Una volta completata la registrazione, si riceverà un codice di identificazione del partecipante (PIC) a nove cifre;</w:t>
      </w:r>
    </w:p>
    <w:p w14:paraId="3B1EF156" w14:textId="467F6BCD" w:rsidR="00A82A58" w:rsidRPr="00991E10" w:rsidRDefault="00A82A58" w:rsidP="00965369">
      <w:pPr>
        <w:pStyle w:val="ListParagraph"/>
        <w:numPr>
          <w:ilvl w:val="1"/>
          <w:numId w:val="56"/>
        </w:numPr>
        <w:tabs>
          <w:tab w:val="left" w:pos="284"/>
        </w:tabs>
        <w:spacing w:after="200"/>
        <w:ind w:left="0" w:firstLine="0"/>
        <w:contextualSpacing w:val="0"/>
        <w:rPr>
          <w:sz w:val="20"/>
          <w:szCs w:val="20"/>
        </w:rPr>
      </w:pPr>
      <w:r w:rsidRPr="00991E10">
        <w:rPr>
          <w:b/>
          <w:sz w:val="20"/>
          <w:szCs w:val="20"/>
        </w:rPr>
        <w:t>presentare la proposta</w:t>
      </w:r>
    </w:p>
    <w:p w14:paraId="2D1D3DDF" w14:textId="7D0EE8DF" w:rsidR="00A82A58" w:rsidRPr="00991E10" w:rsidRDefault="00A82A58" w:rsidP="00A82A58">
      <w:pPr>
        <w:tabs>
          <w:tab w:val="left" w:pos="142"/>
        </w:tabs>
      </w:pPr>
      <w:r w:rsidRPr="00991E10">
        <w:t xml:space="preserve">Accedere al sistema di presentazione elettronica tramite la pagina tematica nella sezione </w:t>
      </w:r>
      <w:hyperlink r:id="rId52" w:history="1">
        <w:r w:rsidRPr="00991E10">
          <w:rPr>
            <w:rStyle w:val="Hyperlink"/>
          </w:rPr>
          <w:t>Cerca Finanziamenti e gare d’appalto</w:t>
        </w:r>
      </w:hyperlink>
      <w:r w:rsidRPr="00991E10">
        <w:t xml:space="preserve"> (oppure, per gli inviti spediti mediante richieste di presentazione di proposte, attraverso il link incluso nella lettera di richiesta).</w:t>
      </w:r>
    </w:p>
    <w:p w14:paraId="55DB4E61" w14:textId="04712426" w:rsidR="00A82A58" w:rsidRPr="00991E10" w:rsidRDefault="00A82A58" w:rsidP="00A82A58">
      <w:r w:rsidRPr="00991E10">
        <w:t xml:space="preserve">La proposta va presentata in quattro parti, come indicato di seguito: </w:t>
      </w:r>
    </w:p>
    <w:p w14:paraId="595ACC2F" w14:textId="77777777" w:rsidR="00A82A58" w:rsidRPr="00991E10" w:rsidRDefault="00A82A58" w:rsidP="00A82A58">
      <w:pPr>
        <w:numPr>
          <w:ilvl w:val="0"/>
          <w:numId w:val="20"/>
        </w:numPr>
        <w:tabs>
          <w:tab w:val="num" w:pos="765"/>
        </w:tabs>
        <w:ind w:left="765"/>
      </w:pPr>
      <w:r w:rsidRPr="00991E10">
        <w:t>la parte A comprende informazioni amministrative sulle organizzazioni proponenti (futuro coordinatore, beneficiari, entità affiliate e partner associati) e la dotazione finanziaria riassuntiva della proposta. Questa parte va compilata direttamente online;</w:t>
      </w:r>
    </w:p>
    <w:p w14:paraId="0B5804F7" w14:textId="77777777" w:rsidR="00A82A58" w:rsidRPr="00991E10" w:rsidRDefault="00A82A58" w:rsidP="00A82A58">
      <w:pPr>
        <w:numPr>
          <w:ilvl w:val="0"/>
          <w:numId w:val="20"/>
        </w:numPr>
        <w:tabs>
          <w:tab w:val="num" w:pos="765"/>
        </w:tabs>
        <w:ind w:left="765"/>
      </w:pPr>
      <w:r w:rsidRPr="00991E10">
        <w:t>la parte B (descrizione dell’azione) tratta del contenuto tecnico della proposta. Il modulo obbligatorio in Word dev’essere scaricato dal sistema di presentazione, compilato e caricato come file PDF;</w:t>
      </w:r>
    </w:p>
    <w:p w14:paraId="4AC31BB2" w14:textId="303BF488" w:rsidR="00A82A58" w:rsidRPr="00991E10" w:rsidRDefault="00A82A58" w:rsidP="00A82A58">
      <w:pPr>
        <w:numPr>
          <w:ilvl w:val="0"/>
          <w:numId w:val="20"/>
        </w:numPr>
        <w:tabs>
          <w:tab w:val="num" w:pos="765"/>
        </w:tabs>
        <w:ind w:left="765"/>
      </w:pPr>
      <w:r w:rsidRPr="00991E10">
        <w:t>la parte C comprende dati aggiuntivi sul progetto e va compilata direttamente online;</w:t>
      </w:r>
    </w:p>
    <w:p w14:paraId="3A0A5CB2" w14:textId="77777777" w:rsidR="00A82A58" w:rsidRPr="00991E10" w:rsidRDefault="00A82A58" w:rsidP="00A82A58">
      <w:pPr>
        <w:numPr>
          <w:ilvl w:val="0"/>
          <w:numId w:val="20"/>
        </w:numPr>
        <w:tabs>
          <w:tab w:val="num" w:pos="765"/>
        </w:tabs>
        <w:ind w:left="765"/>
      </w:pPr>
      <w:r w:rsidRPr="00991E10">
        <w:t xml:space="preserve">allegati </w:t>
      </w:r>
      <w:r w:rsidRPr="00991E10">
        <w:rPr>
          <w:i/>
        </w:rPr>
        <w:t>(cfr. la sezione 5)</w:t>
      </w:r>
      <w:r w:rsidRPr="00991E10">
        <w:t xml:space="preserve">. Vanno caricati come file PDF (singolo o multiplo a seconda degli slot). Il caricamento in formato Excel è talvolta possibile, a seconda del tipo di file. </w:t>
      </w:r>
    </w:p>
    <w:p w14:paraId="3A92FB1F" w14:textId="77777777" w:rsidR="00A82A58" w:rsidRPr="00991E10" w:rsidRDefault="00A82A58" w:rsidP="00A82A58">
      <w:r w:rsidRPr="00991E10">
        <w:t xml:space="preserve">La proposta deve rispettare i </w:t>
      </w:r>
      <w:r w:rsidRPr="00991E10">
        <w:rPr>
          <w:b/>
        </w:rPr>
        <w:t>limiti di pagine</w:t>
      </w:r>
      <w:r w:rsidRPr="00991E10">
        <w:t xml:space="preserve"> </w:t>
      </w:r>
      <w:r w:rsidRPr="00991E10">
        <w:rPr>
          <w:i/>
        </w:rPr>
        <w:t>(cfr. la sezione 5)</w:t>
      </w:r>
      <w:r w:rsidRPr="00991E10">
        <w:t xml:space="preserve">; le pagine in eccesso non saranno prese in considerazione. </w:t>
      </w:r>
    </w:p>
    <w:p w14:paraId="20D3A891" w14:textId="3BD2430A" w:rsidR="00774448" w:rsidRPr="00991E10" w:rsidRDefault="00774448" w:rsidP="00A82A58">
      <w:r w:rsidRPr="00991E10">
        <w:t xml:space="preserve">I documenti devono essere caricati nella </w:t>
      </w:r>
      <w:r w:rsidRPr="00991E10">
        <w:rPr>
          <w:b/>
        </w:rPr>
        <w:t>categoria pertinente</w:t>
      </w:r>
      <w:r w:rsidRPr="00991E10">
        <w:t xml:space="preserve"> all’interno del sistema di presentazione; in caso contrario la proposta potrebbe essere considerata incompleta e, pertanto, inammissibile.</w:t>
      </w:r>
    </w:p>
    <w:p w14:paraId="72F683C9" w14:textId="77777777" w:rsidR="00774448" w:rsidRPr="00991E10" w:rsidRDefault="00774448" w:rsidP="00774448">
      <w:r w:rsidRPr="00991E10">
        <w:t xml:space="preserve">Le proposte devono essere presentate </w:t>
      </w:r>
      <w:r w:rsidRPr="00991E10">
        <w:rPr>
          <w:b/>
        </w:rPr>
        <w:t>entro il termine di scadenza dell’invito</w:t>
      </w:r>
      <w:r w:rsidRPr="00991E10">
        <w:t xml:space="preserve"> </w:t>
      </w:r>
      <w:r w:rsidRPr="00991E10">
        <w:rPr>
          <w:i/>
        </w:rPr>
        <w:t>(cfr. la sezione 4)</w:t>
      </w:r>
      <w:r w:rsidRPr="00991E10">
        <w:t xml:space="preserve">. Dopo tale scadenza, il sistema viene chiuso e non è più possibile presentare proposte. </w:t>
      </w:r>
    </w:p>
    <w:p w14:paraId="762AB04D" w14:textId="4008BA7C" w:rsidR="00774448" w:rsidRPr="00991E10" w:rsidRDefault="00774448" w:rsidP="00774448">
      <w:r w:rsidRPr="00991E10">
        <w:t xml:space="preserve">Dopo aver presentato la domanda, si riceverà un </w:t>
      </w:r>
      <w:r w:rsidRPr="00991E10">
        <w:rPr>
          <w:b/>
        </w:rPr>
        <w:t>messaggio di posta elettronica di conferma</w:t>
      </w:r>
      <w:r w:rsidRPr="00991E10">
        <w:t xml:space="preserve"> (contenente la data e l’ora della domanda). La mancata ricezione di tale messaggio indica che la proposta NON è stata presentata. Qualora il richiedente ritenga che la presentazione non sia avvenuta per un errore del sistema di presentazione, dovrà inviare immediatamente un reclamo mediante il </w:t>
      </w:r>
      <w:hyperlink r:id="rId53" w:history="1">
        <w:r w:rsidRPr="00991E10">
          <w:rPr>
            <w:color w:val="0088CC"/>
            <w:u w:val="single"/>
          </w:rPr>
          <w:t>modulo web dell’helpdesk informatico</w:t>
        </w:r>
      </w:hyperlink>
      <w:r w:rsidRPr="00991E10">
        <w:t>, spiegando le circostanze e allegando una copia della proposta (e, se possibile, le immagini delle schermate per mostrare che cosa è successo).</w:t>
      </w:r>
    </w:p>
    <w:p w14:paraId="5EBA6498" w14:textId="29E6F5A6" w:rsidR="00774448" w:rsidRPr="00991E10" w:rsidRDefault="00774448" w:rsidP="00774448">
      <w:r w:rsidRPr="00991E10">
        <w:t xml:space="preserve">I processi e le procedure sono descritti dettagliatamente nel </w:t>
      </w:r>
      <w:hyperlink r:id="rId54" w:history="1">
        <w:r w:rsidRPr="00991E10">
          <w:rPr>
            <w:rStyle w:val="Hyperlink"/>
          </w:rPr>
          <w:t>manuale online</w:t>
        </w:r>
      </w:hyperlink>
      <w:r w:rsidRPr="00991E10">
        <w:t>. Il manuale online contiene anche i link alle domande frequenti e istruzioni dettagliate per l’uso del sistema di scambio elettronico del portale.</w:t>
      </w:r>
    </w:p>
    <w:p w14:paraId="2FB20757" w14:textId="11484925" w:rsidR="002D1390" w:rsidRPr="00991E10" w:rsidRDefault="002D1390" w:rsidP="000624EC">
      <w:pPr>
        <w:pStyle w:val="Heading1"/>
        <w:keepNext/>
        <w:numPr>
          <w:ilvl w:val="0"/>
          <w:numId w:val="54"/>
        </w:numPr>
        <w:tabs>
          <w:tab w:val="left" w:pos="426"/>
        </w:tabs>
        <w:ind w:left="0" w:firstLine="0"/>
      </w:pPr>
      <w:bookmarkStart w:id="39" w:name="_Toc92965263"/>
      <w:r w:rsidRPr="00991E10">
        <w:lastRenderedPageBreak/>
        <w:t>Assistenza</w:t>
      </w:r>
      <w:bookmarkEnd w:id="39"/>
    </w:p>
    <w:p w14:paraId="5BD07290" w14:textId="77777777" w:rsidR="00B870D7" w:rsidRPr="00991E10" w:rsidRDefault="00B870D7" w:rsidP="00B870D7">
      <w:pPr>
        <w:spacing w:after="120"/>
        <w:rPr>
          <w:szCs w:val="21"/>
        </w:rPr>
      </w:pPr>
      <w:r w:rsidRPr="00991E10">
        <w:t xml:space="preserve">Per quanto possibile, si invita a </w:t>
      </w:r>
      <w:r w:rsidRPr="00991E10">
        <w:rPr>
          <w:b/>
          <w:i/>
          <w:szCs w:val="21"/>
        </w:rPr>
        <w:t>reperire autonomamente le risposte necessarie</w:t>
      </w:r>
      <w:r w:rsidRPr="00991E10">
        <w:t xml:space="preserve"> in questo e negli altri documenti (le risorse a disposizione dell’EACEA per la gestione delle richieste dirette di informazioni sono limitate):</w:t>
      </w:r>
    </w:p>
    <w:p w14:paraId="66C7F5F9" w14:textId="1C6AA98A" w:rsidR="00B870D7" w:rsidRPr="00991E10" w:rsidRDefault="00B73F40" w:rsidP="00584316">
      <w:pPr>
        <w:widowControl w:val="0"/>
        <w:numPr>
          <w:ilvl w:val="0"/>
          <w:numId w:val="31"/>
        </w:numPr>
        <w:spacing w:after="120"/>
        <w:ind w:left="709"/>
        <w:jc w:val="left"/>
        <w:rPr>
          <w:szCs w:val="21"/>
        </w:rPr>
      </w:pPr>
      <w:hyperlink r:id="rId55" w:history="1">
        <w:r w:rsidR="00D9124D" w:rsidRPr="00991E10">
          <w:rPr>
            <w:rStyle w:val="Hyperlink"/>
          </w:rPr>
          <w:t>manuale online</w:t>
        </w:r>
      </w:hyperlink>
      <w:r w:rsidR="00D9124D" w:rsidRPr="00991E10">
        <w:t xml:space="preserve">; </w:t>
      </w:r>
    </w:p>
    <w:p w14:paraId="20342E5F" w14:textId="77777777" w:rsidR="00B870D7" w:rsidRPr="00991E10" w:rsidRDefault="00B870D7" w:rsidP="00584316">
      <w:pPr>
        <w:widowControl w:val="0"/>
        <w:numPr>
          <w:ilvl w:val="0"/>
          <w:numId w:val="31"/>
        </w:numPr>
        <w:spacing w:after="120"/>
        <w:ind w:left="709"/>
        <w:jc w:val="left"/>
        <w:rPr>
          <w:szCs w:val="21"/>
          <w:u w:val="single"/>
        </w:rPr>
      </w:pPr>
      <w:r w:rsidRPr="00991E10">
        <w:t>domande frequenti sulla pagina tematica (per domande specifiche in merito agli inviti aperti; non applicabile alle azioni su invito);</w:t>
      </w:r>
    </w:p>
    <w:p w14:paraId="15BC9D11" w14:textId="42F6CA81" w:rsidR="00B870D7" w:rsidRPr="00991E10" w:rsidRDefault="00B73F40" w:rsidP="00584316">
      <w:pPr>
        <w:widowControl w:val="0"/>
        <w:numPr>
          <w:ilvl w:val="0"/>
          <w:numId w:val="31"/>
        </w:numPr>
        <w:ind w:left="709" w:hanging="357"/>
        <w:jc w:val="left"/>
        <w:rPr>
          <w:szCs w:val="21"/>
          <w:u w:val="single"/>
        </w:rPr>
      </w:pPr>
      <w:hyperlink r:id="rId56" w:history="1">
        <w:r w:rsidR="00D9124D" w:rsidRPr="00991E10">
          <w:rPr>
            <w:rStyle w:val="Hyperlink"/>
          </w:rPr>
          <w:t>portale delle domande frequenti</w:t>
        </w:r>
      </w:hyperlink>
      <w:r w:rsidR="00D9124D" w:rsidRPr="00991E10">
        <w:t xml:space="preserve"> (per le domande di carattere generale).</w:t>
      </w:r>
    </w:p>
    <w:p w14:paraId="7FE24C65" w14:textId="77777777" w:rsidR="00A53E20" w:rsidRPr="00991E10" w:rsidRDefault="00A53E20" w:rsidP="00A53E20">
      <w:pPr>
        <w:rPr>
          <w:color w:val="000000"/>
          <w:szCs w:val="21"/>
        </w:rPr>
      </w:pPr>
      <w:r w:rsidRPr="00991E10">
        <w:rPr>
          <w:color w:val="000000"/>
          <w:szCs w:val="21"/>
        </w:rPr>
        <w:t>Si prega inoltre di consultare regolarmente la pagina tematica in quanto è utilizzata per pubblicare gli aggiornamenti relativi all’invito. Per quanto riguarda le richieste di presentazione di proposte, l’EACEA gli interessati saranno contattati direttamente in caso di aggiornamenti dell’invito).</w:t>
      </w:r>
    </w:p>
    <w:p w14:paraId="2799B9E0" w14:textId="77777777" w:rsidR="00A53E20" w:rsidRPr="00991E10" w:rsidRDefault="00A53E20" w:rsidP="00A53E20">
      <w:pPr>
        <w:widowControl w:val="0"/>
        <w:rPr>
          <w:i/>
        </w:rPr>
      </w:pPr>
      <w:r w:rsidRPr="00991E10">
        <w:rPr>
          <w:i/>
        </w:rPr>
        <w:t>Contatti</w:t>
      </w:r>
    </w:p>
    <w:p w14:paraId="4F7C9187" w14:textId="10C3999F" w:rsidR="00A53E20" w:rsidRPr="00991E10" w:rsidRDefault="00A53E20" w:rsidP="00A53E20">
      <w:pPr>
        <w:pStyle w:val="Default"/>
        <w:spacing w:after="120"/>
        <w:jc w:val="both"/>
        <w:rPr>
          <w:rFonts w:ascii="Verdana" w:hAnsi="Verdana" w:cs="Arial"/>
          <w:color w:val="auto"/>
          <w:sz w:val="20"/>
          <w:szCs w:val="20"/>
        </w:rPr>
      </w:pPr>
      <w:r w:rsidRPr="00991E10">
        <w:rPr>
          <w:rFonts w:ascii="Verdana" w:hAnsi="Verdana"/>
          <w:color w:val="auto"/>
          <w:sz w:val="20"/>
          <w:szCs w:val="20"/>
        </w:rPr>
        <w:t>Per domande sul sistema di presentazione del portale si prega di contattare l’</w:t>
      </w:r>
      <w:hyperlink r:id="rId57" w:history="1">
        <w:r w:rsidRPr="00991E10">
          <w:rPr>
            <w:rStyle w:val="Hyperlink"/>
            <w:rFonts w:ascii="Verdana" w:hAnsi="Verdana"/>
            <w:sz w:val="20"/>
            <w:szCs w:val="20"/>
          </w:rPr>
          <w:t>helpdesk informatico</w:t>
        </w:r>
      </w:hyperlink>
      <w:r w:rsidRPr="00991E10">
        <w:rPr>
          <w:rFonts w:ascii="Verdana" w:hAnsi="Verdana"/>
          <w:color w:val="auto"/>
          <w:sz w:val="20"/>
          <w:szCs w:val="20"/>
        </w:rPr>
        <w:t>.</w:t>
      </w:r>
    </w:p>
    <w:p w14:paraId="0208E6F8" w14:textId="77777777" w:rsidR="007654F8" w:rsidRPr="00991E10" w:rsidRDefault="00A53E20" w:rsidP="007654F8">
      <w:pPr>
        <w:pStyle w:val="Text1"/>
        <w:spacing w:after="120"/>
        <w:ind w:left="0"/>
        <w:rPr>
          <w:rFonts w:cs="Arial"/>
        </w:rPr>
      </w:pPr>
      <w:r w:rsidRPr="00991E10">
        <w:t xml:space="preserve">Le domande di argomento non informatico devono essere inviate al seguente indirizzo di posta elettronica: </w:t>
      </w:r>
    </w:p>
    <w:p w14:paraId="78E7C8FF" w14:textId="3AE92BAC" w:rsidR="00CD6C4F" w:rsidRPr="00991E10" w:rsidRDefault="00B73F40" w:rsidP="007654F8">
      <w:pPr>
        <w:pStyle w:val="Text1"/>
        <w:spacing w:after="120"/>
        <w:ind w:left="0"/>
        <w:rPr>
          <w:rFonts w:cs="Arial"/>
        </w:rPr>
      </w:pPr>
      <w:hyperlink r:id="rId58" w:history="1">
        <w:r w:rsidR="00D9124D" w:rsidRPr="00991E10">
          <w:rPr>
            <w:rStyle w:val="Hyperlink"/>
            <w:color w:val="FF0000"/>
          </w:rPr>
          <w:t>EACEA-CERV@ec.europa.eu</w:t>
        </w:r>
      </w:hyperlink>
      <w:r w:rsidR="00D9124D" w:rsidRPr="00991E10">
        <w:t xml:space="preserve">. </w:t>
      </w:r>
    </w:p>
    <w:p w14:paraId="5BAEED01" w14:textId="77777777" w:rsidR="00A53E20" w:rsidRPr="00991E10" w:rsidRDefault="00A53E20" w:rsidP="00CD6C4F">
      <w:pPr>
        <w:pStyle w:val="Text1"/>
        <w:spacing w:after="120"/>
        <w:ind w:left="0"/>
        <w:rPr>
          <w:rFonts w:cs="Arial"/>
        </w:rPr>
      </w:pPr>
      <w:r w:rsidRPr="00991E10">
        <w:t xml:space="preserve">Si prega di indicare chiaramente il riferimento dell’invito a presentare proposte e l’oggetto della domanda </w:t>
      </w:r>
      <w:r w:rsidRPr="00991E10">
        <w:rPr>
          <w:i/>
        </w:rPr>
        <w:t>(cfr. prima pagina dell’invito)</w:t>
      </w:r>
      <w:r w:rsidRPr="00991E10">
        <w:t>.</w:t>
      </w:r>
    </w:p>
    <w:p w14:paraId="60C73839" w14:textId="77777777" w:rsidR="00376DCA" w:rsidRPr="00991E10" w:rsidRDefault="00376DCA" w:rsidP="007C37E2"/>
    <w:p w14:paraId="55C4BC05" w14:textId="76070ACC" w:rsidR="008D7360" w:rsidRPr="00991E10" w:rsidRDefault="00376DCA" w:rsidP="000579AF">
      <w:pPr>
        <w:pStyle w:val="Heading1"/>
        <w:numPr>
          <w:ilvl w:val="0"/>
          <w:numId w:val="54"/>
        </w:numPr>
        <w:tabs>
          <w:tab w:val="left" w:pos="426"/>
        </w:tabs>
        <w:ind w:left="0" w:firstLine="0"/>
      </w:pPr>
      <w:r w:rsidRPr="00991E10">
        <w:br w:type="page"/>
      </w:r>
      <w:bookmarkStart w:id="40" w:name="_Toc92965264"/>
      <w:r w:rsidRPr="00991E10">
        <w:lastRenderedPageBreak/>
        <w:t>Importante</w:t>
      </w:r>
      <w:bookmarkEnd w:id="40"/>
    </w:p>
    <w:tbl>
      <w:tblPr>
        <w:tblStyle w:val="TableGrid"/>
        <w:tblW w:w="0" w:type="auto"/>
        <w:tblBorders>
          <w:top w:val="single" w:sz="4" w:space="0" w:color="BFBFBF"/>
          <w:left w:val="single" w:sz="4" w:space="0" w:color="BFBFBF"/>
          <w:bottom w:val="single" w:sz="4" w:space="0" w:color="BFBFBF"/>
          <w:right w:val="single" w:sz="4" w:space="0" w:color="BFBFBF"/>
          <w:insideH w:val="none" w:sz="0" w:space="0" w:color="auto"/>
          <w:insideV w:val="none" w:sz="0" w:space="0" w:color="auto"/>
        </w:tblBorders>
        <w:tblLook w:val="04A0" w:firstRow="1" w:lastRow="0" w:firstColumn="1" w:lastColumn="0" w:noHBand="0" w:noVBand="1"/>
      </w:tblPr>
      <w:tblGrid>
        <w:gridCol w:w="8720"/>
      </w:tblGrid>
      <w:tr w:rsidR="00701A90" w:rsidRPr="00991E10" w14:paraId="2A352938" w14:textId="77777777" w:rsidTr="00991E10">
        <w:tc>
          <w:tcPr>
            <w:tcW w:w="8720" w:type="dxa"/>
            <w:shd w:val="clear" w:color="auto" w:fill="F2F2F2" w:themeFill="background1" w:themeFillShade="F2"/>
          </w:tcPr>
          <w:p w14:paraId="547B0B5B" w14:textId="77777777" w:rsidR="00701A90" w:rsidRPr="00991E10" w:rsidRDefault="00701A90" w:rsidP="00701A90">
            <w:pPr>
              <w:pStyle w:val="Text1"/>
              <w:spacing w:before="120" w:after="120"/>
              <w:ind w:left="0"/>
              <w:rPr>
                <w:rFonts w:cs="Arial"/>
                <w:color w:val="595959"/>
                <w:sz w:val="16"/>
                <w:szCs w:val="18"/>
              </w:rPr>
            </w:pPr>
            <w:bookmarkStart w:id="41" w:name="_Hlk92965112"/>
            <w:r w:rsidRPr="00991E10">
              <w:rPr>
                <w:b/>
                <w:noProof/>
                <w:color w:val="7F7F7F"/>
                <w:sz w:val="18"/>
                <w:szCs w:val="21"/>
                <w:lang w:val="en-IE" w:eastAsia="en-IE"/>
              </w:rPr>
              <w:drawing>
                <wp:inline distT="0" distB="0" distL="0" distR="0" wp14:anchorId="02C4CAA0" wp14:editId="529E119F">
                  <wp:extent cx="187960" cy="187960"/>
                  <wp:effectExtent l="0" t="0" r="0" b="0"/>
                  <wp:docPr id="13" name="Picture 13"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arni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rsidRPr="00991E10">
              <w:rPr>
                <w:sz w:val="18"/>
                <w:szCs w:val="18"/>
              </w:rPr>
              <w:t xml:space="preserve"> </w:t>
            </w:r>
            <w:r w:rsidRPr="00991E10">
              <w:rPr>
                <w:b/>
                <w:color w:val="595959"/>
                <w:sz w:val="18"/>
                <w:szCs w:val="18"/>
              </w:rPr>
              <w:t xml:space="preserve">IMPORTANTE </w:t>
            </w:r>
          </w:p>
          <w:p w14:paraId="0F6F7CE0" w14:textId="77777777" w:rsidR="00701A90" w:rsidRPr="00991E10" w:rsidRDefault="00701A90" w:rsidP="00701A90">
            <w:pPr>
              <w:numPr>
                <w:ilvl w:val="0"/>
                <w:numId w:val="25"/>
              </w:numPr>
              <w:spacing w:after="120"/>
              <w:ind w:left="567" w:right="79" w:hanging="447"/>
              <w:rPr>
                <w:color w:val="595959"/>
                <w:sz w:val="18"/>
                <w:szCs w:val="18"/>
              </w:rPr>
            </w:pPr>
            <w:r w:rsidRPr="00991E10">
              <w:rPr>
                <w:b/>
                <w:color w:val="595959"/>
                <w:sz w:val="18"/>
                <w:szCs w:val="18"/>
              </w:rPr>
              <w:t>Non aspettare fino all’ultimo momento</w:t>
            </w:r>
            <w:r w:rsidRPr="00991E10">
              <w:rPr>
                <w:color w:val="595959"/>
                <w:sz w:val="18"/>
                <w:szCs w:val="18"/>
              </w:rPr>
              <w:t xml:space="preserve">: compilare la domanda con sufficiente anticipo rispetto alla scadenza per evitare </w:t>
            </w:r>
            <w:r w:rsidRPr="00991E10">
              <w:rPr>
                <w:b/>
                <w:color w:val="595959"/>
                <w:sz w:val="18"/>
                <w:szCs w:val="18"/>
              </w:rPr>
              <w:t>problemi tecnici</w:t>
            </w:r>
            <w:r w:rsidRPr="00991E10">
              <w:rPr>
                <w:color w:val="595959"/>
                <w:sz w:val="18"/>
                <w:szCs w:val="18"/>
              </w:rPr>
              <w:t xml:space="preserve"> dell’ultimo minuto. Eventuali problemi causati da presentazioni effettuate a ridosso del termine </w:t>
            </w:r>
            <w:r w:rsidRPr="00991E10">
              <w:rPr>
                <w:i/>
                <w:color w:val="595959"/>
                <w:sz w:val="18"/>
                <w:szCs w:val="18"/>
              </w:rPr>
              <w:t>(quali sovraccarico ecc.)</w:t>
            </w:r>
            <w:r w:rsidRPr="00991E10">
              <w:rPr>
                <w:color w:val="595959"/>
                <w:sz w:val="18"/>
                <w:szCs w:val="18"/>
              </w:rPr>
              <w:t xml:space="preserve"> saranno completamente a carico dei richiedenti. Le scadenze degli inviti NON possono essere prorogate.</w:t>
            </w:r>
          </w:p>
          <w:p w14:paraId="4316568C" w14:textId="77777777" w:rsidR="00701A90" w:rsidRPr="00991E10" w:rsidRDefault="00701A90" w:rsidP="00701A90">
            <w:pPr>
              <w:numPr>
                <w:ilvl w:val="0"/>
                <w:numId w:val="25"/>
              </w:numPr>
              <w:ind w:left="567" w:right="79" w:hanging="447"/>
              <w:rPr>
                <w:color w:val="595959"/>
                <w:sz w:val="18"/>
                <w:szCs w:val="18"/>
              </w:rPr>
            </w:pPr>
            <w:r w:rsidRPr="00991E10">
              <w:rPr>
                <w:b/>
                <w:color w:val="595959"/>
                <w:sz w:val="18"/>
                <w:szCs w:val="18"/>
              </w:rPr>
              <w:t>Consultare</w:t>
            </w:r>
            <w:r w:rsidRPr="00991E10">
              <w:rPr>
                <w:color w:val="595959"/>
                <w:sz w:val="18"/>
                <w:szCs w:val="18"/>
              </w:rPr>
              <w:t xml:space="preserve"> regolarmente la pagina tematica del portale. Sarà utilizzata per pubblicare aggiornamenti e informazioni supplementari riguardanti l’invito (aggiornamenti dell’invito e delle tematiche).</w:t>
            </w:r>
          </w:p>
          <w:p w14:paraId="4B03030A" w14:textId="1E3D4731" w:rsidR="00701A90" w:rsidRPr="00991E10" w:rsidRDefault="00701A90" w:rsidP="00701A90">
            <w:pPr>
              <w:numPr>
                <w:ilvl w:val="0"/>
                <w:numId w:val="25"/>
              </w:numPr>
              <w:ind w:left="567" w:right="79" w:hanging="447"/>
              <w:rPr>
                <w:rFonts w:cs="Arial"/>
                <w:color w:val="595959"/>
                <w:sz w:val="18"/>
                <w:szCs w:val="18"/>
              </w:rPr>
            </w:pPr>
            <w:r w:rsidRPr="00991E10">
              <w:rPr>
                <w:color w:val="595959"/>
                <w:sz w:val="18"/>
                <w:szCs w:val="18"/>
              </w:rPr>
              <w:t>Sistema di scambio elettronico del portale Finanziamenti e gare d’appalto</w:t>
            </w:r>
            <w:r w:rsidRPr="00991E10">
              <w:rPr>
                <w:color w:val="595959"/>
              </w:rPr>
              <w:t xml:space="preserve">: con la presentazione della domanda tutti i partecipanti </w:t>
            </w:r>
            <w:r w:rsidRPr="00991E10">
              <w:rPr>
                <w:b/>
                <w:color w:val="595959"/>
              </w:rPr>
              <w:t>accettano</w:t>
            </w:r>
            <w:r w:rsidRPr="00991E10">
              <w:rPr>
                <w:color w:val="595959"/>
              </w:rPr>
              <w:t xml:space="preserve"> di utilizzare il sistema di scambio elettronico conformemente alle</w:t>
            </w:r>
            <w:r w:rsidRPr="00991E10">
              <w:t xml:space="preserve"> </w:t>
            </w:r>
            <w:hyperlink r:id="rId59" w:history="1">
              <w:r w:rsidRPr="00991E10">
                <w:rPr>
                  <w:rStyle w:val="Hyperlink"/>
                  <w:sz w:val="18"/>
                  <w:szCs w:val="18"/>
                </w:rPr>
                <w:t>condizioni generali di utilizzo del portale</w:t>
              </w:r>
            </w:hyperlink>
            <w:r w:rsidRPr="00991E10">
              <w:rPr>
                <w:color w:val="7F7F7F"/>
                <w:sz w:val="18"/>
                <w:szCs w:val="18"/>
              </w:rPr>
              <w:t>.</w:t>
            </w:r>
          </w:p>
          <w:p w14:paraId="4D9869BA" w14:textId="2FE0F73F" w:rsidR="00701A90" w:rsidRPr="00991E10" w:rsidRDefault="00701A90" w:rsidP="00701A90">
            <w:pPr>
              <w:numPr>
                <w:ilvl w:val="0"/>
                <w:numId w:val="25"/>
              </w:numPr>
              <w:ind w:left="567" w:right="79" w:hanging="447"/>
              <w:rPr>
                <w:rFonts w:cs="Arial"/>
                <w:color w:val="595959"/>
                <w:sz w:val="18"/>
                <w:szCs w:val="18"/>
              </w:rPr>
            </w:pPr>
            <w:r w:rsidRPr="00991E10">
              <w:rPr>
                <w:b/>
                <w:color w:val="595959"/>
                <w:sz w:val="18"/>
                <w:szCs w:val="18"/>
              </w:rPr>
              <w:t>Registrazione</w:t>
            </w:r>
            <w:r w:rsidRPr="00991E10">
              <w:rPr>
                <w:color w:val="595959"/>
                <w:sz w:val="18"/>
                <w:szCs w:val="18"/>
              </w:rPr>
              <w:t xml:space="preserve">: prima di presentare la domanda tutti i beneficiari, le entità affiliate e i partner associati devono essere iscritti nel </w:t>
            </w:r>
            <w:hyperlink r:id="rId60" w:history="1">
              <w:r w:rsidRPr="00991E10">
                <w:rPr>
                  <w:rStyle w:val="Hyperlink"/>
                  <w:sz w:val="18"/>
                  <w:szCs w:val="18"/>
                </w:rPr>
                <w:t>registro dei partecipanti</w:t>
              </w:r>
            </w:hyperlink>
            <w:r w:rsidRPr="00991E10">
              <w:rPr>
                <w:color w:val="595959"/>
                <w:sz w:val="18"/>
                <w:szCs w:val="18"/>
              </w:rPr>
              <w:t>. Il codice identificativo del partecipante (PIC) (uno per partecipante) è obbligatorio per la compilazione del modulo di domanda.</w:t>
            </w:r>
          </w:p>
          <w:p w14:paraId="6B1CEF44" w14:textId="77777777" w:rsidR="00701A90" w:rsidRPr="00991E10" w:rsidRDefault="00701A90" w:rsidP="00991E10">
            <w:pPr>
              <w:keepNext/>
              <w:keepLines/>
              <w:numPr>
                <w:ilvl w:val="0"/>
                <w:numId w:val="25"/>
              </w:numPr>
              <w:spacing w:after="120"/>
              <w:ind w:left="567" w:right="79" w:hanging="445"/>
              <w:rPr>
                <w:rFonts w:cs="Arial"/>
                <w:iCs/>
                <w:color w:val="595959"/>
                <w:sz w:val="18"/>
                <w:szCs w:val="18"/>
              </w:rPr>
            </w:pPr>
            <w:r w:rsidRPr="00991E10">
              <w:rPr>
                <w:b/>
                <w:iCs/>
                <w:color w:val="595959"/>
                <w:sz w:val="18"/>
                <w:szCs w:val="18"/>
              </w:rPr>
              <w:t>Ruoli del consorzio</w:t>
            </w:r>
            <w:r w:rsidRPr="00991E10">
              <w:rPr>
                <w:iCs/>
                <w:color w:val="595959"/>
                <w:sz w:val="18"/>
                <w:szCs w:val="18"/>
              </w:rPr>
              <w:t>: al momento di costituire il consorzio è buona pratica coinvolgere organizzazioni che aiutano a raggiungere gli obiettivi e a risolvere i problemi.</w:t>
            </w:r>
          </w:p>
          <w:p w14:paraId="5013F6B8" w14:textId="77777777" w:rsidR="00701A90" w:rsidRPr="00991E10" w:rsidRDefault="00701A90" w:rsidP="00991E10">
            <w:pPr>
              <w:keepNext/>
              <w:keepLines/>
              <w:spacing w:after="120"/>
              <w:ind w:left="567" w:right="79"/>
              <w:rPr>
                <w:rFonts w:eastAsia="Calibri"/>
                <w:sz w:val="18"/>
                <w:szCs w:val="18"/>
              </w:rPr>
            </w:pPr>
            <w:r w:rsidRPr="00991E10">
              <w:rPr>
                <w:color w:val="595959"/>
                <w:sz w:val="18"/>
                <w:szCs w:val="18"/>
              </w:rPr>
              <w:t xml:space="preserve">I ruoli dovrebbero essere attribuiti in funzione del livello di partecipazione al progetto. I partecipanti principali dovrebbero essere </w:t>
            </w:r>
            <w:r w:rsidRPr="00991E10">
              <w:rPr>
                <w:b/>
                <w:color w:val="595959"/>
                <w:sz w:val="18"/>
                <w:szCs w:val="18"/>
              </w:rPr>
              <w:t>beneficiari</w:t>
            </w:r>
            <w:r w:rsidRPr="00991E10">
              <w:rPr>
                <w:color w:val="595959"/>
                <w:sz w:val="18"/>
                <w:szCs w:val="18"/>
              </w:rPr>
              <w:t xml:space="preserve"> o </w:t>
            </w:r>
            <w:r w:rsidRPr="00991E10">
              <w:rPr>
                <w:b/>
                <w:color w:val="595959"/>
                <w:sz w:val="18"/>
                <w:szCs w:val="18"/>
              </w:rPr>
              <w:t>entità affiliate</w:t>
            </w:r>
            <w:r w:rsidRPr="00991E10">
              <w:rPr>
                <w:color w:val="595959"/>
                <w:sz w:val="18"/>
                <w:szCs w:val="18"/>
              </w:rPr>
              <w:t xml:space="preserve">; gli altri soggetti possono partecipare in qualità di partner associati, subappaltatori e terzi che forniscono contributi in natura. I </w:t>
            </w:r>
            <w:r w:rsidRPr="00991E10">
              <w:rPr>
                <w:b/>
                <w:color w:val="595959"/>
                <w:sz w:val="18"/>
                <w:szCs w:val="18"/>
              </w:rPr>
              <w:t>partner associati</w:t>
            </w:r>
            <w:r w:rsidRPr="00991E10">
              <w:rPr>
                <w:color w:val="595959"/>
                <w:sz w:val="18"/>
                <w:szCs w:val="18"/>
              </w:rPr>
              <w:t xml:space="preserve"> e i terzi che forniscono contributi in natura dovrebbero sostenere i propri costi (non diventeranno beneficiari ufficiali dei finanziamenti dell’UE). Il </w:t>
            </w:r>
            <w:r w:rsidRPr="00991E10">
              <w:rPr>
                <w:b/>
                <w:color w:val="595959"/>
                <w:sz w:val="18"/>
                <w:szCs w:val="18"/>
              </w:rPr>
              <w:t>subappalto</w:t>
            </w:r>
            <w:r w:rsidRPr="00991E10">
              <w:rPr>
                <w:color w:val="595959"/>
                <w:sz w:val="18"/>
                <w:szCs w:val="18"/>
              </w:rPr>
              <w:t xml:space="preserve"> dovrebbe rappresentare, di norma, una parte limitata e deve essere eseguito da terzi (non da uno dei beneficiari/una delle entità affiliate). Il subappalto per un valore superiore al 30 % dei costi totali ammissibili deve essere giustificato nella domanda.</w:t>
            </w:r>
          </w:p>
          <w:p w14:paraId="28ECC3CB" w14:textId="77777777" w:rsidR="00701A90" w:rsidRPr="00991E10" w:rsidRDefault="00701A90" w:rsidP="00701A90">
            <w:pPr>
              <w:numPr>
                <w:ilvl w:val="0"/>
                <w:numId w:val="25"/>
              </w:numPr>
              <w:ind w:left="567" w:right="78" w:hanging="445"/>
              <w:rPr>
                <w:rFonts w:cs="Arial"/>
                <w:iCs/>
                <w:color w:val="595959"/>
                <w:sz w:val="18"/>
                <w:szCs w:val="18"/>
              </w:rPr>
            </w:pPr>
            <w:r w:rsidRPr="00991E10">
              <w:rPr>
                <w:b/>
                <w:color w:val="595959"/>
                <w:sz w:val="18"/>
                <w:szCs w:val="18"/>
              </w:rPr>
              <w:t>Coordinatore</w:t>
            </w:r>
            <w:r w:rsidRPr="00991E10">
              <w:rPr>
                <w:color w:val="595959"/>
                <w:sz w:val="18"/>
                <w:szCs w:val="18"/>
              </w:rPr>
              <w:t>: nelle sovvenzioni con beneficiari multipli i beneficiari partecipano in qualità di consorzio (gruppo di beneficiari). Essi dovranno scegliere un coordinatore, che si occuperà della gestione e del coordinamento del progetto e rappresenterà il consorzio dinanzi all’autorità che concede la sovvenzione. Nelle sovvenzioni con beneficiario unico, quest’ultimo sarà automaticamente coordinatore.</w:t>
            </w:r>
          </w:p>
          <w:p w14:paraId="1E1FF925" w14:textId="77777777" w:rsidR="00701A90" w:rsidRPr="00991E10" w:rsidRDefault="00701A90" w:rsidP="00701A90">
            <w:pPr>
              <w:numPr>
                <w:ilvl w:val="0"/>
                <w:numId w:val="25"/>
              </w:numPr>
              <w:ind w:left="567" w:right="78" w:hanging="445"/>
              <w:rPr>
                <w:rFonts w:eastAsia="Verdana" w:cs="Verdana"/>
                <w:color w:val="595959"/>
                <w:sz w:val="18"/>
                <w:szCs w:val="18"/>
              </w:rPr>
            </w:pPr>
            <w:r w:rsidRPr="00991E10">
              <w:rPr>
                <w:b/>
                <w:color w:val="595959"/>
                <w:sz w:val="18"/>
                <w:szCs w:val="18"/>
              </w:rPr>
              <w:t>Entità affiliate</w:t>
            </w:r>
            <w:r w:rsidRPr="00991E10">
              <w:rPr>
                <w:color w:val="595959"/>
                <w:sz w:val="18"/>
                <w:szCs w:val="18"/>
              </w:rPr>
              <w:t>: i richiedenti possono partecipare con entità affiliate (ossia entità collegate a un beneficiario che partecipano all’azione con diritti e obblighi simili a quelli dei beneficiari, ma non firmano la sovvenzione e pertanto non diventano esse stesse beneficiari). Poiché otterranno una parte delle sovvenzioni, queste entità dovranno essere conformi a tutte le condizioni di cui all’invito ed essere convalidate (al pari dei beneficiari); tuttavia, non saranno prese in considerazione ai fini dei criteri minimi di ammissibilità per la composizione del consorzio (se del caso).</w:t>
            </w:r>
          </w:p>
          <w:p w14:paraId="4BA5D556" w14:textId="77777777" w:rsidR="00701A90" w:rsidRPr="00991E10" w:rsidRDefault="00701A90" w:rsidP="00701A90">
            <w:pPr>
              <w:numPr>
                <w:ilvl w:val="0"/>
                <w:numId w:val="25"/>
              </w:numPr>
              <w:ind w:left="567" w:right="78" w:hanging="445"/>
              <w:rPr>
                <w:rFonts w:eastAsia="Verdana" w:cs="Verdana"/>
                <w:color w:val="595959"/>
                <w:sz w:val="18"/>
                <w:szCs w:val="18"/>
              </w:rPr>
            </w:pPr>
            <w:r w:rsidRPr="00991E10">
              <w:rPr>
                <w:b/>
                <w:color w:val="595959"/>
                <w:sz w:val="18"/>
                <w:szCs w:val="18"/>
              </w:rPr>
              <w:t>Partner associati</w:t>
            </w:r>
            <w:r w:rsidRPr="00991E10">
              <w:rPr>
                <w:color w:val="595959"/>
                <w:sz w:val="18"/>
                <w:szCs w:val="18"/>
              </w:rPr>
              <w:t>: i richiedenti possono partecipare con partner associati (ossia organizzazioni partner che partecipano all’azione, ma non hanno diritto a ricevere sovvenzioni). Essi partecipano senza finanziamenti e pertanto non devono essere convalidati.</w:t>
            </w:r>
          </w:p>
          <w:p w14:paraId="33F6165D" w14:textId="77777777" w:rsidR="00701A90" w:rsidRPr="00991E10" w:rsidRDefault="00701A90" w:rsidP="00991E10">
            <w:pPr>
              <w:keepNext/>
              <w:keepLines/>
              <w:numPr>
                <w:ilvl w:val="0"/>
                <w:numId w:val="25"/>
              </w:numPr>
              <w:ind w:left="567" w:right="79" w:hanging="442"/>
              <w:rPr>
                <w:rFonts w:cs="Arial"/>
                <w:color w:val="595959"/>
                <w:sz w:val="18"/>
                <w:szCs w:val="18"/>
              </w:rPr>
            </w:pPr>
            <w:r w:rsidRPr="00991E10">
              <w:rPr>
                <w:b/>
                <w:color w:val="595959"/>
                <w:sz w:val="18"/>
                <w:szCs w:val="18"/>
              </w:rPr>
              <w:lastRenderedPageBreak/>
              <w:t>Accordo di consorzio</w:t>
            </w:r>
            <w:r w:rsidRPr="00991E10">
              <w:rPr>
                <w:color w:val="595959"/>
                <w:sz w:val="18"/>
                <w:szCs w:val="18"/>
              </w:rPr>
              <w:t>: per motivi pratici e giuridici si raccomanda di stabilire in tutti i casi disposizioni interne che consentano di far fronte a circostanze eccezionali o impreviste (anche se non obbligatorio ai sensi della convenzione di sovvenzione). L’accordo di consorzio offre inoltre la possibilità di ridistribuire la sovvenzione in base ai propri principi e parametri interni al consorzio stesso (ad esempio, un beneficiario può riattribuire la propria sovvenzione a un altro beneficiario). L’accordo di consorzio consente quindi di personalizzare la sovvenzione dell’UE in funzione delle esigenze interne del consorzio e può anche contribuire a tutelarne i membri in caso di controversie.</w:t>
            </w:r>
          </w:p>
          <w:p w14:paraId="3CEF3D73" w14:textId="77777777" w:rsidR="00701A90" w:rsidRPr="00991E10" w:rsidRDefault="00701A90" w:rsidP="00701A90">
            <w:pPr>
              <w:numPr>
                <w:ilvl w:val="0"/>
                <w:numId w:val="25"/>
              </w:numPr>
              <w:ind w:left="567" w:right="78" w:hanging="445"/>
              <w:rPr>
                <w:color w:val="595959"/>
                <w:sz w:val="18"/>
                <w:szCs w:val="18"/>
              </w:rPr>
            </w:pPr>
            <w:r w:rsidRPr="00991E10">
              <w:rPr>
                <w:b/>
                <w:color w:val="595959"/>
                <w:sz w:val="18"/>
                <w:szCs w:val="18"/>
              </w:rPr>
              <w:t>Bilancio del progetto in pareggio</w:t>
            </w:r>
            <w:r w:rsidRPr="00991E10">
              <w:rPr>
                <w:i/>
                <w:color w:val="4AA55B"/>
                <w:sz w:val="18"/>
                <w:szCs w:val="18"/>
              </w:rPr>
              <w:t xml:space="preserve">: </w:t>
            </w:r>
            <w:r w:rsidRPr="00991E10">
              <w:rPr>
                <w:color w:val="595959"/>
                <w:sz w:val="18"/>
                <w:szCs w:val="18"/>
              </w:rPr>
              <w:t xml:space="preserve">le domande di sovvenzione devono garantire il pareggio del bilancio del progetto e altre risorse sufficienti per attuare il progetto con esito positivo </w:t>
            </w:r>
            <w:r w:rsidRPr="00991E10">
              <w:rPr>
                <w:i/>
                <w:color w:val="595959"/>
                <w:sz w:val="18"/>
                <w:szCs w:val="18"/>
              </w:rPr>
              <w:t>(ad esempio contributi propri, entrate generate dall’azione, contributi finanziari di terzi ecc.)</w:t>
            </w:r>
            <w:r w:rsidRPr="00991E10">
              <w:rPr>
                <w:color w:val="595959"/>
                <w:sz w:val="18"/>
                <w:szCs w:val="18"/>
              </w:rPr>
              <w:t xml:space="preserve">. Il richiedente può essere invitato a ridurre i costi stimati, se sono inammissibili (compresi quelli eccessivi). </w:t>
            </w:r>
          </w:p>
          <w:p w14:paraId="411526A4" w14:textId="77777777" w:rsidR="00701A90" w:rsidRPr="00991E10" w:rsidRDefault="00701A90" w:rsidP="00701A90">
            <w:pPr>
              <w:numPr>
                <w:ilvl w:val="0"/>
                <w:numId w:val="25"/>
              </w:numPr>
              <w:ind w:left="567" w:right="78" w:hanging="445"/>
              <w:rPr>
                <w:color w:val="595959"/>
                <w:sz w:val="18"/>
                <w:szCs w:val="18"/>
              </w:rPr>
            </w:pPr>
            <w:r w:rsidRPr="00991E10">
              <w:rPr>
                <w:b/>
                <w:color w:val="595959"/>
                <w:sz w:val="18"/>
                <w:szCs w:val="18"/>
              </w:rPr>
              <w:t>Divieto del fine di lucro</w:t>
            </w:r>
            <w:r w:rsidRPr="00991E10">
              <w:rPr>
                <w:color w:val="595959"/>
                <w:sz w:val="18"/>
                <w:szCs w:val="18"/>
              </w:rPr>
              <w:t xml:space="preserve">: le sovvenzioni NON possono generare profitti (ossia eccedenze di entrate + sovvenzione UE rispetto ai costi). L’Agenzia verificherà questo aspetto alla fine del progetto. </w:t>
            </w:r>
          </w:p>
          <w:p w14:paraId="63784575" w14:textId="77777777" w:rsidR="00701A90" w:rsidRPr="00991E10" w:rsidRDefault="00701A90" w:rsidP="00701A90">
            <w:pPr>
              <w:numPr>
                <w:ilvl w:val="0"/>
                <w:numId w:val="25"/>
              </w:numPr>
              <w:ind w:left="567" w:right="79" w:hanging="445"/>
              <w:rPr>
                <w:color w:val="595959"/>
                <w:sz w:val="18"/>
                <w:szCs w:val="18"/>
              </w:rPr>
            </w:pPr>
            <w:r w:rsidRPr="00991E10">
              <w:rPr>
                <w:b/>
                <w:color w:val="595959"/>
                <w:sz w:val="18"/>
                <w:szCs w:val="18"/>
              </w:rPr>
              <w:t>Divieto di cumulo</w:t>
            </w:r>
            <w:r w:rsidRPr="00991E10">
              <w:rPr>
                <w:color w:val="595959"/>
                <w:sz w:val="18"/>
                <w:szCs w:val="18"/>
              </w:rPr>
              <w:t>: vige un rigoroso divieto di doppio finanziamento a carico del bilancio dell’UE (tranne nel quadro delle azioni relative alle sinergie dell’UE). Fatta eccezione per tali azioni, una determinata azione può ricevere UNA SOLA sovvenzione a carico del bilancio dell’UE e le voci di costo non possono in NESSUN caso essere dichiarate nell’ambito di due diverse azioni dell’UE.</w:t>
            </w:r>
          </w:p>
          <w:p w14:paraId="180D7837" w14:textId="77777777" w:rsidR="00701A90" w:rsidRPr="00991E10" w:rsidRDefault="00701A90" w:rsidP="00701A90">
            <w:pPr>
              <w:numPr>
                <w:ilvl w:val="0"/>
                <w:numId w:val="25"/>
              </w:numPr>
              <w:ind w:left="567" w:right="78" w:hanging="445"/>
              <w:rPr>
                <w:rFonts w:eastAsia="Verdana" w:cs="Verdana"/>
                <w:color w:val="595959"/>
                <w:sz w:val="18"/>
                <w:szCs w:val="18"/>
              </w:rPr>
            </w:pPr>
            <w:r w:rsidRPr="00991E10">
              <w:rPr>
                <w:b/>
                <w:color w:val="595959"/>
                <w:sz w:val="18"/>
                <w:szCs w:val="18"/>
              </w:rPr>
              <w:t>Progetti completati/in corso</w:t>
            </w:r>
            <w:r w:rsidRPr="00991E10">
              <w:rPr>
                <w:color w:val="595959"/>
                <w:sz w:val="18"/>
                <w:szCs w:val="18"/>
              </w:rPr>
              <w:t>: le proposte di progetti già completati saranno respinte; le proposte di progetti già avviati saranno valutate caso per caso (in tale ipotesi, nessun costo può essere rimborsato per attività svolte prima della data di inizio del progetto/della presentazione della proposta).</w:t>
            </w:r>
          </w:p>
          <w:p w14:paraId="57C9A03C" w14:textId="6479FA8F" w:rsidR="00701A90" w:rsidRPr="00991E10" w:rsidRDefault="00701A90" w:rsidP="00991E10">
            <w:pPr>
              <w:keepNext/>
              <w:numPr>
                <w:ilvl w:val="0"/>
                <w:numId w:val="25"/>
              </w:numPr>
              <w:ind w:left="567" w:right="79" w:hanging="442"/>
              <w:rPr>
                <w:color w:val="595959"/>
                <w:sz w:val="18"/>
                <w:szCs w:val="18"/>
              </w:rPr>
            </w:pPr>
            <w:r w:rsidRPr="00991E10">
              <w:rPr>
                <w:b/>
                <w:bCs/>
                <w:color w:val="595959"/>
                <w:sz w:val="18"/>
                <w:szCs w:val="18"/>
              </w:rPr>
              <w:t>Combinazione con sovvenzioni di funzionamento dell’UE</w:t>
            </w:r>
            <w:r w:rsidRPr="00991E10">
              <w:rPr>
                <w:bCs/>
                <w:color w:val="595959"/>
                <w:sz w:val="18"/>
                <w:szCs w:val="18"/>
              </w:rPr>
              <w:t xml:space="preserve">: </w:t>
            </w:r>
            <w:r w:rsidRPr="00991E10">
              <w:rPr>
                <w:color w:val="595959"/>
                <w:sz w:val="18"/>
                <w:szCs w:val="18"/>
              </w:rPr>
              <w:t>la combinazione con sovvenzioni di funzionamento dell’UE è possibile se il progetto non rientra nel programma di lavoro relativo alle sovvenzioni di funzionamento e se si garantisce che le voci di costo siano chiaramente separate nella contabilità e NON siano dichiarate due volte (cfr.</w:t>
            </w:r>
            <w:r w:rsidRPr="00991E10">
              <w:rPr>
                <w:i/>
                <w:color w:val="595959"/>
                <w:sz w:val="18"/>
                <w:szCs w:val="18"/>
              </w:rPr>
              <w:t xml:space="preserve"> </w:t>
            </w:r>
            <w:hyperlink r:id="rId61" w:history="1">
              <w:r w:rsidRPr="00991E10">
                <w:rPr>
                  <w:rStyle w:val="Hyperlink"/>
                  <w:i/>
                  <w:sz w:val="18"/>
                  <w:szCs w:val="18"/>
                </w:rPr>
                <w:t>CSC— Modello di convenzione di sovvenzione commentata, articolo 6.2.E</w:t>
              </w:r>
            </w:hyperlink>
            <w:r w:rsidRPr="00991E10">
              <w:rPr>
                <w:i/>
                <w:color w:val="595959"/>
                <w:sz w:val="18"/>
                <w:szCs w:val="18"/>
              </w:rPr>
              <w:t>)</w:t>
            </w:r>
            <w:r w:rsidRPr="00991E10">
              <w:rPr>
                <w:sz w:val="18"/>
                <w:szCs w:val="18"/>
              </w:rPr>
              <w:t>.</w:t>
            </w:r>
            <w:r w:rsidRPr="00991E10">
              <w:rPr>
                <w:color w:val="4AA55B"/>
                <w:sz w:val="18"/>
                <w:szCs w:val="18"/>
                <w:highlight w:val="yellow"/>
              </w:rPr>
              <w:t xml:space="preserve"> </w:t>
            </w:r>
          </w:p>
          <w:p w14:paraId="6D14F7DC" w14:textId="77777777" w:rsidR="00701A90" w:rsidRPr="00991E10" w:rsidRDefault="00701A90" w:rsidP="00701A90">
            <w:pPr>
              <w:numPr>
                <w:ilvl w:val="0"/>
                <w:numId w:val="25"/>
              </w:numPr>
              <w:ind w:left="567" w:right="79" w:hanging="445"/>
              <w:rPr>
                <w:color w:val="595959"/>
                <w:sz w:val="18"/>
                <w:szCs w:val="18"/>
              </w:rPr>
            </w:pPr>
            <w:r w:rsidRPr="00991E10">
              <w:rPr>
                <w:b/>
                <w:color w:val="595959"/>
                <w:sz w:val="18"/>
                <w:szCs w:val="18"/>
              </w:rPr>
              <w:t>Proposte multiple</w:t>
            </w:r>
            <w:r w:rsidRPr="00991E10">
              <w:rPr>
                <w:color w:val="595959"/>
                <w:sz w:val="18"/>
                <w:szCs w:val="18"/>
              </w:rPr>
              <w:t xml:space="preserve">: i richiedenti possono presentare più di una proposta per progetti </w:t>
            </w:r>
            <w:r w:rsidRPr="00991E10">
              <w:rPr>
                <w:i/>
                <w:color w:val="595959"/>
                <w:sz w:val="18"/>
                <w:szCs w:val="18"/>
              </w:rPr>
              <w:t>differenti</w:t>
            </w:r>
            <w:r w:rsidRPr="00991E10">
              <w:rPr>
                <w:color w:val="595959"/>
                <w:sz w:val="18"/>
                <w:szCs w:val="18"/>
              </w:rPr>
              <w:t xml:space="preserve"> nell’ambito dello stesso invito (e ottenere un finanziamento per tali progetti).</w:t>
            </w:r>
          </w:p>
          <w:p w14:paraId="5875997F" w14:textId="77777777" w:rsidR="00701A90" w:rsidRPr="00991E10" w:rsidRDefault="00701A90" w:rsidP="00701A90">
            <w:pPr>
              <w:spacing w:after="120"/>
              <w:ind w:left="567" w:right="79"/>
              <w:rPr>
                <w:color w:val="595959"/>
                <w:sz w:val="18"/>
                <w:szCs w:val="18"/>
              </w:rPr>
            </w:pPr>
            <w:r w:rsidRPr="00991E10">
              <w:rPr>
                <w:color w:val="595959"/>
                <w:sz w:val="18"/>
                <w:szCs w:val="18"/>
              </w:rPr>
              <w:t>Le organizzazioni possono partecipare a più proposte.</w:t>
            </w:r>
          </w:p>
          <w:p w14:paraId="328E909A" w14:textId="77777777" w:rsidR="00701A90" w:rsidRPr="00991E10" w:rsidRDefault="00701A90" w:rsidP="00701A90">
            <w:pPr>
              <w:ind w:left="567" w:right="79"/>
              <w:rPr>
                <w:color w:val="595959"/>
                <w:sz w:val="18"/>
                <w:szCs w:val="18"/>
              </w:rPr>
            </w:pPr>
            <w:r w:rsidRPr="00991E10">
              <w:rPr>
                <w:color w:val="595959"/>
                <w:sz w:val="18"/>
                <w:szCs w:val="18"/>
              </w:rPr>
              <w:t xml:space="preserve">TUTTAVIA, se vi sono più proposte per progetti </w:t>
            </w:r>
            <w:r w:rsidRPr="00991E10">
              <w:rPr>
                <w:i/>
                <w:color w:val="595959"/>
                <w:sz w:val="18"/>
                <w:szCs w:val="18"/>
              </w:rPr>
              <w:t>molto simili</w:t>
            </w:r>
            <w:r w:rsidRPr="00991E10">
              <w:rPr>
                <w:color w:val="595959"/>
                <w:sz w:val="18"/>
                <w:szCs w:val="18"/>
              </w:rPr>
              <w:t>, sarà accettata e valutata una sola domanda; i richiedenti saranno invitati a ritirarne una (o una sarà respinta).</w:t>
            </w:r>
          </w:p>
          <w:p w14:paraId="224E3A44" w14:textId="77777777" w:rsidR="00701A90" w:rsidRPr="00991E10" w:rsidRDefault="00701A90" w:rsidP="00701A90">
            <w:pPr>
              <w:numPr>
                <w:ilvl w:val="0"/>
                <w:numId w:val="25"/>
              </w:numPr>
              <w:ind w:left="567" w:right="79" w:hanging="445"/>
              <w:rPr>
                <w:rFonts w:cs="Arial"/>
                <w:b/>
                <w:iCs/>
                <w:color w:val="595959"/>
                <w:sz w:val="18"/>
                <w:szCs w:val="18"/>
              </w:rPr>
            </w:pPr>
            <w:r w:rsidRPr="00991E10">
              <w:rPr>
                <w:b/>
                <w:color w:val="595959"/>
                <w:sz w:val="18"/>
              </w:rPr>
              <w:t>Ripresentazione</w:t>
            </w:r>
            <w:r w:rsidRPr="00991E10">
              <w:rPr>
                <w:color w:val="595959"/>
                <w:sz w:val="18"/>
              </w:rPr>
              <w:t>: le proposte possono essere modificate e ripresentate fino al termine ultimo per la presentazione.</w:t>
            </w:r>
          </w:p>
          <w:p w14:paraId="2E1DFFC5" w14:textId="77777777" w:rsidR="00701A90" w:rsidRPr="00991E10" w:rsidRDefault="00701A90" w:rsidP="00701A90">
            <w:pPr>
              <w:numPr>
                <w:ilvl w:val="0"/>
                <w:numId w:val="25"/>
              </w:numPr>
              <w:spacing w:after="120"/>
              <w:ind w:left="567" w:right="79" w:hanging="447"/>
              <w:rPr>
                <w:b/>
                <w:bCs/>
                <w:noProof/>
                <w:sz w:val="18"/>
                <w:szCs w:val="18"/>
              </w:rPr>
            </w:pPr>
            <w:r w:rsidRPr="00991E10">
              <w:rPr>
                <w:b/>
                <w:color w:val="595959"/>
                <w:sz w:val="18"/>
                <w:szCs w:val="18"/>
              </w:rPr>
              <w:t>Respingimento</w:t>
            </w:r>
            <w:r w:rsidRPr="00991E10">
              <w:rPr>
                <w:color w:val="595959"/>
                <w:sz w:val="18"/>
                <w:szCs w:val="18"/>
              </w:rPr>
              <w:t xml:space="preserve">: con la presentazione della domanda tutti i richiedenti accettano le condizioni stabilite nel presente documento di invito (e nei documenti cui lo stesso fa riferimento). Le proposte che non soddisfano tutte le condizioni dell’invito saranno </w:t>
            </w:r>
            <w:r w:rsidRPr="00991E10">
              <w:rPr>
                <w:b/>
                <w:color w:val="595959"/>
                <w:sz w:val="18"/>
                <w:szCs w:val="18"/>
              </w:rPr>
              <w:t>respinte</w:t>
            </w:r>
            <w:r w:rsidRPr="00991E10">
              <w:rPr>
                <w:color w:val="595959"/>
                <w:sz w:val="18"/>
                <w:szCs w:val="18"/>
              </w:rPr>
              <w:t>. Ciò vale anche per i richiedenti, che devono soddisfare i criteri; in caso contrario, devono essere sostituiti o l’intera proposta sarà respinta.</w:t>
            </w:r>
          </w:p>
          <w:p w14:paraId="4FEA03D4" w14:textId="77777777" w:rsidR="00701A90" w:rsidRPr="00991E10" w:rsidRDefault="00701A90" w:rsidP="00701A90">
            <w:pPr>
              <w:numPr>
                <w:ilvl w:val="0"/>
                <w:numId w:val="25"/>
              </w:numPr>
              <w:spacing w:after="120"/>
              <w:ind w:left="567" w:right="79" w:hanging="447"/>
              <w:rPr>
                <w:color w:val="595959"/>
                <w:sz w:val="18"/>
                <w:szCs w:val="18"/>
              </w:rPr>
            </w:pPr>
            <w:r w:rsidRPr="00991E10">
              <w:rPr>
                <w:b/>
                <w:color w:val="595959"/>
                <w:sz w:val="18"/>
                <w:szCs w:val="18"/>
              </w:rPr>
              <w:t>Annullamento</w:t>
            </w:r>
            <w:r w:rsidRPr="00991E10">
              <w:rPr>
                <w:color w:val="595959"/>
                <w:sz w:val="18"/>
                <w:szCs w:val="18"/>
              </w:rPr>
              <w:t>: alcune circostanze potrebbero richiedere l’annullamento dell’invito. In tal caso, i richiedenti sono informati tramite un aggiornamento dell’invito o un aggiornamento tematico. Si noti che eventuali annullamenti non danno diritto ad alcun risarcimento.</w:t>
            </w:r>
          </w:p>
          <w:p w14:paraId="3173E2C6" w14:textId="26A5B91F" w:rsidR="00991E10" w:rsidRPr="00991E10" w:rsidRDefault="00701A90" w:rsidP="00991E10">
            <w:pPr>
              <w:numPr>
                <w:ilvl w:val="0"/>
                <w:numId w:val="25"/>
              </w:numPr>
              <w:ind w:left="567" w:right="79" w:hanging="445"/>
              <w:rPr>
                <w:color w:val="595959"/>
                <w:sz w:val="18"/>
                <w:szCs w:val="18"/>
              </w:rPr>
            </w:pPr>
            <w:r w:rsidRPr="00991E10">
              <w:rPr>
                <w:b/>
                <w:color w:val="595959"/>
                <w:sz w:val="18"/>
                <w:szCs w:val="18"/>
              </w:rPr>
              <w:t>Lingua</w:t>
            </w:r>
            <w:r w:rsidRPr="00991E10">
              <w:rPr>
                <w:color w:val="595959"/>
                <w:sz w:val="18"/>
                <w:szCs w:val="18"/>
              </w:rPr>
              <w:t xml:space="preserve">: le proposte possono essere presentate in una qualsiasi delle lingue ufficiali dell’UE (ma l’abstract/la sintesi del progetto deve essere sempre in inglese). Tuttavia, per motivi di efficienza si raccomanda vivamente di utilizzare l’inglese. I richiedenti che necessitassero della documentazione dell’invito in un’altra lingua ufficiale dell’UE possono farne richiesta entro i 10 giorni successivi alla pubblicazione dell’invito (per i recapiti </w:t>
            </w:r>
            <w:r w:rsidRPr="00991E10">
              <w:rPr>
                <w:i/>
                <w:color w:val="595959"/>
                <w:sz w:val="18"/>
                <w:szCs w:val="18"/>
              </w:rPr>
              <w:t>cfr. la sezione 12</w:t>
            </w:r>
            <w:r w:rsidRPr="00991E10">
              <w:rPr>
                <w:color w:val="595959"/>
                <w:sz w:val="18"/>
                <w:szCs w:val="18"/>
              </w:rPr>
              <w:t>).</w:t>
            </w:r>
          </w:p>
          <w:p w14:paraId="4F09EEFE" w14:textId="08A7BC35" w:rsidR="00991E10" w:rsidRPr="00991E10" w:rsidRDefault="00991E10" w:rsidP="00991E10">
            <w:pPr>
              <w:keepNext/>
              <w:keepLines/>
              <w:numPr>
                <w:ilvl w:val="0"/>
                <w:numId w:val="26"/>
              </w:numPr>
              <w:spacing w:after="120"/>
              <w:ind w:left="567" w:right="79" w:hanging="425"/>
              <w:rPr>
                <w:color w:val="595959"/>
                <w:sz w:val="18"/>
                <w:szCs w:val="18"/>
              </w:rPr>
            </w:pPr>
            <w:r w:rsidRPr="00991E10">
              <w:rPr>
                <w:b/>
                <w:color w:val="595959"/>
                <w:sz w:val="18"/>
                <w:szCs w:val="18"/>
              </w:rPr>
              <w:lastRenderedPageBreak/>
              <w:t>Trasparenza</w:t>
            </w:r>
            <w:r w:rsidRPr="00991E10">
              <w:rPr>
                <w:color w:val="595959"/>
                <w:sz w:val="18"/>
                <w:szCs w:val="18"/>
              </w:rPr>
              <w:t>: a norma dell’articolo 38 del</w:t>
            </w:r>
            <w:r w:rsidRPr="00991E10">
              <w:t xml:space="preserve"> </w:t>
            </w:r>
            <w:hyperlink r:id="rId62" w:history="1">
              <w:r w:rsidRPr="00991E10">
                <w:rPr>
                  <w:color w:val="0088CC"/>
                  <w:sz w:val="18"/>
                  <w:szCs w:val="24"/>
                  <w:u w:val="single"/>
                </w:rPr>
                <w:t>regolamento finanziario dell’UE</w:t>
              </w:r>
            </w:hyperlink>
            <w:r w:rsidRPr="00991E10">
              <w:rPr>
                <w:color w:val="595959"/>
                <w:sz w:val="18"/>
                <w:szCs w:val="18"/>
              </w:rPr>
              <w:t xml:space="preserve">, le informazioni sulle sovvenzioni dell’UE concesse sono pubblicate ogni anno sul </w:t>
            </w:r>
            <w:hyperlink r:id="rId63" w:history="1">
              <w:r w:rsidRPr="00991E10">
                <w:rPr>
                  <w:rStyle w:val="Hyperlink"/>
                  <w:sz w:val="18"/>
                  <w:szCs w:val="18"/>
                </w:rPr>
                <w:t>sito Internet Europa</w:t>
              </w:r>
            </w:hyperlink>
            <w:r w:rsidRPr="00991E10">
              <w:rPr>
                <w:color w:val="595959"/>
                <w:sz w:val="18"/>
                <w:szCs w:val="18"/>
              </w:rPr>
              <w:t>.</w:t>
            </w:r>
          </w:p>
          <w:p w14:paraId="4B226F79" w14:textId="77777777" w:rsidR="00991E10" w:rsidRPr="00991E10" w:rsidRDefault="00991E10" w:rsidP="00991E10">
            <w:pPr>
              <w:keepNext/>
              <w:keepLines/>
              <w:spacing w:after="60"/>
              <w:ind w:left="567" w:right="79"/>
              <w:rPr>
                <w:color w:val="595959"/>
                <w:sz w:val="18"/>
                <w:szCs w:val="18"/>
              </w:rPr>
            </w:pPr>
            <w:r w:rsidRPr="00991E10">
              <w:rPr>
                <w:color w:val="595959"/>
                <w:sz w:val="18"/>
                <w:szCs w:val="18"/>
              </w:rPr>
              <w:t>Tra queste rientrano:</w:t>
            </w:r>
          </w:p>
          <w:p w14:paraId="031B4FB3" w14:textId="77777777" w:rsidR="00991E10" w:rsidRPr="00991E10" w:rsidRDefault="00991E10" w:rsidP="00991E10">
            <w:pPr>
              <w:keepNext/>
              <w:keepLines/>
              <w:widowControl w:val="0"/>
              <w:numPr>
                <w:ilvl w:val="0"/>
                <w:numId w:val="27"/>
              </w:numPr>
              <w:spacing w:after="60"/>
              <w:ind w:left="1134" w:hanging="380"/>
              <w:jc w:val="left"/>
              <w:rPr>
                <w:color w:val="595959"/>
                <w:sz w:val="18"/>
                <w:szCs w:val="18"/>
              </w:rPr>
            </w:pPr>
            <w:r w:rsidRPr="00991E10">
              <w:rPr>
                <w:color w:val="595959"/>
                <w:sz w:val="18"/>
                <w:szCs w:val="18"/>
              </w:rPr>
              <w:t>nome del beneficiario;</w:t>
            </w:r>
          </w:p>
          <w:p w14:paraId="49CD383B" w14:textId="77777777" w:rsidR="00991E10" w:rsidRPr="00991E10" w:rsidRDefault="00991E10" w:rsidP="00991E10">
            <w:pPr>
              <w:widowControl w:val="0"/>
              <w:numPr>
                <w:ilvl w:val="0"/>
                <w:numId w:val="27"/>
              </w:numPr>
              <w:spacing w:after="60"/>
              <w:ind w:left="1134" w:hanging="380"/>
              <w:jc w:val="left"/>
              <w:rPr>
                <w:color w:val="595959"/>
                <w:sz w:val="18"/>
                <w:szCs w:val="18"/>
              </w:rPr>
            </w:pPr>
            <w:r w:rsidRPr="00991E10">
              <w:rPr>
                <w:color w:val="595959"/>
                <w:sz w:val="18"/>
                <w:szCs w:val="18"/>
              </w:rPr>
              <w:t>indirizzi del beneficiario;</w:t>
            </w:r>
          </w:p>
          <w:p w14:paraId="60F2FDBC" w14:textId="77777777" w:rsidR="00991E10" w:rsidRPr="00991E10" w:rsidRDefault="00991E10" w:rsidP="00991E10">
            <w:pPr>
              <w:widowControl w:val="0"/>
              <w:numPr>
                <w:ilvl w:val="0"/>
                <w:numId w:val="27"/>
              </w:numPr>
              <w:spacing w:after="60"/>
              <w:ind w:left="1134" w:hanging="380"/>
              <w:jc w:val="left"/>
              <w:rPr>
                <w:color w:val="595959"/>
                <w:sz w:val="18"/>
                <w:szCs w:val="18"/>
              </w:rPr>
            </w:pPr>
            <w:r w:rsidRPr="00991E10">
              <w:rPr>
                <w:color w:val="595959"/>
                <w:sz w:val="18"/>
                <w:szCs w:val="18"/>
              </w:rPr>
              <w:t>finalità della sovvenzione;</w:t>
            </w:r>
          </w:p>
          <w:p w14:paraId="64FCFF05" w14:textId="77777777" w:rsidR="00991E10" w:rsidRPr="00991E10" w:rsidRDefault="00991E10" w:rsidP="00991E10">
            <w:pPr>
              <w:widowControl w:val="0"/>
              <w:numPr>
                <w:ilvl w:val="0"/>
                <w:numId w:val="27"/>
              </w:numPr>
              <w:spacing w:after="120"/>
              <w:ind w:left="1134" w:hanging="380"/>
              <w:jc w:val="left"/>
              <w:rPr>
                <w:color w:val="595959"/>
                <w:sz w:val="18"/>
                <w:szCs w:val="18"/>
              </w:rPr>
            </w:pPr>
            <w:r w:rsidRPr="00991E10">
              <w:rPr>
                <w:color w:val="595959"/>
                <w:sz w:val="18"/>
                <w:szCs w:val="18"/>
              </w:rPr>
              <w:t>importo massimo concesso.</w:t>
            </w:r>
          </w:p>
          <w:p w14:paraId="58D047F8" w14:textId="77777777" w:rsidR="00991E10" w:rsidRPr="00991E10" w:rsidRDefault="00991E10" w:rsidP="00991E10">
            <w:pPr>
              <w:widowControl w:val="0"/>
              <w:ind w:left="567"/>
              <w:rPr>
                <w:color w:val="595959"/>
                <w:sz w:val="18"/>
                <w:szCs w:val="18"/>
              </w:rPr>
            </w:pPr>
            <w:r w:rsidRPr="00991E10">
              <w:rPr>
                <w:color w:val="595959"/>
                <w:sz w:val="18"/>
                <w:szCs w:val="18"/>
              </w:rPr>
              <w:t>È possibile derogare alla pubblicazione in via eccezionale (su richiesta debitamente motivata) se vi è il rischio che la divulgazione possa compromettere i diritti e le libertà di cui alla Carta dei diritti fondamentali dell’Unione europea o ledere i propri interessi commerciali.</w:t>
            </w:r>
          </w:p>
          <w:p w14:paraId="4965D72D" w14:textId="25EBFA06" w:rsidR="00991E10" w:rsidRPr="00991E10" w:rsidRDefault="00991E10" w:rsidP="00991E10">
            <w:pPr>
              <w:pStyle w:val="Default"/>
              <w:widowControl w:val="0"/>
              <w:numPr>
                <w:ilvl w:val="0"/>
                <w:numId w:val="26"/>
              </w:numPr>
              <w:spacing w:after="120"/>
              <w:ind w:left="567" w:hanging="447"/>
              <w:jc w:val="both"/>
              <w:rPr>
                <w:rFonts w:ascii="Verdana" w:hAnsi="Verdana"/>
                <w:color w:val="595959"/>
                <w:sz w:val="18"/>
                <w:szCs w:val="18"/>
              </w:rPr>
            </w:pPr>
            <w:r w:rsidRPr="00991E10">
              <w:rPr>
                <w:rFonts w:ascii="Verdana" w:hAnsi="Verdana"/>
                <w:b/>
                <w:color w:val="595959"/>
                <w:sz w:val="18"/>
                <w:szCs w:val="18"/>
              </w:rPr>
              <w:t>Protezione dei dati</w:t>
            </w:r>
            <w:r w:rsidRPr="00991E10">
              <w:rPr>
                <w:rFonts w:ascii="Verdana" w:hAnsi="Verdana"/>
                <w:color w:val="595959"/>
                <w:sz w:val="18"/>
                <w:szCs w:val="18"/>
              </w:rPr>
              <w:t xml:space="preserve">: la presentazione di una proposta nell’ambito del presente invito comporta la raccolta, l’uso e il trattamento di dati personali, che saranno trattati conformemente al quadro normativo applicabile. Detto trattamento è effettuato unicamente ai fini della valutazione della proposta, della successiva gestione della sovvenzione e, se necessario, del monitoraggio, della valutazione e della comunicazione del programma. Per informazioni dettagliate consultare l’ </w:t>
            </w:r>
            <w:hyperlink r:id="rId64" w:history="1">
              <w:r w:rsidRPr="00991E10">
                <w:rPr>
                  <w:rStyle w:val="Hyperlink"/>
                  <w:rFonts w:ascii="Verdana" w:hAnsi="Verdana"/>
                  <w:sz w:val="18"/>
                  <w:szCs w:val="20"/>
                </w:rPr>
                <w:t>informativa sulla privacy del portale Finanziamenti e gare d’appalto</w:t>
              </w:r>
            </w:hyperlink>
            <w:r w:rsidRPr="00991E10">
              <w:rPr>
                <w:rFonts w:ascii="Verdana" w:hAnsi="Verdana"/>
                <w:color w:val="595959"/>
                <w:sz w:val="18"/>
                <w:szCs w:val="18"/>
              </w:rPr>
              <w:t>.</w:t>
            </w:r>
          </w:p>
          <w:p w14:paraId="3EBB8F29" w14:textId="77777777" w:rsidR="00991E10" w:rsidRPr="00991E10" w:rsidRDefault="00991E10" w:rsidP="00991E10">
            <w:pPr>
              <w:ind w:left="567" w:right="79"/>
              <w:rPr>
                <w:color w:val="595959"/>
                <w:sz w:val="18"/>
                <w:szCs w:val="18"/>
              </w:rPr>
            </w:pPr>
          </w:p>
          <w:p w14:paraId="501E01BA" w14:textId="0C7507CC" w:rsidR="00701A90" w:rsidRPr="00991E10" w:rsidRDefault="00701A90" w:rsidP="00701A90">
            <w:pPr>
              <w:widowControl w:val="0"/>
              <w:ind w:left="602" w:right="366" w:hanging="602"/>
              <w:rPr>
                <w:rFonts w:cs="Arial"/>
              </w:rPr>
            </w:pPr>
          </w:p>
        </w:tc>
      </w:tr>
      <w:bookmarkEnd w:id="41"/>
    </w:tbl>
    <w:p w14:paraId="59F2A841" w14:textId="77777777" w:rsidR="00701A90" w:rsidRPr="00991E10" w:rsidRDefault="00701A90" w:rsidP="00DC47B2">
      <w:pPr>
        <w:widowControl w:val="0"/>
        <w:ind w:right="366"/>
        <w:rPr>
          <w:rFonts w:cs="Arial"/>
        </w:rPr>
      </w:pPr>
    </w:p>
    <w:sectPr w:rsidR="00701A90" w:rsidRPr="00991E10" w:rsidSect="00A2572D">
      <w:headerReference w:type="first" r:id="rId65"/>
      <w:pgSz w:w="11906" w:h="16838" w:code="9"/>
      <w:pgMar w:top="1560" w:right="1588" w:bottom="1276" w:left="1588" w:header="567" w:footer="73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0A63D" w14:textId="77777777" w:rsidR="009B2CBE" w:rsidRPr="00991E10" w:rsidRDefault="009B2CBE" w:rsidP="00B02821">
      <w:pPr>
        <w:spacing w:after="0"/>
      </w:pPr>
      <w:r w:rsidRPr="00991E10">
        <w:separator/>
      </w:r>
    </w:p>
  </w:endnote>
  <w:endnote w:type="continuationSeparator" w:id="0">
    <w:p w14:paraId="5E4852A8" w14:textId="77777777" w:rsidR="009B2CBE" w:rsidRPr="00991E10" w:rsidRDefault="009B2CBE" w:rsidP="00B02821">
      <w:pPr>
        <w:spacing w:after="0"/>
      </w:pPr>
      <w:r w:rsidRPr="00991E10">
        <w:continuationSeparator/>
      </w:r>
    </w:p>
  </w:endnote>
  <w:endnote w:type="continuationNotice" w:id="1">
    <w:p w14:paraId="3A4B1D9C" w14:textId="77777777" w:rsidR="009B2CBE" w:rsidRPr="00991E10" w:rsidRDefault="009B2CB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C Square Sans Pro">
    <w:panose1 w:val="020B0506040000020004"/>
    <w:charset w:val="00"/>
    <w:family w:val="swiss"/>
    <w:pitch w:val="variable"/>
    <w:sig w:usb0="A00002BF" w:usb1="5000E0FB" w:usb2="00000000" w:usb3="00000000" w:csb0="0000019F" w:csb1="00000000"/>
  </w:font>
  <w:font w:name="EC Square Sans Pro Medium">
    <w:panose1 w:val="020B0500000000020004"/>
    <w:charset w:val="00"/>
    <w:family w:val="swiss"/>
    <w:pitch w:val="variable"/>
    <w:sig w:usb0="A00002BF" w:usb1="5000E0FB" w:usb2="00000000" w:usb3="00000000" w:csb0="0000019F" w:csb1="00000000"/>
  </w:font>
  <w:font w:name="EC Square Sans Pro Light">
    <w:panose1 w:val="020B0506000000020004"/>
    <w:charset w:val="00"/>
    <w:family w:val="swiss"/>
    <w:pitch w:val="variable"/>
    <w:sig w:usb0="A00002BF" w:usb1="5000E0F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FCF89" w14:textId="3EFF49FB" w:rsidR="009B2CBE" w:rsidRPr="00991E10" w:rsidRDefault="009B2CBE" w:rsidP="009E1BA1">
    <w:pPr>
      <w:pStyle w:val="Footer"/>
      <w:ind w:right="-1"/>
      <w:jc w:val="right"/>
      <w:rPr>
        <w:rFonts w:ascii="Verdana" w:hAnsi="Verdana"/>
      </w:rPr>
    </w:pPr>
    <w:r w:rsidRPr="00991E10">
      <w:rPr>
        <w:rFonts w:ascii="Verdana" w:hAnsi="Verdana"/>
      </w:rPr>
      <w:fldChar w:fldCharType="begin"/>
    </w:r>
    <w:r w:rsidRPr="00991E10">
      <w:rPr>
        <w:rFonts w:ascii="Verdana" w:hAnsi="Verdana"/>
      </w:rPr>
      <w:instrText xml:space="preserve"> PAGE   \* MERGEFORMAT </w:instrText>
    </w:r>
    <w:r w:rsidRPr="00991E10">
      <w:rPr>
        <w:rFonts w:ascii="Verdana" w:hAnsi="Verdana"/>
      </w:rPr>
      <w:fldChar w:fldCharType="separate"/>
    </w:r>
    <w:r w:rsidR="00B73F40">
      <w:rPr>
        <w:rFonts w:ascii="Verdana" w:hAnsi="Verdana"/>
        <w:noProof/>
      </w:rPr>
      <w:t>4</w:t>
    </w:r>
    <w:r w:rsidRPr="00991E10">
      <w:rPr>
        <w:rFonts w:ascii="Verdana" w:hAnsi="Verda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F6BD1" w14:textId="44898DC0" w:rsidR="009B2CBE" w:rsidRPr="00991E10" w:rsidRDefault="009B2CBE" w:rsidP="00971780">
    <w:pPr>
      <w:autoSpaceDE w:val="0"/>
      <w:autoSpaceDN w:val="0"/>
      <w:adjustRightInd w:val="0"/>
      <w:spacing w:after="0"/>
    </w:pPr>
    <w:r w:rsidRPr="00991E10">
      <w:rPr>
        <w:noProof/>
        <w:lang w:val="en-IE" w:eastAsia="en-IE"/>
      </w:rPr>
      <mc:AlternateContent>
        <mc:Choice Requires="wps">
          <w:drawing>
            <wp:anchor distT="0" distB="0" distL="114300" distR="114300" simplePos="0" relativeHeight="251658240" behindDoc="0" locked="0" layoutInCell="1" allowOverlap="1" wp14:anchorId="7D21EC33" wp14:editId="1E65DADA">
              <wp:simplePos x="0" y="0"/>
              <wp:positionH relativeFrom="column">
                <wp:posOffset>2272665</wp:posOffset>
              </wp:positionH>
              <wp:positionV relativeFrom="page">
                <wp:posOffset>10395585</wp:posOffset>
              </wp:positionV>
              <wp:extent cx="842645" cy="288290"/>
              <wp:effectExtent l="0" t="0" r="0" b="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4494"/>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rect id="Rectangle 44" style="position:absolute;margin-left:178.95pt;margin-top:818.55pt;width:66.35pt;height: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fillcolor="#004494" stroked="f" w14:anchorId="74C23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">
              <w10:wrap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92B73" w14:textId="77777777" w:rsidR="009B2CBE" w:rsidRPr="00991E10" w:rsidRDefault="009B2CBE" w:rsidP="00B02821">
      <w:pPr>
        <w:spacing w:after="0"/>
      </w:pPr>
      <w:r w:rsidRPr="00991E10">
        <w:separator/>
      </w:r>
    </w:p>
  </w:footnote>
  <w:footnote w:type="continuationSeparator" w:id="0">
    <w:p w14:paraId="107E5550" w14:textId="77777777" w:rsidR="009B2CBE" w:rsidRPr="00991E10" w:rsidRDefault="009B2CBE" w:rsidP="00B02821">
      <w:pPr>
        <w:spacing w:after="0"/>
      </w:pPr>
      <w:r w:rsidRPr="00991E10">
        <w:continuationSeparator/>
      </w:r>
    </w:p>
  </w:footnote>
  <w:footnote w:type="continuationNotice" w:id="1">
    <w:p w14:paraId="416A5574" w14:textId="77777777" w:rsidR="009B2CBE" w:rsidRPr="00991E10" w:rsidRDefault="009B2CBE">
      <w:pPr>
        <w:spacing w:after="0"/>
      </w:pPr>
    </w:p>
  </w:footnote>
  <w:footnote w:id="2">
    <w:p w14:paraId="1D801B00" w14:textId="279D0F77" w:rsidR="009B2CBE" w:rsidRPr="00991E10" w:rsidRDefault="009B2CBE" w:rsidP="00924362">
      <w:pPr>
        <w:pStyle w:val="FootnoteText"/>
        <w:spacing w:after="0"/>
        <w:ind w:left="284" w:hanging="284"/>
        <w:rPr>
          <w:color w:val="000000"/>
          <w:sz w:val="16"/>
          <w:szCs w:val="16"/>
        </w:rPr>
      </w:pPr>
      <w:r w:rsidRPr="00991E10">
        <w:rPr>
          <w:rStyle w:val="FootnoteReference"/>
          <w:sz w:val="16"/>
          <w:szCs w:val="16"/>
        </w:rPr>
        <w:footnoteRef/>
      </w:r>
      <w:r w:rsidRPr="00991E10">
        <w:rPr>
          <w:sz w:val="16"/>
          <w:szCs w:val="16"/>
        </w:rPr>
        <w:t xml:space="preserve"> </w:t>
      </w:r>
      <w:r w:rsidRPr="00991E10">
        <w:rPr>
          <w:sz w:val="16"/>
          <w:szCs w:val="16"/>
        </w:rPr>
        <w:tab/>
        <w:t>Regolamento (UE) 2021/692 del Parlamento europeo e del Consiglio del 28 aprile 2021 che istituisce il programma Cittadini, uguaglianza, diritti e valori (GU L 156, 5.5.2021, pag. 1).</w:t>
      </w:r>
    </w:p>
  </w:footnote>
  <w:footnote w:id="3">
    <w:p w14:paraId="61A4F60E" w14:textId="57787047" w:rsidR="009B2CBE" w:rsidRPr="00991E10" w:rsidRDefault="009B2CBE" w:rsidP="00924362">
      <w:pPr>
        <w:pStyle w:val="FootnoteText"/>
        <w:spacing w:after="0"/>
        <w:ind w:left="284" w:hanging="284"/>
        <w:rPr>
          <w:sz w:val="16"/>
          <w:szCs w:val="16"/>
        </w:rPr>
      </w:pPr>
      <w:r w:rsidRPr="00991E10">
        <w:rPr>
          <w:rStyle w:val="FootnoteReference"/>
          <w:sz w:val="16"/>
        </w:rPr>
        <w:footnoteRef/>
      </w:r>
      <w:r w:rsidRPr="00991E10">
        <w:t xml:space="preserve"> </w:t>
      </w:r>
      <w:r w:rsidRPr="00991E10">
        <w:tab/>
      </w:r>
      <w:r w:rsidRPr="00991E10">
        <w:rPr>
          <w:sz w:val="16"/>
          <w:szCs w:val="16"/>
        </w:rPr>
        <w:t>Decisione di esecuzione C(2021) 2583 final</w:t>
      </w:r>
      <w:r w:rsidR="00007A3B">
        <w:rPr>
          <w:sz w:val="16"/>
          <w:szCs w:val="16"/>
        </w:rPr>
        <w:t>e</w:t>
      </w:r>
      <w:r w:rsidRPr="00991E10">
        <w:rPr>
          <w:sz w:val="16"/>
          <w:szCs w:val="16"/>
        </w:rPr>
        <w:t xml:space="preserve"> del 19/04/2021 sul finanziamento del programma Cittadini, uguaglianza, diritti e valori e sull’adozione del programma di lavoro pluriennale 2021-2022</w:t>
      </w:r>
    </w:p>
  </w:footnote>
  <w:footnote w:id="4">
    <w:p w14:paraId="190283C3" w14:textId="11605722" w:rsidR="009B2CBE" w:rsidRPr="00991E10" w:rsidRDefault="009B2CBE" w:rsidP="00924362">
      <w:pPr>
        <w:pStyle w:val="FootnoteText"/>
        <w:spacing w:after="0"/>
        <w:ind w:left="284" w:hanging="284"/>
        <w:rPr>
          <w:sz w:val="16"/>
          <w:szCs w:val="16"/>
        </w:rPr>
      </w:pPr>
      <w:r w:rsidRPr="00991E10">
        <w:rPr>
          <w:sz w:val="16"/>
          <w:szCs w:val="16"/>
          <w:vertAlign w:val="superscript"/>
        </w:rPr>
        <w:footnoteRef/>
      </w:r>
      <w:r w:rsidRPr="00991E10">
        <w:rPr>
          <w:sz w:val="16"/>
          <w:szCs w:val="16"/>
        </w:rPr>
        <w:t xml:space="preserve"> </w:t>
      </w:r>
      <w:r w:rsidRPr="00991E10">
        <w:rPr>
          <w:sz w:val="16"/>
          <w:szCs w:val="16"/>
        </w:rPr>
        <w:tab/>
        <w:t>Regolamento (UE) n. 1381/2013 del Parlamento europeo e del Consiglio, del 17 dicembre 2013, che istituisce un programma Diritti, uguaglianza e cittadinanza per il periodo 2014-2020 (GU L 354 del 28.12.2013, pag. 62)</w:t>
      </w:r>
    </w:p>
  </w:footnote>
  <w:footnote w:id="5">
    <w:p w14:paraId="10858EDC" w14:textId="37FB5CA3" w:rsidR="009B2CBE" w:rsidRPr="00991E10" w:rsidRDefault="009B2CBE" w:rsidP="00924362">
      <w:pPr>
        <w:pStyle w:val="FootnoteText"/>
        <w:spacing w:after="0"/>
        <w:ind w:left="284" w:hanging="284"/>
        <w:rPr>
          <w:sz w:val="16"/>
          <w:szCs w:val="16"/>
        </w:rPr>
      </w:pPr>
      <w:r w:rsidRPr="00991E10">
        <w:rPr>
          <w:sz w:val="16"/>
          <w:szCs w:val="16"/>
          <w:vertAlign w:val="superscript"/>
        </w:rPr>
        <w:footnoteRef/>
      </w:r>
      <w:r w:rsidRPr="00991E10">
        <w:rPr>
          <w:sz w:val="16"/>
          <w:szCs w:val="16"/>
        </w:rPr>
        <w:t xml:space="preserve"> </w:t>
      </w:r>
      <w:r w:rsidRPr="00991E10">
        <w:rPr>
          <w:sz w:val="16"/>
          <w:szCs w:val="16"/>
          <w:vertAlign w:val="superscript"/>
        </w:rPr>
        <w:tab/>
      </w:r>
      <w:r w:rsidRPr="00991E10">
        <w:rPr>
          <w:sz w:val="16"/>
          <w:szCs w:val="16"/>
        </w:rPr>
        <w:t>Regolamento (UE) n. 390/2014 del Consiglio, del 14 aprile 2014, che istituisce il programma «L’Europa per i cittadini» per il periodo 2014-2020 (GU L 115 del 17.4.2014, pag. 3)</w:t>
      </w:r>
    </w:p>
  </w:footnote>
  <w:footnote w:id="6">
    <w:p w14:paraId="6EC6382E" w14:textId="68E37791" w:rsidR="009B2CBE" w:rsidRPr="00991E10" w:rsidRDefault="009B2CBE" w:rsidP="00924362">
      <w:pPr>
        <w:pStyle w:val="FootnoteText"/>
        <w:spacing w:after="0"/>
        <w:ind w:left="284" w:hanging="284"/>
        <w:rPr>
          <w:sz w:val="16"/>
          <w:szCs w:val="16"/>
        </w:rPr>
      </w:pPr>
      <w:r w:rsidRPr="00991E10">
        <w:rPr>
          <w:rStyle w:val="FootnoteReference"/>
          <w:sz w:val="16"/>
          <w:szCs w:val="16"/>
        </w:rPr>
        <w:footnoteRef/>
      </w:r>
      <w:r w:rsidRPr="00991E10">
        <w:rPr>
          <w:sz w:val="16"/>
          <w:szCs w:val="16"/>
        </w:rPr>
        <w:t xml:space="preserve"> </w:t>
      </w:r>
      <w:r w:rsidRPr="00991E10">
        <w:rPr>
          <w:sz w:val="16"/>
          <w:szCs w:val="16"/>
        </w:rPr>
        <w:tab/>
      </w:r>
      <w:hyperlink w:anchor=":~:text=The%20European%20Democracy%20Action%20Plan%20is%20designed%20to,the%20EU%20by%20promoting%20free%20and%20fair%20elections" w:history="1">
        <w:r w:rsidRPr="00991E10">
          <w:rPr>
            <w:rStyle w:val="Hyperlink"/>
            <w:sz w:val="16"/>
            <w:szCs w:val="16"/>
          </w:rPr>
          <w:t>Piano d’azione per la democrazia europea</w:t>
        </w:r>
      </w:hyperlink>
    </w:p>
  </w:footnote>
  <w:footnote w:id="7">
    <w:p w14:paraId="456627A2" w14:textId="796EE923" w:rsidR="009B2CBE" w:rsidRPr="00991E10" w:rsidRDefault="009B2CBE" w:rsidP="00924362">
      <w:pPr>
        <w:pStyle w:val="FootnoteText"/>
        <w:spacing w:after="0"/>
        <w:ind w:left="284" w:hanging="284"/>
        <w:rPr>
          <w:sz w:val="16"/>
          <w:szCs w:val="16"/>
        </w:rPr>
      </w:pPr>
      <w:r w:rsidRPr="00991E10">
        <w:rPr>
          <w:rStyle w:val="FootnoteReference"/>
          <w:sz w:val="16"/>
          <w:szCs w:val="16"/>
        </w:rPr>
        <w:footnoteRef/>
      </w:r>
      <w:r w:rsidRPr="00991E10">
        <w:rPr>
          <w:sz w:val="16"/>
          <w:szCs w:val="16"/>
        </w:rPr>
        <w:t xml:space="preserve"> </w:t>
      </w:r>
      <w:r w:rsidRPr="00991E10">
        <w:rPr>
          <w:sz w:val="16"/>
          <w:szCs w:val="16"/>
        </w:rPr>
        <w:tab/>
      </w:r>
      <w:hyperlink r:id="rId1" w:history="1">
        <w:r w:rsidRPr="00991E10">
          <w:rPr>
            <w:rStyle w:val="Hyperlink"/>
            <w:sz w:val="16"/>
            <w:szCs w:val="16"/>
          </w:rPr>
          <w:t>Quadro strategico dell’UE per l’uguaglianza, l’inclusione e la partecipazione dei rom</w:t>
        </w:r>
      </w:hyperlink>
    </w:p>
  </w:footnote>
  <w:footnote w:id="8">
    <w:p w14:paraId="7B0B537B" w14:textId="2EF2E066" w:rsidR="009B2CBE" w:rsidRPr="00991E10" w:rsidRDefault="009B2CBE" w:rsidP="00924362">
      <w:pPr>
        <w:pStyle w:val="FootnoteText"/>
        <w:spacing w:after="0"/>
        <w:ind w:left="284" w:hanging="284"/>
        <w:rPr>
          <w:sz w:val="16"/>
          <w:szCs w:val="16"/>
        </w:rPr>
      </w:pPr>
      <w:r w:rsidRPr="00991E10">
        <w:rPr>
          <w:rStyle w:val="FootnoteReference"/>
          <w:sz w:val="16"/>
          <w:szCs w:val="16"/>
        </w:rPr>
        <w:footnoteRef/>
      </w:r>
      <w:r w:rsidRPr="00991E10">
        <w:rPr>
          <w:sz w:val="16"/>
          <w:szCs w:val="16"/>
        </w:rPr>
        <w:t xml:space="preserve"> </w:t>
      </w:r>
      <w:r w:rsidRPr="00991E10">
        <w:rPr>
          <w:sz w:val="16"/>
          <w:szCs w:val="16"/>
        </w:rPr>
        <w:tab/>
      </w:r>
      <w:hyperlink r:id="rId2" w:history="1">
        <w:r w:rsidRPr="00991E10">
          <w:rPr>
            <w:rStyle w:val="Hyperlink"/>
            <w:sz w:val="16"/>
            <w:szCs w:val="16"/>
          </w:rPr>
          <w:t>Strategia dell’UE per rafforzare l’applicazione della Carta dei diritti fondamentali</w:t>
        </w:r>
      </w:hyperlink>
    </w:p>
  </w:footnote>
  <w:footnote w:id="9">
    <w:p w14:paraId="7C8E8985" w14:textId="3697661F" w:rsidR="009B2CBE" w:rsidRPr="00991E10" w:rsidRDefault="009B2CBE" w:rsidP="00924362">
      <w:pPr>
        <w:pStyle w:val="FootnoteText"/>
        <w:spacing w:after="0"/>
        <w:ind w:left="284" w:hanging="284"/>
        <w:jc w:val="left"/>
        <w:rPr>
          <w:sz w:val="16"/>
          <w:szCs w:val="16"/>
        </w:rPr>
      </w:pPr>
      <w:r w:rsidRPr="00991E10">
        <w:rPr>
          <w:rStyle w:val="FootnoteReference"/>
          <w:sz w:val="16"/>
          <w:szCs w:val="16"/>
        </w:rPr>
        <w:footnoteRef/>
      </w:r>
      <w:r w:rsidRPr="00991E10">
        <w:rPr>
          <w:sz w:val="16"/>
          <w:szCs w:val="16"/>
        </w:rPr>
        <w:t xml:space="preserve"> </w:t>
      </w:r>
      <w:r w:rsidRPr="00991E10">
        <w:rPr>
          <w:sz w:val="16"/>
          <w:szCs w:val="16"/>
        </w:rPr>
        <w:tab/>
      </w:r>
      <w:hyperlink r:id="rId3" w:history="1">
        <w:r w:rsidRPr="00991E10">
          <w:rPr>
            <w:rStyle w:val="Hyperlink"/>
            <w:sz w:val="16"/>
            <w:szCs w:val="16"/>
          </w:rPr>
          <w:t>Relazione 2020 sulla cittadinanza dell’Unione</w:t>
        </w:r>
      </w:hyperlink>
    </w:p>
  </w:footnote>
  <w:footnote w:id="10">
    <w:p w14:paraId="5A4970F1" w14:textId="5BC68131" w:rsidR="009B2CBE" w:rsidRPr="00991E10" w:rsidRDefault="009B2CBE" w:rsidP="00732A4F">
      <w:pPr>
        <w:keepLines/>
        <w:spacing w:after="0"/>
        <w:ind w:left="284" w:hanging="284"/>
      </w:pPr>
      <w:r w:rsidRPr="00991E10">
        <w:rPr>
          <w:rStyle w:val="FootnoteReference"/>
          <w:sz w:val="16"/>
          <w:szCs w:val="16"/>
        </w:rPr>
        <w:footnoteRef/>
      </w:r>
      <w:r w:rsidRPr="00991E10">
        <w:rPr>
          <w:color w:val="2F5496"/>
          <w:sz w:val="16"/>
          <w:szCs w:val="16"/>
        </w:rPr>
        <w:t xml:space="preserve"> </w:t>
      </w:r>
      <w:r w:rsidRPr="00991E10">
        <w:rPr>
          <w:color w:val="2F5496"/>
          <w:sz w:val="16"/>
          <w:szCs w:val="16"/>
        </w:rPr>
        <w:tab/>
      </w:r>
      <w:hyperlink r:id="rId4" w:history="1">
        <w:r w:rsidRPr="00991E10">
          <w:rPr>
            <w:rStyle w:val="Hyperlink"/>
            <w:sz w:val="16"/>
            <w:szCs w:val="16"/>
          </w:rPr>
          <w:t>La Conferenza sul futuro dell’Europa</w:t>
        </w:r>
      </w:hyperlink>
      <w:r w:rsidRPr="00991E10">
        <w:rPr>
          <w:sz w:val="16"/>
          <w:szCs w:val="16"/>
        </w:rPr>
        <w:t xml:space="preserve"> è un processo dal basso verso l’alto, incentrato sui cittadini, che consente agli europei di esprimersi in merito alle loro aspettative nei confronti dell’Unione europea. La conferenza permetterà ai cittadini di avere un ruolo più rilevante nella definizione delle politiche e delle ambizioni future dell’Unione, migliorandone la resilienza. Ciò avverrà attraverso un gran numero di eventi e dibattiti correlati alla conferenza che saranno organizzati in tutta l’Unione, nonché tramite una piattaforma digitale interattiva multilingue. Gli eventi correlati alla conferenza e le riunioni, in presenza o da remoto, possono essere organizzati a livelli differenti, compresi quello transnazionale e quello europeo. La partecipazione dei cittadini agli eventi dovrebbe mirare a rispecchiare la diversità dell’Europa. I comuni gemellati sono incoraggiati a partecipare alla conferenza sul futuro dell’Europa.</w:t>
      </w:r>
    </w:p>
  </w:footnote>
  <w:footnote w:id="11">
    <w:p w14:paraId="0F69B04E" w14:textId="1D8FFFBA" w:rsidR="009B2CBE" w:rsidRPr="00991E10" w:rsidRDefault="009B2CBE" w:rsidP="00924362">
      <w:pPr>
        <w:pStyle w:val="FootnoteText"/>
        <w:spacing w:after="0"/>
        <w:ind w:left="284" w:hanging="284"/>
        <w:rPr>
          <w:sz w:val="16"/>
          <w:szCs w:val="16"/>
          <w:highlight w:val="green"/>
        </w:rPr>
      </w:pPr>
      <w:r w:rsidRPr="00991E10">
        <w:rPr>
          <w:rStyle w:val="FootnoteReference"/>
          <w:sz w:val="16"/>
          <w:szCs w:val="16"/>
        </w:rPr>
        <w:footnoteRef/>
      </w:r>
      <w:r w:rsidRPr="00991E10">
        <w:rPr>
          <w:sz w:val="16"/>
          <w:szCs w:val="16"/>
        </w:rPr>
        <w:t xml:space="preserve"> </w:t>
      </w:r>
      <w:r w:rsidRPr="00991E10">
        <w:rPr>
          <w:sz w:val="16"/>
          <w:szCs w:val="16"/>
        </w:rPr>
        <w:tab/>
        <w:t xml:space="preserve">Per maggiori informazioni cfr. sezione </w:t>
      </w:r>
      <w:r w:rsidRPr="00991E10">
        <w:rPr>
          <w:i/>
          <w:sz w:val="16"/>
          <w:szCs w:val="16"/>
        </w:rPr>
        <w:t>Etica e valori dell’UE</w:t>
      </w:r>
    </w:p>
  </w:footnote>
  <w:footnote w:id="12">
    <w:p w14:paraId="17D7FFB5" w14:textId="79853DA1" w:rsidR="009B2CBE" w:rsidRPr="00991E10" w:rsidRDefault="009B2CBE" w:rsidP="00924362">
      <w:pPr>
        <w:pStyle w:val="FootnoteText"/>
        <w:spacing w:after="0"/>
        <w:ind w:left="284" w:hanging="284"/>
        <w:rPr>
          <w:sz w:val="16"/>
          <w:szCs w:val="16"/>
        </w:rPr>
      </w:pPr>
      <w:r w:rsidRPr="00991E10">
        <w:rPr>
          <w:rStyle w:val="FootnoteReference"/>
          <w:sz w:val="16"/>
          <w:szCs w:val="16"/>
        </w:rPr>
        <w:footnoteRef/>
      </w:r>
      <w:r w:rsidRPr="00991E10">
        <w:rPr>
          <w:sz w:val="16"/>
          <w:szCs w:val="16"/>
        </w:rPr>
        <w:t xml:space="preserve"> </w:t>
      </w:r>
      <w:r w:rsidRPr="00991E10">
        <w:rPr>
          <w:sz w:val="16"/>
          <w:szCs w:val="16"/>
        </w:rPr>
        <w:tab/>
        <w:t>Per «partecipanti invitati» s’intendono le delegazioni provenienti dai paesi ammissibili partner del progetto diversi dal paese che ospita l’evento relativo al gemellaggio di città.</w:t>
      </w:r>
    </w:p>
  </w:footnote>
  <w:footnote w:id="13">
    <w:p w14:paraId="228A0A98" w14:textId="079A3B62" w:rsidR="009B2CBE" w:rsidRPr="00991E10" w:rsidRDefault="009B2CBE" w:rsidP="00924362">
      <w:pPr>
        <w:pStyle w:val="FootnoteText"/>
        <w:spacing w:after="0"/>
        <w:ind w:left="284" w:hanging="284"/>
        <w:rPr>
          <w:sz w:val="16"/>
          <w:szCs w:val="16"/>
        </w:rPr>
      </w:pPr>
      <w:r w:rsidRPr="00991E10">
        <w:rPr>
          <w:rStyle w:val="FootnoteReference"/>
          <w:sz w:val="16"/>
          <w:szCs w:val="16"/>
        </w:rPr>
        <w:footnoteRef/>
      </w:r>
      <w:r w:rsidRPr="00991E10">
        <w:rPr>
          <w:sz w:val="16"/>
          <w:szCs w:val="16"/>
        </w:rPr>
        <w:t xml:space="preserve"> </w:t>
      </w:r>
      <w:r w:rsidRPr="00991E10">
        <w:rPr>
          <w:sz w:val="16"/>
          <w:szCs w:val="16"/>
        </w:rPr>
        <w:tab/>
        <w:t>Il coordinatore è il principale richiedente del consorzio.</w:t>
      </w:r>
    </w:p>
  </w:footnote>
  <w:footnote w:id="14">
    <w:p w14:paraId="527456B7" w14:textId="46A98DA9" w:rsidR="009B2CBE" w:rsidRPr="00991E10" w:rsidRDefault="009B2CBE" w:rsidP="00924362">
      <w:pPr>
        <w:pStyle w:val="FootnoteText"/>
        <w:spacing w:after="0"/>
        <w:ind w:left="284" w:hanging="284"/>
        <w:rPr>
          <w:sz w:val="16"/>
        </w:rPr>
      </w:pPr>
      <w:r w:rsidRPr="00991E10">
        <w:rPr>
          <w:rStyle w:val="FootnoteReference"/>
          <w:sz w:val="16"/>
          <w:szCs w:val="16"/>
        </w:rPr>
        <w:footnoteRef/>
      </w:r>
      <w:r w:rsidRPr="00991E10">
        <w:rPr>
          <w:sz w:val="16"/>
          <w:szCs w:val="16"/>
        </w:rPr>
        <w:t xml:space="preserve"> </w:t>
      </w:r>
      <w:r w:rsidRPr="00991E10">
        <w:rPr>
          <w:sz w:val="16"/>
          <w:szCs w:val="16"/>
        </w:rPr>
        <w:tab/>
      </w:r>
      <w:r w:rsidRPr="00991E10">
        <w:rPr>
          <w:sz w:val="16"/>
        </w:rPr>
        <w:t xml:space="preserve">Cfr. articolo 197, paragrafo 2, lettera c), del regolamento finanziario dell’UE </w:t>
      </w:r>
      <w:hyperlink r:id="rId5" w:history="1">
        <w:r w:rsidRPr="00991E10">
          <w:rPr>
            <w:bCs/>
            <w:color w:val="0088CC"/>
            <w:sz w:val="16"/>
            <w:szCs w:val="16"/>
            <w:u w:val="single"/>
          </w:rPr>
          <w:t>2018/1046</w:t>
        </w:r>
      </w:hyperlink>
      <w:r w:rsidRPr="00991E10">
        <w:rPr>
          <w:sz w:val="16"/>
        </w:rPr>
        <w:t>.</w:t>
      </w:r>
    </w:p>
  </w:footnote>
  <w:footnote w:id="15">
    <w:p w14:paraId="58E63D84" w14:textId="71AC6435" w:rsidR="009B2CBE" w:rsidRPr="00991E10" w:rsidRDefault="009B2CBE" w:rsidP="00924362">
      <w:pPr>
        <w:pStyle w:val="FootnoteText"/>
        <w:spacing w:after="0"/>
        <w:ind w:left="284" w:hanging="284"/>
        <w:rPr>
          <w:sz w:val="16"/>
          <w:szCs w:val="16"/>
        </w:rPr>
      </w:pPr>
      <w:r w:rsidRPr="00991E10">
        <w:rPr>
          <w:rStyle w:val="FootnoteReference"/>
          <w:sz w:val="16"/>
          <w:szCs w:val="16"/>
        </w:rPr>
        <w:footnoteRef/>
      </w:r>
      <w:r w:rsidRPr="00991E10">
        <w:rPr>
          <w:sz w:val="16"/>
          <w:szCs w:val="16"/>
        </w:rPr>
        <w:t xml:space="preserve"> </w:t>
      </w:r>
      <w:r w:rsidRPr="00991E10">
        <w:rPr>
          <w:sz w:val="16"/>
          <w:szCs w:val="16"/>
        </w:rPr>
        <w:tab/>
        <w:t xml:space="preserve">Per le definizioni cfr. articolo 187, paragrafo 2, e articolo 197, paragrafo 2, lettera c), del regolamento finanziario dell’UE </w:t>
      </w:r>
      <w:hyperlink r:id="rId6" w:history="1">
        <w:r w:rsidRPr="00991E10">
          <w:rPr>
            <w:bCs/>
            <w:color w:val="0088CC"/>
            <w:sz w:val="16"/>
            <w:szCs w:val="16"/>
            <w:u w:val="single"/>
          </w:rPr>
          <w:t>2018/1046</w:t>
        </w:r>
      </w:hyperlink>
      <w:r w:rsidRPr="00991E10">
        <w:rPr>
          <w:sz w:val="16"/>
          <w:szCs w:val="16"/>
        </w:rPr>
        <w:t>.</w:t>
      </w:r>
    </w:p>
  </w:footnote>
  <w:footnote w:id="16">
    <w:p w14:paraId="52822DD7" w14:textId="7D8D40F5" w:rsidR="009B2CBE" w:rsidRPr="00991E10" w:rsidRDefault="009B2CBE" w:rsidP="000579AF">
      <w:pPr>
        <w:pStyle w:val="FootnoteText"/>
        <w:spacing w:after="0"/>
        <w:ind w:left="284" w:hanging="284"/>
      </w:pPr>
      <w:r w:rsidRPr="00991E10">
        <w:rPr>
          <w:rStyle w:val="FootnoteReference"/>
          <w:sz w:val="16"/>
        </w:rPr>
        <w:footnoteRef/>
      </w:r>
      <w:r w:rsidRPr="00991E10">
        <w:t xml:space="preserve"> </w:t>
      </w:r>
      <w:r w:rsidRPr="00991E10">
        <w:tab/>
      </w:r>
      <w:r w:rsidRPr="00991E10">
        <w:rPr>
          <w:sz w:val="16"/>
          <w:szCs w:val="16"/>
        </w:rPr>
        <w:t xml:space="preserve">Si noti che la Gazzetta ufficiale dell’UE contiene l’elenco ufficiale e, in caso di conflitto, il suo contenuto prevale su quello della </w:t>
      </w:r>
      <w:hyperlink r:id="rId7" w:history="1">
        <w:r w:rsidRPr="00991E10">
          <w:rPr>
            <w:rStyle w:val="Hyperlink"/>
            <w:sz w:val="16"/>
            <w:szCs w:val="16"/>
          </w:rPr>
          <w:t>mappa delle sanzioni dell’UE</w:t>
        </w:r>
      </w:hyperlink>
      <w:r w:rsidRPr="00991E10">
        <w:rPr>
          <w:sz w:val="16"/>
          <w:szCs w:val="16"/>
        </w:rPr>
        <w:t>.</w:t>
      </w:r>
    </w:p>
  </w:footnote>
  <w:footnote w:id="17">
    <w:p w14:paraId="67257775" w14:textId="2F01F303" w:rsidR="009B2CBE" w:rsidRPr="00991E10" w:rsidRDefault="009B2CBE" w:rsidP="000579AF">
      <w:pPr>
        <w:pStyle w:val="CM1"/>
        <w:ind w:left="284" w:hanging="284"/>
        <w:jc w:val="both"/>
        <w:rPr>
          <w:rFonts w:ascii="Verdana" w:hAnsi="Verdana"/>
          <w:sz w:val="16"/>
          <w:szCs w:val="16"/>
        </w:rPr>
      </w:pPr>
      <w:r w:rsidRPr="00991E10">
        <w:rPr>
          <w:rStyle w:val="FootnoteReference"/>
          <w:rFonts w:ascii="Verdana" w:hAnsi="Verdana"/>
          <w:sz w:val="16"/>
          <w:szCs w:val="16"/>
        </w:rPr>
        <w:footnoteRef/>
      </w:r>
      <w:r w:rsidRPr="00991E10">
        <w:rPr>
          <w:rFonts w:ascii="Verdana" w:hAnsi="Verdana"/>
          <w:sz w:val="16"/>
          <w:szCs w:val="16"/>
        </w:rPr>
        <w:t xml:space="preserve"> </w:t>
      </w:r>
      <w:r w:rsidRPr="00991E10">
        <w:tab/>
      </w:r>
      <w:r w:rsidRPr="00991E10">
        <w:rPr>
          <w:rFonts w:ascii="Verdana" w:hAnsi="Verdana"/>
          <w:sz w:val="16"/>
          <w:szCs w:val="16"/>
        </w:rPr>
        <w:t xml:space="preserve">Orientamenti della Commissione </w:t>
      </w:r>
      <w:hyperlink r:id="rId8" w:history="1">
        <w:r w:rsidRPr="00991E10">
          <w:rPr>
            <w:rStyle w:val="Hyperlink"/>
            <w:rFonts w:ascii="Verdana" w:hAnsi="Verdana"/>
            <w:sz w:val="16"/>
            <w:szCs w:val="16"/>
          </w:rPr>
          <w:t>2013/C 205/05</w:t>
        </w:r>
      </w:hyperlink>
      <w:r w:rsidRPr="00991E10">
        <w:rPr>
          <w:rFonts w:ascii="Verdana" w:hAnsi="Verdana"/>
          <w:sz w:val="16"/>
          <w:szCs w:val="16"/>
        </w:rPr>
        <w:t xml:space="preserve"> sull’ammissibilità delle entità israeliane e relative attività nei territori occupati da Israele da giugno 1967 alle sovvenzioni, ai premi e agli strumenti finanziari dell’UE a partire dal 2014 (GU C 205 del 19.7.2013, pagg. 9-11). </w:t>
      </w:r>
    </w:p>
  </w:footnote>
  <w:footnote w:id="18">
    <w:p w14:paraId="2364A1FE" w14:textId="78D4853D" w:rsidR="009B2CBE" w:rsidRPr="00991E10" w:rsidRDefault="009B2CBE" w:rsidP="000579AF">
      <w:pPr>
        <w:pStyle w:val="CM1"/>
        <w:ind w:left="284" w:hanging="284"/>
        <w:jc w:val="both"/>
        <w:rPr>
          <w:rFonts w:ascii="Verdana" w:hAnsi="Verdana"/>
          <w:sz w:val="16"/>
          <w:szCs w:val="16"/>
        </w:rPr>
      </w:pPr>
      <w:r w:rsidRPr="00991E10">
        <w:rPr>
          <w:rStyle w:val="FootnoteReference"/>
          <w:sz w:val="16"/>
          <w:szCs w:val="16"/>
        </w:rPr>
        <w:footnoteRef/>
      </w:r>
      <w:r w:rsidRPr="00991E10">
        <w:rPr>
          <w:sz w:val="16"/>
          <w:szCs w:val="16"/>
        </w:rPr>
        <w:t xml:space="preserve"> </w:t>
      </w:r>
      <w:r w:rsidRPr="00991E10">
        <w:rPr>
          <w:sz w:val="16"/>
          <w:szCs w:val="16"/>
        </w:rPr>
        <w:tab/>
      </w:r>
      <w:hyperlink r:id="rId9" w:anchor=":~:text=Non-discrimination%20mainstreaming%20is%20about%20%E2%80%98placing%20equality%20considerations%20at,the%20EU-%20wide%20network%20of%20specialised%20equality%20bodies%29." w:history="1">
        <w:r w:rsidRPr="00991E10">
          <w:rPr>
            <w:rStyle w:val="Hyperlink"/>
            <w:rFonts w:ascii="Verdana" w:hAnsi="Verdana"/>
            <w:sz w:val="16"/>
            <w:szCs w:val="16"/>
          </w:rPr>
          <w:t>Strumenti per l’integrazione della non discriminazione, casi di studio e strategie future</w:t>
        </w:r>
      </w:hyperlink>
    </w:p>
  </w:footnote>
  <w:footnote w:id="19">
    <w:p w14:paraId="39B3B430" w14:textId="0C087C7C" w:rsidR="009B2CBE" w:rsidRPr="00991E10" w:rsidRDefault="009B2CBE" w:rsidP="00163978">
      <w:pPr>
        <w:pStyle w:val="FootnoteText"/>
        <w:spacing w:after="0"/>
        <w:ind w:left="284" w:hanging="284"/>
        <w:rPr>
          <w:rStyle w:val="FootnoteReference"/>
          <w:sz w:val="16"/>
          <w:szCs w:val="16"/>
          <w:vertAlign w:val="baseline"/>
        </w:rPr>
      </w:pPr>
      <w:r w:rsidRPr="00991E10">
        <w:rPr>
          <w:rStyle w:val="FootnoteReference"/>
          <w:sz w:val="16"/>
          <w:szCs w:val="16"/>
        </w:rPr>
        <w:footnoteRef/>
      </w:r>
      <w:r w:rsidRPr="00991E10">
        <w:rPr>
          <w:sz w:val="16"/>
          <w:szCs w:val="16"/>
        </w:rPr>
        <w:t xml:space="preserve"> </w:t>
      </w:r>
      <w:r w:rsidRPr="00991E10">
        <w:rPr>
          <w:sz w:val="16"/>
          <w:szCs w:val="16"/>
        </w:rPr>
        <w:tab/>
        <w:t xml:space="preserve">Cfr. gli articoli 136 e 141 del regolamento finanziario dell’UE </w:t>
      </w:r>
      <w:hyperlink r:id="rId10" w:history="1">
        <w:r w:rsidRPr="00991E10">
          <w:rPr>
            <w:bCs/>
            <w:color w:val="0088CC"/>
            <w:sz w:val="16"/>
            <w:szCs w:val="16"/>
            <w:u w:val="single"/>
          </w:rPr>
          <w:t>2018/1046</w:t>
        </w:r>
      </w:hyperlink>
      <w:r w:rsidRPr="00991E10">
        <w:rPr>
          <w:sz w:val="16"/>
          <w:szCs w:val="16"/>
        </w:rPr>
        <w:t>.</w:t>
      </w:r>
    </w:p>
  </w:footnote>
  <w:footnote w:id="20">
    <w:p w14:paraId="3E147AE4" w14:textId="77777777" w:rsidR="009B2CBE" w:rsidRPr="00991E10" w:rsidRDefault="009B2CBE" w:rsidP="000579AF">
      <w:pPr>
        <w:pStyle w:val="FootnoteText"/>
        <w:spacing w:after="0"/>
        <w:ind w:left="284" w:hanging="284"/>
        <w:rPr>
          <w:sz w:val="16"/>
          <w:szCs w:val="16"/>
        </w:rPr>
      </w:pPr>
      <w:r w:rsidRPr="00991E10">
        <w:rPr>
          <w:rStyle w:val="FootnoteReference"/>
          <w:sz w:val="16"/>
          <w:szCs w:val="16"/>
        </w:rPr>
        <w:footnoteRef/>
      </w:r>
      <w:r w:rsidRPr="00991E10">
        <w:rPr>
          <w:sz w:val="16"/>
          <w:szCs w:val="16"/>
        </w:rPr>
        <w:t xml:space="preserve"> </w:t>
      </w:r>
      <w:r w:rsidRPr="00991E10">
        <w:rPr>
          <w:sz w:val="16"/>
          <w:szCs w:val="16"/>
        </w:rPr>
        <w:tab/>
        <w:t>Gli illeciti professionali includono: violazione delle norme deontologiche, condotta illecita con conseguenze per la credibilità professionale, false dichiarazioni/alterazioni delle informazioni, partecipazione a un cartello o ad altro accordo che provoca distorsioni della concorrenza, violazione dei diritti di proprietà intellettuale, tentativo di influenzare i processi decisionali o di acquisire informazioni riservate da autorità pubbliche per ottenere un vantaggio.</w:t>
      </w:r>
    </w:p>
  </w:footnote>
  <w:footnote w:id="21">
    <w:p w14:paraId="32BB546C" w14:textId="3C9C5652" w:rsidR="009B2CBE" w:rsidRPr="00991E10" w:rsidRDefault="009B2CBE" w:rsidP="00C9027A">
      <w:pPr>
        <w:pStyle w:val="FootnoteText"/>
        <w:spacing w:after="0"/>
        <w:ind w:left="360" w:hanging="360"/>
        <w:rPr>
          <w:sz w:val="16"/>
          <w:szCs w:val="16"/>
        </w:rPr>
      </w:pPr>
      <w:r w:rsidRPr="00991E10">
        <w:rPr>
          <w:rStyle w:val="FootnoteReference"/>
          <w:sz w:val="16"/>
          <w:szCs w:val="16"/>
        </w:rPr>
        <w:footnoteRef/>
      </w:r>
      <w:r w:rsidRPr="00991E10">
        <w:rPr>
          <w:sz w:val="16"/>
          <w:szCs w:val="16"/>
        </w:rPr>
        <w:t xml:space="preserve"> </w:t>
      </w:r>
      <w:r w:rsidRPr="00991E10">
        <w:rPr>
          <w:sz w:val="16"/>
          <w:szCs w:val="16"/>
        </w:rPr>
        <w:tab/>
        <w:t xml:space="preserve">Cfr. articolo 141 del regolamento finanziario dell’UE </w:t>
      </w:r>
      <w:hyperlink r:id="rId11" w:history="1">
        <w:r w:rsidRPr="00991E10">
          <w:rPr>
            <w:bCs/>
            <w:color w:val="0088CC"/>
            <w:sz w:val="16"/>
            <w:szCs w:val="16"/>
            <w:u w:val="single"/>
          </w:rPr>
          <w:t>2018/1046</w:t>
        </w:r>
      </w:hyperlink>
      <w:r w:rsidRPr="00991E10">
        <w:rPr>
          <w:sz w:val="16"/>
          <w:szCs w:val="16"/>
        </w:rPr>
        <w:t>.</w:t>
      </w:r>
    </w:p>
  </w:footnote>
  <w:footnote w:id="22">
    <w:p w14:paraId="482E0888" w14:textId="54A8673F" w:rsidR="009B2CBE" w:rsidRPr="00991E10" w:rsidRDefault="009B2CBE" w:rsidP="00686978">
      <w:pPr>
        <w:pStyle w:val="FootnoteText"/>
        <w:spacing w:after="0"/>
        <w:ind w:left="360" w:hanging="360"/>
        <w:rPr>
          <w:sz w:val="16"/>
          <w:szCs w:val="16"/>
        </w:rPr>
      </w:pPr>
      <w:r w:rsidRPr="00991E10">
        <w:rPr>
          <w:rStyle w:val="FootnoteReference"/>
          <w:sz w:val="16"/>
        </w:rPr>
        <w:footnoteRef/>
      </w:r>
      <w:r w:rsidRPr="00991E10">
        <w:t xml:space="preserve"> </w:t>
      </w:r>
      <w:r w:rsidRPr="00991E10">
        <w:tab/>
      </w:r>
      <w:hyperlink r:id="rId12" w:history="1">
        <w:r w:rsidRPr="00991E10">
          <w:rPr>
            <w:rStyle w:val="Hyperlink"/>
            <w:sz w:val="16"/>
            <w:szCs w:val="16"/>
          </w:rPr>
          <w:t>Decisione</w:t>
        </w:r>
      </w:hyperlink>
      <w:r w:rsidRPr="00991E10">
        <w:rPr>
          <w:sz w:val="16"/>
          <w:szCs w:val="16"/>
        </w:rPr>
        <w:t xml:space="preserve"> del 26 marzo 2021 </w:t>
      </w:r>
      <w:r w:rsidRPr="00991E10">
        <w:rPr>
          <w:iCs/>
          <w:sz w:val="16"/>
          <w:szCs w:val="16"/>
        </w:rPr>
        <w:t>che autorizza l’utilizzo di somme forfettarie per le azioni comprese nel programma Cittadini, uguaglianza, diritti e valori (2021-2027).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D7FEE" w14:textId="68511716" w:rsidR="009B2CBE" w:rsidRPr="00991E10" w:rsidRDefault="009B2CBE" w:rsidP="00322207">
    <w:pPr>
      <w:tabs>
        <w:tab w:val="center" w:pos="4536"/>
        <w:tab w:val="right" w:pos="9072"/>
      </w:tabs>
      <w:spacing w:after="0"/>
      <w:rPr>
        <w:rFonts w:eastAsia="Calibri"/>
        <w:sz w:val="16"/>
      </w:rPr>
    </w:pPr>
    <w:r w:rsidRPr="00991E10">
      <w:rPr>
        <w:sz w:val="16"/>
      </w:rPr>
      <w:t>Invito: [CERV-2022-CITIZENS-TOWN] – [Gemellaggi di città e reti di città]</w:t>
    </w:r>
  </w:p>
  <w:p w14:paraId="15B1C007" w14:textId="77777777" w:rsidR="009B2CBE" w:rsidRPr="00991E10" w:rsidRDefault="009B2CBE" w:rsidP="00322207">
    <w:pPr>
      <w:tabs>
        <w:tab w:val="center" w:pos="4536"/>
        <w:tab w:val="right" w:pos="9072"/>
      </w:tabs>
      <w:spacing w:after="0" w:line="276" w:lineRule="auto"/>
      <w:rPr>
        <w:rFonts w:eastAsia="Calibri"/>
        <w:sz w:val="16"/>
      </w:rPr>
    </w:pPr>
  </w:p>
  <w:p w14:paraId="010F2120" w14:textId="205373BA" w:rsidR="009B2CBE" w:rsidRPr="00991E10" w:rsidRDefault="009B2CBE" w:rsidP="00C90797">
    <w:pPr>
      <w:spacing w:after="0"/>
      <w:jc w:val="right"/>
      <w:rPr>
        <w:rFonts w:eastAsia="Calibri"/>
        <w:color w:val="808080"/>
        <w:sz w:val="16"/>
        <w:szCs w:val="16"/>
      </w:rPr>
    </w:pPr>
    <w:r w:rsidRPr="00991E10">
      <w:rPr>
        <w:color w:val="4AA55B"/>
        <w:sz w:val="16"/>
      </w:rPr>
      <w:tab/>
    </w:r>
    <w:r w:rsidRPr="00991E10">
      <w:rPr>
        <w:color w:val="7F7F7F"/>
        <w:sz w:val="16"/>
        <w:szCs w:val="16"/>
      </w:rPr>
      <w:t>Sovvenzioni dell’UE</w:t>
    </w:r>
    <w:r w:rsidRPr="00991E10">
      <w:rPr>
        <w:color w:val="808080"/>
        <w:sz w:val="16"/>
        <w:szCs w:val="16"/>
      </w:rPr>
      <w:t xml:space="preserve">: Documento di invito </w:t>
    </w:r>
    <w:r w:rsidRPr="00991E10">
      <w:rPr>
        <w:color w:val="7F7F7F"/>
        <w:sz w:val="16"/>
        <w:szCs w:val="16"/>
      </w:rPr>
      <w:t>(CERV)</w:t>
    </w:r>
    <w:r w:rsidRPr="00991E10">
      <w:rPr>
        <w:color w:val="808080"/>
        <w:sz w:val="16"/>
        <w:szCs w:val="16"/>
      </w:rPr>
      <w:t>: V1.0 – 16.11.2021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69273" w14:textId="5A6FCB6C" w:rsidR="009B2CBE" w:rsidRPr="00991E10" w:rsidRDefault="009B2CBE" w:rsidP="007A412A">
    <w:pPr>
      <w:pStyle w:val="Header"/>
      <w:jc w:val="center"/>
      <w:rPr>
        <w:rFonts w:ascii="Arial" w:hAnsi="Arial"/>
        <w:color w:val="595959"/>
        <w:szCs w:val="24"/>
      </w:rPr>
    </w:pPr>
    <w:r w:rsidRPr="00991E10">
      <w:rPr>
        <w:noProof/>
        <w:lang w:val="en-IE" w:eastAsia="en-IE"/>
      </w:rPr>
      <w:drawing>
        <wp:inline distT="0" distB="0" distL="0" distR="0" wp14:anchorId="4FA16163" wp14:editId="1ECA857D">
          <wp:extent cx="1922780" cy="914400"/>
          <wp:effectExtent l="0" t="0" r="0" b="0"/>
          <wp:docPr id="2" name="Picture 2" descr="Commission – coloured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ission – coloured 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2780" cy="91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8EEC9" w14:textId="377CC7BB" w:rsidR="009B2CBE" w:rsidRPr="00991E10" w:rsidRDefault="009B2CBE" w:rsidP="00771274">
    <w:pPr>
      <w:pStyle w:val="Header"/>
      <w:tabs>
        <w:tab w:val="clear" w:pos="4153"/>
        <w:tab w:val="clear" w:pos="8306"/>
        <w:tab w:val="left" w:pos="2659"/>
      </w:tabs>
      <w:spacing w:after="0"/>
    </w:pPr>
    <w:r w:rsidRPr="00991E10">
      <w:tab/>
    </w:r>
    <w:r w:rsidRPr="00991E10">
      <w:rPr>
        <w:noProof/>
        <w:lang w:val="en-IE" w:eastAsia="en-IE"/>
      </w:rPr>
      <w:drawing>
        <wp:inline distT="0" distB="0" distL="0" distR="0" wp14:anchorId="097AAA03" wp14:editId="590F354E">
          <wp:extent cx="1922780" cy="914400"/>
          <wp:effectExtent l="0" t="0" r="0" b="0"/>
          <wp:docPr id="14" name="Picture 14" descr="Commission – coloured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ommission – coloured 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2780"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B58F066"/>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013C92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2AE6C26"/>
    <w:multiLevelType w:val="hybridMultilevel"/>
    <w:tmpl w:val="2C38E760"/>
    <w:lvl w:ilvl="0" w:tplc="D2AEE564">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 w15:restartNumberingAfterBreak="0">
    <w:nsid w:val="036E4EC3"/>
    <w:multiLevelType w:val="hybridMultilevel"/>
    <w:tmpl w:val="8C984A6A"/>
    <w:lvl w:ilvl="0" w:tplc="2B5A9408">
      <w:start w:val="16"/>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F93CAB"/>
    <w:multiLevelType w:val="hybridMultilevel"/>
    <w:tmpl w:val="4FEEC344"/>
    <w:lvl w:ilvl="0" w:tplc="8DA6C39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D8F54C3"/>
    <w:multiLevelType w:val="multilevel"/>
    <w:tmpl w:val="445AC056"/>
    <w:lvl w:ilvl="0">
      <w:start w:val="1"/>
      <w:numFmt w:val="bullet"/>
      <w:pStyle w:val="ListDash3"/>
      <w:lvlText w:val="–"/>
      <w:lvlJc w:val="left"/>
      <w:pPr>
        <w:tabs>
          <w:tab w:val="num" w:pos="1723"/>
        </w:tabs>
        <w:ind w:left="1723" w:hanging="283"/>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B34387"/>
    <w:multiLevelType w:val="hybridMultilevel"/>
    <w:tmpl w:val="B17EC242"/>
    <w:lvl w:ilvl="0" w:tplc="FEAA60BA">
      <w:start w:val="1"/>
      <w:numFmt w:val="bullet"/>
      <w:lvlText w:val="·"/>
      <w:lvlJc w:val="left"/>
      <w:pPr>
        <w:ind w:left="720" w:hanging="360"/>
      </w:pPr>
      <w:rPr>
        <w:rFonts w:ascii="Symbol" w:hAnsi="Symbol" w:hint="default"/>
      </w:rPr>
    </w:lvl>
    <w:lvl w:ilvl="1" w:tplc="4880BB64">
      <w:start w:val="1"/>
      <w:numFmt w:val="bullet"/>
      <w:lvlText w:val="o"/>
      <w:lvlJc w:val="left"/>
      <w:pPr>
        <w:ind w:left="1440" w:hanging="360"/>
      </w:pPr>
      <w:rPr>
        <w:rFonts w:ascii="Courier New" w:hAnsi="Courier New" w:cs="Times New Roman" w:hint="default"/>
      </w:rPr>
    </w:lvl>
    <w:lvl w:ilvl="2" w:tplc="5F68A3DA">
      <w:start w:val="1"/>
      <w:numFmt w:val="bullet"/>
      <w:lvlText w:val=""/>
      <w:lvlJc w:val="left"/>
      <w:pPr>
        <w:ind w:left="2160" w:hanging="360"/>
      </w:pPr>
      <w:rPr>
        <w:rFonts w:ascii="Wingdings" w:hAnsi="Wingdings" w:hint="default"/>
      </w:rPr>
    </w:lvl>
    <w:lvl w:ilvl="3" w:tplc="8234825C">
      <w:start w:val="1"/>
      <w:numFmt w:val="bullet"/>
      <w:lvlText w:val=""/>
      <w:lvlJc w:val="left"/>
      <w:pPr>
        <w:ind w:left="2880" w:hanging="360"/>
      </w:pPr>
      <w:rPr>
        <w:rFonts w:ascii="Symbol" w:hAnsi="Symbol" w:hint="default"/>
      </w:rPr>
    </w:lvl>
    <w:lvl w:ilvl="4" w:tplc="92E26BB8">
      <w:start w:val="1"/>
      <w:numFmt w:val="bullet"/>
      <w:lvlText w:val="o"/>
      <w:lvlJc w:val="left"/>
      <w:pPr>
        <w:ind w:left="3600" w:hanging="360"/>
      </w:pPr>
      <w:rPr>
        <w:rFonts w:ascii="Courier New" w:hAnsi="Courier New" w:cs="Times New Roman" w:hint="default"/>
      </w:rPr>
    </w:lvl>
    <w:lvl w:ilvl="5" w:tplc="C94884C8">
      <w:start w:val="1"/>
      <w:numFmt w:val="bullet"/>
      <w:lvlText w:val=""/>
      <w:lvlJc w:val="left"/>
      <w:pPr>
        <w:ind w:left="4320" w:hanging="360"/>
      </w:pPr>
      <w:rPr>
        <w:rFonts w:ascii="Wingdings" w:hAnsi="Wingdings" w:hint="default"/>
      </w:rPr>
    </w:lvl>
    <w:lvl w:ilvl="6" w:tplc="7CAC58A4">
      <w:start w:val="1"/>
      <w:numFmt w:val="bullet"/>
      <w:lvlText w:val=""/>
      <w:lvlJc w:val="left"/>
      <w:pPr>
        <w:ind w:left="5040" w:hanging="360"/>
      </w:pPr>
      <w:rPr>
        <w:rFonts w:ascii="Symbol" w:hAnsi="Symbol" w:hint="default"/>
      </w:rPr>
    </w:lvl>
    <w:lvl w:ilvl="7" w:tplc="27DA3F58">
      <w:start w:val="1"/>
      <w:numFmt w:val="bullet"/>
      <w:lvlText w:val="o"/>
      <w:lvlJc w:val="left"/>
      <w:pPr>
        <w:ind w:left="5760" w:hanging="360"/>
      </w:pPr>
      <w:rPr>
        <w:rFonts w:ascii="Courier New" w:hAnsi="Courier New" w:cs="Times New Roman" w:hint="default"/>
      </w:rPr>
    </w:lvl>
    <w:lvl w:ilvl="8" w:tplc="7AC2F7E8">
      <w:start w:val="1"/>
      <w:numFmt w:val="bullet"/>
      <w:lvlText w:val=""/>
      <w:lvlJc w:val="left"/>
      <w:pPr>
        <w:ind w:left="6480" w:hanging="360"/>
      </w:pPr>
      <w:rPr>
        <w:rFonts w:ascii="Wingdings" w:hAnsi="Wingdings" w:hint="default"/>
      </w:rPr>
    </w:lvl>
  </w:abstractNum>
  <w:abstractNum w:abstractNumId="7" w15:restartNumberingAfterBreak="0">
    <w:nsid w:val="13B00C30"/>
    <w:multiLevelType w:val="singleLevel"/>
    <w:tmpl w:val="0FD0142C"/>
    <w:lvl w:ilvl="0">
      <w:start w:val="1"/>
      <w:numFmt w:val="bullet"/>
      <w:pStyle w:val="ListDash4"/>
      <w:lvlText w:val="–"/>
      <w:lvlJc w:val="left"/>
      <w:pPr>
        <w:tabs>
          <w:tab w:val="num" w:pos="1723"/>
        </w:tabs>
        <w:ind w:left="1723" w:hanging="283"/>
      </w:pPr>
      <w:rPr>
        <w:rFonts w:ascii="Times New Roman" w:hAnsi="Times New Roman"/>
      </w:rPr>
    </w:lvl>
  </w:abstractNum>
  <w:abstractNum w:abstractNumId="8" w15:restartNumberingAfterBreak="0">
    <w:nsid w:val="141800C7"/>
    <w:multiLevelType w:val="hybridMultilevel"/>
    <w:tmpl w:val="11706440"/>
    <w:lvl w:ilvl="0" w:tplc="24C6155C">
      <w:start w:val="1"/>
      <w:numFmt w:val="bullet"/>
      <w:lvlText w:val=""/>
      <w:lvlJc w:val="left"/>
      <w:pPr>
        <w:ind w:left="6042" w:hanging="360"/>
      </w:pPr>
      <w:rPr>
        <w:rFonts w:ascii="Symbol" w:hAnsi="Symbol" w:hint="default"/>
        <w:b/>
        <w:strike w:val="0"/>
        <w:dstrike w:val="0"/>
        <w:color w:val="auto"/>
        <w:sz w:val="24"/>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9" w15:restartNumberingAfterBreak="0">
    <w:nsid w:val="14C34250"/>
    <w:multiLevelType w:val="hybridMultilevel"/>
    <w:tmpl w:val="4852BEAE"/>
    <w:lvl w:ilvl="0" w:tplc="85F44E24">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9494262"/>
    <w:multiLevelType w:val="hybridMultilevel"/>
    <w:tmpl w:val="9F5C3216"/>
    <w:lvl w:ilvl="0" w:tplc="04E080B6">
      <w:start w:val="1"/>
      <w:numFmt w:val="bullet"/>
      <w:lvlText w:val=""/>
      <w:lvlJc w:val="left"/>
      <w:pPr>
        <w:ind w:left="720" w:hanging="360"/>
      </w:pPr>
      <w:rPr>
        <w:rFonts w:ascii="Symbol" w:hAnsi="Symbol" w:hint="default"/>
        <w:color w:val="595959"/>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402B3C"/>
    <w:multiLevelType w:val="hybridMultilevel"/>
    <w:tmpl w:val="925C5806"/>
    <w:lvl w:ilvl="0" w:tplc="5F84B092">
      <w:start w:val="1"/>
      <w:numFmt w:val="bullet"/>
      <w:lvlText w:val=""/>
      <w:lvlJc w:val="left"/>
      <w:pPr>
        <w:ind w:left="720" w:hanging="360"/>
      </w:pPr>
      <w:rPr>
        <w:rFonts w:ascii="Symbol" w:hAnsi="Symbol" w:hint="default"/>
      </w:rPr>
    </w:lvl>
    <w:lvl w:ilvl="1" w:tplc="6D7A6886">
      <w:start w:val="1"/>
      <w:numFmt w:val="bullet"/>
      <w:lvlText w:val="o"/>
      <w:lvlJc w:val="left"/>
      <w:pPr>
        <w:ind w:left="1440" w:hanging="360"/>
      </w:pPr>
      <w:rPr>
        <w:rFonts w:ascii="Courier New" w:hAnsi="Courier New" w:cs="Times New Roman" w:hint="default"/>
      </w:rPr>
    </w:lvl>
    <w:lvl w:ilvl="2" w:tplc="540CB382">
      <w:start w:val="1"/>
      <w:numFmt w:val="bullet"/>
      <w:lvlText w:val=""/>
      <w:lvlJc w:val="left"/>
      <w:pPr>
        <w:ind w:left="2160" w:hanging="360"/>
      </w:pPr>
      <w:rPr>
        <w:rFonts w:ascii="Wingdings" w:hAnsi="Wingdings" w:hint="default"/>
      </w:rPr>
    </w:lvl>
    <w:lvl w:ilvl="3" w:tplc="18F6D324">
      <w:start w:val="1"/>
      <w:numFmt w:val="bullet"/>
      <w:lvlText w:val=""/>
      <w:lvlJc w:val="left"/>
      <w:pPr>
        <w:ind w:left="2880" w:hanging="360"/>
      </w:pPr>
      <w:rPr>
        <w:rFonts w:ascii="Symbol" w:hAnsi="Symbol" w:hint="default"/>
      </w:rPr>
    </w:lvl>
    <w:lvl w:ilvl="4" w:tplc="8D4AF8BA">
      <w:start w:val="1"/>
      <w:numFmt w:val="bullet"/>
      <w:lvlText w:val="o"/>
      <w:lvlJc w:val="left"/>
      <w:pPr>
        <w:ind w:left="3600" w:hanging="360"/>
      </w:pPr>
      <w:rPr>
        <w:rFonts w:ascii="Courier New" w:hAnsi="Courier New" w:cs="Times New Roman" w:hint="default"/>
      </w:rPr>
    </w:lvl>
    <w:lvl w:ilvl="5" w:tplc="9BF6974A">
      <w:start w:val="1"/>
      <w:numFmt w:val="bullet"/>
      <w:lvlText w:val=""/>
      <w:lvlJc w:val="left"/>
      <w:pPr>
        <w:ind w:left="4320" w:hanging="360"/>
      </w:pPr>
      <w:rPr>
        <w:rFonts w:ascii="Wingdings" w:hAnsi="Wingdings" w:hint="default"/>
      </w:rPr>
    </w:lvl>
    <w:lvl w:ilvl="6" w:tplc="953457D0">
      <w:start w:val="1"/>
      <w:numFmt w:val="bullet"/>
      <w:lvlText w:val=""/>
      <w:lvlJc w:val="left"/>
      <w:pPr>
        <w:ind w:left="5040" w:hanging="360"/>
      </w:pPr>
      <w:rPr>
        <w:rFonts w:ascii="Symbol" w:hAnsi="Symbol" w:hint="default"/>
      </w:rPr>
    </w:lvl>
    <w:lvl w:ilvl="7" w:tplc="2BA84904">
      <w:start w:val="1"/>
      <w:numFmt w:val="bullet"/>
      <w:lvlText w:val="o"/>
      <w:lvlJc w:val="left"/>
      <w:pPr>
        <w:ind w:left="5760" w:hanging="360"/>
      </w:pPr>
      <w:rPr>
        <w:rFonts w:ascii="Courier New" w:hAnsi="Courier New" w:cs="Times New Roman" w:hint="default"/>
      </w:rPr>
    </w:lvl>
    <w:lvl w:ilvl="8" w:tplc="7D52480A">
      <w:start w:val="1"/>
      <w:numFmt w:val="bullet"/>
      <w:lvlText w:val=""/>
      <w:lvlJc w:val="left"/>
      <w:pPr>
        <w:ind w:left="6480" w:hanging="360"/>
      </w:pPr>
      <w:rPr>
        <w:rFonts w:ascii="Wingdings" w:hAnsi="Wingdings" w:hint="default"/>
      </w:rPr>
    </w:lvl>
  </w:abstractNum>
  <w:abstractNum w:abstractNumId="12" w15:restartNumberingAfterBreak="0">
    <w:nsid w:val="1B511E85"/>
    <w:multiLevelType w:val="singleLevel"/>
    <w:tmpl w:val="82186D90"/>
    <w:lvl w:ilvl="0">
      <w:start w:val="1"/>
      <w:numFmt w:val="bullet"/>
      <w:pStyle w:val="ListBullet4"/>
      <w:lvlText w:val=""/>
      <w:lvlJc w:val="left"/>
      <w:pPr>
        <w:tabs>
          <w:tab w:val="num" w:pos="1723"/>
        </w:tabs>
        <w:ind w:left="1723" w:hanging="283"/>
      </w:pPr>
      <w:rPr>
        <w:rFonts w:ascii="Symbol" w:hAnsi="Symbol"/>
      </w:rPr>
    </w:lvl>
  </w:abstractNum>
  <w:abstractNum w:abstractNumId="13" w15:restartNumberingAfterBreak="0">
    <w:nsid w:val="1C7D1A8D"/>
    <w:multiLevelType w:val="singleLevel"/>
    <w:tmpl w:val="B086A94E"/>
    <w:lvl w:ilvl="0">
      <w:start w:val="1"/>
      <w:numFmt w:val="bullet"/>
      <w:pStyle w:val="ListBullet"/>
      <w:lvlText w:val=""/>
      <w:lvlJc w:val="left"/>
      <w:pPr>
        <w:tabs>
          <w:tab w:val="num" w:pos="283"/>
        </w:tabs>
        <w:ind w:left="283" w:hanging="283"/>
      </w:pPr>
      <w:rPr>
        <w:rFonts w:ascii="Symbol" w:hAnsi="Symbol"/>
      </w:rPr>
    </w:lvl>
  </w:abstractNum>
  <w:abstractNum w:abstractNumId="14" w15:restartNumberingAfterBreak="0">
    <w:nsid w:val="204774F5"/>
    <w:multiLevelType w:val="multilevel"/>
    <w:tmpl w:val="D9F42482"/>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72162AA"/>
    <w:multiLevelType w:val="hybridMultilevel"/>
    <w:tmpl w:val="D4BE07C6"/>
    <w:lvl w:ilvl="0" w:tplc="BE50AD9E">
      <w:start w:val="1"/>
      <w:numFmt w:val="bullet"/>
      <w:lvlText w:val=""/>
      <w:lvlJc w:val="left"/>
      <w:pPr>
        <w:ind w:left="720" w:hanging="360"/>
      </w:pPr>
      <w:rPr>
        <w:rFonts w:ascii="Symbol" w:hAnsi="Symbol" w:hint="default"/>
        <w:sz w:val="21"/>
        <w:szCs w:val="24"/>
      </w:rPr>
    </w:lvl>
    <w:lvl w:ilvl="1" w:tplc="96AE0BB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352FFF"/>
    <w:multiLevelType w:val="hybridMultilevel"/>
    <w:tmpl w:val="548CD240"/>
    <w:lvl w:ilvl="0" w:tplc="69B2380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EE667A"/>
    <w:multiLevelType w:val="hybridMultilevel"/>
    <w:tmpl w:val="087A7580"/>
    <w:lvl w:ilvl="0" w:tplc="BE50AD9E">
      <w:start w:val="1"/>
      <w:numFmt w:val="bullet"/>
      <w:lvlText w:val=""/>
      <w:lvlJc w:val="left"/>
      <w:pPr>
        <w:ind w:left="720" w:hanging="360"/>
      </w:pPr>
      <w:rPr>
        <w:rFonts w:ascii="Symbol" w:hAnsi="Symbol" w:hint="default"/>
      </w:rPr>
    </w:lvl>
    <w:lvl w:ilvl="1" w:tplc="BE50AD9E">
      <w:start w:val="1"/>
      <w:numFmt w:val="bullet"/>
      <w:lvlText w:val=""/>
      <w:lvlJc w:val="left"/>
      <w:pPr>
        <w:ind w:left="1440" w:hanging="360"/>
      </w:pPr>
      <w:rPr>
        <w:rFonts w:ascii="Symbol" w:hAnsi="Symbol" w:hint="default"/>
        <w:sz w:val="21"/>
        <w:szCs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B737DD"/>
    <w:multiLevelType w:val="hybridMultilevel"/>
    <w:tmpl w:val="5C64EC24"/>
    <w:lvl w:ilvl="0" w:tplc="9294DFBC">
      <w:numFmt w:val="bullet"/>
      <w:lvlText w:val="•"/>
      <w:lvlJc w:val="left"/>
      <w:pPr>
        <w:ind w:left="1080" w:hanging="720"/>
      </w:pPr>
      <w:rPr>
        <w:rFonts w:ascii="Verdana" w:eastAsia="Times New Roman" w:hAnsi="Verdana" w:cs="Times New Roman" w:hint="default"/>
      </w:rPr>
    </w:lvl>
    <w:lvl w:ilvl="1" w:tplc="BE50AD9E">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8475FA"/>
    <w:multiLevelType w:val="multilevel"/>
    <w:tmpl w:val="F65826E8"/>
    <w:lvl w:ilvl="0">
      <w:start w:val="1"/>
      <w:numFmt w:val="decimal"/>
      <w:pStyle w:val="ListNumber1"/>
      <w:lvlText w:val="(%1)"/>
      <w:lvlJc w:val="left"/>
      <w:pPr>
        <w:tabs>
          <w:tab w:val="num" w:pos="2149"/>
        </w:tabs>
        <w:ind w:left="2149" w:hanging="709"/>
      </w:pPr>
    </w:lvl>
    <w:lvl w:ilvl="1">
      <w:start w:val="1"/>
      <w:numFmt w:val="lowerLetter"/>
      <w:pStyle w:val="ListNumber1Level2"/>
      <w:lvlText w:val="(%2)"/>
      <w:lvlJc w:val="left"/>
      <w:pPr>
        <w:tabs>
          <w:tab w:val="num" w:pos="2857"/>
        </w:tabs>
        <w:ind w:left="2857" w:hanging="708"/>
      </w:pPr>
    </w:lvl>
    <w:lvl w:ilvl="2">
      <w:start w:val="1"/>
      <w:numFmt w:val="bullet"/>
      <w:pStyle w:val="ListNumber1Level3"/>
      <w:lvlText w:val="–"/>
      <w:lvlJc w:val="left"/>
      <w:pPr>
        <w:tabs>
          <w:tab w:val="num" w:pos="3566"/>
        </w:tabs>
        <w:ind w:left="3566" w:hanging="709"/>
      </w:pPr>
      <w:rPr>
        <w:rFonts w:ascii="Times New Roman" w:hAnsi="Times New Roman"/>
      </w:rPr>
    </w:lvl>
    <w:lvl w:ilvl="3">
      <w:start w:val="1"/>
      <w:numFmt w:val="bullet"/>
      <w:pStyle w:val="ListNumber1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5646B0E"/>
    <w:multiLevelType w:val="multilevel"/>
    <w:tmpl w:val="C51C4B2C"/>
    <w:lvl w:ilvl="0">
      <w:start w:val="1"/>
      <w:numFmt w:val="bullet"/>
      <w:pStyle w:val="ListBullet3"/>
      <w:lvlText w:val=""/>
      <w:lvlJc w:val="left"/>
      <w:pPr>
        <w:tabs>
          <w:tab w:val="num" w:pos="1723"/>
        </w:tabs>
        <w:ind w:left="172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8346497"/>
    <w:multiLevelType w:val="hybridMultilevel"/>
    <w:tmpl w:val="9DF6880C"/>
    <w:lvl w:ilvl="0" w:tplc="24C6155C">
      <w:start w:val="1"/>
      <w:numFmt w:val="bullet"/>
      <w:lvlText w:val=""/>
      <w:lvlJc w:val="left"/>
      <w:pPr>
        <w:ind w:left="720" w:hanging="360"/>
      </w:pPr>
      <w:rPr>
        <w:rFonts w:ascii="Symbol" w:hAnsi="Symbol" w:hint="default"/>
        <w:strike w:val="0"/>
        <w:dstrike w:val="0"/>
        <w:color w:val="auto"/>
        <w:sz w:val="24"/>
        <w:u w:val="none"/>
        <w:effect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C641BA"/>
    <w:multiLevelType w:val="hybridMultilevel"/>
    <w:tmpl w:val="943A1348"/>
    <w:lvl w:ilvl="0" w:tplc="F1F85750">
      <w:start w:val="1"/>
      <w:numFmt w:val="bullet"/>
      <w:lvlText w:val=""/>
      <w:lvlJc w:val="left"/>
      <w:pPr>
        <w:ind w:left="720" w:hanging="360"/>
      </w:pPr>
      <w:rPr>
        <w:rFonts w:ascii="Symbol" w:hAnsi="Symbol" w:hint="default"/>
        <w:color w:val="5959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3D7EE5"/>
    <w:multiLevelType w:val="hybridMultilevel"/>
    <w:tmpl w:val="5DF04E64"/>
    <w:lvl w:ilvl="0" w:tplc="BE50AD9E">
      <w:start w:val="1"/>
      <w:numFmt w:val="bullet"/>
      <w:lvlText w:val=""/>
      <w:lvlJc w:val="left"/>
      <w:pPr>
        <w:ind w:left="7023" w:hanging="360"/>
      </w:pPr>
      <w:rPr>
        <w:rFonts w:ascii="Symbol" w:hAnsi="Symbol" w:hint="default"/>
        <w:b/>
        <w:strike w:val="0"/>
        <w:dstrike w:val="0"/>
        <w:color w:val="auto"/>
        <w:sz w:val="24"/>
        <w:u w:val="none"/>
        <w:effect w:val="none"/>
      </w:rPr>
    </w:lvl>
    <w:lvl w:ilvl="1" w:tplc="44FE2B32">
      <w:start w:val="3"/>
      <w:numFmt w:val="bullet"/>
      <w:lvlText w:val="-"/>
      <w:lvlJc w:val="left"/>
      <w:pPr>
        <w:ind w:left="3381" w:hanging="360"/>
      </w:pPr>
      <w:rPr>
        <w:rFonts w:ascii="Times New Roman" w:eastAsia="Calibri" w:hAnsi="Times New Roman" w:cs="Times New Roman" w:hint="default"/>
        <w:color w:val="auto"/>
      </w:rPr>
    </w:lvl>
    <w:lvl w:ilvl="2" w:tplc="08090005">
      <w:start w:val="1"/>
      <w:numFmt w:val="bullet"/>
      <w:lvlText w:val=""/>
      <w:lvlJc w:val="left"/>
      <w:pPr>
        <w:ind w:left="4101" w:hanging="360"/>
      </w:pPr>
      <w:rPr>
        <w:rFonts w:ascii="Wingdings" w:hAnsi="Wingdings" w:hint="default"/>
      </w:rPr>
    </w:lvl>
    <w:lvl w:ilvl="3" w:tplc="08090001">
      <w:start w:val="1"/>
      <w:numFmt w:val="bullet"/>
      <w:lvlText w:val=""/>
      <w:lvlJc w:val="left"/>
      <w:pPr>
        <w:ind w:left="4821" w:hanging="360"/>
      </w:pPr>
      <w:rPr>
        <w:rFonts w:ascii="Symbol" w:hAnsi="Symbol" w:hint="default"/>
      </w:rPr>
    </w:lvl>
    <w:lvl w:ilvl="4" w:tplc="08090003" w:tentative="1">
      <w:start w:val="1"/>
      <w:numFmt w:val="bullet"/>
      <w:lvlText w:val="o"/>
      <w:lvlJc w:val="left"/>
      <w:pPr>
        <w:ind w:left="5541" w:hanging="360"/>
      </w:pPr>
      <w:rPr>
        <w:rFonts w:ascii="Courier New" w:hAnsi="Courier New" w:cs="Courier New" w:hint="default"/>
      </w:rPr>
    </w:lvl>
    <w:lvl w:ilvl="5" w:tplc="08090005" w:tentative="1">
      <w:start w:val="1"/>
      <w:numFmt w:val="bullet"/>
      <w:lvlText w:val=""/>
      <w:lvlJc w:val="left"/>
      <w:pPr>
        <w:ind w:left="6261" w:hanging="360"/>
      </w:pPr>
      <w:rPr>
        <w:rFonts w:ascii="Wingdings" w:hAnsi="Wingdings" w:hint="default"/>
      </w:rPr>
    </w:lvl>
    <w:lvl w:ilvl="6" w:tplc="08090001" w:tentative="1">
      <w:start w:val="1"/>
      <w:numFmt w:val="bullet"/>
      <w:lvlText w:val=""/>
      <w:lvlJc w:val="left"/>
      <w:pPr>
        <w:ind w:left="6981" w:hanging="360"/>
      </w:pPr>
      <w:rPr>
        <w:rFonts w:ascii="Symbol" w:hAnsi="Symbol" w:hint="default"/>
      </w:rPr>
    </w:lvl>
    <w:lvl w:ilvl="7" w:tplc="08090003" w:tentative="1">
      <w:start w:val="1"/>
      <w:numFmt w:val="bullet"/>
      <w:lvlText w:val="o"/>
      <w:lvlJc w:val="left"/>
      <w:pPr>
        <w:ind w:left="7701" w:hanging="360"/>
      </w:pPr>
      <w:rPr>
        <w:rFonts w:ascii="Courier New" w:hAnsi="Courier New" w:cs="Courier New" w:hint="default"/>
      </w:rPr>
    </w:lvl>
    <w:lvl w:ilvl="8" w:tplc="08090005" w:tentative="1">
      <w:start w:val="1"/>
      <w:numFmt w:val="bullet"/>
      <w:lvlText w:val=""/>
      <w:lvlJc w:val="left"/>
      <w:pPr>
        <w:ind w:left="8421" w:hanging="360"/>
      </w:pPr>
      <w:rPr>
        <w:rFonts w:ascii="Wingdings" w:hAnsi="Wingdings" w:hint="default"/>
      </w:rPr>
    </w:lvl>
  </w:abstractNum>
  <w:abstractNum w:abstractNumId="24" w15:restartNumberingAfterBreak="0">
    <w:nsid w:val="3E0216B9"/>
    <w:multiLevelType w:val="multilevel"/>
    <w:tmpl w:val="49C6B458"/>
    <w:lvl w:ilvl="0">
      <w:start w:val="1"/>
      <w:numFmt w:val="decimal"/>
      <w:lvlText w:val="%1."/>
      <w:lvlJc w:val="left"/>
      <w:pPr>
        <w:tabs>
          <w:tab w:val="num" w:pos="1440"/>
        </w:tabs>
        <w:ind w:left="1440" w:hanging="1440"/>
      </w:pPr>
      <w:rPr>
        <w:i w:val="0"/>
        <w:sz w:val="24"/>
        <w:szCs w:val="28"/>
      </w:rPr>
    </w:lvl>
    <w:lvl w:ilvl="1">
      <w:start w:val="1"/>
      <w:numFmt w:val="decimal"/>
      <w:lvlText w:val="%1.%2."/>
      <w:lvlJc w:val="left"/>
      <w:pPr>
        <w:tabs>
          <w:tab w:val="num" w:pos="1440"/>
        </w:tabs>
        <w:ind w:left="1440" w:hanging="1440"/>
      </w:pPr>
      <w:rPr>
        <w:rFonts w:ascii="Verdana" w:hAnsi="Verdana" w:hint="default"/>
        <w:b/>
        <w:sz w:val="22"/>
        <w:szCs w:val="22"/>
      </w:rPr>
    </w:lvl>
    <w:lvl w:ilvl="2">
      <w:start w:val="1"/>
      <w:numFmt w:val="decimal"/>
      <w:lvlText w:val="%1.%2.%3."/>
      <w:lvlJc w:val="left"/>
      <w:pPr>
        <w:tabs>
          <w:tab w:val="num" w:pos="1724"/>
        </w:tabs>
        <w:ind w:left="1724" w:hanging="1440"/>
      </w:pPr>
      <w:rPr>
        <w:i w:val="0"/>
        <w:sz w:val="24"/>
        <w:szCs w:val="24"/>
      </w:rPr>
    </w:lvl>
    <w:lvl w:ilvl="3">
      <w:start w:val="1"/>
      <w:numFmt w:val="decimal"/>
      <w:pStyle w:val="Heading4"/>
      <w:lvlText w:val="%1.%2.%3.%4."/>
      <w:lvlJc w:val="left"/>
      <w:pPr>
        <w:tabs>
          <w:tab w:val="num" w:pos="1440"/>
        </w:tabs>
        <w:ind w:left="1440" w:hanging="144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E60361F"/>
    <w:multiLevelType w:val="hybridMultilevel"/>
    <w:tmpl w:val="DF28AE3E"/>
    <w:lvl w:ilvl="0" w:tplc="239695B4">
      <w:start w:val="1"/>
      <w:numFmt w:val="bullet"/>
      <w:lvlText w:val=""/>
      <w:lvlJc w:val="left"/>
      <w:pPr>
        <w:ind w:left="720" w:hanging="360"/>
      </w:pPr>
      <w:rPr>
        <w:rFonts w:ascii="Symbol" w:hAnsi="Symbol" w:hint="default"/>
      </w:rPr>
    </w:lvl>
    <w:lvl w:ilvl="1" w:tplc="A6523FA2">
      <w:start w:val="1"/>
      <w:numFmt w:val="bullet"/>
      <w:lvlText w:val="o"/>
      <w:lvlJc w:val="left"/>
      <w:pPr>
        <w:ind w:left="1440" w:hanging="360"/>
      </w:pPr>
      <w:rPr>
        <w:rFonts w:ascii="Courier New" w:hAnsi="Courier New" w:cs="Times New Roman" w:hint="default"/>
      </w:rPr>
    </w:lvl>
    <w:lvl w:ilvl="2" w:tplc="AE2A2790">
      <w:start w:val="1"/>
      <w:numFmt w:val="bullet"/>
      <w:lvlText w:val=""/>
      <w:lvlJc w:val="left"/>
      <w:pPr>
        <w:ind w:left="2160" w:hanging="360"/>
      </w:pPr>
      <w:rPr>
        <w:rFonts w:ascii="Wingdings" w:hAnsi="Wingdings" w:hint="default"/>
      </w:rPr>
    </w:lvl>
    <w:lvl w:ilvl="3" w:tplc="27403B40">
      <w:start w:val="1"/>
      <w:numFmt w:val="bullet"/>
      <w:lvlText w:val=""/>
      <w:lvlJc w:val="left"/>
      <w:pPr>
        <w:ind w:left="2880" w:hanging="360"/>
      </w:pPr>
      <w:rPr>
        <w:rFonts w:ascii="Symbol" w:hAnsi="Symbol" w:hint="default"/>
      </w:rPr>
    </w:lvl>
    <w:lvl w:ilvl="4" w:tplc="4E4AC0A0">
      <w:start w:val="1"/>
      <w:numFmt w:val="bullet"/>
      <w:lvlText w:val="o"/>
      <w:lvlJc w:val="left"/>
      <w:pPr>
        <w:ind w:left="3600" w:hanging="360"/>
      </w:pPr>
      <w:rPr>
        <w:rFonts w:ascii="Courier New" w:hAnsi="Courier New" w:cs="Times New Roman" w:hint="default"/>
      </w:rPr>
    </w:lvl>
    <w:lvl w:ilvl="5" w:tplc="419A324E">
      <w:start w:val="1"/>
      <w:numFmt w:val="bullet"/>
      <w:lvlText w:val=""/>
      <w:lvlJc w:val="left"/>
      <w:pPr>
        <w:ind w:left="4320" w:hanging="360"/>
      </w:pPr>
      <w:rPr>
        <w:rFonts w:ascii="Wingdings" w:hAnsi="Wingdings" w:hint="default"/>
      </w:rPr>
    </w:lvl>
    <w:lvl w:ilvl="6" w:tplc="4656E830">
      <w:start w:val="1"/>
      <w:numFmt w:val="bullet"/>
      <w:lvlText w:val=""/>
      <w:lvlJc w:val="left"/>
      <w:pPr>
        <w:ind w:left="5040" w:hanging="360"/>
      </w:pPr>
      <w:rPr>
        <w:rFonts w:ascii="Symbol" w:hAnsi="Symbol" w:hint="default"/>
      </w:rPr>
    </w:lvl>
    <w:lvl w:ilvl="7" w:tplc="12B2BECA">
      <w:start w:val="1"/>
      <w:numFmt w:val="bullet"/>
      <w:lvlText w:val="o"/>
      <w:lvlJc w:val="left"/>
      <w:pPr>
        <w:ind w:left="5760" w:hanging="360"/>
      </w:pPr>
      <w:rPr>
        <w:rFonts w:ascii="Courier New" w:hAnsi="Courier New" w:cs="Times New Roman" w:hint="default"/>
      </w:rPr>
    </w:lvl>
    <w:lvl w:ilvl="8" w:tplc="02C8FA5A">
      <w:start w:val="1"/>
      <w:numFmt w:val="bullet"/>
      <w:lvlText w:val=""/>
      <w:lvlJc w:val="left"/>
      <w:pPr>
        <w:ind w:left="6480" w:hanging="360"/>
      </w:pPr>
      <w:rPr>
        <w:rFonts w:ascii="Wingdings" w:hAnsi="Wingdings" w:hint="default"/>
      </w:rPr>
    </w:lvl>
  </w:abstractNum>
  <w:abstractNum w:abstractNumId="26" w15:restartNumberingAfterBreak="0">
    <w:nsid w:val="420D3041"/>
    <w:multiLevelType w:val="hybridMultilevel"/>
    <w:tmpl w:val="D00CEF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B64731"/>
    <w:multiLevelType w:val="hybridMultilevel"/>
    <w:tmpl w:val="E1C86960"/>
    <w:lvl w:ilvl="0" w:tplc="038A179E">
      <w:start w:val="1"/>
      <w:numFmt w:val="bullet"/>
      <w:pStyle w:val="ListDash2"/>
      <w:lvlText w:val="–"/>
      <w:lvlJc w:val="left"/>
      <w:pPr>
        <w:tabs>
          <w:tab w:val="num" w:pos="1723"/>
        </w:tabs>
        <w:ind w:left="1723" w:hanging="283"/>
      </w:pPr>
      <w:rPr>
        <w:rFonts w:ascii="Times New Roman" w:hAnsi="Times New Roman"/>
      </w:rPr>
    </w:lvl>
    <w:lvl w:ilvl="1" w:tplc="7C264ED0">
      <w:numFmt w:val="decimal"/>
      <w:lvlText w:val=""/>
      <w:lvlJc w:val="left"/>
    </w:lvl>
    <w:lvl w:ilvl="2" w:tplc="00D2EBD8">
      <w:numFmt w:val="decimal"/>
      <w:lvlText w:val=""/>
      <w:lvlJc w:val="left"/>
    </w:lvl>
    <w:lvl w:ilvl="3" w:tplc="676E3FC4">
      <w:numFmt w:val="decimal"/>
      <w:lvlText w:val=""/>
      <w:lvlJc w:val="left"/>
    </w:lvl>
    <w:lvl w:ilvl="4" w:tplc="A87C3F26">
      <w:numFmt w:val="decimal"/>
      <w:lvlText w:val=""/>
      <w:lvlJc w:val="left"/>
    </w:lvl>
    <w:lvl w:ilvl="5" w:tplc="E5627EE0">
      <w:numFmt w:val="decimal"/>
      <w:lvlText w:val=""/>
      <w:lvlJc w:val="left"/>
    </w:lvl>
    <w:lvl w:ilvl="6" w:tplc="D9E606CA">
      <w:numFmt w:val="decimal"/>
      <w:lvlText w:val=""/>
      <w:lvlJc w:val="left"/>
    </w:lvl>
    <w:lvl w:ilvl="7" w:tplc="DF82021A">
      <w:numFmt w:val="decimal"/>
      <w:lvlText w:val=""/>
      <w:lvlJc w:val="left"/>
    </w:lvl>
    <w:lvl w:ilvl="8" w:tplc="DDA6C10A">
      <w:numFmt w:val="decimal"/>
      <w:lvlText w:val=""/>
      <w:lvlJc w:val="left"/>
    </w:lvl>
  </w:abstractNum>
  <w:abstractNum w:abstractNumId="28" w15:restartNumberingAfterBreak="0">
    <w:nsid w:val="491C066E"/>
    <w:multiLevelType w:val="hybridMultilevel"/>
    <w:tmpl w:val="D5A26558"/>
    <w:lvl w:ilvl="0" w:tplc="8D7666F0">
      <w:start w:val="1"/>
      <w:numFmt w:val="lowerLetter"/>
      <w:lvlText w:val="%1)"/>
      <w:lvlJc w:val="left"/>
      <w:pPr>
        <w:ind w:left="720" w:hanging="360"/>
      </w:pPr>
      <w:rPr>
        <w:rFonts w:ascii="Verdana" w:hAnsi="Verdana" w:hint="default"/>
        <w:b w:val="0"/>
        <w:i w:val="0"/>
        <w:sz w:val="20"/>
        <w:szCs w:val="22"/>
        <w:u w:val="none"/>
      </w:rPr>
    </w:lvl>
    <w:lvl w:ilvl="1" w:tplc="8D7666F0">
      <w:start w:val="1"/>
      <w:numFmt w:val="lowerLetter"/>
      <w:lvlText w:val="%2)"/>
      <w:lvlJc w:val="left"/>
      <w:pPr>
        <w:ind w:left="1440" w:hanging="360"/>
      </w:pPr>
      <w:rPr>
        <w:rFonts w:ascii="Verdana" w:hAnsi="Verdana" w:hint="default"/>
        <w:b w:val="0"/>
        <w:i w:val="0"/>
        <w:sz w:val="20"/>
        <w:szCs w:val="22"/>
        <w:u w:val="none"/>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9" w15:restartNumberingAfterBreak="0">
    <w:nsid w:val="4C801BB6"/>
    <w:multiLevelType w:val="hybridMultilevel"/>
    <w:tmpl w:val="8F32D7DE"/>
    <w:lvl w:ilvl="0" w:tplc="BE50AD9E">
      <w:start w:val="1"/>
      <w:numFmt w:val="bullet"/>
      <w:lvlText w:val=""/>
      <w:lvlJc w:val="left"/>
      <w:pPr>
        <w:ind w:left="360" w:hanging="360"/>
      </w:pPr>
      <w:rPr>
        <w:rFonts w:ascii="Symbol" w:hAnsi="Symbol" w:hint="default"/>
      </w:rPr>
    </w:lvl>
    <w:lvl w:ilvl="1" w:tplc="BE50AD9E">
      <w:start w:val="1"/>
      <w:numFmt w:val="bullet"/>
      <w:lvlText w:val=""/>
      <w:lvlJc w:val="left"/>
      <w:pPr>
        <w:ind w:left="1080" w:hanging="360"/>
      </w:pPr>
      <w:rPr>
        <w:rFonts w:ascii="Symbol" w:hAnsi="Symbol" w:hint="default"/>
      </w:rPr>
    </w:lvl>
    <w:lvl w:ilvl="2" w:tplc="24C6155C">
      <w:start w:val="1"/>
      <w:numFmt w:val="bullet"/>
      <w:lvlText w:val=""/>
      <w:lvlJc w:val="left"/>
      <w:pPr>
        <w:ind w:left="1800" w:hanging="360"/>
      </w:pPr>
      <w:rPr>
        <w:rFonts w:ascii="Symbol" w:hAnsi="Symbol" w:hint="default"/>
      </w:rPr>
    </w:lvl>
    <w:lvl w:ilvl="3" w:tplc="24C6155C">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DD22A24"/>
    <w:multiLevelType w:val="hybridMultilevel"/>
    <w:tmpl w:val="67A0E23E"/>
    <w:lvl w:ilvl="0" w:tplc="BE50AD9E">
      <w:start w:val="1"/>
      <w:numFmt w:val="bullet"/>
      <w:lvlText w:val=""/>
      <w:lvlJc w:val="left"/>
      <w:pPr>
        <w:ind w:left="6042" w:hanging="360"/>
      </w:pPr>
      <w:rPr>
        <w:rFonts w:ascii="Symbol" w:hAnsi="Symbol" w:hint="default"/>
        <w:b/>
        <w:strike w:val="0"/>
        <w:dstrike w:val="0"/>
        <w:color w:val="auto"/>
        <w:sz w:val="24"/>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31" w15:restartNumberingAfterBreak="0">
    <w:nsid w:val="500A42E9"/>
    <w:multiLevelType w:val="hybridMultilevel"/>
    <w:tmpl w:val="3BCC837E"/>
    <w:lvl w:ilvl="0" w:tplc="BE50AD9E">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6041FE"/>
    <w:multiLevelType w:val="hybridMultilevel"/>
    <w:tmpl w:val="F96417D2"/>
    <w:lvl w:ilvl="0" w:tplc="69B23806">
      <w:start w:val="1"/>
      <w:numFmt w:val="bullet"/>
      <w:lvlText w:val=""/>
      <w:lvlJc w:val="left"/>
      <w:pPr>
        <w:ind w:left="720" w:hanging="360"/>
      </w:pPr>
      <w:rPr>
        <w:rFonts w:ascii="Symbol" w:hAnsi="Symbol" w:hint="default"/>
        <w:color w:val="auto"/>
      </w:rPr>
    </w:lvl>
    <w:lvl w:ilvl="1" w:tplc="8DA6C392">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B45DE7"/>
    <w:multiLevelType w:val="hybridMultilevel"/>
    <w:tmpl w:val="53C4DB58"/>
    <w:lvl w:ilvl="0" w:tplc="EE3C0108">
      <w:start w:val="1"/>
      <w:numFmt w:val="decimal"/>
      <w:pStyle w:val="ListNumber4"/>
      <w:lvlText w:val="(%1)"/>
      <w:lvlJc w:val="left"/>
      <w:pPr>
        <w:tabs>
          <w:tab w:val="num" w:pos="2149"/>
        </w:tabs>
        <w:ind w:left="2149" w:hanging="709"/>
      </w:pPr>
    </w:lvl>
    <w:lvl w:ilvl="1" w:tplc="D8749A26">
      <w:start w:val="1"/>
      <w:numFmt w:val="lowerLetter"/>
      <w:pStyle w:val="ListNumber4Level2"/>
      <w:lvlText w:val="(%2)"/>
      <w:lvlJc w:val="left"/>
      <w:pPr>
        <w:tabs>
          <w:tab w:val="num" w:pos="2857"/>
        </w:tabs>
        <w:ind w:left="2857" w:hanging="708"/>
      </w:pPr>
    </w:lvl>
    <w:lvl w:ilvl="2" w:tplc="21AE8B46">
      <w:start w:val="1"/>
      <w:numFmt w:val="bullet"/>
      <w:pStyle w:val="ListNumber4Level3"/>
      <w:lvlText w:val="–"/>
      <w:lvlJc w:val="left"/>
      <w:pPr>
        <w:tabs>
          <w:tab w:val="num" w:pos="3566"/>
        </w:tabs>
        <w:ind w:left="3566" w:hanging="709"/>
      </w:pPr>
      <w:rPr>
        <w:rFonts w:ascii="Times New Roman" w:hAnsi="Times New Roman" w:hint="default"/>
      </w:rPr>
    </w:lvl>
    <w:lvl w:ilvl="3" w:tplc="99840AC4">
      <w:start w:val="1"/>
      <w:numFmt w:val="bullet"/>
      <w:pStyle w:val="ListNumber4Level4"/>
      <w:lvlText w:val=""/>
      <w:lvlJc w:val="left"/>
      <w:pPr>
        <w:tabs>
          <w:tab w:val="num" w:pos="4275"/>
        </w:tabs>
        <w:ind w:left="4275" w:hanging="709"/>
      </w:pPr>
      <w:rPr>
        <w:rFonts w:ascii="Symbol" w:hAnsi="Symbol" w:hint="default"/>
      </w:rPr>
    </w:lvl>
    <w:lvl w:ilvl="4" w:tplc="654EBFD8">
      <w:start w:val="1"/>
      <w:numFmt w:val="lowerLetter"/>
      <w:lvlText w:val="(%5)"/>
      <w:lvlJc w:val="left"/>
      <w:pPr>
        <w:tabs>
          <w:tab w:val="num" w:pos="1800"/>
        </w:tabs>
        <w:ind w:left="1800" w:hanging="360"/>
      </w:pPr>
    </w:lvl>
    <w:lvl w:ilvl="5" w:tplc="6DF8574A">
      <w:start w:val="1"/>
      <w:numFmt w:val="lowerRoman"/>
      <w:lvlText w:val="(%6)"/>
      <w:lvlJc w:val="left"/>
      <w:pPr>
        <w:tabs>
          <w:tab w:val="num" w:pos="2160"/>
        </w:tabs>
        <w:ind w:left="2160" w:hanging="360"/>
      </w:pPr>
    </w:lvl>
    <w:lvl w:ilvl="6" w:tplc="4ABA14C0">
      <w:start w:val="1"/>
      <w:numFmt w:val="decimal"/>
      <w:lvlText w:val="%7."/>
      <w:lvlJc w:val="left"/>
      <w:pPr>
        <w:tabs>
          <w:tab w:val="num" w:pos="2520"/>
        </w:tabs>
        <w:ind w:left="2520" w:hanging="360"/>
      </w:pPr>
    </w:lvl>
    <w:lvl w:ilvl="7" w:tplc="47D2BEBC">
      <w:start w:val="1"/>
      <w:numFmt w:val="lowerLetter"/>
      <w:lvlText w:val="%8."/>
      <w:lvlJc w:val="left"/>
      <w:pPr>
        <w:tabs>
          <w:tab w:val="num" w:pos="2880"/>
        </w:tabs>
        <w:ind w:left="2880" w:hanging="360"/>
      </w:pPr>
    </w:lvl>
    <w:lvl w:ilvl="8" w:tplc="CB2E1996">
      <w:start w:val="1"/>
      <w:numFmt w:val="lowerRoman"/>
      <w:lvlText w:val="%9."/>
      <w:lvlJc w:val="left"/>
      <w:pPr>
        <w:tabs>
          <w:tab w:val="num" w:pos="3240"/>
        </w:tabs>
        <w:ind w:left="3240" w:hanging="360"/>
      </w:pPr>
    </w:lvl>
  </w:abstractNum>
  <w:abstractNum w:abstractNumId="34" w15:restartNumberingAfterBreak="0">
    <w:nsid w:val="52106FC3"/>
    <w:multiLevelType w:val="hybridMultilevel"/>
    <w:tmpl w:val="A5BA5E8C"/>
    <w:lvl w:ilvl="0" w:tplc="E72635F0">
      <w:start w:val="1"/>
      <w:numFmt w:val="bullet"/>
      <w:pStyle w:val="ListBullet1"/>
      <w:lvlText w:val=""/>
      <w:lvlJc w:val="left"/>
      <w:pPr>
        <w:tabs>
          <w:tab w:val="num" w:pos="1723"/>
        </w:tabs>
        <w:ind w:left="1723" w:hanging="283"/>
      </w:pPr>
      <w:rPr>
        <w:rFonts w:ascii="Symbol" w:hAnsi="Symbol"/>
      </w:rPr>
    </w:lvl>
    <w:lvl w:ilvl="1" w:tplc="A2A40ACA">
      <w:numFmt w:val="decimal"/>
      <w:lvlText w:val=""/>
      <w:lvlJc w:val="left"/>
    </w:lvl>
    <w:lvl w:ilvl="2" w:tplc="626E7278">
      <w:numFmt w:val="decimal"/>
      <w:lvlText w:val=""/>
      <w:lvlJc w:val="left"/>
    </w:lvl>
    <w:lvl w:ilvl="3" w:tplc="EF52CEAC">
      <w:numFmt w:val="decimal"/>
      <w:lvlText w:val=""/>
      <w:lvlJc w:val="left"/>
    </w:lvl>
    <w:lvl w:ilvl="4" w:tplc="5AB65512">
      <w:numFmt w:val="decimal"/>
      <w:lvlText w:val=""/>
      <w:lvlJc w:val="left"/>
    </w:lvl>
    <w:lvl w:ilvl="5" w:tplc="EFB80F84">
      <w:numFmt w:val="decimal"/>
      <w:lvlText w:val=""/>
      <w:lvlJc w:val="left"/>
    </w:lvl>
    <w:lvl w:ilvl="6" w:tplc="AB7EABD2">
      <w:numFmt w:val="decimal"/>
      <w:lvlText w:val=""/>
      <w:lvlJc w:val="left"/>
    </w:lvl>
    <w:lvl w:ilvl="7" w:tplc="434E9688">
      <w:numFmt w:val="decimal"/>
      <w:lvlText w:val=""/>
      <w:lvlJc w:val="left"/>
    </w:lvl>
    <w:lvl w:ilvl="8" w:tplc="5B6A80F4">
      <w:numFmt w:val="decimal"/>
      <w:lvlText w:val=""/>
      <w:lvlJc w:val="left"/>
    </w:lvl>
  </w:abstractNum>
  <w:abstractNum w:abstractNumId="35" w15:restartNumberingAfterBreak="0">
    <w:nsid w:val="526B09AB"/>
    <w:multiLevelType w:val="hybridMultilevel"/>
    <w:tmpl w:val="463012AC"/>
    <w:lvl w:ilvl="0" w:tplc="24C6155C">
      <w:start w:val="1"/>
      <w:numFmt w:val="bullet"/>
      <w:lvlText w:val=""/>
      <w:lvlJc w:val="left"/>
      <w:pPr>
        <w:ind w:left="6042" w:hanging="360"/>
      </w:pPr>
      <w:rPr>
        <w:rFonts w:ascii="Symbol" w:hAnsi="Symbol" w:hint="default"/>
        <w:b/>
        <w:strike w:val="0"/>
        <w:dstrike w:val="0"/>
        <w:color w:val="auto"/>
        <w:sz w:val="24"/>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36" w15:restartNumberingAfterBreak="0">
    <w:nsid w:val="532C7B77"/>
    <w:multiLevelType w:val="hybridMultilevel"/>
    <w:tmpl w:val="632852C2"/>
    <w:lvl w:ilvl="0" w:tplc="BE50AD9E">
      <w:start w:val="1"/>
      <w:numFmt w:val="bullet"/>
      <w:lvlText w:val=""/>
      <w:lvlJc w:val="left"/>
      <w:pPr>
        <w:ind w:left="786" w:hanging="360"/>
      </w:pPr>
      <w:rPr>
        <w:rFonts w:ascii="Symbol" w:hAnsi="Symbol" w:hint="default"/>
        <w:strike w:val="0"/>
        <w:dstrike w:val="0"/>
        <w:color w:val="auto"/>
        <w:sz w:val="24"/>
        <w:u w:val="none"/>
        <w:effect w:val="none"/>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5CE46C29"/>
    <w:multiLevelType w:val="hybridMultilevel"/>
    <w:tmpl w:val="1A929C5E"/>
    <w:lvl w:ilvl="0" w:tplc="C86EA79A">
      <w:start w:val="1"/>
      <w:numFmt w:val="bullet"/>
      <w:pStyle w:val="ListBullet2"/>
      <w:lvlText w:val=""/>
      <w:lvlJc w:val="left"/>
      <w:pPr>
        <w:tabs>
          <w:tab w:val="num" w:pos="1723"/>
        </w:tabs>
        <w:ind w:left="1723" w:hanging="283"/>
      </w:pPr>
      <w:rPr>
        <w:rFonts w:ascii="Symbol" w:hAnsi="Symbol"/>
      </w:rPr>
    </w:lvl>
    <w:lvl w:ilvl="1" w:tplc="3F225D00">
      <w:numFmt w:val="decimal"/>
      <w:lvlText w:val=""/>
      <w:lvlJc w:val="left"/>
    </w:lvl>
    <w:lvl w:ilvl="2" w:tplc="6080728C">
      <w:numFmt w:val="decimal"/>
      <w:lvlText w:val=""/>
      <w:lvlJc w:val="left"/>
    </w:lvl>
    <w:lvl w:ilvl="3" w:tplc="C8A63B92">
      <w:numFmt w:val="decimal"/>
      <w:lvlText w:val=""/>
      <w:lvlJc w:val="left"/>
    </w:lvl>
    <w:lvl w:ilvl="4" w:tplc="CD3870E0">
      <w:numFmt w:val="decimal"/>
      <w:lvlText w:val=""/>
      <w:lvlJc w:val="left"/>
    </w:lvl>
    <w:lvl w:ilvl="5" w:tplc="BCF45F38">
      <w:numFmt w:val="decimal"/>
      <w:lvlText w:val=""/>
      <w:lvlJc w:val="left"/>
    </w:lvl>
    <w:lvl w:ilvl="6" w:tplc="5FE2F52E">
      <w:numFmt w:val="decimal"/>
      <w:lvlText w:val=""/>
      <w:lvlJc w:val="left"/>
    </w:lvl>
    <w:lvl w:ilvl="7" w:tplc="993402E2">
      <w:numFmt w:val="decimal"/>
      <w:lvlText w:val=""/>
      <w:lvlJc w:val="left"/>
    </w:lvl>
    <w:lvl w:ilvl="8" w:tplc="030A0664">
      <w:numFmt w:val="decimal"/>
      <w:lvlText w:val=""/>
      <w:lvlJc w:val="left"/>
    </w:lvl>
  </w:abstractNum>
  <w:abstractNum w:abstractNumId="38" w15:restartNumberingAfterBreak="0">
    <w:nsid w:val="628C6C8B"/>
    <w:multiLevelType w:val="hybridMultilevel"/>
    <w:tmpl w:val="D9A29BEA"/>
    <w:lvl w:ilvl="0" w:tplc="0A1E9640">
      <w:start w:val="1"/>
      <w:numFmt w:val="bullet"/>
      <w:pStyle w:val="ListDash"/>
      <w:lvlText w:val="–"/>
      <w:lvlJc w:val="left"/>
      <w:pPr>
        <w:tabs>
          <w:tab w:val="num" w:pos="283"/>
        </w:tabs>
        <w:ind w:left="283" w:hanging="283"/>
      </w:pPr>
      <w:rPr>
        <w:rFonts w:ascii="Times New Roman" w:hAnsi="Times New Roman"/>
      </w:rPr>
    </w:lvl>
    <w:lvl w:ilvl="1" w:tplc="C202729E">
      <w:numFmt w:val="decimal"/>
      <w:lvlText w:val=""/>
      <w:lvlJc w:val="left"/>
    </w:lvl>
    <w:lvl w:ilvl="2" w:tplc="BA8642BA">
      <w:numFmt w:val="decimal"/>
      <w:lvlText w:val=""/>
      <w:lvlJc w:val="left"/>
    </w:lvl>
    <w:lvl w:ilvl="3" w:tplc="43D48606">
      <w:numFmt w:val="decimal"/>
      <w:lvlText w:val=""/>
      <w:lvlJc w:val="left"/>
    </w:lvl>
    <w:lvl w:ilvl="4" w:tplc="1CC893D6">
      <w:numFmt w:val="decimal"/>
      <w:lvlText w:val=""/>
      <w:lvlJc w:val="left"/>
    </w:lvl>
    <w:lvl w:ilvl="5" w:tplc="F7341166">
      <w:numFmt w:val="decimal"/>
      <w:lvlText w:val=""/>
      <w:lvlJc w:val="left"/>
    </w:lvl>
    <w:lvl w:ilvl="6" w:tplc="CAAE128C">
      <w:numFmt w:val="decimal"/>
      <w:lvlText w:val=""/>
      <w:lvlJc w:val="left"/>
    </w:lvl>
    <w:lvl w:ilvl="7" w:tplc="D408AFE0">
      <w:numFmt w:val="decimal"/>
      <w:lvlText w:val=""/>
      <w:lvlJc w:val="left"/>
    </w:lvl>
    <w:lvl w:ilvl="8" w:tplc="D842D462">
      <w:numFmt w:val="decimal"/>
      <w:lvlText w:val=""/>
      <w:lvlJc w:val="left"/>
    </w:lvl>
  </w:abstractNum>
  <w:abstractNum w:abstractNumId="39" w15:restartNumberingAfterBreak="0">
    <w:nsid w:val="630D466A"/>
    <w:multiLevelType w:val="hybridMultilevel"/>
    <w:tmpl w:val="938CC7DE"/>
    <w:lvl w:ilvl="0" w:tplc="0AD28318">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0" w15:restartNumberingAfterBreak="0">
    <w:nsid w:val="66CD13BD"/>
    <w:multiLevelType w:val="hybridMultilevel"/>
    <w:tmpl w:val="79B82EE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1" w15:restartNumberingAfterBreak="0">
    <w:nsid w:val="699543D1"/>
    <w:multiLevelType w:val="hybridMultilevel"/>
    <w:tmpl w:val="D5A60282"/>
    <w:lvl w:ilvl="0" w:tplc="B55E7CD0">
      <w:start w:val="1"/>
      <w:numFmt w:val="bullet"/>
      <w:pStyle w:val="ListDash1"/>
      <w:lvlText w:val="–"/>
      <w:lvlJc w:val="left"/>
      <w:pPr>
        <w:tabs>
          <w:tab w:val="num" w:pos="1723"/>
        </w:tabs>
        <w:ind w:left="1723" w:hanging="283"/>
      </w:pPr>
      <w:rPr>
        <w:rFonts w:ascii="Times New Roman" w:hAnsi="Times New Roman"/>
      </w:rPr>
    </w:lvl>
    <w:lvl w:ilvl="1" w:tplc="9976E3C8">
      <w:numFmt w:val="decimal"/>
      <w:lvlText w:val=""/>
      <w:lvlJc w:val="left"/>
    </w:lvl>
    <w:lvl w:ilvl="2" w:tplc="ECECE028">
      <w:numFmt w:val="decimal"/>
      <w:lvlText w:val=""/>
      <w:lvlJc w:val="left"/>
    </w:lvl>
    <w:lvl w:ilvl="3" w:tplc="13343134">
      <w:numFmt w:val="decimal"/>
      <w:lvlText w:val=""/>
      <w:lvlJc w:val="left"/>
    </w:lvl>
    <w:lvl w:ilvl="4" w:tplc="239C91A4">
      <w:numFmt w:val="decimal"/>
      <w:lvlText w:val=""/>
      <w:lvlJc w:val="left"/>
    </w:lvl>
    <w:lvl w:ilvl="5" w:tplc="C59210FE">
      <w:numFmt w:val="decimal"/>
      <w:lvlText w:val=""/>
      <w:lvlJc w:val="left"/>
    </w:lvl>
    <w:lvl w:ilvl="6" w:tplc="65447814">
      <w:numFmt w:val="decimal"/>
      <w:lvlText w:val=""/>
      <w:lvlJc w:val="left"/>
    </w:lvl>
    <w:lvl w:ilvl="7" w:tplc="17E4CECE">
      <w:numFmt w:val="decimal"/>
      <w:lvlText w:val=""/>
      <w:lvlJc w:val="left"/>
    </w:lvl>
    <w:lvl w:ilvl="8" w:tplc="4E324D6A">
      <w:numFmt w:val="decimal"/>
      <w:lvlText w:val=""/>
      <w:lvlJc w:val="left"/>
    </w:lvl>
  </w:abstractNum>
  <w:abstractNum w:abstractNumId="42" w15:restartNumberingAfterBreak="0">
    <w:nsid w:val="69CC7ACA"/>
    <w:multiLevelType w:val="hybridMultilevel"/>
    <w:tmpl w:val="C5749B60"/>
    <w:lvl w:ilvl="0" w:tplc="BE50AD9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6A7E3CD3"/>
    <w:multiLevelType w:val="hybridMultilevel"/>
    <w:tmpl w:val="598221D0"/>
    <w:lvl w:ilvl="0" w:tplc="080C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D5A5E87"/>
    <w:multiLevelType w:val="hybridMultilevel"/>
    <w:tmpl w:val="3A58C910"/>
    <w:lvl w:ilvl="0" w:tplc="3CDE6F60">
      <w:start w:val="1"/>
      <w:numFmt w:val="decimal"/>
      <w:pStyle w:val="ListNumber3"/>
      <w:lvlText w:val="(%1)"/>
      <w:lvlJc w:val="left"/>
      <w:pPr>
        <w:tabs>
          <w:tab w:val="num" w:pos="2149"/>
        </w:tabs>
        <w:ind w:left="2149" w:hanging="709"/>
      </w:pPr>
    </w:lvl>
    <w:lvl w:ilvl="1" w:tplc="4724B3C4">
      <w:start w:val="1"/>
      <w:numFmt w:val="lowerLetter"/>
      <w:pStyle w:val="ListNumber3Level2"/>
      <w:lvlText w:val="(%2)"/>
      <w:lvlJc w:val="left"/>
      <w:pPr>
        <w:tabs>
          <w:tab w:val="num" w:pos="2857"/>
        </w:tabs>
        <w:ind w:left="2857" w:hanging="708"/>
      </w:pPr>
    </w:lvl>
    <w:lvl w:ilvl="2" w:tplc="E75672D8">
      <w:start w:val="1"/>
      <w:numFmt w:val="bullet"/>
      <w:pStyle w:val="ListNumber3Level3"/>
      <w:lvlText w:val="–"/>
      <w:lvlJc w:val="left"/>
      <w:pPr>
        <w:tabs>
          <w:tab w:val="num" w:pos="3566"/>
        </w:tabs>
        <w:ind w:left="3566" w:hanging="709"/>
      </w:pPr>
      <w:rPr>
        <w:rFonts w:ascii="Times New Roman" w:hAnsi="Times New Roman" w:hint="default"/>
      </w:rPr>
    </w:lvl>
    <w:lvl w:ilvl="3" w:tplc="582C2598">
      <w:start w:val="1"/>
      <w:numFmt w:val="bullet"/>
      <w:pStyle w:val="ListNumber3Level4"/>
      <w:lvlText w:val=""/>
      <w:lvlJc w:val="left"/>
      <w:pPr>
        <w:tabs>
          <w:tab w:val="num" w:pos="4275"/>
        </w:tabs>
        <w:ind w:left="4275" w:hanging="709"/>
      </w:pPr>
      <w:rPr>
        <w:rFonts w:ascii="Symbol" w:hAnsi="Symbol" w:hint="default"/>
      </w:rPr>
    </w:lvl>
    <w:lvl w:ilvl="4" w:tplc="BCE06DD8">
      <w:start w:val="1"/>
      <w:numFmt w:val="lowerLetter"/>
      <w:lvlText w:val="(%5)"/>
      <w:lvlJc w:val="left"/>
      <w:pPr>
        <w:tabs>
          <w:tab w:val="num" w:pos="1800"/>
        </w:tabs>
        <w:ind w:left="1800" w:hanging="360"/>
      </w:pPr>
    </w:lvl>
    <w:lvl w:ilvl="5" w:tplc="4FDE5DF6">
      <w:start w:val="1"/>
      <w:numFmt w:val="lowerRoman"/>
      <w:lvlText w:val="(%6)"/>
      <w:lvlJc w:val="left"/>
      <w:pPr>
        <w:tabs>
          <w:tab w:val="num" w:pos="2160"/>
        </w:tabs>
        <w:ind w:left="2160" w:hanging="360"/>
      </w:pPr>
    </w:lvl>
    <w:lvl w:ilvl="6" w:tplc="22301246">
      <w:start w:val="1"/>
      <w:numFmt w:val="decimal"/>
      <w:lvlText w:val="%7."/>
      <w:lvlJc w:val="left"/>
      <w:pPr>
        <w:tabs>
          <w:tab w:val="num" w:pos="2520"/>
        </w:tabs>
        <w:ind w:left="2520" w:hanging="360"/>
      </w:pPr>
    </w:lvl>
    <w:lvl w:ilvl="7" w:tplc="51D24918">
      <w:start w:val="1"/>
      <w:numFmt w:val="lowerLetter"/>
      <w:lvlText w:val="%8."/>
      <w:lvlJc w:val="left"/>
      <w:pPr>
        <w:tabs>
          <w:tab w:val="num" w:pos="2880"/>
        </w:tabs>
        <w:ind w:left="2880" w:hanging="360"/>
      </w:pPr>
    </w:lvl>
    <w:lvl w:ilvl="8" w:tplc="ADF2AA4C">
      <w:start w:val="1"/>
      <w:numFmt w:val="lowerRoman"/>
      <w:lvlText w:val="%9."/>
      <w:lvlJc w:val="left"/>
      <w:pPr>
        <w:tabs>
          <w:tab w:val="num" w:pos="3240"/>
        </w:tabs>
        <w:ind w:left="3240" w:hanging="360"/>
      </w:pPr>
    </w:lvl>
  </w:abstractNum>
  <w:abstractNum w:abstractNumId="45" w15:restartNumberingAfterBreak="0">
    <w:nsid w:val="6F1A03D0"/>
    <w:multiLevelType w:val="hybridMultilevel"/>
    <w:tmpl w:val="3AB00464"/>
    <w:lvl w:ilvl="0" w:tplc="BE50AD9E">
      <w:start w:val="1"/>
      <w:numFmt w:val="bullet"/>
      <w:lvlText w:val=""/>
      <w:lvlJc w:val="left"/>
      <w:pPr>
        <w:ind w:left="360" w:hanging="360"/>
      </w:pPr>
      <w:rPr>
        <w:rFonts w:ascii="Symbol" w:hAnsi="Symbol" w:hint="default"/>
      </w:rPr>
    </w:lvl>
    <w:lvl w:ilvl="1" w:tplc="BE50AD9E">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24C6155C">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22A0FA3"/>
    <w:multiLevelType w:val="hybridMultilevel"/>
    <w:tmpl w:val="1D8E4896"/>
    <w:lvl w:ilvl="0" w:tplc="8DBE542A">
      <w:start w:val="1"/>
      <w:numFmt w:val="bullet"/>
      <w:lvlText w:val="o"/>
      <w:lvlJc w:val="left"/>
      <w:rPr>
        <w:rFonts w:ascii="Courier New" w:hAnsi="Courier New" w:cs="Courier New" w:hint="default"/>
        <w:b w:val="0"/>
        <w:bCs w:val="0"/>
        <w:i w:val="0"/>
        <w:iCs w:val="0"/>
        <w:smallCaps w:val="0"/>
        <w:strike w:val="0"/>
        <w:color w:val="595959"/>
        <w:spacing w:val="0"/>
        <w:w w:val="100"/>
        <w:position w:val="0"/>
        <w:sz w:val="22"/>
        <w:szCs w:val="22"/>
        <w:u w:val="none"/>
        <w:lang w:val="en-US" w:eastAsia="en-US" w:bidi="en-US"/>
      </w:rPr>
    </w:lvl>
    <w:lvl w:ilvl="1" w:tplc="60227D96">
      <w:numFmt w:val="decimal"/>
      <w:lvlText w:val=""/>
      <w:lvlJc w:val="left"/>
    </w:lvl>
    <w:lvl w:ilvl="2" w:tplc="828C9C76">
      <w:numFmt w:val="decimal"/>
      <w:lvlText w:val=""/>
      <w:lvlJc w:val="left"/>
    </w:lvl>
    <w:lvl w:ilvl="3" w:tplc="E598A570">
      <w:numFmt w:val="decimal"/>
      <w:lvlText w:val=""/>
      <w:lvlJc w:val="left"/>
    </w:lvl>
    <w:lvl w:ilvl="4" w:tplc="5596BD84">
      <w:numFmt w:val="decimal"/>
      <w:lvlText w:val=""/>
      <w:lvlJc w:val="left"/>
    </w:lvl>
    <w:lvl w:ilvl="5" w:tplc="EC8AF6D8">
      <w:numFmt w:val="decimal"/>
      <w:lvlText w:val=""/>
      <w:lvlJc w:val="left"/>
    </w:lvl>
    <w:lvl w:ilvl="6" w:tplc="5EE62D2C">
      <w:numFmt w:val="decimal"/>
      <w:lvlText w:val=""/>
      <w:lvlJc w:val="left"/>
    </w:lvl>
    <w:lvl w:ilvl="7" w:tplc="497C6DA8">
      <w:numFmt w:val="decimal"/>
      <w:lvlText w:val=""/>
      <w:lvlJc w:val="left"/>
    </w:lvl>
    <w:lvl w:ilvl="8" w:tplc="4A200BEE">
      <w:numFmt w:val="decimal"/>
      <w:lvlText w:val=""/>
      <w:lvlJc w:val="left"/>
    </w:lvl>
  </w:abstractNum>
  <w:abstractNum w:abstractNumId="47" w15:restartNumberingAfterBreak="0">
    <w:nsid w:val="732F1BDE"/>
    <w:multiLevelType w:val="hybridMultilevel"/>
    <w:tmpl w:val="E56E42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757E2C4B"/>
    <w:multiLevelType w:val="hybridMultilevel"/>
    <w:tmpl w:val="0E9023D8"/>
    <w:lvl w:ilvl="0" w:tplc="24C6155C">
      <w:start w:val="1"/>
      <w:numFmt w:val="bullet"/>
      <w:lvlText w:val=""/>
      <w:lvlJc w:val="left"/>
      <w:pPr>
        <w:ind w:left="720" w:hanging="360"/>
      </w:pPr>
      <w:rPr>
        <w:rFonts w:ascii="Symbol" w:hAnsi="Symbol" w:hint="default"/>
      </w:rPr>
    </w:lvl>
    <w:lvl w:ilvl="1" w:tplc="24C6155C">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763A5E4B"/>
    <w:multiLevelType w:val="hybridMultilevel"/>
    <w:tmpl w:val="9BF8F262"/>
    <w:lvl w:ilvl="0" w:tplc="08B6A2BE">
      <w:start w:val="1"/>
      <w:numFmt w:val="decimal"/>
      <w:pStyle w:val="ListNumber2"/>
      <w:lvlText w:val="(%1)"/>
      <w:lvlJc w:val="left"/>
      <w:pPr>
        <w:tabs>
          <w:tab w:val="num" w:pos="2149"/>
        </w:tabs>
        <w:ind w:left="2149" w:hanging="709"/>
      </w:pPr>
    </w:lvl>
    <w:lvl w:ilvl="1" w:tplc="02E20676">
      <w:start w:val="1"/>
      <w:numFmt w:val="lowerLetter"/>
      <w:pStyle w:val="ListNumber2Level2"/>
      <w:lvlText w:val="(%2)"/>
      <w:lvlJc w:val="left"/>
      <w:pPr>
        <w:tabs>
          <w:tab w:val="num" w:pos="2857"/>
        </w:tabs>
        <w:ind w:left="2857" w:hanging="708"/>
      </w:pPr>
    </w:lvl>
    <w:lvl w:ilvl="2" w:tplc="2CB0D676">
      <w:start w:val="1"/>
      <w:numFmt w:val="bullet"/>
      <w:pStyle w:val="ListNumber2Level3"/>
      <w:lvlText w:val="–"/>
      <w:lvlJc w:val="left"/>
      <w:pPr>
        <w:tabs>
          <w:tab w:val="num" w:pos="3566"/>
        </w:tabs>
        <w:ind w:left="3566" w:hanging="709"/>
      </w:pPr>
      <w:rPr>
        <w:rFonts w:ascii="Times New Roman" w:hAnsi="Times New Roman" w:hint="default"/>
      </w:rPr>
    </w:lvl>
    <w:lvl w:ilvl="3" w:tplc="1758E3A2">
      <w:start w:val="1"/>
      <w:numFmt w:val="bullet"/>
      <w:pStyle w:val="ListNumber2Level4"/>
      <w:lvlText w:val=""/>
      <w:lvlJc w:val="left"/>
      <w:pPr>
        <w:tabs>
          <w:tab w:val="num" w:pos="4275"/>
        </w:tabs>
        <w:ind w:left="4275" w:hanging="709"/>
      </w:pPr>
      <w:rPr>
        <w:rFonts w:ascii="Symbol" w:hAnsi="Symbol" w:hint="default"/>
      </w:rPr>
    </w:lvl>
    <w:lvl w:ilvl="4" w:tplc="3E86EE16">
      <w:start w:val="1"/>
      <w:numFmt w:val="lowerLetter"/>
      <w:lvlText w:val="(%5)"/>
      <w:lvlJc w:val="left"/>
      <w:pPr>
        <w:tabs>
          <w:tab w:val="num" w:pos="1800"/>
        </w:tabs>
        <w:ind w:left="1800" w:hanging="360"/>
      </w:pPr>
    </w:lvl>
    <w:lvl w:ilvl="5" w:tplc="54666906">
      <w:start w:val="1"/>
      <w:numFmt w:val="lowerRoman"/>
      <w:lvlText w:val="(%6)"/>
      <w:lvlJc w:val="left"/>
      <w:pPr>
        <w:tabs>
          <w:tab w:val="num" w:pos="2160"/>
        </w:tabs>
        <w:ind w:left="2160" w:hanging="360"/>
      </w:pPr>
    </w:lvl>
    <w:lvl w:ilvl="6" w:tplc="A5F098B0">
      <w:start w:val="1"/>
      <w:numFmt w:val="decimal"/>
      <w:lvlText w:val="%7."/>
      <w:lvlJc w:val="left"/>
      <w:pPr>
        <w:tabs>
          <w:tab w:val="num" w:pos="2520"/>
        </w:tabs>
        <w:ind w:left="2520" w:hanging="360"/>
      </w:pPr>
    </w:lvl>
    <w:lvl w:ilvl="7" w:tplc="2EC2265A">
      <w:start w:val="1"/>
      <w:numFmt w:val="lowerLetter"/>
      <w:lvlText w:val="%8."/>
      <w:lvlJc w:val="left"/>
      <w:pPr>
        <w:tabs>
          <w:tab w:val="num" w:pos="2880"/>
        </w:tabs>
        <w:ind w:left="2880" w:hanging="360"/>
      </w:pPr>
    </w:lvl>
    <w:lvl w:ilvl="8" w:tplc="BBF2C824">
      <w:start w:val="1"/>
      <w:numFmt w:val="lowerRoman"/>
      <w:lvlText w:val="%9."/>
      <w:lvlJc w:val="left"/>
      <w:pPr>
        <w:tabs>
          <w:tab w:val="num" w:pos="3240"/>
        </w:tabs>
        <w:ind w:left="3240" w:hanging="360"/>
      </w:pPr>
    </w:lvl>
  </w:abstractNum>
  <w:abstractNum w:abstractNumId="50" w15:restartNumberingAfterBreak="0">
    <w:nsid w:val="792B473D"/>
    <w:multiLevelType w:val="hybridMultilevel"/>
    <w:tmpl w:val="15E08760"/>
    <w:lvl w:ilvl="0" w:tplc="FFFFFFFF">
      <w:start w:val="1"/>
      <w:numFmt w:val="bullet"/>
      <w:lvlText w:val=""/>
      <w:lvlJc w:val="left"/>
      <w:pPr>
        <w:ind w:left="927" w:hanging="360"/>
      </w:pPr>
      <w:rPr>
        <w:rFonts w:ascii="Symbol" w:hAnsi="Symbol" w:hint="default"/>
      </w:rPr>
    </w:lvl>
    <w:lvl w:ilvl="1" w:tplc="BE50AD9E">
      <w:start w:val="1"/>
      <w:numFmt w:val="bullet"/>
      <w:lvlText w:val=""/>
      <w:lvlJc w:val="left"/>
      <w:pPr>
        <w:ind w:left="1647" w:hanging="360"/>
      </w:pPr>
      <w:rPr>
        <w:rFonts w:ascii="Symbol" w:hAnsi="Symbol"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1" w15:restartNumberingAfterBreak="0">
    <w:nsid w:val="7A8B752A"/>
    <w:multiLevelType w:val="hybridMultilevel"/>
    <w:tmpl w:val="5E1E11F0"/>
    <w:lvl w:ilvl="0" w:tplc="BE50AD9E">
      <w:start w:val="1"/>
      <w:numFmt w:val="bullet"/>
      <w:lvlText w:val=""/>
      <w:lvlJc w:val="left"/>
      <w:pPr>
        <w:ind w:left="6042" w:hanging="360"/>
      </w:pPr>
      <w:rPr>
        <w:rFonts w:ascii="Symbol" w:hAnsi="Symbol" w:hint="default"/>
        <w:b/>
        <w:strike w:val="0"/>
        <w:dstrike w:val="0"/>
        <w:color w:val="auto"/>
        <w:sz w:val="20"/>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52" w15:restartNumberingAfterBreak="0">
    <w:nsid w:val="7B6658A8"/>
    <w:multiLevelType w:val="hybridMultilevel"/>
    <w:tmpl w:val="B910093C"/>
    <w:lvl w:ilvl="0" w:tplc="BE50AD9E">
      <w:start w:val="1"/>
      <w:numFmt w:val="bullet"/>
      <w:lvlText w:val=""/>
      <w:lvlJc w:val="left"/>
      <w:pPr>
        <w:ind w:left="6042" w:hanging="360"/>
      </w:pPr>
      <w:rPr>
        <w:rFonts w:ascii="Symbol" w:hAnsi="Symbol" w:hint="default"/>
        <w:b/>
        <w:strike w:val="0"/>
        <w:dstrike w:val="0"/>
        <w:color w:val="auto"/>
        <w:sz w:val="20"/>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num w:numId="1">
    <w:abstractNumId w:val="1"/>
  </w:num>
  <w:num w:numId="2">
    <w:abstractNumId w:val="0"/>
  </w:num>
  <w:num w:numId="3">
    <w:abstractNumId w:val="24"/>
  </w:num>
  <w:num w:numId="4">
    <w:abstractNumId w:val="13"/>
  </w:num>
  <w:num w:numId="5">
    <w:abstractNumId w:val="34"/>
  </w:num>
  <w:num w:numId="6">
    <w:abstractNumId w:val="37"/>
  </w:num>
  <w:num w:numId="7">
    <w:abstractNumId w:val="20"/>
  </w:num>
  <w:num w:numId="8">
    <w:abstractNumId w:val="12"/>
  </w:num>
  <w:num w:numId="9">
    <w:abstractNumId w:val="38"/>
  </w:num>
  <w:num w:numId="10">
    <w:abstractNumId w:val="41"/>
  </w:num>
  <w:num w:numId="11">
    <w:abstractNumId w:val="27"/>
  </w:num>
  <w:num w:numId="12">
    <w:abstractNumId w:val="5"/>
  </w:num>
  <w:num w:numId="13">
    <w:abstractNumId w:val="7"/>
  </w:num>
  <w:num w:numId="14">
    <w:abstractNumId w:val="19"/>
  </w:num>
  <w:num w:numId="15">
    <w:abstractNumId w:val="14"/>
  </w:num>
  <w:num w:numId="16">
    <w:abstractNumId w:val="49"/>
  </w:num>
  <w:num w:numId="17">
    <w:abstractNumId w:val="44"/>
  </w:num>
  <w:num w:numId="18">
    <w:abstractNumId w:val="33"/>
  </w:num>
  <w:num w:numId="19">
    <w:abstractNumId w:val="45"/>
  </w:num>
  <w:num w:numId="20">
    <w:abstractNumId w:val="29"/>
  </w:num>
  <w:num w:numId="21">
    <w:abstractNumId w:val="15"/>
  </w:num>
  <w:num w:numId="22">
    <w:abstractNumId w:val="50"/>
  </w:num>
  <w:num w:numId="23">
    <w:abstractNumId w:val="26"/>
  </w:num>
  <w:num w:numId="24">
    <w:abstractNumId w:val="16"/>
  </w:num>
  <w:num w:numId="25">
    <w:abstractNumId w:val="10"/>
  </w:num>
  <w:num w:numId="26">
    <w:abstractNumId w:val="22"/>
  </w:num>
  <w:num w:numId="27">
    <w:abstractNumId w:val="46"/>
  </w:num>
  <w:num w:numId="28">
    <w:abstractNumId w:val="47"/>
  </w:num>
  <w:num w:numId="29">
    <w:abstractNumId w:val="31"/>
  </w:num>
  <w:num w:numId="30">
    <w:abstractNumId w:val="43"/>
  </w:num>
  <w:num w:numId="31">
    <w:abstractNumId w:val="30"/>
  </w:num>
  <w:num w:numId="32">
    <w:abstractNumId w:val="4"/>
  </w:num>
  <w:num w:numId="33">
    <w:abstractNumId w:val="23"/>
  </w:num>
  <w:num w:numId="34">
    <w:abstractNumId w:val="35"/>
  </w:num>
  <w:num w:numId="35">
    <w:abstractNumId w:val="21"/>
  </w:num>
  <w:num w:numId="36">
    <w:abstractNumId w:val="51"/>
  </w:num>
  <w:num w:numId="37">
    <w:abstractNumId w:val="52"/>
  </w:num>
  <w:num w:numId="38">
    <w:abstractNumId w:val="36"/>
  </w:num>
  <w:num w:numId="39">
    <w:abstractNumId w:val="8"/>
  </w:num>
  <w:num w:numId="40">
    <w:abstractNumId w:val="32"/>
  </w:num>
  <w:num w:numId="41">
    <w:abstractNumId w:val="18"/>
  </w:num>
  <w:num w:numId="42">
    <w:abstractNumId w:val="17"/>
  </w:num>
  <w:num w:numId="43">
    <w:abstractNumId w:val="9"/>
  </w:num>
  <w:num w:numId="44">
    <w:abstractNumId w:val="42"/>
  </w:num>
  <w:num w:numId="45">
    <w:abstractNumId w:val="48"/>
  </w:num>
  <w:num w:numId="46">
    <w:abstractNumId w:val="3"/>
  </w:num>
  <w:num w:numId="47">
    <w:abstractNumId w:val="25"/>
  </w:num>
  <w:num w:numId="48">
    <w:abstractNumId w:val="40"/>
  </w:num>
  <w:num w:numId="49">
    <w:abstractNumId w:val="11"/>
  </w:num>
  <w:num w:numId="50">
    <w:abstractNumId w:val="6"/>
  </w:num>
  <w:num w:numId="51">
    <w:abstractNumId w:val="17"/>
  </w:num>
  <w:num w:numId="52">
    <w:abstractNumId w:val="51"/>
  </w:num>
  <w:num w:numId="53">
    <w:abstractNumId w:val="52"/>
  </w:num>
  <w:num w:numId="54">
    <w:abstractNumId w:val="39"/>
  </w:num>
  <w:num w:numId="55">
    <w:abstractNumId w:val="2"/>
  </w:num>
  <w:num w:numId="56">
    <w:abstractNumId w:val="2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en-IE" w:vendorID="64" w:dllVersion="6" w:nlCheck="1" w:checkStyle="1"/>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4096" w:nlCheck="1" w:checkStyle="0"/>
  <w:activeWritingStyle w:appName="MSWord" w:lang="fr-BE" w:vendorID="64" w:dllVersion="4096" w:nlCheck="1" w:checkStyle="0"/>
  <w:activeWritingStyle w:appName="MSWord" w:lang="it-IT" w:vendorID="64" w:dllVersion="131078" w:nlCheck="1" w:checkStyle="0"/>
  <w:activeWritingStyle w:appName="MSWord" w:lang="en-GB" w:vendorID="64" w:dllVersion="131078" w:nlCheck="1" w:checkStyle="1"/>
  <w:attachedTemplate r:id="rId1"/>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SPE"/>
  </w:docVars>
  <w:rsids>
    <w:rsidRoot w:val="002D3B73"/>
    <w:rsid w:val="0000051B"/>
    <w:rsid w:val="00000525"/>
    <w:rsid w:val="00000A48"/>
    <w:rsid w:val="00000A5A"/>
    <w:rsid w:val="0000139E"/>
    <w:rsid w:val="00001DD9"/>
    <w:rsid w:val="00001F8C"/>
    <w:rsid w:val="00003286"/>
    <w:rsid w:val="000035EC"/>
    <w:rsid w:val="000037EF"/>
    <w:rsid w:val="00003FA6"/>
    <w:rsid w:val="000048FF"/>
    <w:rsid w:val="00004B82"/>
    <w:rsid w:val="00005C2E"/>
    <w:rsid w:val="00007A3B"/>
    <w:rsid w:val="000106C7"/>
    <w:rsid w:val="00010FB3"/>
    <w:rsid w:val="000110C1"/>
    <w:rsid w:val="0001201B"/>
    <w:rsid w:val="00012DE2"/>
    <w:rsid w:val="00012E3D"/>
    <w:rsid w:val="00012F11"/>
    <w:rsid w:val="0001352B"/>
    <w:rsid w:val="000141AD"/>
    <w:rsid w:val="0001483A"/>
    <w:rsid w:val="000159B8"/>
    <w:rsid w:val="0001642E"/>
    <w:rsid w:val="00017CFE"/>
    <w:rsid w:val="000202D7"/>
    <w:rsid w:val="000207FE"/>
    <w:rsid w:val="0002123A"/>
    <w:rsid w:val="0002138E"/>
    <w:rsid w:val="00022D50"/>
    <w:rsid w:val="00023D49"/>
    <w:rsid w:val="0002436C"/>
    <w:rsid w:val="000259B5"/>
    <w:rsid w:val="00027143"/>
    <w:rsid w:val="0003074D"/>
    <w:rsid w:val="00032658"/>
    <w:rsid w:val="000327FC"/>
    <w:rsid w:val="00032BE9"/>
    <w:rsid w:val="00033DEA"/>
    <w:rsid w:val="000347CD"/>
    <w:rsid w:val="00034DB1"/>
    <w:rsid w:val="00035C88"/>
    <w:rsid w:val="00037DE7"/>
    <w:rsid w:val="000403DA"/>
    <w:rsid w:val="000406B2"/>
    <w:rsid w:val="0004070D"/>
    <w:rsid w:val="000409E8"/>
    <w:rsid w:val="00040B22"/>
    <w:rsid w:val="00040C05"/>
    <w:rsid w:val="00040EE2"/>
    <w:rsid w:val="00042813"/>
    <w:rsid w:val="00042873"/>
    <w:rsid w:val="00042C91"/>
    <w:rsid w:val="000430E6"/>
    <w:rsid w:val="00043815"/>
    <w:rsid w:val="000441AC"/>
    <w:rsid w:val="00044AB8"/>
    <w:rsid w:val="00044C55"/>
    <w:rsid w:val="00045CDD"/>
    <w:rsid w:val="0004651F"/>
    <w:rsid w:val="00047391"/>
    <w:rsid w:val="000476F5"/>
    <w:rsid w:val="00050892"/>
    <w:rsid w:val="000519CE"/>
    <w:rsid w:val="000533A2"/>
    <w:rsid w:val="00053E40"/>
    <w:rsid w:val="000540F7"/>
    <w:rsid w:val="00054936"/>
    <w:rsid w:val="00055750"/>
    <w:rsid w:val="00055DFD"/>
    <w:rsid w:val="00055DFF"/>
    <w:rsid w:val="000564AA"/>
    <w:rsid w:val="00056563"/>
    <w:rsid w:val="00056731"/>
    <w:rsid w:val="000574C6"/>
    <w:rsid w:val="000579AF"/>
    <w:rsid w:val="00057FF3"/>
    <w:rsid w:val="000603B7"/>
    <w:rsid w:val="0006041C"/>
    <w:rsid w:val="000624EC"/>
    <w:rsid w:val="00062A81"/>
    <w:rsid w:val="00063141"/>
    <w:rsid w:val="000631BD"/>
    <w:rsid w:val="0006410B"/>
    <w:rsid w:val="0006529A"/>
    <w:rsid w:val="0006612A"/>
    <w:rsid w:val="00066732"/>
    <w:rsid w:val="000669DF"/>
    <w:rsid w:val="00066C05"/>
    <w:rsid w:val="00067BF2"/>
    <w:rsid w:val="00067F09"/>
    <w:rsid w:val="000705E3"/>
    <w:rsid w:val="00070E82"/>
    <w:rsid w:val="00071CBE"/>
    <w:rsid w:val="000720E9"/>
    <w:rsid w:val="00072B1A"/>
    <w:rsid w:val="00072FAA"/>
    <w:rsid w:val="0007449D"/>
    <w:rsid w:val="000748C0"/>
    <w:rsid w:val="00076EE7"/>
    <w:rsid w:val="000775A9"/>
    <w:rsid w:val="00077DA3"/>
    <w:rsid w:val="0008000A"/>
    <w:rsid w:val="00080676"/>
    <w:rsid w:val="00080CD4"/>
    <w:rsid w:val="00081050"/>
    <w:rsid w:val="00083038"/>
    <w:rsid w:val="000844D0"/>
    <w:rsid w:val="00084A8B"/>
    <w:rsid w:val="00084F8A"/>
    <w:rsid w:val="00085A43"/>
    <w:rsid w:val="00085C68"/>
    <w:rsid w:val="00085D55"/>
    <w:rsid w:val="00086B61"/>
    <w:rsid w:val="000874E2"/>
    <w:rsid w:val="000877BA"/>
    <w:rsid w:val="000900C2"/>
    <w:rsid w:val="00090A5C"/>
    <w:rsid w:val="00090C7F"/>
    <w:rsid w:val="00091DCA"/>
    <w:rsid w:val="00092B41"/>
    <w:rsid w:val="0009406D"/>
    <w:rsid w:val="000940AB"/>
    <w:rsid w:val="00095DCB"/>
    <w:rsid w:val="000961CB"/>
    <w:rsid w:val="00096F77"/>
    <w:rsid w:val="0009731E"/>
    <w:rsid w:val="000A2D67"/>
    <w:rsid w:val="000A44D2"/>
    <w:rsid w:val="000A52A2"/>
    <w:rsid w:val="000A7529"/>
    <w:rsid w:val="000B0E7F"/>
    <w:rsid w:val="000B1110"/>
    <w:rsid w:val="000B1BA5"/>
    <w:rsid w:val="000B3314"/>
    <w:rsid w:val="000B3566"/>
    <w:rsid w:val="000B3B01"/>
    <w:rsid w:val="000B4A09"/>
    <w:rsid w:val="000B4B19"/>
    <w:rsid w:val="000B5D31"/>
    <w:rsid w:val="000B616B"/>
    <w:rsid w:val="000B6CED"/>
    <w:rsid w:val="000B7AAC"/>
    <w:rsid w:val="000C0763"/>
    <w:rsid w:val="000C07E1"/>
    <w:rsid w:val="000C16B4"/>
    <w:rsid w:val="000C1E59"/>
    <w:rsid w:val="000C25DF"/>
    <w:rsid w:val="000C270E"/>
    <w:rsid w:val="000C3756"/>
    <w:rsid w:val="000C3922"/>
    <w:rsid w:val="000C4CCF"/>
    <w:rsid w:val="000C4EB7"/>
    <w:rsid w:val="000C6DE8"/>
    <w:rsid w:val="000C7A98"/>
    <w:rsid w:val="000C7B7C"/>
    <w:rsid w:val="000D1C8D"/>
    <w:rsid w:val="000D3C05"/>
    <w:rsid w:val="000D4912"/>
    <w:rsid w:val="000D50F6"/>
    <w:rsid w:val="000D51E7"/>
    <w:rsid w:val="000D56C6"/>
    <w:rsid w:val="000D5E35"/>
    <w:rsid w:val="000D6EA6"/>
    <w:rsid w:val="000D76FB"/>
    <w:rsid w:val="000D7BF7"/>
    <w:rsid w:val="000D7F89"/>
    <w:rsid w:val="000E019B"/>
    <w:rsid w:val="000E1047"/>
    <w:rsid w:val="000E1ECB"/>
    <w:rsid w:val="000E2A38"/>
    <w:rsid w:val="000E2BBE"/>
    <w:rsid w:val="000E44DA"/>
    <w:rsid w:val="000E45DE"/>
    <w:rsid w:val="000E5797"/>
    <w:rsid w:val="000E7913"/>
    <w:rsid w:val="000F0038"/>
    <w:rsid w:val="000F05DF"/>
    <w:rsid w:val="000F076B"/>
    <w:rsid w:val="000F12E4"/>
    <w:rsid w:val="000F1647"/>
    <w:rsid w:val="000F2BA5"/>
    <w:rsid w:val="000F2CDF"/>
    <w:rsid w:val="000F42B6"/>
    <w:rsid w:val="000F4465"/>
    <w:rsid w:val="000F4F5F"/>
    <w:rsid w:val="000F5190"/>
    <w:rsid w:val="000F7C97"/>
    <w:rsid w:val="00100A73"/>
    <w:rsid w:val="00100E82"/>
    <w:rsid w:val="0010315E"/>
    <w:rsid w:val="00103386"/>
    <w:rsid w:val="00104A19"/>
    <w:rsid w:val="00105745"/>
    <w:rsid w:val="00106AA7"/>
    <w:rsid w:val="00110267"/>
    <w:rsid w:val="00110F16"/>
    <w:rsid w:val="00110FFB"/>
    <w:rsid w:val="00112304"/>
    <w:rsid w:val="001126AE"/>
    <w:rsid w:val="00113044"/>
    <w:rsid w:val="00113B96"/>
    <w:rsid w:val="00114C13"/>
    <w:rsid w:val="001154D2"/>
    <w:rsid w:val="001160B5"/>
    <w:rsid w:val="00116930"/>
    <w:rsid w:val="00117796"/>
    <w:rsid w:val="00120B0A"/>
    <w:rsid w:val="001213F5"/>
    <w:rsid w:val="00122451"/>
    <w:rsid w:val="00122581"/>
    <w:rsid w:val="00124050"/>
    <w:rsid w:val="00124570"/>
    <w:rsid w:val="00124700"/>
    <w:rsid w:val="00125355"/>
    <w:rsid w:val="00126429"/>
    <w:rsid w:val="00126457"/>
    <w:rsid w:val="0013083E"/>
    <w:rsid w:val="001308C1"/>
    <w:rsid w:val="00130A12"/>
    <w:rsid w:val="0013108F"/>
    <w:rsid w:val="00131E3D"/>
    <w:rsid w:val="0013220F"/>
    <w:rsid w:val="00132D48"/>
    <w:rsid w:val="0013453E"/>
    <w:rsid w:val="0013535F"/>
    <w:rsid w:val="001353AE"/>
    <w:rsid w:val="00135608"/>
    <w:rsid w:val="00137215"/>
    <w:rsid w:val="0013737B"/>
    <w:rsid w:val="001411B2"/>
    <w:rsid w:val="001414A1"/>
    <w:rsid w:val="00141525"/>
    <w:rsid w:val="001419A7"/>
    <w:rsid w:val="001423B4"/>
    <w:rsid w:val="00142C5E"/>
    <w:rsid w:val="0014507F"/>
    <w:rsid w:val="001459B6"/>
    <w:rsid w:val="00146F2C"/>
    <w:rsid w:val="001472F2"/>
    <w:rsid w:val="001474DC"/>
    <w:rsid w:val="0014766E"/>
    <w:rsid w:val="00150E42"/>
    <w:rsid w:val="001517B5"/>
    <w:rsid w:val="00153478"/>
    <w:rsid w:val="0015357F"/>
    <w:rsid w:val="00153739"/>
    <w:rsid w:val="00153A24"/>
    <w:rsid w:val="00153B98"/>
    <w:rsid w:val="0015466F"/>
    <w:rsid w:val="0015637F"/>
    <w:rsid w:val="00157676"/>
    <w:rsid w:val="001576C9"/>
    <w:rsid w:val="00160B9C"/>
    <w:rsid w:val="00161D60"/>
    <w:rsid w:val="0016264E"/>
    <w:rsid w:val="00162E65"/>
    <w:rsid w:val="001635D2"/>
    <w:rsid w:val="00163978"/>
    <w:rsid w:val="00163D11"/>
    <w:rsid w:val="0016419A"/>
    <w:rsid w:val="00164967"/>
    <w:rsid w:val="00165594"/>
    <w:rsid w:val="0016636F"/>
    <w:rsid w:val="0016763E"/>
    <w:rsid w:val="001676F2"/>
    <w:rsid w:val="001700CE"/>
    <w:rsid w:val="001726C0"/>
    <w:rsid w:val="00172ED6"/>
    <w:rsid w:val="001748F1"/>
    <w:rsid w:val="00175DFA"/>
    <w:rsid w:val="00176C03"/>
    <w:rsid w:val="001779E7"/>
    <w:rsid w:val="0018247A"/>
    <w:rsid w:val="001829E2"/>
    <w:rsid w:val="00182DAD"/>
    <w:rsid w:val="0018363C"/>
    <w:rsid w:val="00183AE4"/>
    <w:rsid w:val="00183D94"/>
    <w:rsid w:val="00184020"/>
    <w:rsid w:val="001843A6"/>
    <w:rsid w:val="001861E8"/>
    <w:rsid w:val="00186842"/>
    <w:rsid w:val="00187D00"/>
    <w:rsid w:val="001902B0"/>
    <w:rsid w:val="001908CC"/>
    <w:rsid w:val="00193767"/>
    <w:rsid w:val="00193DFE"/>
    <w:rsid w:val="00196064"/>
    <w:rsid w:val="0019779F"/>
    <w:rsid w:val="001A072F"/>
    <w:rsid w:val="001A1008"/>
    <w:rsid w:val="001A2CE3"/>
    <w:rsid w:val="001A46FD"/>
    <w:rsid w:val="001A6421"/>
    <w:rsid w:val="001A6893"/>
    <w:rsid w:val="001A6F61"/>
    <w:rsid w:val="001A7098"/>
    <w:rsid w:val="001B0962"/>
    <w:rsid w:val="001B1FCC"/>
    <w:rsid w:val="001B2045"/>
    <w:rsid w:val="001B2811"/>
    <w:rsid w:val="001B2CB1"/>
    <w:rsid w:val="001B3E9F"/>
    <w:rsid w:val="001B474E"/>
    <w:rsid w:val="001B502B"/>
    <w:rsid w:val="001B50C2"/>
    <w:rsid w:val="001B5BE8"/>
    <w:rsid w:val="001B6BA4"/>
    <w:rsid w:val="001B6BCF"/>
    <w:rsid w:val="001B7701"/>
    <w:rsid w:val="001B7B9F"/>
    <w:rsid w:val="001C00CC"/>
    <w:rsid w:val="001C0AD9"/>
    <w:rsid w:val="001C0E99"/>
    <w:rsid w:val="001C1672"/>
    <w:rsid w:val="001C2FB2"/>
    <w:rsid w:val="001C3263"/>
    <w:rsid w:val="001C3D41"/>
    <w:rsid w:val="001C475C"/>
    <w:rsid w:val="001C4949"/>
    <w:rsid w:val="001C4C95"/>
    <w:rsid w:val="001C500C"/>
    <w:rsid w:val="001C5EA3"/>
    <w:rsid w:val="001C662D"/>
    <w:rsid w:val="001C6816"/>
    <w:rsid w:val="001C72D4"/>
    <w:rsid w:val="001C7B38"/>
    <w:rsid w:val="001D0AB4"/>
    <w:rsid w:val="001D0E54"/>
    <w:rsid w:val="001D2DE2"/>
    <w:rsid w:val="001D30CB"/>
    <w:rsid w:val="001D31BD"/>
    <w:rsid w:val="001D43BB"/>
    <w:rsid w:val="001D4463"/>
    <w:rsid w:val="001D55FB"/>
    <w:rsid w:val="001D5814"/>
    <w:rsid w:val="001E01C6"/>
    <w:rsid w:val="001E04FA"/>
    <w:rsid w:val="001E0C5C"/>
    <w:rsid w:val="001E15BE"/>
    <w:rsid w:val="001E1800"/>
    <w:rsid w:val="001E1AEC"/>
    <w:rsid w:val="001E1BE2"/>
    <w:rsid w:val="001E1CBA"/>
    <w:rsid w:val="001E255E"/>
    <w:rsid w:val="001E2740"/>
    <w:rsid w:val="001E2EBB"/>
    <w:rsid w:val="001E2F81"/>
    <w:rsid w:val="001E30E9"/>
    <w:rsid w:val="001E3955"/>
    <w:rsid w:val="001E3EA8"/>
    <w:rsid w:val="001E4200"/>
    <w:rsid w:val="001E4B93"/>
    <w:rsid w:val="001E5AB8"/>
    <w:rsid w:val="001E5EE2"/>
    <w:rsid w:val="001E6C28"/>
    <w:rsid w:val="001E7636"/>
    <w:rsid w:val="001E79F5"/>
    <w:rsid w:val="001F0617"/>
    <w:rsid w:val="001F0FF9"/>
    <w:rsid w:val="001F1744"/>
    <w:rsid w:val="001F2C8E"/>
    <w:rsid w:val="001F3514"/>
    <w:rsid w:val="001F41D6"/>
    <w:rsid w:val="001F48DD"/>
    <w:rsid w:val="001F496B"/>
    <w:rsid w:val="001F5633"/>
    <w:rsid w:val="001F5C93"/>
    <w:rsid w:val="001F5F4B"/>
    <w:rsid w:val="001F71FE"/>
    <w:rsid w:val="001F7AA8"/>
    <w:rsid w:val="002009C9"/>
    <w:rsid w:val="00200E9E"/>
    <w:rsid w:val="002021BA"/>
    <w:rsid w:val="0020287A"/>
    <w:rsid w:val="00202AF1"/>
    <w:rsid w:val="00203A19"/>
    <w:rsid w:val="00203BEE"/>
    <w:rsid w:val="002043EA"/>
    <w:rsid w:val="002043F8"/>
    <w:rsid w:val="0020658B"/>
    <w:rsid w:val="002075A1"/>
    <w:rsid w:val="002076E6"/>
    <w:rsid w:val="00207BC7"/>
    <w:rsid w:val="002102D6"/>
    <w:rsid w:val="002106EC"/>
    <w:rsid w:val="0021096D"/>
    <w:rsid w:val="00211623"/>
    <w:rsid w:val="00211FA8"/>
    <w:rsid w:val="00212608"/>
    <w:rsid w:val="002126F7"/>
    <w:rsid w:val="00213368"/>
    <w:rsid w:val="00215EBF"/>
    <w:rsid w:val="00215FE6"/>
    <w:rsid w:val="002162FB"/>
    <w:rsid w:val="00216695"/>
    <w:rsid w:val="00216B86"/>
    <w:rsid w:val="00216E4E"/>
    <w:rsid w:val="00217CDB"/>
    <w:rsid w:val="00217F79"/>
    <w:rsid w:val="002213F5"/>
    <w:rsid w:val="002223F4"/>
    <w:rsid w:val="00222569"/>
    <w:rsid w:val="002249CB"/>
    <w:rsid w:val="00224B98"/>
    <w:rsid w:val="00225CDB"/>
    <w:rsid w:val="002262D8"/>
    <w:rsid w:val="00226925"/>
    <w:rsid w:val="00226E81"/>
    <w:rsid w:val="00227897"/>
    <w:rsid w:val="00227920"/>
    <w:rsid w:val="00227E2C"/>
    <w:rsid w:val="00227F45"/>
    <w:rsid w:val="00230B1A"/>
    <w:rsid w:val="002316D2"/>
    <w:rsid w:val="00232672"/>
    <w:rsid w:val="00232714"/>
    <w:rsid w:val="00232AAB"/>
    <w:rsid w:val="002331E1"/>
    <w:rsid w:val="00233324"/>
    <w:rsid w:val="002335B4"/>
    <w:rsid w:val="002337F3"/>
    <w:rsid w:val="00233DD6"/>
    <w:rsid w:val="0023435A"/>
    <w:rsid w:val="00234787"/>
    <w:rsid w:val="0023497E"/>
    <w:rsid w:val="00234D67"/>
    <w:rsid w:val="0023505E"/>
    <w:rsid w:val="00235136"/>
    <w:rsid w:val="00235353"/>
    <w:rsid w:val="002367CF"/>
    <w:rsid w:val="00237101"/>
    <w:rsid w:val="002379D7"/>
    <w:rsid w:val="00240B89"/>
    <w:rsid w:val="00241A83"/>
    <w:rsid w:val="00245408"/>
    <w:rsid w:val="00246005"/>
    <w:rsid w:val="0024698E"/>
    <w:rsid w:val="00251391"/>
    <w:rsid w:val="00251717"/>
    <w:rsid w:val="00251796"/>
    <w:rsid w:val="00251A4A"/>
    <w:rsid w:val="002525BF"/>
    <w:rsid w:val="002530F5"/>
    <w:rsid w:val="00253342"/>
    <w:rsid w:val="00254BF2"/>
    <w:rsid w:val="00255991"/>
    <w:rsid w:val="00255B9B"/>
    <w:rsid w:val="00255D06"/>
    <w:rsid w:val="0025760C"/>
    <w:rsid w:val="00260449"/>
    <w:rsid w:val="00260EAA"/>
    <w:rsid w:val="002617A8"/>
    <w:rsid w:val="00263630"/>
    <w:rsid w:val="00264DEA"/>
    <w:rsid w:val="00265517"/>
    <w:rsid w:val="00265DC9"/>
    <w:rsid w:val="00267060"/>
    <w:rsid w:val="00267836"/>
    <w:rsid w:val="00267F07"/>
    <w:rsid w:val="002708CB"/>
    <w:rsid w:val="00271AB7"/>
    <w:rsid w:val="002729E1"/>
    <w:rsid w:val="00272B57"/>
    <w:rsid w:val="00272BB5"/>
    <w:rsid w:val="00272D41"/>
    <w:rsid w:val="00273127"/>
    <w:rsid w:val="00273926"/>
    <w:rsid w:val="00273AA8"/>
    <w:rsid w:val="00275734"/>
    <w:rsid w:val="00275C13"/>
    <w:rsid w:val="00275F15"/>
    <w:rsid w:val="00276A20"/>
    <w:rsid w:val="00276AD7"/>
    <w:rsid w:val="00277012"/>
    <w:rsid w:val="00280015"/>
    <w:rsid w:val="00281602"/>
    <w:rsid w:val="00281EE3"/>
    <w:rsid w:val="00281FD3"/>
    <w:rsid w:val="002831DC"/>
    <w:rsid w:val="0028341F"/>
    <w:rsid w:val="002838AF"/>
    <w:rsid w:val="00283FD1"/>
    <w:rsid w:val="002848E9"/>
    <w:rsid w:val="00285FAD"/>
    <w:rsid w:val="00286CD6"/>
    <w:rsid w:val="00287A04"/>
    <w:rsid w:val="00287C90"/>
    <w:rsid w:val="00287DA1"/>
    <w:rsid w:val="00290E14"/>
    <w:rsid w:val="00292B1E"/>
    <w:rsid w:val="002940C5"/>
    <w:rsid w:val="00294E84"/>
    <w:rsid w:val="0029520E"/>
    <w:rsid w:val="00295890"/>
    <w:rsid w:val="002961CB"/>
    <w:rsid w:val="00296418"/>
    <w:rsid w:val="00296BAF"/>
    <w:rsid w:val="002A0310"/>
    <w:rsid w:val="002A0377"/>
    <w:rsid w:val="002A0D54"/>
    <w:rsid w:val="002A0D8F"/>
    <w:rsid w:val="002A2349"/>
    <w:rsid w:val="002A2DCC"/>
    <w:rsid w:val="002A32D8"/>
    <w:rsid w:val="002A3A8F"/>
    <w:rsid w:val="002A40EA"/>
    <w:rsid w:val="002A4C1A"/>
    <w:rsid w:val="002A58F5"/>
    <w:rsid w:val="002A6432"/>
    <w:rsid w:val="002A65C3"/>
    <w:rsid w:val="002A73C4"/>
    <w:rsid w:val="002A7E19"/>
    <w:rsid w:val="002B0EB1"/>
    <w:rsid w:val="002B160C"/>
    <w:rsid w:val="002B1C03"/>
    <w:rsid w:val="002B1E9E"/>
    <w:rsid w:val="002B457A"/>
    <w:rsid w:val="002B46C0"/>
    <w:rsid w:val="002B4F5E"/>
    <w:rsid w:val="002B5BD3"/>
    <w:rsid w:val="002B5DFF"/>
    <w:rsid w:val="002B5F2A"/>
    <w:rsid w:val="002B5FF8"/>
    <w:rsid w:val="002B620A"/>
    <w:rsid w:val="002B6833"/>
    <w:rsid w:val="002B7DA9"/>
    <w:rsid w:val="002C0EE6"/>
    <w:rsid w:val="002C0FED"/>
    <w:rsid w:val="002C10A7"/>
    <w:rsid w:val="002C1210"/>
    <w:rsid w:val="002C20A1"/>
    <w:rsid w:val="002C23D9"/>
    <w:rsid w:val="002C2980"/>
    <w:rsid w:val="002C2F1C"/>
    <w:rsid w:val="002C4129"/>
    <w:rsid w:val="002C4532"/>
    <w:rsid w:val="002C4717"/>
    <w:rsid w:val="002C50CE"/>
    <w:rsid w:val="002C533F"/>
    <w:rsid w:val="002C59EC"/>
    <w:rsid w:val="002C6F35"/>
    <w:rsid w:val="002C767E"/>
    <w:rsid w:val="002C7B37"/>
    <w:rsid w:val="002D033E"/>
    <w:rsid w:val="002D0C6B"/>
    <w:rsid w:val="002D1390"/>
    <w:rsid w:val="002D27D8"/>
    <w:rsid w:val="002D2A17"/>
    <w:rsid w:val="002D34E3"/>
    <w:rsid w:val="002D38BA"/>
    <w:rsid w:val="002D3B73"/>
    <w:rsid w:val="002D4583"/>
    <w:rsid w:val="002D5C6E"/>
    <w:rsid w:val="002D5FF3"/>
    <w:rsid w:val="002D6FA3"/>
    <w:rsid w:val="002E0795"/>
    <w:rsid w:val="002E161C"/>
    <w:rsid w:val="002E1642"/>
    <w:rsid w:val="002E166B"/>
    <w:rsid w:val="002E432D"/>
    <w:rsid w:val="002E58E3"/>
    <w:rsid w:val="002E5DAF"/>
    <w:rsid w:val="002E5F62"/>
    <w:rsid w:val="002E648A"/>
    <w:rsid w:val="002E64EF"/>
    <w:rsid w:val="002E66FE"/>
    <w:rsid w:val="002E6A2B"/>
    <w:rsid w:val="002E7203"/>
    <w:rsid w:val="002F1583"/>
    <w:rsid w:val="002F1E99"/>
    <w:rsid w:val="002F2FA5"/>
    <w:rsid w:val="002F5CEF"/>
    <w:rsid w:val="002F5F41"/>
    <w:rsid w:val="002F62D3"/>
    <w:rsid w:val="002F6C8E"/>
    <w:rsid w:val="002F749B"/>
    <w:rsid w:val="002F7EBB"/>
    <w:rsid w:val="0030065F"/>
    <w:rsid w:val="00300B20"/>
    <w:rsid w:val="003010B4"/>
    <w:rsid w:val="00301FE1"/>
    <w:rsid w:val="00304D48"/>
    <w:rsid w:val="00304EAE"/>
    <w:rsid w:val="0030558C"/>
    <w:rsid w:val="00306761"/>
    <w:rsid w:val="003069C4"/>
    <w:rsid w:val="00306BA1"/>
    <w:rsid w:val="00306E47"/>
    <w:rsid w:val="00307C01"/>
    <w:rsid w:val="00307C2C"/>
    <w:rsid w:val="00310A7B"/>
    <w:rsid w:val="00310FF1"/>
    <w:rsid w:val="003113BA"/>
    <w:rsid w:val="00311927"/>
    <w:rsid w:val="00311E4D"/>
    <w:rsid w:val="00312A94"/>
    <w:rsid w:val="0031505F"/>
    <w:rsid w:val="003164D2"/>
    <w:rsid w:val="00320922"/>
    <w:rsid w:val="00321BAD"/>
    <w:rsid w:val="00322207"/>
    <w:rsid w:val="00322FF6"/>
    <w:rsid w:val="003242ED"/>
    <w:rsid w:val="00324907"/>
    <w:rsid w:val="00326330"/>
    <w:rsid w:val="0032716B"/>
    <w:rsid w:val="00330493"/>
    <w:rsid w:val="00330BDA"/>
    <w:rsid w:val="00330C5F"/>
    <w:rsid w:val="00331565"/>
    <w:rsid w:val="0033172F"/>
    <w:rsid w:val="00331A7C"/>
    <w:rsid w:val="00331D11"/>
    <w:rsid w:val="00331DA4"/>
    <w:rsid w:val="00332576"/>
    <w:rsid w:val="00334426"/>
    <w:rsid w:val="00334A57"/>
    <w:rsid w:val="00335282"/>
    <w:rsid w:val="003355ED"/>
    <w:rsid w:val="00337943"/>
    <w:rsid w:val="00340303"/>
    <w:rsid w:val="00340A6F"/>
    <w:rsid w:val="003438B0"/>
    <w:rsid w:val="00343F5C"/>
    <w:rsid w:val="003445B7"/>
    <w:rsid w:val="00344979"/>
    <w:rsid w:val="0034512F"/>
    <w:rsid w:val="00350A5F"/>
    <w:rsid w:val="0035258B"/>
    <w:rsid w:val="00352749"/>
    <w:rsid w:val="00352D94"/>
    <w:rsid w:val="00354247"/>
    <w:rsid w:val="003554D8"/>
    <w:rsid w:val="00355AA9"/>
    <w:rsid w:val="00356109"/>
    <w:rsid w:val="00357478"/>
    <w:rsid w:val="003577AB"/>
    <w:rsid w:val="00360B0F"/>
    <w:rsid w:val="00360DB7"/>
    <w:rsid w:val="003611DE"/>
    <w:rsid w:val="00361B67"/>
    <w:rsid w:val="00361E4C"/>
    <w:rsid w:val="00362228"/>
    <w:rsid w:val="00362DC6"/>
    <w:rsid w:val="0036370D"/>
    <w:rsid w:val="00364E24"/>
    <w:rsid w:val="00365131"/>
    <w:rsid w:val="00365722"/>
    <w:rsid w:val="0036681E"/>
    <w:rsid w:val="00366F83"/>
    <w:rsid w:val="003679CC"/>
    <w:rsid w:val="00367C90"/>
    <w:rsid w:val="00370644"/>
    <w:rsid w:val="00370822"/>
    <w:rsid w:val="003711D5"/>
    <w:rsid w:val="0037136D"/>
    <w:rsid w:val="00371666"/>
    <w:rsid w:val="003719A3"/>
    <w:rsid w:val="00371F9B"/>
    <w:rsid w:val="003723B9"/>
    <w:rsid w:val="00372A37"/>
    <w:rsid w:val="00372CBD"/>
    <w:rsid w:val="003754DD"/>
    <w:rsid w:val="003755AF"/>
    <w:rsid w:val="00376DCA"/>
    <w:rsid w:val="003772C3"/>
    <w:rsid w:val="0038046E"/>
    <w:rsid w:val="003829CC"/>
    <w:rsid w:val="00383B16"/>
    <w:rsid w:val="0038460A"/>
    <w:rsid w:val="003851DF"/>
    <w:rsid w:val="003853C8"/>
    <w:rsid w:val="003867AC"/>
    <w:rsid w:val="00386D0C"/>
    <w:rsid w:val="00387C5A"/>
    <w:rsid w:val="00392518"/>
    <w:rsid w:val="00393A61"/>
    <w:rsid w:val="00394579"/>
    <w:rsid w:val="00394787"/>
    <w:rsid w:val="00394AAD"/>
    <w:rsid w:val="00395054"/>
    <w:rsid w:val="00395473"/>
    <w:rsid w:val="0039604C"/>
    <w:rsid w:val="003961E3"/>
    <w:rsid w:val="00396223"/>
    <w:rsid w:val="00396DE5"/>
    <w:rsid w:val="003A0D64"/>
    <w:rsid w:val="003A176D"/>
    <w:rsid w:val="003A212F"/>
    <w:rsid w:val="003A2E53"/>
    <w:rsid w:val="003A3372"/>
    <w:rsid w:val="003A3FD0"/>
    <w:rsid w:val="003A4148"/>
    <w:rsid w:val="003A4575"/>
    <w:rsid w:val="003A47F8"/>
    <w:rsid w:val="003A715F"/>
    <w:rsid w:val="003B09DE"/>
    <w:rsid w:val="003B0F74"/>
    <w:rsid w:val="003B1405"/>
    <w:rsid w:val="003B1582"/>
    <w:rsid w:val="003B178A"/>
    <w:rsid w:val="003B264C"/>
    <w:rsid w:val="003B32E9"/>
    <w:rsid w:val="003B4B40"/>
    <w:rsid w:val="003B5707"/>
    <w:rsid w:val="003B6715"/>
    <w:rsid w:val="003B7331"/>
    <w:rsid w:val="003C0A79"/>
    <w:rsid w:val="003C2252"/>
    <w:rsid w:val="003C26DC"/>
    <w:rsid w:val="003C3B59"/>
    <w:rsid w:val="003C3F4B"/>
    <w:rsid w:val="003C5C9B"/>
    <w:rsid w:val="003C67AF"/>
    <w:rsid w:val="003C6B28"/>
    <w:rsid w:val="003C730A"/>
    <w:rsid w:val="003C7CBB"/>
    <w:rsid w:val="003D1DEB"/>
    <w:rsid w:val="003D2AA7"/>
    <w:rsid w:val="003D3330"/>
    <w:rsid w:val="003D3369"/>
    <w:rsid w:val="003D34A7"/>
    <w:rsid w:val="003D3B6A"/>
    <w:rsid w:val="003D41B5"/>
    <w:rsid w:val="003D4771"/>
    <w:rsid w:val="003D5920"/>
    <w:rsid w:val="003D5D72"/>
    <w:rsid w:val="003D6480"/>
    <w:rsid w:val="003D69DA"/>
    <w:rsid w:val="003D6D73"/>
    <w:rsid w:val="003E00C8"/>
    <w:rsid w:val="003E0309"/>
    <w:rsid w:val="003E0560"/>
    <w:rsid w:val="003E05B4"/>
    <w:rsid w:val="003E06B2"/>
    <w:rsid w:val="003E0820"/>
    <w:rsid w:val="003E0BEB"/>
    <w:rsid w:val="003E2FD9"/>
    <w:rsid w:val="003E316A"/>
    <w:rsid w:val="003E31C6"/>
    <w:rsid w:val="003E3699"/>
    <w:rsid w:val="003E37CB"/>
    <w:rsid w:val="003E4D65"/>
    <w:rsid w:val="003E5A36"/>
    <w:rsid w:val="003E7C49"/>
    <w:rsid w:val="003F067A"/>
    <w:rsid w:val="003F0C0A"/>
    <w:rsid w:val="003F24E7"/>
    <w:rsid w:val="003F2D19"/>
    <w:rsid w:val="003F3371"/>
    <w:rsid w:val="003F3479"/>
    <w:rsid w:val="003F3649"/>
    <w:rsid w:val="003F39D2"/>
    <w:rsid w:val="003F3B36"/>
    <w:rsid w:val="003F56D1"/>
    <w:rsid w:val="003F639F"/>
    <w:rsid w:val="003F75AA"/>
    <w:rsid w:val="003F79A6"/>
    <w:rsid w:val="00400B20"/>
    <w:rsid w:val="004024EC"/>
    <w:rsid w:val="00402508"/>
    <w:rsid w:val="004037C4"/>
    <w:rsid w:val="00403B3A"/>
    <w:rsid w:val="0040586A"/>
    <w:rsid w:val="0040589D"/>
    <w:rsid w:val="00405FC0"/>
    <w:rsid w:val="00406905"/>
    <w:rsid w:val="00407269"/>
    <w:rsid w:val="00407ACF"/>
    <w:rsid w:val="00410071"/>
    <w:rsid w:val="004101B3"/>
    <w:rsid w:val="0041062C"/>
    <w:rsid w:val="0041083A"/>
    <w:rsid w:val="00410FA2"/>
    <w:rsid w:val="00411A36"/>
    <w:rsid w:val="004128FF"/>
    <w:rsid w:val="00413349"/>
    <w:rsid w:val="004143E6"/>
    <w:rsid w:val="00414CC3"/>
    <w:rsid w:val="00414FC5"/>
    <w:rsid w:val="00415040"/>
    <w:rsid w:val="00415ABA"/>
    <w:rsid w:val="00416404"/>
    <w:rsid w:val="00416CB5"/>
    <w:rsid w:val="0041720D"/>
    <w:rsid w:val="00417249"/>
    <w:rsid w:val="004176C8"/>
    <w:rsid w:val="00417F25"/>
    <w:rsid w:val="00421A53"/>
    <w:rsid w:val="00422FE5"/>
    <w:rsid w:val="004233D4"/>
    <w:rsid w:val="004239B1"/>
    <w:rsid w:val="00423E86"/>
    <w:rsid w:val="00424BCF"/>
    <w:rsid w:val="00424FB5"/>
    <w:rsid w:val="00424FD8"/>
    <w:rsid w:val="004255C9"/>
    <w:rsid w:val="004259A8"/>
    <w:rsid w:val="00425BCE"/>
    <w:rsid w:val="00427B30"/>
    <w:rsid w:val="00430D18"/>
    <w:rsid w:val="00430DBF"/>
    <w:rsid w:val="00431177"/>
    <w:rsid w:val="0043128A"/>
    <w:rsid w:val="0043197C"/>
    <w:rsid w:val="00432CB9"/>
    <w:rsid w:val="00433592"/>
    <w:rsid w:val="00435348"/>
    <w:rsid w:val="004369FD"/>
    <w:rsid w:val="004371EE"/>
    <w:rsid w:val="004374ED"/>
    <w:rsid w:val="004403D3"/>
    <w:rsid w:val="004405F0"/>
    <w:rsid w:val="00440CB7"/>
    <w:rsid w:val="004418C7"/>
    <w:rsid w:val="0044312F"/>
    <w:rsid w:val="004433CF"/>
    <w:rsid w:val="004445E3"/>
    <w:rsid w:val="00445C60"/>
    <w:rsid w:val="00445C7B"/>
    <w:rsid w:val="00447716"/>
    <w:rsid w:val="00447B43"/>
    <w:rsid w:val="00447CF5"/>
    <w:rsid w:val="00447FA0"/>
    <w:rsid w:val="00450006"/>
    <w:rsid w:val="00450AB1"/>
    <w:rsid w:val="0045120F"/>
    <w:rsid w:val="004530AE"/>
    <w:rsid w:val="00453C2A"/>
    <w:rsid w:val="00453F2C"/>
    <w:rsid w:val="004568AA"/>
    <w:rsid w:val="00456BF0"/>
    <w:rsid w:val="004575B9"/>
    <w:rsid w:val="00460C4C"/>
    <w:rsid w:val="00462AC2"/>
    <w:rsid w:val="00463462"/>
    <w:rsid w:val="004636A3"/>
    <w:rsid w:val="0046495B"/>
    <w:rsid w:val="00464BE2"/>
    <w:rsid w:val="00464E7E"/>
    <w:rsid w:val="0046574F"/>
    <w:rsid w:val="004657E0"/>
    <w:rsid w:val="00465C62"/>
    <w:rsid w:val="0046713C"/>
    <w:rsid w:val="00467975"/>
    <w:rsid w:val="004679F2"/>
    <w:rsid w:val="00467F3D"/>
    <w:rsid w:val="00470840"/>
    <w:rsid w:val="00470CD4"/>
    <w:rsid w:val="004721BB"/>
    <w:rsid w:val="004729C4"/>
    <w:rsid w:val="00473B5A"/>
    <w:rsid w:val="00474F7B"/>
    <w:rsid w:val="00476648"/>
    <w:rsid w:val="00476BF1"/>
    <w:rsid w:val="0047776D"/>
    <w:rsid w:val="00480250"/>
    <w:rsid w:val="004804E3"/>
    <w:rsid w:val="00480C00"/>
    <w:rsid w:val="00480DEE"/>
    <w:rsid w:val="00480F4A"/>
    <w:rsid w:val="00481036"/>
    <w:rsid w:val="0048103F"/>
    <w:rsid w:val="00481ABA"/>
    <w:rsid w:val="00481D22"/>
    <w:rsid w:val="00482173"/>
    <w:rsid w:val="00483663"/>
    <w:rsid w:val="004838D8"/>
    <w:rsid w:val="00484A26"/>
    <w:rsid w:val="00484C34"/>
    <w:rsid w:val="00484EEC"/>
    <w:rsid w:val="004854C3"/>
    <w:rsid w:val="0048592A"/>
    <w:rsid w:val="00486C71"/>
    <w:rsid w:val="004872A5"/>
    <w:rsid w:val="00487DD1"/>
    <w:rsid w:val="0049105D"/>
    <w:rsid w:val="00491491"/>
    <w:rsid w:val="00492AB2"/>
    <w:rsid w:val="00492E32"/>
    <w:rsid w:val="00493027"/>
    <w:rsid w:val="004941EE"/>
    <w:rsid w:val="0049436F"/>
    <w:rsid w:val="00494E0C"/>
    <w:rsid w:val="0049524A"/>
    <w:rsid w:val="004966AF"/>
    <w:rsid w:val="004A0F49"/>
    <w:rsid w:val="004A0FF9"/>
    <w:rsid w:val="004A12F6"/>
    <w:rsid w:val="004A3506"/>
    <w:rsid w:val="004A4299"/>
    <w:rsid w:val="004A47F3"/>
    <w:rsid w:val="004A4A2F"/>
    <w:rsid w:val="004A50B2"/>
    <w:rsid w:val="004A5568"/>
    <w:rsid w:val="004A5C02"/>
    <w:rsid w:val="004A6DA6"/>
    <w:rsid w:val="004A7EE2"/>
    <w:rsid w:val="004B0632"/>
    <w:rsid w:val="004B3884"/>
    <w:rsid w:val="004B3D8D"/>
    <w:rsid w:val="004B3FF4"/>
    <w:rsid w:val="004B4431"/>
    <w:rsid w:val="004B4644"/>
    <w:rsid w:val="004B5D8F"/>
    <w:rsid w:val="004B656C"/>
    <w:rsid w:val="004B71C1"/>
    <w:rsid w:val="004B7E74"/>
    <w:rsid w:val="004C227D"/>
    <w:rsid w:val="004C3274"/>
    <w:rsid w:val="004C3708"/>
    <w:rsid w:val="004C3714"/>
    <w:rsid w:val="004C38A5"/>
    <w:rsid w:val="004C38EF"/>
    <w:rsid w:val="004C3B70"/>
    <w:rsid w:val="004C4D86"/>
    <w:rsid w:val="004C50BC"/>
    <w:rsid w:val="004C52CA"/>
    <w:rsid w:val="004C580F"/>
    <w:rsid w:val="004C6739"/>
    <w:rsid w:val="004C74B9"/>
    <w:rsid w:val="004C7933"/>
    <w:rsid w:val="004C7F26"/>
    <w:rsid w:val="004D0252"/>
    <w:rsid w:val="004D1A80"/>
    <w:rsid w:val="004D1C5D"/>
    <w:rsid w:val="004D29DC"/>
    <w:rsid w:val="004D3031"/>
    <w:rsid w:val="004D3345"/>
    <w:rsid w:val="004D4582"/>
    <w:rsid w:val="004D47EB"/>
    <w:rsid w:val="004D50AA"/>
    <w:rsid w:val="004D58AF"/>
    <w:rsid w:val="004D61CE"/>
    <w:rsid w:val="004D6A8F"/>
    <w:rsid w:val="004D6E09"/>
    <w:rsid w:val="004E0D0B"/>
    <w:rsid w:val="004E1FE8"/>
    <w:rsid w:val="004E2520"/>
    <w:rsid w:val="004E252C"/>
    <w:rsid w:val="004E31A1"/>
    <w:rsid w:val="004E3313"/>
    <w:rsid w:val="004E368D"/>
    <w:rsid w:val="004E3F9E"/>
    <w:rsid w:val="004E4956"/>
    <w:rsid w:val="004E562F"/>
    <w:rsid w:val="004E5815"/>
    <w:rsid w:val="004E5DDD"/>
    <w:rsid w:val="004E666E"/>
    <w:rsid w:val="004E6E2A"/>
    <w:rsid w:val="004E7351"/>
    <w:rsid w:val="004F0A46"/>
    <w:rsid w:val="004F0F5C"/>
    <w:rsid w:val="004F0F95"/>
    <w:rsid w:val="004F11F8"/>
    <w:rsid w:val="004F17FB"/>
    <w:rsid w:val="004F215D"/>
    <w:rsid w:val="004F2655"/>
    <w:rsid w:val="004F2AD7"/>
    <w:rsid w:val="004F2B24"/>
    <w:rsid w:val="004F3579"/>
    <w:rsid w:val="004F4573"/>
    <w:rsid w:val="004F567E"/>
    <w:rsid w:val="004F5A35"/>
    <w:rsid w:val="004F67D6"/>
    <w:rsid w:val="00500DB3"/>
    <w:rsid w:val="005017A9"/>
    <w:rsid w:val="0050192C"/>
    <w:rsid w:val="0050217F"/>
    <w:rsid w:val="005021DA"/>
    <w:rsid w:val="00502D61"/>
    <w:rsid w:val="00503830"/>
    <w:rsid w:val="00503E39"/>
    <w:rsid w:val="0050564B"/>
    <w:rsid w:val="005056C4"/>
    <w:rsid w:val="005056E3"/>
    <w:rsid w:val="005069FD"/>
    <w:rsid w:val="00510B7E"/>
    <w:rsid w:val="00511AFE"/>
    <w:rsid w:val="005124D8"/>
    <w:rsid w:val="00512ED6"/>
    <w:rsid w:val="005130D1"/>
    <w:rsid w:val="005139EE"/>
    <w:rsid w:val="00513B01"/>
    <w:rsid w:val="00513C67"/>
    <w:rsid w:val="0051495B"/>
    <w:rsid w:val="00516990"/>
    <w:rsid w:val="00516CE9"/>
    <w:rsid w:val="005177B9"/>
    <w:rsid w:val="00517B96"/>
    <w:rsid w:val="00517DDA"/>
    <w:rsid w:val="00520435"/>
    <w:rsid w:val="00520672"/>
    <w:rsid w:val="00521321"/>
    <w:rsid w:val="00521861"/>
    <w:rsid w:val="00521E96"/>
    <w:rsid w:val="005224A7"/>
    <w:rsid w:val="00523F5C"/>
    <w:rsid w:val="00524312"/>
    <w:rsid w:val="00524A7C"/>
    <w:rsid w:val="00524AEC"/>
    <w:rsid w:val="00524E9C"/>
    <w:rsid w:val="00524F18"/>
    <w:rsid w:val="00525B0A"/>
    <w:rsid w:val="00525EA4"/>
    <w:rsid w:val="0052619E"/>
    <w:rsid w:val="005262B6"/>
    <w:rsid w:val="005268B5"/>
    <w:rsid w:val="00526C3C"/>
    <w:rsid w:val="00526CED"/>
    <w:rsid w:val="005279BA"/>
    <w:rsid w:val="00527AC2"/>
    <w:rsid w:val="00531568"/>
    <w:rsid w:val="00533E74"/>
    <w:rsid w:val="00534454"/>
    <w:rsid w:val="005349BE"/>
    <w:rsid w:val="00534B3F"/>
    <w:rsid w:val="00535501"/>
    <w:rsid w:val="00535D88"/>
    <w:rsid w:val="005368DF"/>
    <w:rsid w:val="00536A72"/>
    <w:rsid w:val="00536AE5"/>
    <w:rsid w:val="005374C9"/>
    <w:rsid w:val="00540408"/>
    <w:rsid w:val="005409BA"/>
    <w:rsid w:val="00541C07"/>
    <w:rsid w:val="00541D60"/>
    <w:rsid w:val="00541DA7"/>
    <w:rsid w:val="0054222A"/>
    <w:rsid w:val="005422EA"/>
    <w:rsid w:val="00542F1C"/>
    <w:rsid w:val="00543394"/>
    <w:rsid w:val="00544348"/>
    <w:rsid w:val="0054443A"/>
    <w:rsid w:val="0054444E"/>
    <w:rsid w:val="00544DAC"/>
    <w:rsid w:val="00546332"/>
    <w:rsid w:val="005463DF"/>
    <w:rsid w:val="00546DD7"/>
    <w:rsid w:val="005472B1"/>
    <w:rsid w:val="00547324"/>
    <w:rsid w:val="00547BBA"/>
    <w:rsid w:val="005501B8"/>
    <w:rsid w:val="00551A3E"/>
    <w:rsid w:val="00551E2D"/>
    <w:rsid w:val="005544AC"/>
    <w:rsid w:val="00554ED5"/>
    <w:rsid w:val="00555C2A"/>
    <w:rsid w:val="00557037"/>
    <w:rsid w:val="005571F2"/>
    <w:rsid w:val="00557219"/>
    <w:rsid w:val="00557885"/>
    <w:rsid w:val="005579E1"/>
    <w:rsid w:val="00560625"/>
    <w:rsid w:val="00560BD8"/>
    <w:rsid w:val="00560F9D"/>
    <w:rsid w:val="005616E6"/>
    <w:rsid w:val="005620CD"/>
    <w:rsid w:val="005636A7"/>
    <w:rsid w:val="00563E36"/>
    <w:rsid w:val="0056439B"/>
    <w:rsid w:val="00566371"/>
    <w:rsid w:val="005664DA"/>
    <w:rsid w:val="00566DC2"/>
    <w:rsid w:val="00566FD9"/>
    <w:rsid w:val="0056756C"/>
    <w:rsid w:val="0056758D"/>
    <w:rsid w:val="005710E5"/>
    <w:rsid w:val="005718C8"/>
    <w:rsid w:val="00571EC3"/>
    <w:rsid w:val="00572075"/>
    <w:rsid w:val="00573402"/>
    <w:rsid w:val="00573DD1"/>
    <w:rsid w:val="00574A2D"/>
    <w:rsid w:val="00575FDF"/>
    <w:rsid w:val="005764E8"/>
    <w:rsid w:val="00577C24"/>
    <w:rsid w:val="005802F4"/>
    <w:rsid w:val="00580417"/>
    <w:rsid w:val="00580F68"/>
    <w:rsid w:val="005822CA"/>
    <w:rsid w:val="00582E08"/>
    <w:rsid w:val="005834BE"/>
    <w:rsid w:val="00583CB8"/>
    <w:rsid w:val="00584316"/>
    <w:rsid w:val="00584CD8"/>
    <w:rsid w:val="0058666B"/>
    <w:rsid w:val="00586A26"/>
    <w:rsid w:val="0058799E"/>
    <w:rsid w:val="005906A6"/>
    <w:rsid w:val="00590F35"/>
    <w:rsid w:val="00591C2E"/>
    <w:rsid w:val="0059258C"/>
    <w:rsid w:val="00593F0C"/>
    <w:rsid w:val="0059459C"/>
    <w:rsid w:val="00596FFA"/>
    <w:rsid w:val="00597CCB"/>
    <w:rsid w:val="00597E79"/>
    <w:rsid w:val="005A0402"/>
    <w:rsid w:val="005A1518"/>
    <w:rsid w:val="005A1588"/>
    <w:rsid w:val="005A2014"/>
    <w:rsid w:val="005A21A0"/>
    <w:rsid w:val="005A34ED"/>
    <w:rsid w:val="005A3754"/>
    <w:rsid w:val="005A51C3"/>
    <w:rsid w:val="005A543F"/>
    <w:rsid w:val="005A6DF4"/>
    <w:rsid w:val="005A717A"/>
    <w:rsid w:val="005A7643"/>
    <w:rsid w:val="005A7B1E"/>
    <w:rsid w:val="005B0B1A"/>
    <w:rsid w:val="005B1B1A"/>
    <w:rsid w:val="005B2812"/>
    <w:rsid w:val="005B2A03"/>
    <w:rsid w:val="005B30C6"/>
    <w:rsid w:val="005B387C"/>
    <w:rsid w:val="005B4F3D"/>
    <w:rsid w:val="005B55B8"/>
    <w:rsid w:val="005B5B58"/>
    <w:rsid w:val="005B6AAE"/>
    <w:rsid w:val="005B6E73"/>
    <w:rsid w:val="005B7545"/>
    <w:rsid w:val="005C1535"/>
    <w:rsid w:val="005C3782"/>
    <w:rsid w:val="005C41F3"/>
    <w:rsid w:val="005C59D8"/>
    <w:rsid w:val="005C626D"/>
    <w:rsid w:val="005C6FC4"/>
    <w:rsid w:val="005C784E"/>
    <w:rsid w:val="005D16B4"/>
    <w:rsid w:val="005D1DCD"/>
    <w:rsid w:val="005D23EE"/>
    <w:rsid w:val="005D2CCB"/>
    <w:rsid w:val="005D2DA8"/>
    <w:rsid w:val="005D2FD4"/>
    <w:rsid w:val="005D30D4"/>
    <w:rsid w:val="005D31FA"/>
    <w:rsid w:val="005D3F74"/>
    <w:rsid w:val="005D44D0"/>
    <w:rsid w:val="005D4615"/>
    <w:rsid w:val="005D4693"/>
    <w:rsid w:val="005D4E8E"/>
    <w:rsid w:val="005D53CF"/>
    <w:rsid w:val="005D543A"/>
    <w:rsid w:val="005D55CF"/>
    <w:rsid w:val="005D5981"/>
    <w:rsid w:val="005D6631"/>
    <w:rsid w:val="005D7303"/>
    <w:rsid w:val="005D7CB2"/>
    <w:rsid w:val="005E0ACA"/>
    <w:rsid w:val="005E0FAD"/>
    <w:rsid w:val="005E1FE7"/>
    <w:rsid w:val="005E233B"/>
    <w:rsid w:val="005E3615"/>
    <w:rsid w:val="005E363C"/>
    <w:rsid w:val="005E4378"/>
    <w:rsid w:val="005E447B"/>
    <w:rsid w:val="005E5D68"/>
    <w:rsid w:val="005E6063"/>
    <w:rsid w:val="005E6551"/>
    <w:rsid w:val="005E7737"/>
    <w:rsid w:val="005E7B90"/>
    <w:rsid w:val="005F08FC"/>
    <w:rsid w:val="005F0EF2"/>
    <w:rsid w:val="005F20DB"/>
    <w:rsid w:val="005F35A8"/>
    <w:rsid w:val="005F3C2C"/>
    <w:rsid w:val="005F47DE"/>
    <w:rsid w:val="005F4D5E"/>
    <w:rsid w:val="005F534F"/>
    <w:rsid w:val="005F5C18"/>
    <w:rsid w:val="005F5D33"/>
    <w:rsid w:val="005F5E44"/>
    <w:rsid w:val="005F7319"/>
    <w:rsid w:val="005F7B9C"/>
    <w:rsid w:val="005F7FCC"/>
    <w:rsid w:val="006004D2"/>
    <w:rsid w:val="00600A46"/>
    <w:rsid w:val="00600EEA"/>
    <w:rsid w:val="006010BA"/>
    <w:rsid w:val="006016AA"/>
    <w:rsid w:val="006026A3"/>
    <w:rsid w:val="00603850"/>
    <w:rsid w:val="00603CF1"/>
    <w:rsid w:val="006046FD"/>
    <w:rsid w:val="00604B3E"/>
    <w:rsid w:val="00604EC0"/>
    <w:rsid w:val="00604FA0"/>
    <w:rsid w:val="00605221"/>
    <w:rsid w:val="00605D4F"/>
    <w:rsid w:val="0060629E"/>
    <w:rsid w:val="00606CD2"/>
    <w:rsid w:val="006071A7"/>
    <w:rsid w:val="006118FA"/>
    <w:rsid w:val="00611CA3"/>
    <w:rsid w:val="00611E28"/>
    <w:rsid w:val="00612ECF"/>
    <w:rsid w:val="00613EBF"/>
    <w:rsid w:val="006142A5"/>
    <w:rsid w:val="006149F6"/>
    <w:rsid w:val="0061544D"/>
    <w:rsid w:val="00615B82"/>
    <w:rsid w:val="00616089"/>
    <w:rsid w:val="0061648D"/>
    <w:rsid w:val="00616D6E"/>
    <w:rsid w:val="0061767B"/>
    <w:rsid w:val="00617F75"/>
    <w:rsid w:val="006206D7"/>
    <w:rsid w:val="00620DD0"/>
    <w:rsid w:val="006218DA"/>
    <w:rsid w:val="0062273B"/>
    <w:rsid w:val="00622A1F"/>
    <w:rsid w:val="00623078"/>
    <w:rsid w:val="006235EB"/>
    <w:rsid w:val="006238A9"/>
    <w:rsid w:val="00623D2A"/>
    <w:rsid w:val="006241E7"/>
    <w:rsid w:val="006243D0"/>
    <w:rsid w:val="00624941"/>
    <w:rsid w:val="00624EF9"/>
    <w:rsid w:val="006258BA"/>
    <w:rsid w:val="00625B4C"/>
    <w:rsid w:val="006262BB"/>
    <w:rsid w:val="006276A8"/>
    <w:rsid w:val="00630174"/>
    <w:rsid w:val="006312EF"/>
    <w:rsid w:val="00631868"/>
    <w:rsid w:val="006318BA"/>
    <w:rsid w:val="00631A4A"/>
    <w:rsid w:val="00631B5A"/>
    <w:rsid w:val="00633326"/>
    <w:rsid w:val="00633811"/>
    <w:rsid w:val="00634676"/>
    <w:rsid w:val="00635404"/>
    <w:rsid w:val="00636459"/>
    <w:rsid w:val="006367F2"/>
    <w:rsid w:val="00637C88"/>
    <w:rsid w:val="00640BD7"/>
    <w:rsid w:val="00641D36"/>
    <w:rsid w:val="00642048"/>
    <w:rsid w:val="00642572"/>
    <w:rsid w:val="00642650"/>
    <w:rsid w:val="00642769"/>
    <w:rsid w:val="00643041"/>
    <w:rsid w:val="00643CFC"/>
    <w:rsid w:val="006444B9"/>
    <w:rsid w:val="00644A3A"/>
    <w:rsid w:val="00644B4A"/>
    <w:rsid w:val="00644E7B"/>
    <w:rsid w:val="006455A9"/>
    <w:rsid w:val="006456B7"/>
    <w:rsid w:val="006471EB"/>
    <w:rsid w:val="0064752C"/>
    <w:rsid w:val="006511C4"/>
    <w:rsid w:val="00651353"/>
    <w:rsid w:val="00651B25"/>
    <w:rsid w:val="00651DB0"/>
    <w:rsid w:val="0065207E"/>
    <w:rsid w:val="006526A5"/>
    <w:rsid w:val="006527A4"/>
    <w:rsid w:val="00653541"/>
    <w:rsid w:val="00653789"/>
    <w:rsid w:val="00654814"/>
    <w:rsid w:val="00654AF2"/>
    <w:rsid w:val="00654B7A"/>
    <w:rsid w:val="00654C55"/>
    <w:rsid w:val="006557E6"/>
    <w:rsid w:val="00655C06"/>
    <w:rsid w:val="00656CD7"/>
    <w:rsid w:val="00657B32"/>
    <w:rsid w:val="00657ECA"/>
    <w:rsid w:val="0066007A"/>
    <w:rsid w:val="006609DB"/>
    <w:rsid w:val="00660EA8"/>
    <w:rsid w:val="006623D6"/>
    <w:rsid w:val="006629E7"/>
    <w:rsid w:val="00664BE9"/>
    <w:rsid w:val="00664F4F"/>
    <w:rsid w:val="00665256"/>
    <w:rsid w:val="006652B8"/>
    <w:rsid w:val="00665391"/>
    <w:rsid w:val="006654DE"/>
    <w:rsid w:val="006667ED"/>
    <w:rsid w:val="00666B16"/>
    <w:rsid w:val="00666E11"/>
    <w:rsid w:val="00670035"/>
    <w:rsid w:val="00670A9E"/>
    <w:rsid w:val="0067161E"/>
    <w:rsid w:val="00671752"/>
    <w:rsid w:val="00671C1A"/>
    <w:rsid w:val="00671D68"/>
    <w:rsid w:val="00671E3C"/>
    <w:rsid w:val="006727DB"/>
    <w:rsid w:val="00672E2F"/>
    <w:rsid w:val="00673398"/>
    <w:rsid w:val="00674179"/>
    <w:rsid w:val="0067455C"/>
    <w:rsid w:val="00674D50"/>
    <w:rsid w:val="00674DE6"/>
    <w:rsid w:val="00676206"/>
    <w:rsid w:val="00676E32"/>
    <w:rsid w:val="00676FB4"/>
    <w:rsid w:val="006771D1"/>
    <w:rsid w:val="00677403"/>
    <w:rsid w:val="00680756"/>
    <w:rsid w:val="00681690"/>
    <w:rsid w:val="0068190B"/>
    <w:rsid w:val="00682420"/>
    <w:rsid w:val="00682D6E"/>
    <w:rsid w:val="00682D91"/>
    <w:rsid w:val="00682F24"/>
    <w:rsid w:val="00683BCF"/>
    <w:rsid w:val="00683E57"/>
    <w:rsid w:val="00684A76"/>
    <w:rsid w:val="00686978"/>
    <w:rsid w:val="00686C74"/>
    <w:rsid w:val="006874A1"/>
    <w:rsid w:val="006876F8"/>
    <w:rsid w:val="00687F1D"/>
    <w:rsid w:val="00690560"/>
    <w:rsid w:val="0069161E"/>
    <w:rsid w:val="00692A4A"/>
    <w:rsid w:val="00692AF3"/>
    <w:rsid w:val="00692CDE"/>
    <w:rsid w:val="0069312C"/>
    <w:rsid w:val="0069324F"/>
    <w:rsid w:val="00693FD8"/>
    <w:rsid w:val="00694CCC"/>
    <w:rsid w:val="00697866"/>
    <w:rsid w:val="006A0DB8"/>
    <w:rsid w:val="006A25E0"/>
    <w:rsid w:val="006A2FB2"/>
    <w:rsid w:val="006A3894"/>
    <w:rsid w:val="006A4616"/>
    <w:rsid w:val="006A5007"/>
    <w:rsid w:val="006A54FC"/>
    <w:rsid w:val="006A60E1"/>
    <w:rsid w:val="006A6322"/>
    <w:rsid w:val="006A71C4"/>
    <w:rsid w:val="006A7545"/>
    <w:rsid w:val="006B0009"/>
    <w:rsid w:val="006B1AF0"/>
    <w:rsid w:val="006B226C"/>
    <w:rsid w:val="006B2482"/>
    <w:rsid w:val="006B2744"/>
    <w:rsid w:val="006B47BE"/>
    <w:rsid w:val="006B542A"/>
    <w:rsid w:val="006B6615"/>
    <w:rsid w:val="006B739D"/>
    <w:rsid w:val="006B7807"/>
    <w:rsid w:val="006B79E9"/>
    <w:rsid w:val="006C018E"/>
    <w:rsid w:val="006C04DC"/>
    <w:rsid w:val="006C0FBE"/>
    <w:rsid w:val="006C15A9"/>
    <w:rsid w:val="006C28D7"/>
    <w:rsid w:val="006C2D98"/>
    <w:rsid w:val="006C358B"/>
    <w:rsid w:val="006C3E12"/>
    <w:rsid w:val="006C5066"/>
    <w:rsid w:val="006C5768"/>
    <w:rsid w:val="006C6030"/>
    <w:rsid w:val="006C71CA"/>
    <w:rsid w:val="006D0B30"/>
    <w:rsid w:val="006D16C6"/>
    <w:rsid w:val="006D22B3"/>
    <w:rsid w:val="006D3248"/>
    <w:rsid w:val="006D3B46"/>
    <w:rsid w:val="006D52C9"/>
    <w:rsid w:val="006D55B1"/>
    <w:rsid w:val="006E0336"/>
    <w:rsid w:val="006E2A2A"/>
    <w:rsid w:val="006E36A4"/>
    <w:rsid w:val="006E38A9"/>
    <w:rsid w:val="006E39B9"/>
    <w:rsid w:val="006E3DE2"/>
    <w:rsid w:val="006E495F"/>
    <w:rsid w:val="006E4AEE"/>
    <w:rsid w:val="006E54E1"/>
    <w:rsid w:val="006E74C9"/>
    <w:rsid w:val="006F03B2"/>
    <w:rsid w:val="006F0478"/>
    <w:rsid w:val="006F137B"/>
    <w:rsid w:val="006F156E"/>
    <w:rsid w:val="006F18E6"/>
    <w:rsid w:val="006F1CE9"/>
    <w:rsid w:val="006F201C"/>
    <w:rsid w:val="006F2DBF"/>
    <w:rsid w:val="006F3878"/>
    <w:rsid w:val="006F4531"/>
    <w:rsid w:val="006F484D"/>
    <w:rsid w:val="006F58BD"/>
    <w:rsid w:val="006F6C37"/>
    <w:rsid w:val="006F6DCF"/>
    <w:rsid w:val="006F7CFD"/>
    <w:rsid w:val="0070044A"/>
    <w:rsid w:val="00701A90"/>
    <w:rsid w:val="00703DF7"/>
    <w:rsid w:val="0070479F"/>
    <w:rsid w:val="00705BA8"/>
    <w:rsid w:val="00705FEB"/>
    <w:rsid w:val="00706677"/>
    <w:rsid w:val="00706BC3"/>
    <w:rsid w:val="007107C6"/>
    <w:rsid w:val="007112CE"/>
    <w:rsid w:val="0071138E"/>
    <w:rsid w:val="00711523"/>
    <w:rsid w:val="007126FD"/>
    <w:rsid w:val="007141CB"/>
    <w:rsid w:val="0071428A"/>
    <w:rsid w:val="00714345"/>
    <w:rsid w:val="00714DDD"/>
    <w:rsid w:val="007156D2"/>
    <w:rsid w:val="007162E1"/>
    <w:rsid w:val="007171E6"/>
    <w:rsid w:val="00720CB3"/>
    <w:rsid w:val="00722888"/>
    <w:rsid w:val="0072312A"/>
    <w:rsid w:val="00723167"/>
    <w:rsid w:val="00724B29"/>
    <w:rsid w:val="0072792C"/>
    <w:rsid w:val="007303E9"/>
    <w:rsid w:val="00731A6D"/>
    <w:rsid w:val="00731CDC"/>
    <w:rsid w:val="00731D94"/>
    <w:rsid w:val="00732079"/>
    <w:rsid w:val="0073229C"/>
    <w:rsid w:val="00732512"/>
    <w:rsid w:val="007325C4"/>
    <w:rsid w:val="00732A4F"/>
    <w:rsid w:val="00734AEB"/>
    <w:rsid w:val="00736C6F"/>
    <w:rsid w:val="007371F8"/>
    <w:rsid w:val="0074010C"/>
    <w:rsid w:val="007413EB"/>
    <w:rsid w:val="00741682"/>
    <w:rsid w:val="00741F4D"/>
    <w:rsid w:val="0074229C"/>
    <w:rsid w:val="007426B0"/>
    <w:rsid w:val="00743E49"/>
    <w:rsid w:val="0074458A"/>
    <w:rsid w:val="0074476D"/>
    <w:rsid w:val="00744BBC"/>
    <w:rsid w:val="00744C20"/>
    <w:rsid w:val="00746633"/>
    <w:rsid w:val="00746CFC"/>
    <w:rsid w:val="00747C62"/>
    <w:rsid w:val="007502F1"/>
    <w:rsid w:val="00750472"/>
    <w:rsid w:val="007507E6"/>
    <w:rsid w:val="00750A15"/>
    <w:rsid w:val="0075170E"/>
    <w:rsid w:val="007518E7"/>
    <w:rsid w:val="00751EA6"/>
    <w:rsid w:val="0075255C"/>
    <w:rsid w:val="007525F4"/>
    <w:rsid w:val="00752D71"/>
    <w:rsid w:val="0075380A"/>
    <w:rsid w:val="0075433E"/>
    <w:rsid w:val="00755068"/>
    <w:rsid w:val="007554A9"/>
    <w:rsid w:val="00755607"/>
    <w:rsid w:val="00756662"/>
    <w:rsid w:val="00757159"/>
    <w:rsid w:val="007574E6"/>
    <w:rsid w:val="00757C59"/>
    <w:rsid w:val="00761EFB"/>
    <w:rsid w:val="00762230"/>
    <w:rsid w:val="00762400"/>
    <w:rsid w:val="00763267"/>
    <w:rsid w:val="00764030"/>
    <w:rsid w:val="007654F8"/>
    <w:rsid w:val="00765601"/>
    <w:rsid w:val="00766A37"/>
    <w:rsid w:val="0076737E"/>
    <w:rsid w:val="0077111C"/>
    <w:rsid w:val="00771274"/>
    <w:rsid w:val="00772620"/>
    <w:rsid w:val="0077298D"/>
    <w:rsid w:val="00772F99"/>
    <w:rsid w:val="0077300A"/>
    <w:rsid w:val="0077340E"/>
    <w:rsid w:val="00774448"/>
    <w:rsid w:val="00774559"/>
    <w:rsid w:val="00774727"/>
    <w:rsid w:val="007747C5"/>
    <w:rsid w:val="0077494B"/>
    <w:rsid w:val="00774D15"/>
    <w:rsid w:val="00774DF6"/>
    <w:rsid w:val="0077513B"/>
    <w:rsid w:val="00775996"/>
    <w:rsid w:val="00776410"/>
    <w:rsid w:val="00776A60"/>
    <w:rsid w:val="00777929"/>
    <w:rsid w:val="00780DBC"/>
    <w:rsid w:val="00781631"/>
    <w:rsid w:val="00781A0E"/>
    <w:rsid w:val="00781B27"/>
    <w:rsid w:val="007835FC"/>
    <w:rsid w:val="00783B85"/>
    <w:rsid w:val="00785E3A"/>
    <w:rsid w:val="00786C3F"/>
    <w:rsid w:val="0078771C"/>
    <w:rsid w:val="007903BC"/>
    <w:rsid w:val="00790E00"/>
    <w:rsid w:val="0079201A"/>
    <w:rsid w:val="0079258F"/>
    <w:rsid w:val="007926FA"/>
    <w:rsid w:val="00792736"/>
    <w:rsid w:val="0079408F"/>
    <w:rsid w:val="0079481B"/>
    <w:rsid w:val="00795629"/>
    <w:rsid w:val="00795A87"/>
    <w:rsid w:val="00796FE7"/>
    <w:rsid w:val="00797449"/>
    <w:rsid w:val="007A10F4"/>
    <w:rsid w:val="007A124A"/>
    <w:rsid w:val="007A1DB0"/>
    <w:rsid w:val="007A28DC"/>
    <w:rsid w:val="007A2CE7"/>
    <w:rsid w:val="007A32C9"/>
    <w:rsid w:val="007A34FC"/>
    <w:rsid w:val="007A412A"/>
    <w:rsid w:val="007A466F"/>
    <w:rsid w:val="007A4E97"/>
    <w:rsid w:val="007A5CED"/>
    <w:rsid w:val="007B0835"/>
    <w:rsid w:val="007B0D45"/>
    <w:rsid w:val="007B28BE"/>
    <w:rsid w:val="007B3F30"/>
    <w:rsid w:val="007B40D1"/>
    <w:rsid w:val="007B4F9E"/>
    <w:rsid w:val="007B50CC"/>
    <w:rsid w:val="007B557A"/>
    <w:rsid w:val="007B5B04"/>
    <w:rsid w:val="007B5D7F"/>
    <w:rsid w:val="007B5DAF"/>
    <w:rsid w:val="007B63D0"/>
    <w:rsid w:val="007B65CD"/>
    <w:rsid w:val="007B694E"/>
    <w:rsid w:val="007B74CA"/>
    <w:rsid w:val="007B7FDC"/>
    <w:rsid w:val="007C129E"/>
    <w:rsid w:val="007C1687"/>
    <w:rsid w:val="007C1BE1"/>
    <w:rsid w:val="007C1E0D"/>
    <w:rsid w:val="007C203E"/>
    <w:rsid w:val="007C37E2"/>
    <w:rsid w:val="007C3973"/>
    <w:rsid w:val="007C41C8"/>
    <w:rsid w:val="007C4A8B"/>
    <w:rsid w:val="007C52F1"/>
    <w:rsid w:val="007C5C6E"/>
    <w:rsid w:val="007C616D"/>
    <w:rsid w:val="007C75BC"/>
    <w:rsid w:val="007C7C0F"/>
    <w:rsid w:val="007D1F54"/>
    <w:rsid w:val="007D20C6"/>
    <w:rsid w:val="007D230F"/>
    <w:rsid w:val="007D23E3"/>
    <w:rsid w:val="007D2612"/>
    <w:rsid w:val="007D3D23"/>
    <w:rsid w:val="007D4818"/>
    <w:rsid w:val="007D4F29"/>
    <w:rsid w:val="007D638C"/>
    <w:rsid w:val="007D6BBF"/>
    <w:rsid w:val="007D7670"/>
    <w:rsid w:val="007E034A"/>
    <w:rsid w:val="007E0427"/>
    <w:rsid w:val="007E1697"/>
    <w:rsid w:val="007E174C"/>
    <w:rsid w:val="007E2137"/>
    <w:rsid w:val="007E21FD"/>
    <w:rsid w:val="007E2B67"/>
    <w:rsid w:val="007E376F"/>
    <w:rsid w:val="007E484C"/>
    <w:rsid w:val="007E569A"/>
    <w:rsid w:val="007E5CA1"/>
    <w:rsid w:val="007E5FF7"/>
    <w:rsid w:val="007E6808"/>
    <w:rsid w:val="007E6BA0"/>
    <w:rsid w:val="007E749F"/>
    <w:rsid w:val="007E7C4D"/>
    <w:rsid w:val="007F02E5"/>
    <w:rsid w:val="007F073F"/>
    <w:rsid w:val="007F0C28"/>
    <w:rsid w:val="007F10E7"/>
    <w:rsid w:val="007F225F"/>
    <w:rsid w:val="007F22F7"/>
    <w:rsid w:val="007F2725"/>
    <w:rsid w:val="007F3354"/>
    <w:rsid w:val="007F3889"/>
    <w:rsid w:val="007F3928"/>
    <w:rsid w:val="007F3A33"/>
    <w:rsid w:val="007F6354"/>
    <w:rsid w:val="007F78E9"/>
    <w:rsid w:val="008002FA"/>
    <w:rsid w:val="00800E94"/>
    <w:rsid w:val="008015CC"/>
    <w:rsid w:val="00801F80"/>
    <w:rsid w:val="00802BBC"/>
    <w:rsid w:val="00802D82"/>
    <w:rsid w:val="008040D1"/>
    <w:rsid w:val="00804FF8"/>
    <w:rsid w:val="00805CDD"/>
    <w:rsid w:val="00807292"/>
    <w:rsid w:val="0081060D"/>
    <w:rsid w:val="0081074A"/>
    <w:rsid w:val="0081075D"/>
    <w:rsid w:val="00810A03"/>
    <w:rsid w:val="00811502"/>
    <w:rsid w:val="008125C9"/>
    <w:rsid w:val="00812FBF"/>
    <w:rsid w:val="008133F5"/>
    <w:rsid w:val="008138BA"/>
    <w:rsid w:val="008138D1"/>
    <w:rsid w:val="008159CE"/>
    <w:rsid w:val="00816413"/>
    <w:rsid w:val="00821962"/>
    <w:rsid w:val="00821FEB"/>
    <w:rsid w:val="008246AA"/>
    <w:rsid w:val="00824768"/>
    <w:rsid w:val="00824952"/>
    <w:rsid w:val="00824987"/>
    <w:rsid w:val="00824B80"/>
    <w:rsid w:val="00825162"/>
    <w:rsid w:val="008255E9"/>
    <w:rsid w:val="008265EF"/>
    <w:rsid w:val="00826C03"/>
    <w:rsid w:val="0082724F"/>
    <w:rsid w:val="008272F3"/>
    <w:rsid w:val="00830A3D"/>
    <w:rsid w:val="00830D5E"/>
    <w:rsid w:val="00830E63"/>
    <w:rsid w:val="008316B1"/>
    <w:rsid w:val="00831954"/>
    <w:rsid w:val="00831A4F"/>
    <w:rsid w:val="00832213"/>
    <w:rsid w:val="0083246D"/>
    <w:rsid w:val="00832AA9"/>
    <w:rsid w:val="00833337"/>
    <w:rsid w:val="008340FE"/>
    <w:rsid w:val="008341B3"/>
    <w:rsid w:val="00835164"/>
    <w:rsid w:val="00835670"/>
    <w:rsid w:val="0083731A"/>
    <w:rsid w:val="00837FA4"/>
    <w:rsid w:val="0084030A"/>
    <w:rsid w:val="00840F59"/>
    <w:rsid w:val="00841E94"/>
    <w:rsid w:val="008420D4"/>
    <w:rsid w:val="00842367"/>
    <w:rsid w:val="00842DFB"/>
    <w:rsid w:val="00843C38"/>
    <w:rsid w:val="00844EDB"/>
    <w:rsid w:val="00844F8E"/>
    <w:rsid w:val="00845575"/>
    <w:rsid w:val="0084666C"/>
    <w:rsid w:val="0084678C"/>
    <w:rsid w:val="0084765B"/>
    <w:rsid w:val="00847E71"/>
    <w:rsid w:val="008514C7"/>
    <w:rsid w:val="00851E37"/>
    <w:rsid w:val="008523DB"/>
    <w:rsid w:val="00852C40"/>
    <w:rsid w:val="0085393C"/>
    <w:rsid w:val="008543F6"/>
    <w:rsid w:val="00854BCD"/>
    <w:rsid w:val="00855D97"/>
    <w:rsid w:val="0085668A"/>
    <w:rsid w:val="00856E7B"/>
    <w:rsid w:val="0086024E"/>
    <w:rsid w:val="008618C0"/>
    <w:rsid w:val="0086397D"/>
    <w:rsid w:val="0086432C"/>
    <w:rsid w:val="0086598B"/>
    <w:rsid w:val="0086772C"/>
    <w:rsid w:val="008678CD"/>
    <w:rsid w:val="00867C05"/>
    <w:rsid w:val="008701CE"/>
    <w:rsid w:val="0087095E"/>
    <w:rsid w:val="00871398"/>
    <w:rsid w:val="00871F59"/>
    <w:rsid w:val="0087354F"/>
    <w:rsid w:val="00874AFD"/>
    <w:rsid w:val="00874D78"/>
    <w:rsid w:val="00875BB5"/>
    <w:rsid w:val="00875C5F"/>
    <w:rsid w:val="00875D2E"/>
    <w:rsid w:val="00876180"/>
    <w:rsid w:val="00876693"/>
    <w:rsid w:val="00877924"/>
    <w:rsid w:val="0088112F"/>
    <w:rsid w:val="008814FB"/>
    <w:rsid w:val="00881EBA"/>
    <w:rsid w:val="008823F6"/>
    <w:rsid w:val="00882768"/>
    <w:rsid w:val="00884C69"/>
    <w:rsid w:val="00885375"/>
    <w:rsid w:val="00885F14"/>
    <w:rsid w:val="008869B6"/>
    <w:rsid w:val="00887331"/>
    <w:rsid w:val="00890183"/>
    <w:rsid w:val="008907BD"/>
    <w:rsid w:val="00890A15"/>
    <w:rsid w:val="00890C95"/>
    <w:rsid w:val="008917AF"/>
    <w:rsid w:val="00891A55"/>
    <w:rsid w:val="00892458"/>
    <w:rsid w:val="00892642"/>
    <w:rsid w:val="00893332"/>
    <w:rsid w:val="008934FA"/>
    <w:rsid w:val="008936B8"/>
    <w:rsid w:val="00893B13"/>
    <w:rsid w:val="00894F92"/>
    <w:rsid w:val="008958A0"/>
    <w:rsid w:val="008961E0"/>
    <w:rsid w:val="008967FD"/>
    <w:rsid w:val="008975C9"/>
    <w:rsid w:val="008A0398"/>
    <w:rsid w:val="008A08EE"/>
    <w:rsid w:val="008A0A01"/>
    <w:rsid w:val="008A0DE0"/>
    <w:rsid w:val="008A1BC3"/>
    <w:rsid w:val="008A1F70"/>
    <w:rsid w:val="008A2093"/>
    <w:rsid w:val="008A2A0C"/>
    <w:rsid w:val="008A3F8E"/>
    <w:rsid w:val="008A406C"/>
    <w:rsid w:val="008A45CA"/>
    <w:rsid w:val="008A483B"/>
    <w:rsid w:val="008A4860"/>
    <w:rsid w:val="008A56D2"/>
    <w:rsid w:val="008B06C5"/>
    <w:rsid w:val="008B100A"/>
    <w:rsid w:val="008B13F1"/>
    <w:rsid w:val="008B1F42"/>
    <w:rsid w:val="008B23B3"/>
    <w:rsid w:val="008B2433"/>
    <w:rsid w:val="008B2566"/>
    <w:rsid w:val="008B2AE2"/>
    <w:rsid w:val="008B30EA"/>
    <w:rsid w:val="008B5590"/>
    <w:rsid w:val="008B5715"/>
    <w:rsid w:val="008B590C"/>
    <w:rsid w:val="008B6B85"/>
    <w:rsid w:val="008C0F8C"/>
    <w:rsid w:val="008C2A2F"/>
    <w:rsid w:val="008C31CE"/>
    <w:rsid w:val="008C334F"/>
    <w:rsid w:val="008C3D9D"/>
    <w:rsid w:val="008C4755"/>
    <w:rsid w:val="008C58B6"/>
    <w:rsid w:val="008C6F8F"/>
    <w:rsid w:val="008C7F3F"/>
    <w:rsid w:val="008D0264"/>
    <w:rsid w:val="008D1490"/>
    <w:rsid w:val="008D14DC"/>
    <w:rsid w:val="008D2D3C"/>
    <w:rsid w:val="008D3191"/>
    <w:rsid w:val="008D31F6"/>
    <w:rsid w:val="008D357E"/>
    <w:rsid w:val="008D3E14"/>
    <w:rsid w:val="008D44D1"/>
    <w:rsid w:val="008D4CEF"/>
    <w:rsid w:val="008D6C30"/>
    <w:rsid w:val="008D6F09"/>
    <w:rsid w:val="008D7360"/>
    <w:rsid w:val="008D7F37"/>
    <w:rsid w:val="008E1A87"/>
    <w:rsid w:val="008E1F99"/>
    <w:rsid w:val="008E2FA3"/>
    <w:rsid w:val="008E3C7B"/>
    <w:rsid w:val="008E4FE9"/>
    <w:rsid w:val="008E5007"/>
    <w:rsid w:val="008E5A7E"/>
    <w:rsid w:val="008E5E46"/>
    <w:rsid w:val="008E5ED9"/>
    <w:rsid w:val="008E699D"/>
    <w:rsid w:val="008E7B20"/>
    <w:rsid w:val="008E7F84"/>
    <w:rsid w:val="008F05C0"/>
    <w:rsid w:val="008F0D17"/>
    <w:rsid w:val="008F0ED2"/>
    <w:rsid w:val="008F1B78"/>
    <w:rsid w:val="008F22D2"/>
    <w:rsid w:val="008F27B9"/>
    <w:rsid w:val="008F2C1D"/>
    <w:rsid w:val="008F36CE"/>
    <w:rsid w:val="008F44CD"/>
    <w:rsid w:val="008F44DE"/>
    <w:rsid w:val="008F4965"/>
    <w:rsid w:val="008F4A23"/>
    <w:rsid w:val="008F4A88"/>
    <w:rsid w:val="008F59E0"/>
    <w:rsid w:val="008F61EC"/>
    <w:rsid w:val="008F7D65"/>
    <w:rsid w:val="008F7F92"/>
    <w:rsid w:val="0090225F"/>
    <w:rsid w:val="00902697"/>
    <w:rsid w:val="009035F2"/>
    <w:rsid w:val="00903B12"/>
    <w:rsid w:val="00903F3F"/>
    <w:rsid w:val="00904018"/>
    <w:rsid w:val="00904473"/>
    <w:rsid w:val="00904912"/>
    <w:rsid w:val="00905D4D"/>
    <w:rsid w:val="00906C25"/>
    <w:rsid w:val="009117C5"/>
    <w:rsid w:val="00911C93"/>
    <w:rsid w:val="00911E7D"/>
    <w:rsid w:val="00912369"/>
    <w:rsid w:val="00912372"/>
    <w:rsid w:val="00912404"/>
    <w:rsid w:val="00912766"/>
    <w:rsid w:val="00913BD0"/>
    <w:rsid w:val="0091480A"/>
    <w:rsid w:val="0091507B"/>
    <w:rsid w:val="009150A0"/>
    <w:rsid w:val="00915126"/>
    <w:rsid w:val="0091527B"/>
    <w:rsid w:val="00916192"/>
    <w:rsid w:val="009164A9"/>
    <w:rsid w:val="0091731A"/>
    <w:rsid w:val="00917C30"/>
    <w:rsid w:val="00917DB4"/>
    <w:rsid w:val="00920160"/>
    <w:rsid w:val="0092016C"/>
    <w:rsid w:val="0092017B"/>
    <w:rsid w:val="0092146B"/>
    <w:rsid w:val="00921D5D"/>
    <w:rsid w:val="009226C3"/>
    <w:rsid w:val="00922748"/>
    <w:rsid w:val="00922769"/>
    <w:rsid w:val="0092325F"/>
    <w:rsid w:val="009235DC"/>
    <w:rsid w:val="00924362"/>
    <w:rsid w:val="009248E3"/>
    <w:rsid w:val="0092504C"/>
    <w:rsid w:val="00927E57"/>
    <w:rsid w:val="0093038B"/>
    <w:rsid w:val="00930985"/>
    <w:rsid w:val="00930D04"/>
    <w:rsid w:val="009328B6"/>
    <w:rsid w:val="009331BA"/>
    <w:rsid w:val="0093325A"/>
    <w:rsid w:val="0093379C"/>
    <w:rsid w:val="00933F3B"/>
    <w:rsid w:val="00933F52"/>
    <w:rsid w:val="00934283"/>
    <w:rsid w:val="0093644B"/>
    <w:rsid w:val="00937D4E"/>
    <w:rsid w:val="00940515"/>
    <w:rsid w:val="00940A8D"/>
    <w:rsid w:val="00940FDE"/>
    <w:rsid w:val="00941044"/>
    <w:rsid w:val="00941602"/>
    <w:rsid w:val="00941676"/>
    <w:rsid w:val="00942A22"/>
    <w:rsid w:val="00942BB9"/>
    <w:rsid w:val="00943292"/>
    <w:rsid w:val="00943FF6"/>
    <w:rsid w:val="0094597E"/>
    <w:rsid w:val="00946457"/>
    <w:rsid w:val="00952464"/>
    <w:rsid w:val="009529BE"/>
    <w:rsid w:val="00952A60"/>
    <w:rsid w:val="00952D8E"/>
    <w:rsid w:val="00952FDB"/>
    <w:rsid w:val="009540B6"/>
    <w:rsid w:val="00954148"/>
    <w:rsid w:val="00954378"/>
    <w:rsid w:val="0095485F"/>
    <w:rsid w:val="00954D4E"/>
    <w:rsid w:val="00955423"/>
    <w:rsid w:val="00955786"/>
    <w:rsid w:val="00955D93"/>
    <w:rsid w:val="009579FC"/>
    <w:rsid w:val="009604A9"/>
    <w:rsid w:val="009613C5"/>
    <w:rsid w:val="00961E86"/>
    <w:rsid w:val="0096248E"/>
    <w:rsid w:val="009644AC"/>
    <w:rsid w:val="00964627"/>
    <w:rsid w:val="00964CEF"/>
    <w:rsid w:val="00965369"/>
    <w:rsid w:val="0096549C"/>
    <w:rsid w:val="009659E7"/>
    <w:rsid w:val="00965D18"/>
    <w:rsid w:val="00966069"/>
    <w:rsid w:val="0096691B"/>
    <w:rsid w:val="009700B2"/>
    <w:rsid w:val="009704FF"/>
    <w:rsid w:val="009710D8"/>
    <w:rsid w:val="0097177E"/>
    <w:rsid w:val="00971780"/>
    <w:rsid w:val="00971DFD"/>
    <w:rsid w:val="009720DB"/>
    <w:rsid w:val="00972CEB"/>
    <w:rsid w:val="0097311F"/>
    <w:rsid w:val="00974D17"/>
    <w:rsid w:val="009757BC"/>
    <w:rsid w:val="00975A34"/>
    <w:rsid w:val="0097600C"/>
    <w:rsid w:val="00976899"/>
    <w:rsid w:val="00977508"/>
    <w:rsid w:val="00977618"/>
    <w:rsid w:val="0098039D"/>
    <w:rsid w:val="00980998"/>
    <w:rsid w:val="00981CAD"/>
    <w:rsid w:val="00982532"/>
    <w:rsid w:val="00982B47"/>
    <w:rsid w:val="00982B51"/>
    <w:rsid w:val="00982C03"/>
    <w:rsid w:val="00983BC0"/>
    <w:rsid w:val="00985A98"/>
    <w:rsid w:val="00985AB1"/>
    <w:rsid w:val="009860F1"/>
    <w:rsid w:val="009862C3"/>
    <w:rsid w:val="009866A7"/>
    <w:rsid w:val="009869F1"/>
    <w:rsid w:val="00986A4A"/>
    <w:rsid w:val="00986AA2"/>
    <w:rsid w:val="00987086"/>
    <w:rsid w:val="00987376"/>
    <w:rsid w:val="0098767D"/>
    <w:rsid w:val="0098791D"/>
    <w:rsid w:val="00987A03"/>
    <w:rsid w:val="00987F4B"/>
    <w:rsid w:val="0099063F"/>
    <w:rsid w:val="00990FF8"/>
    <w:rsid w:val="009910D3"/>
    <w:rsid w:val="0099157F"/>
    <w:rsid w:val="00991692"/>
    <w:rsid w:val="00991E10"/>
    <w:rsid w:val="00991F9D"/>
    <w:rsid w:val="0099263C"/>
    <w:rsid w:val="00992A26"/>
    <w:rsid w:val="009933F6"/>
    <w:rsid w:val="009952EC"/>
    <w:rsid w:val="009955C9"/>
    <w:rsid w:val="00995EC8"/>
    <w:rsid w:val="0099672A"/>
    <w:rsid w:val="00996856"/>
    <w:rsid w:val="00997299"/>
    <w:rsid w:val="009A167A"/>
    <w:rsid w:val="009A22C6"/>
    <w:rsid w:val="009A2B08"/>
    <w:rsid w:val="009A2DEB"/>
    <w:rsid w:val="009A2EB7"/>
    <w:rsid w:val="009A3283"/>
    <w:rsid w:val="009A4762"/>
    <w:rsid w:val="009A4A08"/>
    <w:rsid w:val="009A54AA"/>
    <w:rsid w:val="009A57EA"/>
    <w:rsid w:val="009A5F02"/>
    <w:rsid w:val="009B076E"/>
    <w:rsid w:val="009B2350"/>
    <w:rsid w:val="009B273D"/>
    <w:rsid w:val="009B2CBE"/>
    <w:rsid w:val="009B3251"/>
    <w:rsid w:val="009B4ECF"/>
    <w:rsid w:val="009B617F"/>
    <w:rsid w:val="009C148E"/>
    <w:rsid w:val="009C2F5F"/>
    <w:rsid w:val="009C3DB9"/>
    <w:rsid w:val="009C453A"/>
    <w:rsid w:val="009C572B"/>
    <w:rsid w:val="009C65D6"/>
    <w:rsid w:val="009C6A77"/>
    <w:rsid w:val="009C6B57"/>
    <w:rsid w:val="009C78E7"/>
    <w:rsid w:val="009C7F6F"/>
    <w:rsid w:val="009C7FC2"/>
    <w:rsid w:val="009D01F7"/>
    <w:rsid w:val="009D0585"/>
    <w:rsid w:val="009D17D3"/>
    <w:rsid w:val="009D21BF"/>
    <w:rsid w:val="009D32F8"/>
    <w:rsid w:val="009D4FC3"/>
    <w:rsid w:val="009D6322"/>
    <w:rsid w:val="009D7754"/>
    <w:rsid w:val="009D791C"/>
    <w:rsid w:val="009D7CA9"/>
    <w:rsid w:val="009D7CBA"/>
    <w:rsid w:val="009D7DE4"/>
    <w:rsid w:val="009E08C3"/>
    <w:rsid w:val="009E0B19"/>
    <w:rsid w:val="009E0E8F"/>
    <w:rsid w:val="009E0F0D"/>
    <w:rsid w:val="009E1814"/>
    <w:rsid w:val="009E1BA1"/>
    <w:rsid w:val="009E209A"/>
    <w:rsid w:val="009E2BC2"/>
    <w:rsid w:val="009E33A3"/>
    <w:rsid w:val="009E491C"/>
    <w:rsid w:val="009E49B4"/>
    <w:rsid w:val="009E564A"/>
    <w:rsid w:val="009E6900"/>
    <w:rsid w:val="009E6AE8"/>
    <w:rsid w:val="009E6E4E"/>
    <w:rsid w:val="009F009E"/>
    <w:rsid w:val="009F0186"/>
    <w:rsid w:val="009F04DB"/>
    <w:rsid w:val="009F1DC8"/>
    <w:rsid w:val="009F229A"/>
    <w:rsid w:val="009F2C08"/>
    <w:rsid w:val="009F315E"/>
    <w:rsid w:val="009F51AC"/>
    <w:rsid w:val="009F5235"/>
    <w:rsid w:val="009F5905"/>
    <w:rsid w:val="009F675F"/>
    <w:rsid w:val="009F683C"/>
    <w:rsid w:val="009F6C61"/>
    <w:rsid w:val="009F7CE9"/>
    <w:rsid w:val="00A00AB5"/>
    <w:rsid w:val="00A01654"/>
    <w:rsid w:val="00A01F5F"/>
    <w:rsid w:val="00A0271E"/>
    <w:rsid w:val="00A02B74"/>
    <w:rsid w:val="00A02BFD"/>
    <w:rsid w:val="00A03082"/>
    <w:rsid w:val="00A038ED"/>
    <w:rsid w:val="00A03CCF"/>
    <w:rsid w:val="00A03CD2"/>
    <w:rsid w:val="00A04B6B"/>
    <w:rsid w:val="00A04C1D"/>
    <w:rsid w:val="00A054C3"/>
    <w:rsid w:val="00A05C5B"/>
    <w:rsid w:val="00A06BBF"/>
    <w:rsid w:val="00A07DD8"/>
    <w:rsid w:val="00A1039B"/>
    <w:rsid w:val="00A11091"/>
    <w:rsid w:val="00A11EC4"/>
    <w:rsid w:val="00A1311A"/>
    <w:rsid w:val="00A14120"/>
    <w:rsid w:val="00A15626"/>
    <w:rsid w:val="00A16FE1"/>
    <w:rsid w:val="00A21C99"/>
    <w:rsid w:val="00A2214E"/>
    <w:rsid w:val="00A228AA"/>
    <w:rsid w:val="00A2422B"/>
    <w:rsid w:val="00A2572D"/>
    <w:rsid w:val="00A25ACE"/>
    <w:rsid w:val="00A26646"/>
    <w:rsid w:val="00A30385"/>
    <w:rsid w:val="00A30FF5"/>
    <w:rsid w:val="00A318F7"/>
    <w:rsid w:val="00A32077"/>
    <w:rsid w:val="00A322D7"/>
    <w:rsid w:val="00A32612"/>
    <w:rsid w:val="00A32895"/>
    <w:rsid w:val="00A329F7"/>
    <w:rsid w:val="00A3376A"/>
    <w:rsid w:val="00A347F0"/>
    <w:rsid w:val="00A34802"/>
    <w:rsid w:val="00A35812"/>
    <w:rsid w:val="00A3598A"/>
    <w:rsid w:val="00A35C76"/>
    <w:rsid w:val="00A35D36"/>
    <w:rsid w:val="00A362F4"/>
    <w:rsid w:val="00A36D6F"/>
    <w:rsid w:val="00A378AB"/>
    <w:rsid w:val="00A37CB3"/>
    <w:rsid w:val="00A40AEE"/>
    <w:rsid w:val="00A4150D"/>
    <w:rsid w:val="00A4393E"/>
    <w:rsid w:val="00A464AB"/>
    <w:rsid w:val="00A47C3A"/>
    <w:rsid w:val="00A47F83"/>
    <w:rsid w:val="00A508ED"/>
    <w:rsid w:val="00A509A5"/>
    <w:rsid w:val="00A50AEF"/>
    <w:rsid w:val="00A52249"/>
    <w:rsid w:val="00A53E20"/>
    <w:rsid w:val="00A54C2F"/>
    <w:rsid w:val="00A55E10"/>
    <w:rsid w:val="00A56471"/>
    <w:rsid w:val="00A57D8F"/>
    <w:rsid w:val="00A57F61"/>
    <w:rsid w:val="00A60B48"/>
    <w:rsid w:val="00A60D92"/>
    <w:rsid w:val="00A60E54"/>
    <w:rsid w:val="00A619D1"/>
    <w:rsid w:val="00A62F56"/>
    <w:rsid w:val="00A63A8D"/>
    <w:rsid w:val="00A65948"/>
    <w:rsid w:val="00A66A11"/>
    <w:rsid w:val="00A66E73"/>
    <w:rsid w:val="00A67DF3"/>
    <w:rsid w:val="00A70843"/>
    <w:rsid w:val="00A70963"/>
    <w:rsid w:val="00A71306"/>
    <w:rsid w:val="00A71487"/>
    <w:rsid w:val="00A717A8"/>
    <w:rsid w:val="00A71B7D"/>
    <w:rsid w:val="00A727C8"/>
    <w:rsid w:val="00A73503"/>
    <w:rsid w:val="00A74894"/>
    <w:rsid w:val="00A75244"/>
    <w:rsid w:val="00A7560D"/>
    <w:rsid w:val="00A756C6"/>
    <w:rsid w:val="00A76856"/>
    <w:rsid w:val="00A80495"/>
    <w:rsid w:val="00A80D47"/>
    <w:rsid w:val="00A812AF"/>
    <w:rsid w:val="00A82601"/>
    <w:rsid w:val="00A82A40"/>
    <w:rsid w:val="00A82A58"/>
    <w:rsid w:val="00A8317E"/>
    <w:rsid w:val="00A83BA4"/>
    <w:rsid w:val="00A83E3B"/>
    <w:rsid w:val="00A83E7E"/>
    <w:rsid w:val="00A84159"/>
    <w:rsid w:val="00A84C73"/>
    <w:rsid w:val="00A85AE2"/>
    <w:rsid w:val="00A85B6B"/>
    <w:rsid w:val="00A85CC8"/>
    <w:rsid w:val="00A863FA"/>
    <w:rsid w:val="00A86519"/>
    <w:rsid w:val="00A86D0E"/>
    <w:rsid w:val="00A90E6D"/>
    <w:rsid w:val="00A9139A"/>
    <w:rsid w:val="00A91468"/>
    <w:rsid w:val="00A93637"/>
    <w:rsid w:val="00A93C4C"/>
    <w:rsid w:val="00A94F4F"/>
    <w:rsid w:val="00A95D21"/>
    <w:rsid w:val="00A95E1B"/>
    <w:rsid w:val="00A9686B"/>
    <w:rsid w:val="00A96C1B"/>
    <w:rsid w:val="00A97867"/>
    <w:rsid w:val="00A97D07"/>
    <w:rsid w:val="00AA028E"/>
    <w:rsid w:val="00AA0338"/>
    <w:rsid w:val="00AA0769"/>
    <w:rsid w:val="00AA0FEF"/>
    <w:rsid w:val="00AA2B7A"/>
    <w:rsid w:val="00AA2C39"/>
    <w:rsid w:val="00AA3789"/>
    <w:rsid w:val="00AA3E41"/>
    <w:rsid w:val="00AA550A"/>
    <w:rsid w:val="00AB1E1D"/>
    <w:rsid w:val="00AB1FA2"/>
    <w:rsid w:val="00AB27A8"/>
    <w:rsid w:val="00AB2F53"/>
    <w:rsid w:val="00AB3535"/>
    <w:rsid w:val="00AB388E"/>
    <w:rsid w:val="00AB3FE1"/>
    <w:rsid w:val="00AB4343"/>
    <w:rsid w:val="00AB45C5"/>
    <w:rsid w:val="00AB5199"/>
    <w:rsid w:val="00AB60B1"/>
    <w:rsid w:val="00AB6A88"/>
    <w:rsid w:val="00AB6C6C"/>
    <w:rsid w:val="00AB6F4F"/>
    <w:rsid w:val="00AB78BF"/>
    <w:rsid w:val="00AC00E9"/>
    <w:rsid w:val="00AC175E"/>
    <w:rsid w:val="00AC187E"/>
    <w:rsid w:val="00AC2775"/>
    <w:rsid w:val="00AC3EE9"/>
    <w:rsid w:val="00AC444E"/>
    <w:rsid w:val="00AC4F1D"/>
    <w:rsid w:val="00AC643E"/>
    <w:rsid w:val="00AC755E"/>
    <w:rsid w:val="00AC77E8"/>
    <w:rsid w:val="00AC7B1B"/>
    <w:rsid w:val="00AD043E"/>
    <w:rsid w:val="00AD0E7E"/>
    <w:rsid w:val="00AD2684"/>
    <w:rsid w:val="00AD27B4"/>
    <w:rsid w:val="00AD2ABF"/>
    <w:rsid w:val="00AD34CB"/>
    <w:rsid w:val="00AD39F9"/>
    <w:rsid w:val="00AD584E"/>
    <w:rsid w:val="00AD59F8"/>
    <w:rsid w:val="00AD5FA9"/>
    <w:rsid w:val="00AD64BE"/>
    <w:rsid w:val="00AD6576"/>
    <w:rsid w:val="00AD723B"/>
    <w:rsid w:val="00AD770D"/>
    <w:rsid w:val="00AE0F2A"/>
    <w:rsid w:val="00AE12B0"/>
    <w:rsid w:val="00AE188D"/>
    <w:rsid w:val="00AE2B4D"/>
    <w:rsid w:val="00AE4100"/>
    <w:rsid w:val="00AE555B"/>
    <w:rsid w:val="00AE5C30"/>
    <w:rsid w:val="00AE64C9"/>
    <w:rsid w:val="00AE684B"/>
    <w:rsid w:val="00AE70EF"/>
    <w:rsid w:val="00AE7886"/>
    <w:rsid w:val="00AE7E1C"/>
    <w:rsid w:val="00AF0C79"/>
    <w:rsid w:val="00AF11FB"/>
    <w:rsid w:val="00AF1AC3"/>
    <w:rsid w:val="00AF1F1A"/>
    <w:rsid w:val="00AF20CA"/>
    <w:rsid w:val="00AF23D1"/>
    <w:rsid w:val="00AF32E6"/>
    <w:rsid w:val="00AF3C11"/>
    <w:rsid w:val="00AF3E59"/>
    <w:rsid w:val="00AF41ED"/>
    <w:rsid w:val="00AF4219"/>
    <w:rsid w:val="00AF5714"/>
    <w:rsid w:val="00AF5E5A"/>
    <w:rsid w:val="00AF6761"/>
    <w:rsid w:val="00AF68D5"/>
    <w:rsid w:val="00AF75BD"/>
    <w:rsid w:val="00AF7C74"/>
    <w:rsid w:val="00B00300"/>
    <w:rsid w:val="00B004CB"/>
    <w:rsid w:val="00B00662"/>
    <w:rsid w:val="00B00FCF"/>
    <w:rsid w:val="00B0103B"/>
    <w:rsid w:val="00B017E5"/>
    <w:rsid w:val="00B0269C"/>
    <w:rsid w:val="00B02821"/>
    <w:rsid w:val="00B03ECF"/>
    <w:rsid w:val="00B0465C"/>
    <w:rsid w:val="00B06002"/>
    <w:rsid w:val="00B064BD"/>
    <w:rsid w:val="00B06872"/>
    <w:rsid w:val="00B07FAD"/>
    <w:rsid w:val="00B103C0"/>
    <w:rsid w:val="00B11BC0"/>
    <w:rsid w:val="00B13DBA"/>
    <w:rsid w:val="00B142A6"/>
    <w:rsid w:val="00B14EF5"/>
    <w:rsid w:val="00B15328"/>
    <w:rsid w:val="00B159A8"/>
    <w:rsid w:val="00B16723"/>
    <w:rsid w:val="00B16D8A"/>
    <w:rsid w:val="00B2086B"/>
    <w:rsid w:val="00B21D14"/>
    <w:rsid w:val="00B21F85"/>
    <w:rsid w:val="00B22F79"/>
    <w:rsid w:val="00B241BD"/>
    <w:rsid w:val="00B24B35"/>
    <w:rsid w:val="00B24D1D"/>
    <w:rsid w:val="00B25D95"/>
    <w:rsid w:val="00B263DE"/>
    <w:rsid w:val="00B264E6"/>
    <w:rsid w:val="00B27706"/>
    <w:rsid w:val="00B3014C"/>
    <w:rsid w:val="00B30966"/>
    <w:rsid w:val="00B313B6"/>
    <w:rsid w:val="00B31960"/>
    <w:rsid w:val="00B31972"/>
    <w:rsid w:val="00B3253A"/>
    <w:rsid w:val="00B327E7"/>
    <w:rsid w:val="00B34582"/>
    <w:rsid w:val="00B34E8C"/>
    <w:rsid w:val="00B3649F"/>
    <w:rsid w:val="00B41972"/>
    <w:rsid w:val="00B41E81"/>
    <w:rsid w:val="00B42145"/>
    <w:rsid w:val="00B42F5D"/>
    <w:rsid w:val="00B42FC6"/>
    <w:rsid w:val="00B43097"/>
    <w:rsid w:val="00B43184"/>
    <w:rsid w:val="00B44ED9"/>
    <w:rsid w:val="00B45127"/>
    <w:rsid w:val="00B455FE"/>
    <w:rsid w:val="00B45779"/>
    <w:rsid w:val="00B4695C"/>
    <w:rsid w:val="00B46BB0"/>
    <w:rsid w:val="00B47148"/>
    <w:rsid w:val="00B4733D"/>
    <w:rsid w:val="00B47C1D"/>
    <w:rsid w:val="00B50DF8"/>
    <w:rsid w:val="00B5194C"/>
    <w:rsid w:val="00B51D0D"/>
    <w:rsid w:val="00B526CA"/>
    <w:rsid w:val="00B5281A"/>
    <w:rsid w:val="00B53840"/>
    <w:rsid w:val="00B53AA5"/>
    <w:rsid w:val="00B53B32"/>
    <w:rsid w:val="00B54502"/>
    <w:rsid w:val="00B54D19"/>
    <w:rsid w:val="00B5525F"/>
    <w:rsid w:val="00B5544F"/>
    <w:rsid w:val="00B56133"/>
    <w:rsid w:val="00B56B56"/>
    <w:rsid w:val="00B56B63"/>
    <w:rsid w:val="00B57534"/>
    <w:rsid w:val="00B6066D"/>
    <w:rsid w:val="00B6075E"/>
    <w:rsid w:val="00B612F2"/>
    <w:rsid w:val="00B6184E"/>
    <w:rsid w:val="00B61DAF"/>
    <w:rsid w:val="00B63826"/>
    <w:rsid w:val="00B63BD8"/>
    <w:rsid w:val="00B64001"/>
    <w:rsid w:val="00B6417C"/>
    <w:rsid w:val="00B6437F"/>
    <w:rsid w:val="00B672EE"/>
    <w:rsid w:val="00B673F3"/>
    <w:rsid w:val="00B675E7"/>
    <w:rsid w:val="00B703B7"/>
    <w:rsid w:val="00B70489"/>
    <w:rsid w:val="00B7081A"/>
    <w:rsid w:val="00B7199D"/>
    <w:rsid w:val="00B71FD5"/>
    <w:rsid w:val="00B7214C"/>
    <w:rsid w:val="00B72CA5"/>
    <w:rsid w:val="00B730E0"/>
    <w:rsid w:val="00B7349E"/>
    <w:rsid w:val="00B73F40"/>
    <w:rsid w:val="00B75FA0"/>
    <w:rsid w:val="00B76294"/>
    <w:rsid w:val="00B76417"/>
    <w:rsid w:val="00B76E4A"/>
    <w:rsid w:val="00B773BB"/>
    <w:rsid w:val="00B80740"/>
    <w:rsid w:val="00B808FA"/>
    <w:rsid w:val="00B80C2A"/>
    <w:rsid w:val="00B81657"/>
    <w:rsid w:val="00B827D7"/>
    <w:rsid w:val="00B82C9C"/>
    <w:rsid w:val="00B836FF"/>
    <w:rsid w:val="00B83821"/>
    <w:rsid w:val="00B84124"/>
    <w:rsid w:val="00B84C6D"/>
    <w:rsid w:val="00B85204"/>
    <w:rsid w:val="00B8563B"/>
    <w:rsid w:val="00B857EE"/>
    <w:rsid w:val="00B870D7"/>
    <w:rsid w:val="00B8773D"/>
    <w:rsid w:val="00B9007C"/>
    <w:rsid w:val="00B90B4C"/>
    <w:rsid w:val="00B91DF9"/>
    <w:rsid w:val="00B9295E"/>
    <w:rsid w:val="00B929AF"/>
    <w:rsid w:val="00B93D17"/>
    <w:rsid w:val="00B949B5"/>
    <w:rsid w:val="00B95670"/>
    <w:rsid w:val="00B9631B"/>
    <w:rsid w:val="00B96DCB"/>
    <w:rsid w:val="00BA0343"/>
    <w:rsid w:val="00BA0482"/>
    <w:rsid w:val="00BA0AF9"/>
    <w:rsid w:val="00BA16BA"/>
    <w:rsid w:val="00BA26DF"/>
    <w:rsid w:val="00BA38DB"/>
    <w:rsid w:val="00BA3BAB"/>
    <w:rsid w:val="00BA41D4"/>
    <w:rsid w:val="00BA4F02"/>
    <w:rsid w:val="00BA5378"/>
    <w:rsid w:val="00BA5437"/>
    <w:rsid w:val="00BA57BE"/>
    <w:rsid w:val="00BA6752"/>
    <w:rsid w:val="00BA69DD"/>
    <w:rsid w:val="00BA6D7E"/>
    <w:rsid w:val="00BA7EB3"/>
    <w:rsid w:val="00BA7FF0"/>
    <w:rsid w:val="00BB0516"/>
    <w:rsid w:val="00BB0823"/>
    <w:rsid w:val="00BB1B94"/>
    <w:rsid w:val="00BB40BA"/>
    <w:rsid w:val="00BB54C5"/>
    <w:rsid w:val="00BB63ED"/>
    <w:rsid w:val="00BB74B0"/>
    <w:rsid w:val="00BB761E"/>
    <w:rsid w:val="00BC06B3"/>
    <w:rsid w:val="00BC06E5"/>
    <w:rsid w:val="00BC0BC9"/>
    <w:rsid w:val="00BC0C23"/>
    <w:rsid w:val="00BC0D60"/>
    <w:rsid w:val="00BC0F75"/>
    <w:rsid w:val="00BC20F4"/>
    <w:rsid w:val="00BC378F"/>
    <w:rsid w:val="00BC5759"/>
    <w:rsid w:val="00BC5E2B"/>
    <w:rsid w:val="00BC6280"/>
    <w:rsid w:val="00BC6341"/>
    <w:rsid w:val="00BC6762"/>
    <w:rsid w:val="00BC6AA7"/>
    <w:rsid w:val="00BC6FF4"/>
    <w:rsid w:val="00BC72DC"/>
    <w:rsid w:val="00BC74FD"/>
    <w:rsid w:val="00BC77C3"/>
    <w:rsid w:val="00BC77D2"/>
    <w:rsid w:val="00BC7CEC"/>
    <w:rsid w:val="00BD43F5"/>
    <w:rsid w:val="00BD5BC1"/>
    <w:rsid w:val="00BD5FB0"/>
    <w:rsid w:val="00BD67F7"/>
    <w:rsid w:val="00BD7C62"/>
    <w:rsid w:val="00BD7E37"/>
    <w:rsid w:val="00BE09D3"/>
    <w:rsid w:val="00BE0EB6"/>
    <w:rsid w:val="00BE4197"/>
    <w:rsid w:val="00BE471D"/>
    <w:rsid w:val="00BE48CC"/>
    <w:rsid w:val="00BE4BCE"/>
    <w:rsid w:val="00BE4CEF"/>
    <w:rsid w:val="00BE537C"/>
    <w:rsid w:val="00BE632C"/>
    <w:rsid w:val="00BE6627"/>
    <w:rsid w:val="00BE67B6"/>
    <w:rsid w:val="00BE6F8B"/>
    <w:rsid w:val="00BE7E07"/>
    <w:rsid w:val="00BF07C4"/>
    <w:rsid w:val="00BF109A"/>
    <w:rsid w:val="00BF18FE"/>
    <w:rsid w:val="00BF2F05"/>
    <w:rsid w:val="00BF2F2D"/>
    <w:rsid w:val="00BF3DDD"/>
    <w:rsid w:val="00BF4033"/>
    <w:rsid w:val="00BF4CF1"/>
    <w:rsid w:val="00BF4D1C"/>
    <w:rsid w:val="00BF5947"/>
    <w:rsid w:val="00BF5F74"/>
    <w:rsid w:val="00BF64FB"/>
    <w:rsid w:val="00BF671E"/>
    <w:rsid w:val="00BF69B0"/>
    <w:rsid w:val="00BF7239"/>
    <w:rsid w:val="00C00DC1"/>
    <w:rsid w:val="00C017D2"/>
    <w:rsid w:val="00C01E49"/>
    <w:rsid w:val="00C026E6"/>
    <w:rsid w:val="00C02A6F"/>
    <w:rsid w:val="00C02CD4"/>
    <w:rsid w:val="00C038C5"/>
    <w:rsid w:val="00C03E41"/>
    <w:rsid w:val="00C046A4"/>
    <w:rsid w:val="00C04FD7"/>
    <w:rsid w:val="00C05637"/>
    <w:rsid w:val="00C05874"/>
    <w:rsid w:val="00C06118"/>
    <w:rsid w:val="00C07571"/>
    <w:rsid w:val="00C07C07"/>
    <w:rsid w:val="00C07D4F"/>
    <w:rsid w:val="00C07DC2"/>
    <w:rsid w:val="00C104A0"/>
    <w:rsid w:val="00C10E45"/>
    <w:rsid w:val="00C11817"/>
    <w:rsid w:val="00C11C2F"/>
    <w:rsid w:val="00C12D2A"/>
    <w:rsid w:val="00C13C90"/>
    <w:rsid w:val="00C13FD2"/>
    <w:rsid w:val="00C15793"/>
    <w:rsid w:val="00C16D93"/>
    <w:rsid w:val="00C17FFC"/>
    <w:rsid w:val="00C208B6"/>
    <w:rsid w:val="00C208C8"/>
    <w:rsid w:val="00C20D32"/>
    <w:rsid w:val="00C22177"/>
    <w:rsid w:val="00C237F7"/>
    <w:rsid w:val="00C2396C"/>
    <w:rsid w:val="00C23A1F"/>
    <w:rsid w:val="00C23CC0"/>
    <w:rsid w:val="00C24FE6"/>
    <w:rsid w:val="00C25C6D"/>
    <w:rsid w:val="00C25D2B"/>
    <w:rsid w:val="00C2761F"/>
    <w:rsid w:val="00C32CEB"/>
    <w:rsid w:val="00C3341E"/>
    <w:rsid w:val="00C33D61"/>
    <w:rsid w:val="00C35405"/>
    <w:rsid w:val="00C3565C"/>
    <w:rsid w:val="00C35C41"/>
    <w:rsid w:val="00C35FDF"/>
    <w:rsid w:val="00C361FB"/>
    <w:rsid w:val="00C362F5"/>
    <w:rsid w:val="00C365B4"/>
    <w:rsid w:val="00C36932"/>
    <w:rsid w:val="00C36F1F"/>
    <w:rsid w:val="00C4054E"/>
    <w:rsid w:val="00C406C2"/>
    <w:rsid w:val="00C41B03"/>
    <w:rsid w:val="00C41E84"/>
    <w:rsid w:val="00C430A3"/>
    <w:rsid w:val="00C442EE"/>
    <w:rsid w:val="00C4477F"/>
    <w:rsid w:val="00C44A40"/>
    <w:rsid w:val="00C44D66"/>
    <w:rsid w:val="00C45A7B"/>
    <w:rsid w:val="00C46052"/>
    <w:rsid w:val="00C46378"/>
    <w:rsid w:val="00C464F3"/>
    <w:rsid w:val="00C46B74"/>
    <w:rsid w:val="00C47725"/>
    <w:rsid w:val="00C477B1"/>
    <w:rsid w:val="00C47EAF"/>
    <w:rsid w:val="00C50357"/>
    <w:rsid w:val="00C50389"/>
    <w:rsid w:val="00C506C4"/>
    <w:rsid w:val="00C50DC1"/>
    <w:rsid w:val="00C50F86"/>
    <w:rsid w:val="00C51461"/>
    <w:rsid w:val="00C517A7"/>
    <w:rsid w:val="00C51A9B"/>
    <w:rsid w:val="00C51E37"/>
    <w:rsid w:val="00C5286D"/>
    <w:rsid w:val="00C54482"/>
    <w:rsid w:val="00C55BB8"/>
    <w:rsid w:val="00C56028"/>
    <w:rsid w:val="00C56244"/>
    <w:rsid w:val="00C576B0"/>
    <w:rsid w:val="00C577C7"/>
    <w:rsid w:val="00C579D1"/>
    <w:rsid w:val="00C60A62"/>
    <w:rsid w:val="00C6171B"/>
    <w:rsid w:val="00C61D45"/>
    <w:rsid w:val="00C621EF"/>
    <w:rsid w:val="00C62BD4"/>
    <w:rsid w:val="00C64674"/>
    <w:rsid w:val="00C65E77"/>
    <w:rsid w:val="00C66F75"/>
    <w:rsid w:val="00C67B80"/>
    <w:rsid w:val="00C70A0F"/>
    <w:rsid w:val="00C722E2"/>
    <w:rsid w:val="00C73430"/>
    <w:rsid w:val="00C73C1B"/>
    <w:rsid w:val="00C74B49"/>
    <w:rsid w:val="00C75485"/>
    <w:rsid w:val="00C75A45"/>
    <w:rsid w:val="00C75E22"/>
    <w:rsid w:val="00C76084"/>
    <w:rsid w:val="00C764B3"/>
    <w:rsid w:val="00C76B32"/>
    <w:rsid w:val="00C8061E"/>
    <w:rsid w:val="00C806D7"/>
    <w:rsid w:val="00C808EE"/>
    <w:rsid w:val="00C80B62"/>
    <w:rsid w:val="00C811BF"/>
    <w:rsid w:val="00C82072"/>
    <w:rsid w:val="00C82433"/>
    <w:rsid w:val="00C83C09"/>
    <w:rsid w:val="00C85519"/>
    <w:rsid w:val="00C86026"/>
    <w:rsid w:val="00C8657D"/>
    <w:rsid w:val="00C86D26"/>
    <w:rsid w:val="00C8774B"/>
    <w:rsid w:val="00C878BA"/>
    <w:rsid w:val="00C9027A"/>
    <w:rsid w:val="00C90311"/>
    <w:rsid w:val="00C90797"/>
    <w:rsid w:val="00C909EF"/>
    <w:rsid w:val="00C90F39"/>
    <w:rsid w:val="00C93535"/>
    <w:rsid w:val="00C93C87"/>
    <w:rsid w:val="00C96229"/>
    <w:rsid w:val="00C971BD"/>
    <w:rsid w:val="00C971DA"/>
    <w:rsid w:val="00CA0814"/>
    <w:rsid w:val="00CA178C"/>
    <w:rsid w:val="00CA28CE"/>
    <w:rsid w:val="00CA2E5A"/>
    <w:rsid w:val="00CA3110"/>
    <w:rsid w:val="00CA43C6"/>
    <w:rsid w:val="00CA4C88"/>
    <w:rsid w:val="00CA599D"/>
    <w:rsid w:val="00CA64FC"/>
    <w:rsid w:val="00CA67E0"/>
    <w:rsid w:val="00CA6B15"/>
    <w:rsid w:val="00CA7530"/>
    <w:rsid w:val="00CB07A3"/>
    <w:rsid w:val="00CB0884"/>
    <w:rsid w:val="00CB16AB"/>
    <w:rsid w:val="00CB1F10"/>
    <w:rsid w:val="00CB2C89"/>
    <w:rsid w:val="00CB2D32"/>
    <w:rsid w:val="00CB2F51"/>
    <w:rsid w:val="00CB3924"/>
    <w:rsid w:val="00CB49AD"/>
    <w:rsid w:val="00CB6057"/>
    <w:rsid w:val="00CB6FAF"/>
    <w:rsid w:val="00CB712F"/>
    <w:rsid w:val="00CB7C23"/>
    <w:rsid w:val="00CB7CB3"/>
    <w:rsid w:val="00CC07C9"/>
    <w:rsid w:val="00CC0A06"/>
    <w:rsid w:val="00CC111D"/>
    <w:rsid w:val="00CC12F2"/>
    <w:rsid w:val="00CC2315"/>
    <w:rsid w:val="00CC2C3E"/>
    <w:rsid w:val="00CC50FC"/>
    <w:rsid w:val="00CC56F9"/>
    <w:rsid w:val="00CC5DBC"/>
    <w:rsid w:val="00CC5F68"/>
    <w:rsid w:val="00CC76D9"/>
    <w:rsid w:val="00CD03FD"/>
    <w:rsid w:val="00CD068A"/>
    <w:rsid w:val="00CD08E0"/>
    <w:rsid w:val="00CD13A9"/>
    <w:rsid w:val="00CD1DB1"/>
    <w:rsid w:val="00CD3157"/>
    <w:rsid w:val="00CD31FB"/>
    <w:rsid w:val="00CD4422"/>
    <w:rsid w:val="00CD4A8C"/>
    <w:rsid w:val="00CD52FE"/>
    <w:rsid w:val="00CD65E8"/>
    <w:rsid w:val="00CD6C4F"/>
    <w:rsid w:val="00CD7517"/>
    <w:rsid w:val="00CD7727"/>
    <w:rsid w:val="00CD798C"/>
    <w:rsid w:val="00CD7CF0"/>
    <w:rsid w:val="00CE0B67"/>
    <w:rsid w:val="00CE1011"/>
    <w:rsid w:val="00CE1CBA"/>
    <w:rsid w:val="00CE2CE0"/>
    <w:rsid w:val="00CE39DF"/>
    <w:rsid w:val="00CE3DE2"/>
    <w:rsid w:val="00CE510A"/>
    <w:rsid w:val="00CE64E8"/>
    <w:rsid w:val="00CE685D"/>
    <w:rsid w:val="00CE69B7"/>
    <w:rsid w:val="00CE6D50"/>
    <w:rsid w:val="00CF035F"/>
    <w:rsid w:val="00CF06D4"/>
    <w:rsid w:val="00CF172C"/>
    <w:rsid w:val="00CF2375"/>
    <w:rsid w:val="00CF2CFC"/>
    <w:rsid w:val="00CF3058"/>
    <w:rsid w:val="00CF49F2"/>
    <w:rsid w:val="00CF651C"/>
    <w:rsid w:val="00CF711A"/>
    <w:rsid w:val="00CF7A6F"/>
    <w:rsid w:val="00D0024A"/>
    <w:rsid w:val="00D0034E"/>
    <w:rsid w:val="00D004C7"/>
    <w:rsid w:val="00D009EB"/>
    <w:rsid w:val="00D012F6"/>
    <w:rsid w:val="00D01BDD"/>
    <w:rsid w:val="00D01D07"/>
    <w:rsid w:val="00D02502"/>
    <w:rsid w:val="00D03618"/>
    <w:rsid w:val="00D03D85"/>
    <w:rsid w:val="00D04E5C"/>
    <w:rsid w:val="00D05573"/>
    <w:rsid w:val="00D05B63"/>
    <w:rsid w:val="00D0636D"/>
    <w:rsid w:val="00D0667C"/>
    <w:rsid w:val="00D0772D"/>
    <w:rsid w:val="00D07E00"/>
    <w:rsid w:val="00D100A2"/>
    <w:rsid w:val="00D100D6"/>
    <w:rsid w:val="00D10734"/>
    <w:rsid w:val="00D10C44"/>
    <w:rsid w:val="00D11111"/>
    <w:rsid w:val="00D11251"/>
    <w:rsid w:val="00D11B31"/>
    <w:rsid w:val="00D11D3E"/>
    <w:rsid w:val="00D12409"/>
    <w:rsid w:val="00D12AB1"/>
    <w:rsid w:val="00D13C44"/>
    <w:rsid w:val="00D14E4D"/>
    <w:rsid w:val="00D15072"/>
    <w:rsid w:val="00D150DA"/>
    <w:rsid w:val="00D1529C"/>
    <w:rsid w:val="00D154B2"/>
    <w:rsid w:val="00D16BC1"/>
    <w:rsid w:val="00D16E0B"/>
    <w:rsid w:val="00D16ED8"/>
    <w:rsid w:val="00D16FF3"/>
    <w:rsid w:val="00D206D8"/>
    <w:rsid w:val="00D20E76"/>
    <w:rsid w:val="00D21026"/>
    <w:rsid w:val="00D21641"/>
    <w:rsid w:val="00D216E6"/>
    <w:rsid w:val="00D22174"/>
    <w:rsid w:val="00D22257"/>
    <w:rsid w:val="00D22642"/>
    <w:rsid w:val="00D2655B"/>
    <w:rsid w:val="00D300D5"/>
    <w:rsid w:val="00D316B7"/>
    <w:rsid w:val="00D31A6F"/>
    <w:rsid w:val="00D32546"/>
    <w:rsid w:val="00D3407A"/>
    <w:rsid w:val="00D345BD"/>
    <w:rsid w:val="00D35C30"/>
    <w:rsid w:val="00D36E20"/>
    <w:rsid w:val="00D37470"/>
    <w:rsid w:val="00D37706"/>
    <w:rsid w:val="00D406B8"/>
    <w:rsid w:val="00D414DB"/>
    <w:rsid w:val="00D422C1"/>
    <w:rsid w:val="00D42784"/>
    <w:rsid w:val="00D436C0"/>
    <w:rsid w:val="00D43991"/>
    <w:rsid w:val="00D44222"/>
    <w:rsid w:val="00D46C73"/>
    <w:rsid w:val="00D47016"/>
    <w:rsid w:val="00D4744C"/>
    <w:rsid w:val="00D51B6C"/>
    <w:rsid w:val="00D52D15"/>
    <w:rsid w:val="00D52E93"/>
    <w:rsid w:val="00D538CD"/>
    <w:rsid w:val="00D54C56"/>
    <w:rsid w:val="00D55EA5"/>
    <w:rsid w:val="00D5626C"/>
    <w:rsid w:val="00D56A5E"/>
    <w:rsid w:val="00D571F9"/>
    <w:rsid w:val="00D6006E"/>
    <w:rsid w:val="00D60EFE"/>
    <w:rsid w:val="00D611F0"/>
    <w:rsid w:val="00D62B27"/>
    <w:rsid w:val="00D62BA2"/>
    <w:rsid w:val="00D62CA2"/>
    <w:rsid w:val="00D63883"/>
    <w:rsid w:val="00D63AF4"/>
    <w:rsid w:val="00D64601"/>
    <w:rsid w:val="00D66780"/>
    <w:rsid w:val="00D70F4F"/>
    <w:rsid w:val="00D7114C"/>
    <w:rsid w:val="00D71AF9"/>
    <w:rsid w:val="00D72653"/>
    <w:rsid w:val="00D72C60"/>
    <w:rsid w:val="00D73898"/>
    <w:rsid w:val="00D73F27"/>
    <w:rsid w:val="00D73FA0"/>
    <w:rsid w:val="00D74BA3"/>
    <w:rsid w:val="00D7578B"/>
    <w:rsid w:val="00D7768E"/>
    <w:rsid w:val="00D77F61"/>
    <w:rsid w:val="00D8061E"/>
    <w:rsid w:val="00D80DF0"/>
    <w:rsid w:val="00D8152C"/>
    <w:rsid w:val="00D8171A"/>
    <w:rsid w:val="00D818B9"/>
    <w:rsid w:val="00D82000"/>
    <w:rsid w:val="00D8291A"/>
    <w:rsid w:val="00D83297"/>
    <w:rsid w:val="00D83A05"/>
    <w:rsid w:val="00D8462D"/>
    <w:rsid w:val="00D84DC3"/>
    <w:rsid w:val="00D84E69"/>
    <w:rsid w:val="00D85421"/>
    <w:rsid w:val="00D85AAF"/>
    <w:rsid w:val="00D8632F"/>
    <w:rsid w:val="00D865E4"/>
    <w:rsid w:val="00D86BEF"/>
    <w:rsid w:val="00D87245"/>
    <w:rsid w:val="00D87EBC"/>
    <w:rsid w:val="00D900A1"/>
    <w:rsid w:val="00D9083A"/>
    <w:rsid w:val="00D90C35"/>
    <w:rsid w:val="00D9124D"/>
    <w:rsid w:val="00D93377"/>
    <w:rsid w:val="00D9439C"/>
    <w:rsid w:val="00D9492C"/>
    <w:rsid w:val="00D964B4"/>
    <w:rsid w:val="00D96B1C"/>
    <w:rsid w:val="00D97542"/>
    <w:rsid w:val="00DA11A3"/>
    <w:rsid w:val="00DA2512"/>
    <w:rsid w:val="00DA2554"/>
    <w:rsid w:val="00DA3B87"/>
    <w:rsid w:val="00DA41CF"/>
    <w:rsid w:val="00DA44FA"/>
    <w:rsid w:val="00DA4F49"/>
    <w:rsid w:val="00DA5021"/>
    <w:rsid w:val="00DA592C"/>
    <w:rsid w:val="00DA6156"/>
    <w:rsid w:val="00DB02A4"/>
    <w:rsid w:val="00DB110C"/>
    <w:rsid w:val="00DB14A8"/>
    <w:rsid w:val="00DB2588"/>
    <w:rsid w:val="00DB4494"/>
    <w:rsid w:val="00DB458C"/>
    <w:rsid w:val="00DB5278"/>
    <w:rsid w:val="00DB5FBF"/>
    <w:rsid w:val="00DC1C43"/>
    <w:rsid w:val="00DC3A61"/>
    <w:rsid w:val="00DC4301"/>
    <w:rsid w:val="00DC47B2"/>
    <w:rsid w:val="00DC4BA1"/>
    <w:rsid w:val="00DC5513"/>
    <w:rsid w:val="00DC58CC"/>
    <w:rsid w:val="00DC6275"/>
    <w:rsid w:val="00DC7977"/>
    <w:rsid w:val="00DD02A8"/>
    <w:rsid w:val="00DD0B2F"/>
    <w:rsid w:val="00DD137E"/>
    <w:rsid w:val="00DD1ABC"/>
    <w:rsid w:val="00DD1EE1"/>
    <w:rsid w:val="00DD305E"/>
    <w:rsid w:val="00DD32AC"/>
    <w:rsid w:val="00DD3835"/>
    <w:rsid w:val="00DD51A6"/>
    <w:rsid w:val="00DD6438"/>
    <w:rsid w:val="00DD6FB7"/>
    <w:rsid w:val="00DD70D8"/>
    <w:rsid w:val="00DD743D"/>
    <w:rsid w:val="00DE056C"/>
    <w:rsid w:val="00DE09D3"/>
    <w:rsid w:val="00DE0C98"/>
    <w:rsid w:val="00DE2663"/>
    <w:rsid w:val="00DE2B34"/>
    <w:rsid w:val="00DE34E3"/>
    <w:rsid w:val="00DE39DA"/>
    <w:rsid w:val="00DE3CAD"/>
    <w:rsid w:val="00DE4B7C"/>
    <w:rsid w:val="00DE53D8"/>
    <w:rsid w:val="00DE6A43"/>
    <w:rsid w:val="00DE7AA8"/>
    <w:rsid w:val="00DE7BF6"/>
    <w:rsid w:val="00DE7CFF"/>
    <w:rsid w:val="00DF0E43"/>
    <w:rsid w:val="00DF0EF9"/>
    <w:rsid w:val="00DF1A7E"/>
    <w:rsid w:val="00DF3371"/>
    <w:rsid w:val="00DF630B"/>
    <w:rsid w:val="00DF64DF"/>
    <w:rsid w:val="00E00AC6"/>
    <w:rsid w:val="00E00D5B"/>
    <w:rsid w:val="00E020A3"/>
    <w:rsid w:val="00E02338"/>
    <w:rsid w:val="00E0235B"/>
    <w:rsid w:val="00E0239A"/>
    <w:rsid w:val="00E02DF9"/>
    <w:rsid w:val="00E02E47"/>
    <w:rsid w:val="00E0396C"/>
    <w:rsid w:val="00E0419F"/>
    <w:rsid w:val="00E04BE3"/>
    <w:rsid w:val="00E05E56"/>
    <w:rsid w:val="00E05E63"/>
    <w:rsid w:val="00E069EF"/>
    <w:rsid w:val="00E06B02"/>
    <w:rsid w:val="00E06D4B"/>
    <w:rsid w:val="00E06E65"/>
    <w:rsid w:val="00E06F7E"/>
    <w:rsid w:val="00E10A9A"/>
    <w:rsid w:val="00E112CB"/>
    <w:rsid w:val="00E1340F"/>
    <w:rsid w:val="00E13560"/>
    <w:rsid w:val="00E14BAE"/>
    <w:rsid w:val="00E172CB"/>
    <w:rsid w:val="00E174BC"/>
    <w:rsid w:val="00E17677"/>
    <w:rsid w:val="00E200CF"/>
    <w:rsid w:val="00E21261"/>
    <w:rsid w:val="00E21D18"/>
    <w:rsid w:val="00E22357"/>
    <w:rsid w:val="00E24A9E"/>
    <w:rsid w:val="00E25526"/>
    <w:rsid w:val="00E255E1"/>
    <w:rsid w:val="00E25904"/>
    <w:rsid w:val="00E25DA4"/>
    <w:rsid w:val="00E26F74"/>
    <w:rsid w:val="00E27052"/>
    <w:rsid w:val="00E27239"/>
    <w:rsid w:val="00E275F3"/>
    <w:rsid w:val="00E27D61"/>
    <w:rsid w:val="00E30ACA"/>
    <w:rsid w:val="00E30E8D"/>
    <w:rsid w:val="00E30F85"/>
    <w:rsid w:val="00E31D05"/>
    <w:rsid w:val="00E332C5"/>
    <w:rsid w:val="00E343E3"/>
    <w:rsid w:val="00E3443B"/>
    <w:rsid w:val="00E34DA8"/>
    <w:rsid w:val="00E35598"/>
    <w:rsid w:val="00E35F87"/>
    <w:rsid w:val="00E363CA"/>
    <w:rsid w:val="00E36DFC"/>
    <w:rsid w:val="00E36E8F"/>
    <w:rsid w:val="00E36F56"/>
    <w:rsid w:val="00E40081"/>
    <w:rsid w:val="00E40823"/>
    <w:rsid w:val="00E4089E"/>
    <w:rsid w:val="00E40F64"/>
    <w:rsid w:val="00E42C21"/>
    <w:rsid w:val="00E43171"/>
    <w:rsid w:val="00E434B2"/>
    <w:rsid w:val="00E437CD"/>
    <w:rsid w:val="00E46B38"/>
    <w:rsid w:val="00E473D0"/>
    <w:rsid w:val="00E50534"/>
    <w:rsid w:val="00E5287C"/>
    <w:rsid w:val="00E5375C"/>
    <w:rsid w:val="00E5627D"/>
    <w:rsid w:val="00E600C1"/>
    <w:rsid w:val="00E6072B"/>
    <w:rsid w:val="00E60C13"/>
    <w:rsid w:val="00E614DB"/>
    <w:rsid w:val="00E62203"/>
    <w:rsid w:val="00E62FDC"/>
    <w:rsid w:val="00E631CF"/>
    <w:rsid w:val="00E63603"/>
    <w:rsid w:val="00E636D8"/>
    <w:rsid w:val="00E63A6A"/>
    <w:rsid w:val="00E63E75"/>
    <w:rsid w:val="00E6504D"/>
    <w:rsid w:val="00E659CF"/>
    <w:rsid w:val="00E65DCA"/>
    <w:rsid w:val="00E67C6C"/>
    <w:rsid w:val="00E70B50"/>
    <w:rsid w:val="00E70D56"/>
    <w:rsid w:val="00E72EA4"/>
    <w:rsid w:val="00E738BE"/>
    <w:rsid w:val="00E73BD2"/>
    <w:rsid w:val="00E7434D"/>
    <w:rsid w:val="00E74815"/>
    <w:rsid w:val="00E74F80"/>
    <w:rsid w:val="00E751E8"/>
    <w:rsid w:val="00E752E3"/>
    <w:rsid w:val="00E7536C"/>
    <w:rsid w:val="00E756F8"/>
    <w:rsid w:val="00E75A81"/>
    <w:rsid w:val="00E76045"/>
    <w:rsid w:val="00E818A1"/>
    <w:rsid w:val="00E81913"/>
    <w:rsid w:val="00E81CEB"/>
    <w:rsid w:val="00E827F4"/>
    <w:rsid w:val="00E83660"/>
    <w:rsid w:val="00E83685"/>
    <w:rsid w:val="00E84163"/>
    <w:rsid w:val="00E842E2"/>
    <w:rsid w:val="00E85189"/>
    <w:rsid w:val="00E853BD"/>
    <w:rsid w:val="00E854EF"/>
    <w:rsid w:val="00E85551"/>
    <w:rsid w:val="00E856A2"/>
    <w:rsid w:val="00E85905"/>
    <w:rsid w:val="00E85C9D"/>
    <w:rsid w:val="00E85E35"/>
    <w:rsid w:val="00E86856"/>
    <w:rsid w:val="00E87A4D"/>
    <w:rsid w:val="00E90295"/>
    <w:rsid w:val="00E91728"/>
    <w:rsid w:val="00E92215"/>
    <w:rsid w:val="00E92298"/>
    <w:rsid w:val="00E94DFF"/>
    <w:rsid w:val="00E95AAC"/>
    <w:rsid w:val="00E967C0"/>
    <w:rsid w:val="00E96C09"/>
    <w:rsid w:val="00EA008A"/>
    <w:rsid w:val="00EA0EA3"/>
    <w:rsid w:val="00EA166F"/>
    <w:rsid w:val="00EA1C52"/>
    <w:rsid w:val="00EA2535"/>
    <w:rsid w:val="00EA29EB"/>
    <w:rsid w:val="00EA31D2"/>
    <w:rsid w:val="00EA357F"/>
    <w:rsid w:val="00EA35E9"/>
    <w:rsid w:val="00EA57CC"/>
    <w:rsid w:val="00EA5AD3"/>
    <w:rsid w:val="00EA5DCC"/>
    <w:rsid w:val="00EA6475"/>
    <w:rsid w:val="00EA6739"/>
    <w:rsid w:val="00EA6E68"/>
    <w:rsid w:val="00EB1AD2"/>
    <w:rsid w:val="00EB1C74"/>
    <w:rsid w:val="00EB3A41"/>
    <w:rsid w:val="00EB3CF0"/>
    <w:rsid w:val="00EB3DA7"/>
    <w:rsid w:val="00EB457F"/>
    <w:rsid w:val="00EB4583"/>
    <w:rsid w:val="00EB6396"/>
    <w:rsid w:val="00EB664A"/>
    <w:rsid w:val="00EC0315"/>
    <w:rsid w:val="00EC1067"/>
    <w:rsid w:val="00EC1206"/>
    <w:rsid w:val="00EC1923"/>
    <w:rsid w:val="00EC1AC0"/>
    <w:rsid w:val="00EC1B5F"/>
    <w:rsid w:val="00EC1C0E"/>
    <w:rsid w:val="00EC3F4A"/>
    <w:rsid w:val="00EC4A05"/>
    <w:rsid w:val="00EC4BC8"/>
    <w:rsid w:val="00EC75B9"/>
    <w:rsid w:val="00ED0A20"/>
    <w:rsid w:val="00ED1B4C"/>
    <w:rsid w:val="00ED1E83"/>
    <w:rsid w:val="00ED20BF"/>
    <w:rsid w:val="00ED23C5"/>
    <w:rsid w:val="00ED28C8"/>
    <w:rsid w:val="00ED29EE"/>
    <w:rsid w:val="00ED35AA"/>
    <w:rsid w:val="00ED368B"/>
    <w:rsid w:val="00ED47DA"/>
    <w:rsid w:val="00ED5285"/>
    <w:rsid w:val="00ED577B"/>
    <w:rsid w:val="00ED5CAD"/>
    <w:rsid w:val="00ED6A73"/>
    <w:rsid w:val="00EE003B"/>
    <w:rsid w:val="00EE0196"/>
    <w:rsid w:val="00EE0FCF"/>
    <w:rsid w:val="00EE255A"/>
    <w:rsid w:val="00EE2B7E"/>
    <w:rsid w:val="00EE2BCF"/>
    <w:rsid w:val="00EE2D56"/>
    <w:rsid w:val="00EE3DC7"/>
    <w:rsid w:val="00EE5732"/>
    <w:rsid w:val="00EE5CE7"/>
    <w:rsid w:val="00EE5E67"/>
    <w:rsid w:val="00EE64EB"/>
    <w:rsid w:val="00EE6E5E"/>
    <w:rsid w:val="00EE7294"/>
    <w:rsid w:val="00EE7E60"/>
    <w:rsid w:val="00EF0536"/>
    <w:rsid w:val="00EF0648"/>
    <w:rsid w:val="00EF14AD"/>
    <w:rsid w:val="00EF1EAD"/>
    <w:rsid w:val="00EF2C35"/>
    <w:rsid w:val="00EF36CA"/>
    <w:rsid w:val="00EF3875"/>
    <w:rsid w:val="00EF3FA6"/>
    <w:rsid w:val="00EF4CB8"/>
    <w:rsid w:val="00EF4F3E"/>
    <w:rsid w:val="00EF5018"/>
    <w:rsid w:val="00EF5958"/>
    <w:rsid w:val="00EF6489"/>
    <w:rsid w:val="00EF68DD"/>
    <w:rsid w:val="00EF6C7D"/>
    <w:rsid w:val="00EF73DA"/>
    <w:rsid w:val="00F01415"/>
    <w:rsid w:val="00F02594"/>
    <w:rsid w:val="00F02792"/>
    <w:rsid w:val="00F03BF5"/>
    <w:rsid w:val="00F046E5"/>
    <w:rsid w:val="00F05D59"/>
    <w:rsid w:val="00F06704"/>
    <w:rsid w:val="00F06F2D"/>
    <w:rsid w:val="00F114D2"/>
    <w:rsid w:val="00F117CE"/>
    <w:rsid w:val="00F11F01"/>
    <w:rsid w:val="00F1265F"/>
    <w:rsid w:val="00F12977"/>
    <w:rsid w:val="00F133FF"/>
    <w:rsid w:val="00F134FF"/>
    <w:rsid w:val="00F13697"/>
    <w:rsid w:val="00F13BF4"/>
    <w:rsid w:val="00F13FB6"/>
    <w:rsid w:val="00F141DB"/>
    <w:rsid w:val="00F14350"/>
    <w:rsid w:val="00F14364"/>
    <w:rsid w:val="00F146B5"/>
    <w:rsid w:val="00F15D2B"/>
    <w:rsid w:val="00F15D46"/>
    <w:rsid w:val="00F16873"/>
    <w:rsid w:val="00F17574"/>
    <w:rsid w:val="00F17989"/>
    <w:rsid w:val="00F17CAD"/>
    <w:rsid w:val="00F210CD"/>
    <w:rsid w:val="00F21C6C"/>
    <w:rsid w:val="00F243C2"/>
    <w:rsid w:val="00F255C8"/>
    <w:rsid w:val="00F25A83"/>
    <w:rsid w:val="00F25AA8"/>
    <w:rsid w:val="00F26AA9"/>
    <w:rsid w:val="00F27074"/>
    <w:rsid w:val="00F27847"/>
    <w:rsid w:val="00F27C5B"/>
    <w:rsid w:val="00F30224"/>
    <w:rsid w:val="00F302D2"/>
    <w:rsid w:val="00F32A85"/>
    <w:rsid w:val="00F3327B"/>
    <w:rsid w:val="00F33B21"/>
    <w:rsid w:val="00F33B77"/>
    <w:rsid w:val="00F359B1"/>
    <w:rsid w:val="00F35AD1"/>
    <w:rsid w:val="00F35DC1"/>
    <w:rsid w:val="00F36D50"/>
    <w:rsid w:val="00F37B1F"/>
    <w:rsid w:val="00F41992"/>
    <w:rsid w:val="00F41A23"/>
    <w:rsid w:val="00F42364"/>
    <w:rsid w:val="00F42B4F"/>
    <w:rsid w:val="00F433BC"/>
    <w:rsid w:val="00F434FC"/>
    <w:rsid w:val="00F45120"/>
    <w:rsid w:val="00F4607C"/>
    <w:rsid w:val="00F46341"/>
    <w:rsid w:val="00F468B9"/>
    <w:rsid w:val="00F468E0"/>
    <w:rsid w:val="00F46931"/>
    <w:rsid w:val="00F4778B"/>
    <w:rsid w:val="00F50938"/>
    <w:rsid w:val="00F50BEB"/>
    <w:rsid w:val="00F50F6A"/>
    <w:rsid w:val="00F516AA"/>
    <w:rsid w:val="00F516D0"/>
    <w:rsid w:val="00F5224C"/>
    <w:rsid w:val="00F52256"/>
    <w:rsid w:val="00F52289"/>
    <w:rsid w:val="00F53D8A"/>
    <w:rsid w:val="00F54837"/>
    <w:rsid w:val="00F549DE"/>
    <w:rsid w:val="00F556B0"/>
    <w:rsid w:val="00F55BAC"/>
    <w:rsid w:val="00F55E7F"/>
    <w:rsid w:val="00F565A9"/>
    <w:rsid w:val="00F57E16"/>
    <w:rsid w:val="00F6018D"/>
    <w:rsid w:val="00F61588"/>
    <w:rsid w:val="00F61836"/>
    <w:rsid w:val="00F61C3B"/>
    <w:rsid w:val="00F630C5"/>
    <w:rsid w:val="00F6423B"/>
    <w:rsid w:val="00F65302"/>
    <w:rsid w:val="00F6611E"/>
    <w:rsid w:val="00F669AD"/>
    <w:rsid w:val="00F669EA"/>
    <w:rsid w:val="00F66F63"/>
    <w:rsid w:val="00F72560"/>
    <w:rsid w:val="00F72C59"/>
    <w:rsid w:val="00F736AE"/>
    <w:rsid w:val="00F747ED"/>
    <w:rsid w:val="00F75DC1"/>
    <w:rsid w:val="00F75E73"/>
    <w:rsid w:val="00F77400"/>
    <w:rsid w:val="00F77E2E"/>
    <w:rsid w:val="00F815B4"/>
    <w:rsid w:val="00F81E91"/>
    <w:rsid w:val="00F8213B"/>
    <w:rsid w:val="00F82473"/>
    <w:rsid w:val="00F8288C"/>
    <w:rsid w:val="00F82DA5"/>
    <w:rsid w:val="00F82FF9"/>
    <w:rsid w:val="00F84BA1"/>
    <w:rsid w:val="00F84FF8"/>
    <w:rsid w:val="00F8552B"/>
    <w:rsid w:val="00F86AB3"/>
    <w:rsid w:val="00F86F63"/>
    <w:rsid w:val="00F87215"/>
    <w:rsid w:val="00F87C48"/>
    <w:rsid w:val="00F90971"/>
    <w:rsid w:val="00F90D8B"/>
    <w:rsid w:val="00F90DEE"/>
    <w:rsid w:val="00F91388"/>
    <w:rsid w:val="00F919ED"/>
    <w:rsid w:val="00F92EEC"/>
    <w:rsid w:val="00F931A3"/>
    <w:rsid w:val="00F942CF"/>
    <w:rsid w:val="00F94450"/>
    <w:rsid w:val="00F94DC4"/>
    <w:rsid w:val="00F9543E"/>
    <w:rsid w:val="00F963F4"/>
    <w:rsid w:val="00F96780"/>
    <w:rsid w:val="00F96E2C"/>
    <w:rsid w:val="00F96E92"/>
    <w:rsid w:val="00F975A5"/>
    <w:rsid w:val="00F9780D"/>
    <w:rsid w:val="00FA1014"/>
    <w:rsid w:val="00FA12A1"/>
    <w:rsid w:val="00FA1594"/>
    <w:rsid w:val="00FA1E3B"/>
    <w:rsid w:val="00FA1E73"/>
    <w:rsid w:val="00FA404D"/>
    <w:rsid w:val="00FA4200"/>
    <w:rsid w:val="00FA50BD"/>
    <w:rsid w:val="00FA51ED"/>
    <w:rsid w:val="00FA7ECD"/>
    <w:rsid w:val="00FB02DF"/>
    <w:rsid w:val="00FB0F81"/>
    <w:rsid w:val="00FB20F0"/>
    <w:rsid w:val="00FB2202"/>
    <w:rsid w:val="00FB43D0"/>
    <w:rsid w:val="00FB44B8"/>
    <w:rsid w:val="00FB463E"/>
    <w:rsid w:val="00FB5320"/>
    <w:rsid w:val="00FB72CA"/>
    <w:rsid w:val="00FB7748"/>
    <w:rsid w:val="00FB7CCD"/>
    <w:rsid w:val="00FC1E0B"/>
    <w:rsid w:val="00FC1FAF"/>
    <w:rsid w:val="00FC207A"/>
    <w:rsid w:val="00FC3269"/>
    <w:rsid w:val="00FC5CF4"/>
    <w:rsid w:val="00FC5DE9"/>
    <w:rsid w:val="00FC5F9B"/>
    <w:rsid w:val="00FC63AC"/>
    <w:rsid w:val="00FC6A86"/>
    <w:rsid w:val="00FC6B6C"/>
    <w:rsid w:val="00FC6E1F"/>
    <w:rsid w:val="00FC6FD4"/>
    <w:rsid w:val="00FC72DC"/>
    <w:rsid w:val="00FD2D65"/>
    <w:rsid w:val="00FD3012"/>
    <w:rsid w:val="00FD475D"/>
    <w:rsid w:val="00FD4B42"/>
    <w:rsid w:val="00FD4F03"/>
    <w:rsid w:val="00FD5310"/>
    <w:rsid w:val="00FD5563"/>
    <w:rsid w:val="00FD5E52"/>
    <w:rsid w:val="00FD62A6"/>
    <w:rsid w:val="00FD68EC"/>
    <w:rsid w:val="00FD7D41"/>
    <w:rsid w:val="00FE2BCA"/>
    <w:rsid w:val="00FE2CB5"/>
    <w:rsid w:val="00FE3268"/>
    <w:rsid w:val="00FE3717"/>
    <w:rsid w:val="00FE3C66"/>
    <w:rsid w:val="00FE475D"/>
    <w:rsid w:val="00FE4BCD"/>
    <w:rsid w:val="00FE53A7"/>
    <w:rsid w:val="00FE58D1"/>
    <w:rsid w:val="00FE5E20"/>
    <w:rsid w:val="00FE7328"/>
    <w:rsid w:val="00FE7AAE"/>
    <w:rsid w:val="00FE7C81"/>
    <w:rsid w:val="00FE7FEA"/>
    <w:rsid w:val="00FE7FF6"/>
    <w:rsid w:val="00FF08DE"/>
    <w:rsid w:val="00FF1831"/>
    <w:rsid w:val="00FF234C"/>
    <w:rsid w:val="00FF361F"/>
    <w:rsid w:val="00FF4756"/>
    <w:rsid w:val="00FF4E49"/>
    <w:rsid w:val="00FF5A6E"/>
    <w:rsid w:val="00FF630A"/>
    <w:rsid w:val="00FF679B"/>
    <w:rsid w:val="00FF6B30"/>
    <w:rsid w:val="00FF6FD2"/>
    <w:rsid w:val="00FF7039"/>
    <w:rsid w:val="025A6FD9"/>
    <w:rsid w:val="0279852D"/>
    <w:rsid w:val="028D0F54"/>
    <w:rsid w:val="0311D669"/>
    <w:rsid w:val="066B3BFB"/>
    <w:rsid w:val="069521FF"/>
    <w:rsid w:val="076471EE"/>
    <w:rsid w:val="08490F3F"/>
    <w:rsid w:val="084CAA5A"/>
    <w:rsid w:val="08562850"/>
    <w:rsid w:val="0888FAB2"/>
    <w:rsid w:val="08F18FD1"/>
    <w:rsid w:val="0981AC2D"/>
    <w:rsid w:val="0A532016"/>
    <w:rsid w:val="0B0A5BAE"/>
    <w:rsid w:val="0B25046F"/>
    <w:rsid w:val="0B4C0DA4"/>
    <w:rsid w:val="0DBA8B15"/>
    <w:rsid w:val="0DC60665"/>
    <w:rsid w:val="0F23F793"/>
    <w:rsid w:val="0FFCE76C"/>
    <w:rsid w:val="100AE301"/>
    <w:rsid w:val="105DA16F"/>
    <w:rsid w:val="10759C76"/>
    <w:rsid w:val="11103CD2"/>
    <w:rsid w:val="11775458"/>
    <w:rsid w:val="1184D4BF"/>
    <w:rsid w:val="11E71DBA"/>
    <w:rsid w:val="12082736"/>
    <w:rsid w:val="126D8E91"/>
    <w:rsid w:val="127297B2"/>
    <w:rsid w:val="13594CD2"/>
    <w:rsid w:val="13FE6E03"/>
    <w:rsid w:val="141F7796"/>
    <w:rsid w:val="1456E6C1"/>
    <w:rsid w:val="14D5D42D"/>
    <w:rsid w:val="167AF227"/>
    <w:rsid w:val="1689B5CD"/>
    <w:rsid w:val="16F7F3EB"/>
    <w:rsid w:val="176F7390"/>
    <w:rsid w:val="181493B3"/>
    <w:rsid w:val="181CBDA7"/>
    <w:rsid w:val="1B18F7B8"/>
    <w:rsid w:val="1B490911"/>
    <w:rsid w:val="1B4EFD5E"/>
    <w:rsid w:val="1B55A348"/>
    <w:rsid w:val="1C5202EA"/>
    <w:rsid w:val="1CDA0322"/>
    <w:rsid w:val="1F5EBF46"/>
    <w:rsid w:val="22E6764D"/>
    <w:rsid w:val="23A2AC68"/>
    <w:rsid w:val="245606DB"/>
    <w:rsid w:val="245A0DFA"/>
    <w:rsid w:val="2533B356"/>
    <w:rsid w:val="256BE950"/>
    <w:rsid w:val="25D79715"/>
    <w:rsid w:val="2828770F"/>
    <w:rsid w:val="29503A65"/>
    <w:rsid w:val="29E5526D"/>
    <w:rsid w:val="2A2619CA"/>
    <w:rsid w:val="2B1DE3B1"/>
    <w:rsid w:val="2B2EF0EE"/>
    <w:rsid w:val="2CD52B9D"/>
    <w:rsid w:val="2CF8E18F"/>
    <w:rsid w:val="2D36EDF9"/>
    <w:rsid w:val="2DB83F99"/>
    <w:rsid w:val="2E2070DD"/>
    <w:rsid w:val="2EDDC100"/>
    <w:rsid w:val="3051E3BE"/>
    <w:rsid w:val="312BCB97"/>
    <w:rsid w:val="324B7DE6"/>
    <w:rsid w:val="32E92D4C"/>
    <w:rsid w:val="33224B1C"/>
    <w:rsid w:val="3429D429"/>
    <w:rsid w:val="3517061B"/>
    <w:rsid w:val="36A44D6C"/>
    <w:rsid w:val="3703558D"/>
    <w:rsid w:val="37807627"/>
    <w:rsid w:val="37F924EA"/>
    <w:rsid w:val="39C8F76D"/>
    <w:rsid w:val="3A6666B5"/>
    <w:rsid w:val="3A92473C"/>
    <w:rsid w:val="3B5EB27E"/>
    <w:rsid w:val="3B900FD4"/>
    <w:rsid w:val="3BBCE1E2"/>
    <w:rsid w:val="3D8A2044"/>
    <w:rsid w:val="401A51CE"/>
    <w:rsid w:val="408716C7"/>
    <w:rsid w:val="41129025"/>
    <w:rsid w:val="412B1C95"/>
    <w:rsid w:val="41F3C200"/>
    <w:rsid w:val="42BB08A3"/>
    <w:rsid w:val="447ED48F"/>
    <w:rsid w:val="4657B9EC"/>
    <w:rsid w:val="469AB140"/>
    <w:rsid w:val="4AE5094D"/>
    <w:rsid w:val="4AEEBC59"/>
    <w:rsid w:val="4BE74A46"/>
    <w:rsid w:val="4C17007C"/>
    <w:rsid w:val="4CDFF5A4"/>
    <w:rsid w:val="4CE82AA0"/>
    <w:rsid w:val="4D8F8A84"/>
    <w:rsid w:val="4EFE48BA"/>
    <w:rsid w:val="528B9426"/>
    <w:rsid w:val="52D94C98"/>
    <w:rsid w:val="531D1497"/>
    <w:rsid w:val="5354BD9E"/>
    <w:rsid w:val="53DCC8D9"/>
    <w:rsid w:val="53F6DE82"/>
    <w:rsid w:val="54EE852D"/>
    <w:rsid w:val="553AAC1D"/>
    <w:rsid w:val="55697007"/>
    <w:rsid w:val="55E3A550"/>
    <w:rsid w:val="55E5382E"/>
    <w:rsid w:val="5628D09C"/>
    <w:rsid w:val="5A0A8866"/>
    <w:rsid w:val="5A764CA2"/>
    <w:rsid w:val="5E22177D"/>
    <w:rsid w:val="5E66E419"/>
    <w:rsid w:val="5E997141"/>
    <w:rsid w:val="5FB2D9F4"/>
    <w:rsid w:val="5FB5DB98"/>
    <w:rsid w:val="5FD3230C"/>
    <w:rsid w:val="5FF16E68"/>
    <w:rsid w:val="60C22A3F"/>
    <w:rsid w:val="6102C078"/>
    <w:rsid w:val="620F13E5"/>
    <w:rsid w:val="62101FB1"/>
    <w:rsid w:val="63770060"/>
    <w:rsid w:val="63844EF1"/>
    <w:rsid w:val="63A8BCDD"/>
    <w:rsid w:val="63D1A1E3"/>
    <w:rsid w:val="64998290"/>
    <w:rsid w:val="64EEDC0D"/>
    <w:rsid w:val="659748FB"/>
    <w:rsid w:val="67843A21"/>
    <w:rsid w:val="68ACC2EA"/>
    <w:rsid w:val="69CB1990"/>
    <w:rsid w:val="6B1AAF69"/>
    <w:rsid w:val="6B44805B"/>
    <w:rsid w:val="6B4E9EA0"/>
    <w:rsid w:val="6B763879"/>
    <w:rsid w:val="6C7DCFD5"/>
    <w:rsid w:val="6C8676F1"/>
    <w:rsid w:val="6E4169D8"/>
    <w:rsid w:val="70008092"/>
    <w:rsid w:val="7030409B"/>
    <w:rsid w:val="70A29351"/>
    <w:rsid w:val="71A0426A"/>
    <w:rsid w:val="71F9414F"/>
    <w:rsid w:val="730FFEC4"/>
    <w:rsid w:val="735DEE06"/>
    <w:rsid w:val="73CCB6B0"/>
    <w:rsid w:val="749C386B"/>
    <w:rsid w:val="74A0351F"/>
    <w:rsid w:val="74AF42E8"/>
    <w:rsid w:val="74ECE3D5"/>
    <w:rsid w:val="76CCB272"/>
    <w:rsid w:val="77501A39"/>
    <w:rsid w:val="77F65B91"/>
    <w:rsid w:val="78014D5B"/>
    <w:rsid w:val="78BB3376"/>
    <w:rsid w:val="798607D1"/>
    <w:rsid w:val="7A1506A9"/>
    <w:rsid w:val="7A3D673F"/>
    <w:rsid w:val="7B307D95"/>
    <w:rsid w:val="7B7634D1"/>
    <w:rsid w:val="7BB4FF62"/>
    <w:rsid w:val="7CFD2F89"/>
    <w:rsid w:val="7EABDF9A"/>
    <w:rsid w:val="7F1EB6CB"/>
    <w:rsid w:val="7F6AF924"/>
    <w:rsid w:val="7FFAD71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2FFC272"/>
  <w15:chartTrackingRefBased/>
  <w15:docId w15:val="{2A35A26C-DA8D-486C-8B9E-ADC71DC5D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534"/>
    <w:pPr>
      <w:spacing w:after="200"/>
      <w:jc w:val="both"/>
    </w:pPr>
    <w:rPr>
      <w:rFonts w:ascii="Verdana" w:hAnsi="Verdana"/>
      <w:lang w:eastAsia="en-US"/>
    </w:rPr>
  </w:style>
  <w:style w:type="paragraph" w:styleId="Heading1">
    <w:name w:val="heading 1"/>
    <w:basedOn w:val="Normal"/>
    <w:next w:val="Text1"/>
    <w:link w:val="Heading1Char"/>
    <w:qFormat/>
    <w:rsid w:val="00692CDE"/>
    <w:pPr>
      <w:widowControl w:val="0"/>
      <w:outlineLvl w:val="0"/>
    </w:pPr>
    <w:rPr>
      <w:b/>
      <w:color w:val="A50021"/>
    </w:rPr>
  </w:style>
  <w:style w:type="paragraph" w:styleId="Heading2">
    <w:name w:val="heading 2"/>
    <w:basedOn w:val="Normal"/>
    <w:next w:val="Text2"/>
    <w:link w:val="Heading2Char"/>
    <w:qFormat/>
    <w:rsid w:val="006E495F"/>
    <w:pPr>
      <w:widowControl w:val="0"/>
      <w:outlineLvl w:val="1"/>
    </w:pPr>
    <w:rPr>
      <w:b/>
      <w:color w:val="A50021"/>
    </w:rPr>
  </w:style>
  <w:style w:type="paragraph" w:styleId="Heading3">
    <w:name w:val="heading 3"/>
    <w:basedOn w:val="Normal"/>
    <w:next w:val="Text3"/>
    <w:link w:val="Heading3Char"/>
    <w:qFormat/>
    <w:rsid w:val="00510B7E"/>
    <w:pPr>
      <w:widowControl w:val="0"/>
      <w:outlineLvl w:val="2"/>
    </w:pPr>
    <w:rPr>
      <w:i/>
      <w:color w:val="A50021"/>
      <w:u w:val="single"/>
    </w:rPr>
  </w:style>
  <w:style w:type="paragraph" w:styleId="Heading4">
    <w:name w:val="heading 4"/>
    <w:basedOn w:val="Normal"/>
    <w:next w:val="Text4"/>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rPr>
  </w:style>
  <w:style w:type="paragraph" w:styleId="Heading8">
    <w:name w:val="heading 8"/>
    <w:basedOn w:val="Normal"/>
    <w:next w:val="Normal"/>
    <w:pPr>
      <w:tabs>
        <w:tab w:val="num" w:pos="0"/>
      </w:tabs>
      <w:spacing w:before="240" w:after="60"/>
      <w:outlineLvl w:val="7"/>
    </w:pPr>
    <w:rPr>
      <w:rFonts w:ascii="Arial" w:hAnsi="Arial"/>
      <w:i/>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link w:val="Text1Char"/>
    <w:pPr>
      <w:tabs>
        <w:tab w:val="left" w:pos="2160"/>
      </w:tabs>
      <w:ind w:left="1440"/>
    </w:pPr>
  </w:style>
  <w:style w:type="paragraph" w:customStyle="1" w:styleId="Text2">
    <w:name w:val="Text 2"/>
    <w:basedOn w:val="Normal"/>
    <w:link w:val="Text2Car"/>
    <w:pPr>
      <w:tabs>
        <w:tab w:val="left" w:pos="2160"/>
      </w:tabs>
      <w:ind w:left="1440"/>
    </w:pPr>
  </w:style>
  <w:style w:type="paragraph" w:customStyle="1" w:styleId="Text3">
    <w:name w:val="Text 3"/>
    <w:basedOn w:val="Normal"/>
    <w:pPr>
      <w:tabs>
        <w:tab w:val="left" w:pos="2160"/>
      </w:tabs>
      <w:ind w:left="1440"/>
    </w:pPr>
  </w:style>
  <w:style w:type="paragraph" w:customStyle="1" w:styleId="Text4">
    <w:name w:val="Text 4"/>
    <w:basedOn w:val="Normal"/>
    <w:pPr>
      <w:tabs>
        <w:tab w:val="left" w:pos="2160"/>
      </w:tabs>
      <w:ind w:left="1440"/>
    </w:pPr>
  </w:style>
  <w:style w:type="paragraph" w:styleId="BlockText">
    <w:name w:val="Block Text"/>
    <w:basedOn w:val="Normal"/>
    <w:semiHidden/>
    <w:pPr>
      <w:spacing w:after="120"/>
      <w:ind w:left="1440" w:right="1440"/>
    </w:pPr>
  </w:style>
  <w:style w:type="paragraph" w:styleId="BodyText">
    <w:name w:val="Body Text"/>
    <w:basedOn w:val="Normal"/>
    <w:link w:val="BodyTextChar"/>
    <w:uiPriority w:val="1"/>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rPr>
  </w:style>
  <w:style w:type="paragraph" w:styleId="BodyTextFirstIndent">
    <w:name w:val="Body Text First Indent"/>
    <w:basedOn w:val="BodyText"/>
    <w:semiHidden/>
    <w:pPr>
      <w:ind w:firstLine="210"/>
    </w:pPr>
  </w:style>
  <w:style w:type="paragraph" w:styleId="BodyTextIndent">
    <w:name w:val="Body Text Indent"/>
    <w:basedOn w:val="Normal"/>
    <w:link w:val="BodyTextIndentChar"/>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rPr>
  </w:style>
  <w:style w:type="paragraph" w:styleId="Closing">
    <w:name w:val="Closing"/>
    <w:basedOn w:val="Normal"/>
    <w:semiHidden/>
    <w:pPr>
      <w:ind w:left="4252"/>
    </w:pPr>
  </w:style>
  <w:style w:type="paragraph" w:styleId="CommentText">
    <w:name w:val="annotation text"/>
    <w:basedOn w:val="Normal"/>
    <w:link w:val="CommentTextChar"/>
    <w:uiPriority w:val="99"/>
  </w:style>
  <w:style w:type="paragraph" w:styleId="Date">
    <w:name w:val="Date"/>
    <w:basedOn w:val="Normal"/>
    <w:next w:val="References"/>
    <w:semiHidden/>
    <w:pPr>
      <w:spacing w:after="0"/>
      <w:ind w:left="5103" w:right="-567"/>
      <w:jc w:val="left"/>
    </w:pPr>
    <w:rPr>
      <w:sz w:val="24"/>
    </w:rPr>
  </w:style>
  <w:style w:type="paragraph" w:customStyle="1" w:styleId="References">
    <w:name w:val="References"/>
    <w:basedOn w:val="Normal"/>
    <w:next w:val="Normal"/>
    <w:pPr>
      <w:ind w:left="5103"/>
      <w:jc w:val="left"/>
    </w:pPr>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spacing w:after="0"/>
    </w:pPr>
    <w:rPr>
      <w:sz w:val="24"/>
    </w:rPr>
  </w:style>
  <w:style w:type="paragraph" w:styleId="EnvelopeReturn">
    <w:name w:val="envelope return"/>
    <w:basedOn w:val="Normal"/>
    <w:semiHidden/>
    <w:pPr>
      <w:spacing w:after="0"/>
    </w:p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2,Footnote Text Char1 Char,Footnote Text Char2 Char Char,Footnote Text Char1 Char Char Char,Footnote Text Char2 Char Char Char Char,Footnote Text Char Char1 Char Char Char Char,Footnote Text Char1,Schriftart: 9 pt,FoodNot"/>
    <w:basedOn w:val="Normal"/>
    <w:link w:val="FootnoteTextChar"/>
    <w:pPr>
      <w:ind w:left="357" w:hanging="357"/>
    </w:p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80" w:hanging="280"/>
    </w:pPr>
  </w:style>
  <w:style w:type="paragraph" w:styleId="Index2">
    <w:name w:val="index 2"/>
    <w:basedOn w:val="Normal"/>
    <w:next w:val="Normal"/>
    <w:autoRedefine/>
    <w:semiHidden/>
    <w:pPr>
      <w:ind w:left="560" w:hanging="280"/>
    </w:pPr>
  </w:style>
  <w:style w:type="paragraph" w:styleId="Index3">
    <w:name w:val="index 3"/>
    <w:basedOn w:val="Normal"/>
    <w:next w:val="Normal"/>
    <w:autoRedefine/>
    <w:semiHidden/>
    <w:pPr>
      <w:ind w:left="840" w:hanging="280"/>
    </w:pPr>
  </w:style>
  <w:style w:type="paragraph" w:styleId="Index4">
    <w:name w:val="index 4"/>
    <w:basedOn w:val="Normal"/>
    <w:next w:val="Normal"/>
    <w:autoRedefine/>
    <w:semiHidden/>
    <w:pPr>
      <w:ind w:left="1120" w:hanging="280"/>
    </w:pPr>
  </w:style>
  <w:style w:type="paragraph" w:styleId="Index5">
    <w:name w:val="index 5"/>
    <w:basedOn w:val="Normal"/>
    <w:next w:val="Normal"/>
    <w:autoRedefine/>
    <w:semiHidden/>
    <w:pPr>
      <w:ind w:left="1400" w:hanging="280"/>
    </w:pPr>
  </w:style>
  <w:style w:type="paragraph" w:styleId="Index6">
    <w:name w:val="index 6"/>
    <w:basedOn w:val="Normal"/>
    <w:next w:val="Normal"/>
    <w:autoRedefine/>
    <w:semiHidden/>
    <w:pPr>
      <w:ind w:left="1680" w:hanging="280"/>
    </w:pPr>
  </w:style>
  <w:style w:type="paragraph" w:styleId="Index7">
    <w:name w:val="index 7"/>
    <w:basedOn w:val="Normal"/>
    <w:next w:val="Normal"/>
    <w:autoRedefine/>
    <w:semiHidden/>
    <w:pPr>
      <w:ind w:left="1960" w:hanging="280"/>
    </w:pPr>
  </w:style>
  <w:style w:type="paragraph" w:styleId="Index8">
    <w:name w:val="index 8"/>
    <w:basedOn w:val="Normal"/>
    <w:next w:val="Normal"/>
    <w:autoRedefine/>
    <w:semiHidden/>
    <w:pPr>
      <w:ind w:left="2240" w:hanging="280"/>
    </w:pPr>
  </w:style>
  <w:style w:type="paragraph" w:styleId="Index9">
    <w:name w:val="index 9"/>
    <w:basedOn w:val="Normal"/>
    <w:next w:val="Normal"/>
    <w:autoRedefine/>
    <w:semiHidden/>
    <w:pPr>
      <w:ind w:left="2520" w:hanging="28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4"/>
      </w:numPr>
    </w:pPr>
  </w:style>
  <w:style w:type="paragraph" w:styleId="ListBullet2">
    <w:name w:val="List Bullet 2"/>
    <w:basedOn w:val="Text2"/>
    <w:semiHidden/>
    <w:pPr>
      <w:numPr>
        <w:numId w:val="6"/>
      </w:numPr>
      <w:tabs>
        <w:tab w:val="clear" w:pos="2160"/>
      </w:tabs>
    </w:pPr>
  </w:style>
  <w:style w:type="paragraph" w:styleId="ListBullet3">
    <w:name w:val="List Bullet 3"/>
    <w:basedOn w:val="Text3"/>
    <w:semiHidden/>
    <w:pPr>
      <w:numPr>
        <w:numId w:val="7"/>
      </w:numPr>
      <w:tabs>
        <w:tab w:val="clear" w:pos="2160"/>
      </w:tabs>
    </w:pPr>
  </w:style>
  <w:style w:type="paragraph" w:styleId="ListBullet4">
    <w:name w:val="List Bullet 4"/>
    <w:basedOn w:val="Text4"/>
    <w:semiHidden/>
    <w:pPr>
      <w:numPr>
        <w:numId w:val="8"/>
      </w:numPr>
      <w:tabs>
        <w:tab w:val="clear" w:pos="2160"/>
      </w:tabs>
    </w:pPr>
  </w:style>
  <w:style w:type="paragraph" w:styleId="ListBullet5">
    <w:name w:val="List Bullet 5"/>
    <w:basedOn w:val="Normal"/>
    <w:autoRedefine/>
    <w:semiHidden/>
    <w:pPr>
      <w:numPr>
        <w:numId w:val="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pPr>
      <w:numPr>
        <w:numId w:val="15"/>
      </w:numPr>
    </w:pPr>
  </w:style>
  <w:style w:type="paragraph" w:styleId="ListNumber2">
    <w:name w:val="List Number 2"/>
    <w:basedOn w:val="Text2"/>
    <w:semiHidden/>
    <w:pPr>
      <w:numPr>
        <w:numId w:val="16"/>
      </w:numPr>
    </w:pPr>
  </w:style>
  <w:style w:type="paragraph" w:styleId="ListNumber3">
    <w:name w:val="List Number 3"/>
    <w:basedOn w:val="Text3"/>
    <w:semiHidden/>
    <w:pPr>
      <w:numPr>
        <w:numId w:val="17"/>
      </w:numPr>
    </w:pPr>
  </w:style>
  <w:style w:type="paragraph" w:styleId="ListNumber4">
    <w:name w:val="List Number 4"/>
    <w:basedOn w:val="Text4"/>
    <w:semiHidden/>
    <w:pPr>
      <w:numPr>
        <w:numId w:val="18"/>
      </w:numPr>
    </w:pPr>
  </w:style>
  <w:style w:type="paragraph" w:styleId="ListNumber5">
    <w:name w:val="List Number 5"/>
    <w:basedOn w:val="Normal"/>
    <w:semiHidden/>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NumPar1">
    <w:name w:val="NumPar 1"/>
    <w:basedOn w:val="Heading1"/>
    <w:next w:val="Text1"/>
    <w:pPr>
      <w:outlineLvl w:val="9"/>
    </w:pPr>
    <w:rPr>
      <w:b w:val="0"/>
      <w:smallCaps/>
    </w:rPr>
  </w:style>
  <w:style w:type="paragraph" w:customStyle="1" w:styleId="NumPar2">
    <w:name w:val="NumPar 2"/>
    <w:basedOn w:val="Heading2"/>
    <w:next w:val="Text2"/>
    <w:pPr>
      <w:outlineLvl w:val="9"/>
    </w:pPr>
    <w:rPr>
      <w:b w:val="0"/>
    </w:rPr>
  </w:style>
  <w:style w:type="paragraph" w:customStyle="1" w:styleId="NumPar3">
    <w:name w:val="NumPar 3"/>
    <w:basedOn w:val="Heading3"/>
    <w:next w:val="Text3"/>
    <w:pPr>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semiHidden/>
    <w:rPr>
      <w:rFonts w:ascii="Courier New" w:hAnsi="Courier New"/>
    </w:rPr>
  </w:style>
  <w:style w:type="paragraph" w:styleId="Salutation">
    <w:name w:val="Salutation"/>
    <w:basedOn w:val="Normal"/>
    <w:next w:val="Normal"/>
    <w:semiHidden/>
  </w:style>
  <w:style w:type="paragraph" w:styleId="Signature">
    <w:name w:val="Signature"/>
    <w:basedOn w:val="Normal"/>
    <w:semiHidden/>
    <w:pPr>
      <w:ind w:left="4252"/>
    </w:pPr>
  </w:style>
  <w:style w:type="paragraph" w:customStyle="1" w:styleId="Subject">
    <w:name w:val="Subject"/>
    <w:basedOn w:val="Normal"/>
    <w:next w:val="Normal"/>
    <w:pPr>
      <w:spacing w:after="480"/>
      <w:ind w:left="1191" w:hanging="1191"/>
      <w:jc w:val="left"/>
    </w:pPr>
    <w:rPr>
      <w:b/>
    </w:rPr>
  </w:style>
  <w:style w:type="paragraph" w:styleId="Subtitle">
    <w:name w:val="Subtitle"/>
    <w:basedOn w:val="Normal"/>
    <w:pPr>
      <w:spacing w:after="60"/>
      <w:jc w:val="center"/>
      <w:outlineLvl w:val="1"/>
    </w:pPr>
    <w:rPr>
      <w:rFonts w:ascii="Arial" w:hAnsi="Arial"/>
      <w:sz w:val="24"/>
    </w:rPr>
  </w:style>
  <w:style w:type="paragraph" w:styleId="TableofAuthorities">
    <w:name w:val="table of authorities"/>
    <w:basedOn w:val="Normal"/>
    <w:next w:val="Normal"/>
    <w:semiHidden/>
    <w:pPr>
      <w:ind w:left="280" w:hanging="280"/>
    </w:pPr>
  </w:style>
  <w:style w:type="paragraph" w:styleId="TableofFigures">
    <w:name w:val="table of figures"/>
    <w:basedOn w:val="Normal"/>
    <w:next w:val="Normal"/>
    <w:semiHidden/>
    <w:pPr>
      <w:ind w:left="560" w:hanging="560"/>
    </w:pPr>
  </w:style>
  <w:style w:type="paragraph" w:styleId="Title">
    <w:name w:val="Title"/>
    <w:basedOn w:val="Normal"/>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uiPriority w:val="39"/>
    <w:qFormat/>
    <w:rsid w:val="00A57D8F"/>
    <w:pPr>
      <w:tabs>
        <w:tab w:val="right" w:leader="dot" w:pos="8640"/>
      </w:tabs>
      <w:spacing w:before="60" w:after="60"/>
      <w:ind w:left="482" w:right="720" w:hanging="482"/>
    </w:pPr>
    <w:rPr>
      <w:sz w:val="16"/>
    </w:rPr>
  </w:style>
  <w:style w:type="paragraph" w:styleId="TOC2">
    <w:name w:val="toc 2"/>
    <w:basedOn w:val="Normal"/>
    <w:next w:val="Normal"/>
    <w:uiPriority w:val="39"/>
    <w:qFormat/>
    <w:rsid w:val="00A57D8F"/>
    <w:pPr>
      <w:tabs>
        <w:tab w:val="right" w:leader="dot" w:pos="8640"/>
      </w:tabs>
      <w:spacing w:before="60" w:after="60"/>
      <w:ind w:left="568" w:right="720" w:hanging="284"/>
    </w:pPr>
    <w:rPr>
      <w:noProof/>
      <w:sz w:val="16"/>
    </w:rPr>
  </w:style>
  <w:style w:type="paragraph" w:styleId="TOC3">
    <w:name w:val="toc 3"/>
    <w:basedOn w:val="TOC2"/>
    <w:next w:val="Normal"/>
    <w:uiPriority w:val="39"/>
    <w:qFormat/>
    <w:rsid w:val="00A57D8F"/>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400"/>
    </w:pPr>
  </w:style>
  <w:style w:type="paragraph" w:styleId="TOC7">
    <w:name w:val="toc 7"/>
    <w:basedOn w:val="Normal"/>
    <w:next w:val="Normal"/>
    <w:autoRedefine/>
    <w:semiHidden/>
    <w:pPr>
      <w:ind w:left="1680"/>
    </w:pPr>
  </w:style>
  <w:style w:type="paragraph" w:styleId="TOC8">
    <w:name w:val="toc 8"/>
    <w:basedOn w:val="Normal"/>
    <w:next w:val="Normal"/>
    <w:autoRedefine/>
    <w:semiHidden/>
    <w:pPr>
      <w:ind w:left="1960"/>
    </w:pPr>
  </w:style>
  <w:style w:type="paragraph" w:styleId="TOC9">
    <w:name w:val="toc 9"/>
    <w:basedOn w:val="Normal"/>
    <w:next w:val="Normal"/>
    <w:autoRedefine/>
    <w:semiHidden/>
    <w:pPr>
      <w:ind w:left="2240"/>
    </w:pPr>
  </w:style>
  <w:style w:type="paragraph" w:customStyle="1" w:styleId="ListBullet1">
    <w:name w:val="List Bullet 1"/>
    <w:basedOn w:val="Text1"/>
    <w:pPr>
      <w:numPr>
        <w:numId w:val="5"/>
      </w:numPr>
      <w:tabs>
        <w:tab w:val="clear" w:pos="2160"/>
      </w:tabs>
    </w:pPr>
  </w:style>
  <w:style w:type="paragraph" w:customStyle="1" w:styleId="ListDash">
    <w:name w:val="List Dash"/>
    <w:basedOn w:val="Normal"/>
    <w:pPr>
      <w:numPr>
        <w:numId w:val="9"/>
      </w:numPr>
    </w:pPr>
  </w:style>
  <w:style w:type="paragraph" w:customStyle="1" w:styleId="ListDash1">
    <w:name w:val="List Dash 1"/>
    <w:basedOn w:val="Text1"/>
    <w:pPr>
      <w:numPr>
        <w:numId w:val="10"/>
      </w:numPr>
      <w:tabs>
        <w:tab w:val="clear" w:pos="2160"/>
      </w:tabs>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160"/>
      </w:tabs>
    </w:pPr>
  </w:style>
  <w:style w:type="paragraph" w:customStyle="1" w:styleId="ListDash4">
    <w:name w:val="List Dash 4"/>
    <w:basedOn w:val="Text4"/>
    <w:pPr>
      <w:numPr>
        <w:numId w:val="13"/>
      </w:numPr>
      <w:tabs>
        <w:tab w:val="clear" w:pos="2160"/>
      </w:tabs>
    </w:pPr>
  </w:style>
  <w:style w:type="paragraph" w:customStyle="1" w:styleId="ListNumberLevel2">
    <w:name w:val="List Number (Level 2)"/>
    <w:basedOn w:val="Normal"/>
    <w:pPr>
      <w:numPr>
        <w:ilvl w:val="1"/>
        <w:numId w:val="15"/>
      </w:numPr>
    </w:pPr>
  </w:style>
  <w:style w:type="paragraph" w:customStyle="1" w:styleId="ListNumberLevel3">
    <w:name w:val="List Number (Level 3)"/>
    <w:basedOn w:val="Normal"/>
    <w:pPr>
      <w:numPr>
        <w:ilvl w:val="2"/>
        <w:numId w:val="15"/>
      </w:numPr>
    </w:pPr>
  </w:style>
  <w:style w:type="paragraph" w:customStyle="1" w:styleId="ListNumberLevel4">
    <w:name w:val="List Number (Level 4)"/>
    <w:basedOn w:val="Normal"/>
    <w:pPr>
      <w:numPr>
        <w:ilvl w:val="3"/>
        <w:numId w:val="15"/>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tabs>
        <w:tab w:val="clear" w:pos="2160"/>
      </w:tabs>
    </w:pPr>
  </w:style>
  <w:style w:type="paragraph" w:customStyle="1" w:styleId="ListNumber1Level3">
    <w:name w:val="List Number 1 (Level 3)"/>
    <w:basedOn w:val="Text1"/>
    <w:pPr>
      <w:numPr>
        <w:ilvl w:val="2"/>
        <w:numId w:val="14"/>
      </w:numPr>
      <w:tabs>
        <w:tab w:val="clear" w:pos="2160"/>
      </w:tabs>
    </w:pPr>
  </w:style>
  <w:style w:type="paragraph" w:customStyle="1" w:styleId="ListNumber1Level4">
    <w:name w:val="List Number 1 (Level 4)"/>
    <w:basedOn w:val="Text1"/>
    <w:pPr>
      <w:numPr>
        <w:ilvl w:val="3"/>
        <w:numId w:val="14"/>
      </w:numPr>
      <w:tabs>
        <w:tab w:val="clear" w:pos="2160"/>
      </w:tabs>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pPr>
  </w:style>
  <w:style w:type="paragraph" w:customStyle="1" w:styleId="ListNumber3Level2">
    <w:name w:val="List Number 3 (Level 2)"/>
    <w:basedOn w:val="Text3"/>
    <w:pPr>
      <w:numPr>
        <w:ilvl w:val="1"/>
        <w:numId w:val="17"/>
      </w:numPr>
      <w:tabs>
        <w:tab w:val="clear" w:pos="2160"/>
      </w:tabs>
    </w:pPr>
  </w:style>
  <w:style w:type="paragraph" w:customStyle="1" w:styleId="ListNumber3Level3">
    <w:name w:val="List Number 3 (Level 3)"/>
    <w:basedOn w:val="Text3"/>
    <w:pPr>
      <w:numPr>
        <w:ilvl w:val="2"/>
        <w:numId w:val="17"/>
      </w:numPr>
      <w:tabs>
        <w:tab w:val="clear" w:pos="2160"/>
      </w:tabs>
    </w:pPr>
  </w:style>
  <w:style w:type="paragraph" w:customStyle="1" w:styleId="ListNumber3Level4">
    <w:name w:val="List Number 3 (Level 4)"/>
    <w:basedOn w:val="Text3"/>
    <w:pPr>
      <w:numPr>
        <w:ilvl w:val="3"/>
        <w:numId w:val="17"/>
      </w:numPr>
      <w:tabs>
        <w:tab w:val="clear" w:pos="2160"/>
      </w:tabs>
    </w:pPr>
  </w:style>
  <w:style w:type="paragraph" w:customStyle="1" w:styleId="ListNumber4Level2">
    <w:name w:val="List Number 4 (Level 2)"/>
    <w:basedOn w:val="Text4"/>
    <w:pPr>
      <w:numPr>
        <w:ilvl w:val="1"/>
        <w:numId w:val="18"/>
      </w:numPr>
      <w:tabs>
        <w:tab w:val="clear" w:pos="2160"/>
      </w:tabs>
    </w:pPr>
  </w:style>
  <w:style w:type="paragraph" w:customStyle="1" w:styleId="ListNumber4Level3">
    <w:name w:val="List Number 4 (Level 3)"/>
    <w:basedOn w:val="Text4"/>
    <w:pPr>
      <w:numPr>
        <w:ilvl w:val="2"/>
        <w:numId w:val="18"/>
      </w:numPr>
      <w:tabs>
        <w:tab w:val="clear" w:pos="2160"/>
      </w:tabs>
    </w:pPr>
  </w:style>
  <w:style w:type="paragraph" w:customStyle="1" w:styleId="ListNumber4Level4">
    <w:name w:val="List Number 4 (Level 4)"/>
    <w:basedOn w:val="Text4"/>
    <w:pPr>
      <w:numPr>
        <w:ilvl w:val="3"/>
        <w:numId w:val="18"/>
      </w:numPr>
      <w:tabs>
        <w:tab w:val="clear" w:pos="2160"/>
      </w:tabs>
    </w:pPr>
  </w:style>
  <w:style w:type="paragraph" w:styleId="TOCHeading">
    <w:name w:val="TOC Heading"/>
    <w:basedOn w:val="Normal"/>
    <w:next w:val="Normal"/>
    <w:qFormat/>
    <w:pPr>
      <w:keepNext/>
      <w:spacing w:before="240"/>
      <w:jc w:val="center"/>
    </w:pPr>
    <w:rPr>
      <w:b/>
    </w:rPr>
  </w:style>
  <w:style w:type="character" w:customStyle="1" w:styleId="FooterChar">
    <w:name w:val="Footer Char"/>
    <w:link w:val="Footer"/>
    <w:uiPriority w:val="99"/>
    <w:rsid w:val="002D3B73"/>
    <w:rPr>
      <w:rFonts w:ascii="Arial" w:hAnsi="Arial"/>
      <w:sz w:val="16"/>
      <w:lang w:eastAsia="en-US"/>
    </w:rPr>
  </w:style>
  <w:style w:type="paragraph" w:customStyle="1" w:styleId="ZCom">
    <w:name w:val="Z_Com"/>
    <w:basedOn w:val="Normal"/>
    <w:next w:val="ZDGName"/>
    <w:uiPriority w:val="99"/>
    <w:rsid w:val="002D3B73"/>
    <w:pPr>
      <w:widowControl w:val="0"/>
      <w:autoSpaceDE w:val="0"/>
      <w:autoSpaceDN w:val="0"/>
      <w:spacing w:after="0"/>
      <w:ind w:right="85"/>
    </w:pPr>
    <w:rPr>
      <w:rFonts w:ascii="Arial" w:hAnsi="Arial" w:cs="Arial"/>
      <w:sz w:val="24"/>
      <w:szCs w:val="24"/>
      <w:lang w:eastAsia="en-GB"/>
    </w:rPr>
  </w:style>
  <w:style w:type="paragraph" w:customStyle="1" w:styleId="ZDGName">
    <w:name w:val="Z_DGName"/>
    <w:basedOn w:val="Normal"/>
    <w:uiPriority w:val="99"/>
    <w:rsid w:val="002D3B73"/>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sid w:val="002D3B73"/>
    <w:rPr>
      <w:sz w:val="28"/>
      <w:lang w:eastAsia="en-US"/>
    </w:rPr>
  </w:style>
  <w:style w:type="paragraph" w:styleId="BalloonText">
    <w:name w:val="Balloon Text"/>
    <w:basedOn w:val="Normal"/>
    <w:link w:val="BalloonTextChar"/>
    <w:uiPriority w:val="99"/>
    <w:semiHidden/>
    <w:unhideWhenUsed/>
    <w:rsid w:val="00B02821"/>
    <w:pPr>
      <w:spacing w:after="0"/>
    </w:pPr>
    <w:rPr>
      <w:rFonts w:ascii="Tahoma" w:hAnsi="Tahoma" w:cs="Tahoma"/>
      <w:sz w:val="16"/>
      <w:szCs w:val="16"/>
    </w:rPr>
  </w:style>
  <w:style w:type="character" w:customStyle="1" w:styleId="BalloonTextChar">
    <w:name w:val="Balloon Text Char"/>
    <w:link w:val="BalloonText"/>
    <w:uiPriority w:val="99"/>
    <w:semiHidden/>
    <w:rsid w:val="00B02821"/>
    <w:rPr>
      <w:rFonts w:ascii="Tahoma" w:hAnsi="Tahoma" w:cs="Tahoma"/>
      <w:sz w:val="16"/>
      <w:szCs w:val="16"/>
      <w:lang w:eastAsia="en-US"/>
    </w:rPr>
  </w:style>
  <w:style w:type="character" w:styleId="FootnoteReference">
    <w:name w:val="footnote reference"/>
    <w:aliases w:val=" BVI fnr,BVI fnr, BVI fnr Car Car,BVI fnr Car, BVI fnr Car Car Car Car, BVI fnr Car Car Car Car Char,Footnote symbol,Footnote reference number,Footnote,Times 10 Point,Exposant 3 Point,Ref,de nota al pie,note TESI,SUPERS,EN Footnote te"/>
    <w:link w:val="Char2"/>
    <w:uiPriority w:val="99"/>
    <w:unhideWhenUsed/>
    <w:qFormat/>
    <w:rsid w:val="00CC12F2"/>
    <w:rPr>
      <w:vertAlign w:val="superscript"/>
    </w:rPr>
  </w:style>
  <w:style w:type="table" w:styleId="TableGrid">
    <w:name w:val="Table Grid"/>
    <w:basedOn w:val="TableNormal"/>
    <w:rsid w:val="00415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386D0C"/>
    <w:pPr>
      <w:spacing w:after="160" w:line="240" w:lineRule="exact"/>
      <w:jc w:val="left"/>
    </w:pPr>
    <w:rPr>
      <w:rFonts w:ascii="Tahoma" w:hAnsi="Tahoma"/>
    </w:rPr>
  </w:style>
  <w:style w:type="character" w:customStyle="1" w:styleId="FootnoteTextChar">
    <w:name w:val="Footnote Text Char"/>
    <w:aliases w:val="Footnote Text Char2 Char,Footnote Text Char1 Char Char,Footnote Text Char2 Char Char Char,Footnote Text Char1 Char Char Char Char,Footnote Text Char2 Char Char Char Char Char,Footnote Text Char Char1 Char Char Char Char Char"/>
    <w:link w:val="FootnoteText"/>
    <w:locked/>
    <w:rsid w:val="00165594"/>
    <w:rPr>
      <w:lang w:eastAsia="en-US"/>
    </w:rPr>
  </w:style>
  <w:style w:type="character" w:styleId="Hyperlink">
    <w:name w:val="Hyperlink"/>
    <w:uiPriority w:val="99"/>
    <w:rsid w:val="00E04BE3"/>
    <w:rPr>
      <w:rFonts w:cs="Times New Roman"/>
      <w:color w:val="0088CC"/>
      <w:u w:val="single"/>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Ha"/>
    <w:basedOn w:val="Normal"/>
    <w:link w:val="ListParagraphChar"/>
    <w:uiPriority w:val="34"/>
    <w:qFormat/>
    <w:rsid w:val="000B4B19"/>
    <w:pPr>
      <w:spacing w:after="0"/>
      <w:ind w:left="720"/>
      <w:contextualSpacing/>
      <w:jc w:val="left"/>
    </w:pPr>
    <w:rPr>
      <w:snapToGrid w:val="0"/>
      <w:sz w:val="24"/>
      <w:szCs w:val="24"/>
      <w:lang w:eastAsia="en-GB"/>
    </w:rPr>
  </w:style>
  <w:style w:type="character" w:styleId="FollowedHyperlink">
    <w:name w:val="FollowedHyperlink"/>
    <w:uiPriority w:val="99"/>
    <w:semiHidden/>
    <w:unhideWhenUsed/>
    <w:rsid w:val="0093325A"/>
    <w:rPr>
      <w:color w:val="800080"/>
      <w:u w:val="single"/>
    </w:rPr>
  </w:style>
  <w:style w:type="character" w:styleId="CommentReference">
    <w:name w:val="annotation reference"/>
    <w:uiPriority w:val="99"/>
    <w:unhideWhenUsed/>
    <w:rsid w:val="003961E3"/>
    <w:rPr>
      <w:sz w:val="16"/>
      <w:szCs w:val="16"/>
    </w:rPr>
  </w:style>
  <w:style w:type="paragraph" w:styleId="CommentSubject">
    <w:name w:val="annotation subject"/>
    <w:basedOn w:val="CommentText"/>
    <w:next w:val="CommentText"/>
    <w:link w:val="CommentSubjectChar"/>
    <w:uiPriority w:val="99"/>
    <w:semiHidden/>
    <w:unhideWhenUsed/>
    <w:rsid w:val="003961E3"/>
    <w:rPr>
      <w:b/>
      <w:bCs/>
    </w:rPr>
  </w:style>
  <w:style w:type="character" w:customStyle="1" w:styleId="CommentTextChar">
    <w:name w:val="Comment Text Char"/>
    <w:link w:val="CommentText"/>
    <w:uiPriority w:val="99"/>
    <w:rsid w:val="003961E3"/>
    <w:rPr>
      <w:lang w:eastAsia="en-US"/>
    </w:rPr>
  </w:style>
  <w:style w:type="character" w:customStyle="1" w:styleId="CommentSubjectChar">
    <w:name w:val="Comment Subject Char"/>
    <w:link w:val="CommentSubject"/>
    <w:uiPriority w:val="99"/>
    <w:semiHidden/>
    <w:rsid w:val="003961E3"/>
    <w:rPr>
      <w:b/>
      <w:bCs/>
      <w:lang w:eastAsia="en-US"/>
    </w:rPr>
  </w:style>
  <w:style w:type="paragraph" w:styleId="Revision">
    <w:name w:val="Revision"/>
    <w:hidden/>
    <w:uiPriority w:val="99"/>
    <w:semiHidden/>
    <w:rsid w:val="003961E3"/>
    <w:rPr>
      <w:sz w:val="28"/>
      <w:lang w:eastAsia="en-US"/>
    </w:rPr>
  </w:style>
  <w:style w:type="character" w:customStyle="1" w:styleId="Heading1Char">
    <w:name w:val="Heading 1 Char"/>
    <w:link w:val="Heading1"/>
    <w:rsid w:val="00692CDE"/>
    <w:rPr>
      <w:rFonts w:ascii="Verdana" w:hAnsi="Verdana"/>
      <w:b/>
      <w:color w:val="A50021"/>
      <w:lang w:eastAsia="en-US"/>
    </w:rPr>
  </w:style>
  <w:style w:type="character" w:customStyle="1" w:styleId="Heading2Char">
    <w:name w:val="Heading 2 Char"/>
    <w:link w:val="Heading2"/>
    <w:rsid w:val="006E495F"/>
    <w:rPr>
      <w:rFonts w:ascii="Verdana" w:hAnsi="Verdana"/>
      <w:b/>
      <w:color w:val="A50021"/>
      <w:lang w:eastAsia="en-US"/>
    </w:rPr>
  </w:style>
  <w:style w:type="paragraph" w:customStyle="1" w:styleId="Default">
    <w:name w:val="Default"/>
    <w:link w:val="DefaultChar"/>
    <w:rsid w:val="008514C7"/>
    <w:pPr>
      <w:autoSpaceDE w:val="0"/>
      <w:autoSpaceDN w:val="0"/>
      <w:adjustRightInd w:val="0"/>
    </w:pPr>
    <w:rPr>
      <w:color w:val="000000"/>
      <w:sz w:val="24"/>
      <w:szCs w:val="24"/>
      <w:lang w:eastAsia="en-GB"/>
    </w:rPr>
  </w:style>
  <w:style w:type="paragraph" w:customStyle="1" w:styleId="CM1">
    <w:name w:val="CM1"/>
    <w:basedOn w:val="Default"/>
    <w:next w:val="Default"/>
    <w:uiPriority w:val="99"/>
    <w:rsid w:val="00845575"/>
    <w:rPr>
      <w:rFonts w:ascii="EUAlbertina" w:hAnsi="EUAlbertina"/>
      <w:color w:val="auto"/>
    </w:rPr>
  </w:style>
  <w:style w:type="paragraph" w:customStyle="1" w:styleId="CM3">
    <w:name w:val="CM3"/>
    <w:basedOn w:val="Default"/>
    <w:next w:val="Default"/>
    <w:uiPriority w:val="99"/>
    <w:rsid w:val="00845575"/>
    <w:rPr>
      <w:rFonts w:ascii="EUAlbertina" w:hAnsi="EUAlbertina"/>
      <w:color w:val="auto"/>
    </w:rPr>
  </w:style>
  <w:style w:type="character" w:customStyle="1" w:styleId="DefaultChar">
    <w:name w:val="Default Char"/>
    <w:link w:val="Default"/>
    <w:rsid w:val="00C62BD4"/>
    <w:rPr>
      <w:color w:val="000000"/>
      <w:sz w:val="24"/>
      <w:szCs w:val="24"/>
    </w:rPr>
  </w:style>
  <w:style w:type="paragraph" w:customStyle="1" w:styleId="Pagedecouverture">
    <w:name w:val="Page de couverture"/>
    <w:basedOn w:val="Normal"/>
    <w:next w:val="Normal"/>
    <w:rsid w:val="00B773BB"/>
    <w:pPr>
      <w:spacing w:after="0"/>
    </w:pPr>
    <w:rPr>
      <w:rFonts w:eastAsia="Calibri"/>
      <w:sz w:val="24"/>
      <w:szCs w:val="22"/>
    </w:rPr>
  </w:style>
  <w:style w:type="paragraph" w:customStyle="1" w:styleId="Char2">
    <w:name w:val="Char2"/>
    <w:basedOn w:val="Normal"/>
    <w:link w:val="FootnoteReference"/>
    <w:uiPriority w:val="99"/>
    <w:rsid w:val="003B7331"/>
    <w:pPr>
      <w:spacing w:after="160" w:line="240" w:lineRule="exact"/>
      <w:jc w:val="left"/>
    </w:pPr>
    <w:rPr>
      <w:vertAlign w:val="superscript"/>
      <w:lang w:eastAsia="en-GB"/>
    </w:rPr>
  </w:style>
  <w:style w:type="character" w:customStyle="1" w:styleId="BodyTextChar">
    <w:name w:val="Body Text Char"/>
    <w:link w:val="BodyText"/>
    <w:uiPriority w:val="1"/>
    <w:rsid w:val="007502F1"/>
    <w:rPr>
      <w:sz w:val="28"/>
      <w:lang w:eastAsia="en-US"/>
    </w:rPr>
  </w:style>
  <w:style w:type="paragraph" w:customStyle="1" w:styleId="TableParagraph">
    <w:name w:val="Table Paragraph"/>
    <w:basedOn w:val="Normal"/>
    <w:uiPriority w:val="1"/>
    <w:rsid w:val="0044312F"/>
    <w:pPr>
      <w:widowControl w:val="0"/>
      <w:spacing w:before="79" w:after="0"/>
      <w:ind w:left="103"/>
      <w:jc w:val="left"/>
    </w:pPr>
    <w:rPr>
      <w:rFonts w:eastAsia="Verdana" w:cs="Verdana"/>
      <w:sz w:val="22"/>
      <w:szCs w:val="22"/>
    </w:rPr>
  </w:style>
  <w:style w:type="character" w:customStyle="1" w:styleId="Text1Char">
    <w:name w:val="Text 1 Char"/>
    <w:link w:val="Text1"/>
    <w:rsid w:val="004B4644"/>
    <w:rPr>
      <w:sz w:val="28"/>
      <w:lang w:eastAsia="en-US"/>
    </w:rPr>
  </w:style>
  <w:style w:type="character" w:customStyle="1" w:styleId="Bodytext20">
    <w:name w:val="Body text (2)_"/>
    <w:rsid w:val="00544DAC"/>
    <w:rPr>
      <w:b w:val="0"/>
      <w:bCs w:val="0"/>
      <w:i w:val="0"/>
      <w:iCs w:val="0"/>
      <w:smallCaps w:val="0"/>
      <w:strike w:val="0"/>
      <w:sz w:val="22"/>
      <w:szCs w:val="22"/>
      <w:u w:val="none"/>
    </w:rPr>
  </w:style>
  <w:style w:type="character" w:customStyle="1" w:styleId="Bodytext21">
    <w:name w:val="Body text (2)"/>
    <w:rsid w:val="00544DA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it-IT" w:eastAsia="en-US" w:bidi="en-US"/>
    </w:rPr>
  </w:style>
  <w:style w:type="character" w:customStyle="1" w:styleId="Heading20">
    <w:name w:val="Heading #2_"/>
    <w:link w:val="Heading21"/>
    <w:rsid w:val="00544DAC"/>
    <w:rPr>
      <w:sz w:val="22"/>
      <w:szCs w:val="22"/>
      <w:shd w:val="clear" w:color="auto" w:fill="FFFFFF"/>
    </w:rPr>
  </w:style>
  <w:style w:type="paragraph" w:customStyle="1" w:styleId="Heading21">
    <w:name w:val="Heading #2"/>
    <w:basedOn w:val="Normal"/>
    <w:link w:val="Heading20"/>
    <w:rsid w:val="00544DAC"/>
    <w:pPr>
      <w:widowControl w:val="0"/>
      <w:shd w:val="clear" w:color="auto" w:fill="FFFFFF"/>
      <w:spacing w:after="0" w:line="514" w:lineRule="exact"/>
      <w:ind w:hanging="600"/>
      <w:outlineLvl w:val="1"/>
    </w:pPr>
    <w:rPr>
      <w:rFonts w:ascii="Times New Roman" w:hAnsi="Times New Roman"/>
      <w:sz w:val="22"/>
      <w:szCs w:val="22"/>
      <w:lang w:eastAsia="en-GB"/>
    </w:rPr>
  </w:style>
  <w:style w:type="character" w:customStyle="1" w:styleId="Text2Car">
    <w:name w:val="Text 2 Car"/>
    <w:link w:val="Text2"/>
    <w:rsid w:val="00BC77D2"/>
    <w:rPr>
      <w:rFonts w:ascii="Verdana" w:hAnsi="Verdana"/>
      <w:lang w:eastAsia="en-US"/>
    </w:rPr>
  </w:style>
  <w:style w:type="character" w:customStyle="1" w:styleId="Heading3Char">
    <w:name w:val="Heading 3 Char"/>
    <w:link w:val="Heading3"/>
    <w:rsid w:val="00510B7E"/>
    <w:rPr>
      <w:rFonts w:ascii="Verdana" w:hAnsi="Verdana"/>
      <w:i/>
      <w:color w:val="A50021"/>
      <w:u w:val="single"/>
      <w:lang w:eastAsia="en-US"/>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Ha Char"/>
    <w:link w:val="ListParagraph"/>
    <w:uiPriority w:val="34"/>
    <w:rsid w:val="002C50CE"/>
    <w:rPr>
      <w:rFonts w:ascii="Verdana" w:hAnsi="Verdana"/>
      <w:snapToGrid w:val="0"/>
      <w:sz w:val="24"/>
      <w:szCs w:val="24"/>
    </w:rPr>
  </w:style>
  <w:style w:type="character" w:customStyle="1" w:styleId="iceouttxt36">
    <w:name w:val="iceouttxt36"/>
    <w:rsid w:val="002D1390"/>
    <w:rPr>
      <w:rFonts w:ascii="Times New Roman" w:hAnsi="Times New Roman" w:cs="Times New Roman" w:hint="default"/>
      <w:bdr w:val="none" w:sz="0" w:space="0" w:color="auto" w:frame="1"/>
      <w:vertAlign w:val="baseline"/>
    </w:rPr>
  </w:style>
  <w:style w:type="paragraph" w:customStyle="1" w:styleId="1">
    <w:name w:val="1"/>
    <w:basedOn w:val="Normal"/>
    <w:uiPriority w:val="99"/>
    <w:qFormat/>
    <w:rsid w:val="002D1390"/>
    <w:pPr>
      <w:spacing w:after="160" w:line="240" w:lineRule="exact"/>
      <w:jc w:val="left"/>
    </w:pPr>
    <w:rPr>
      <w:rFonts w:ascii="Times New Roman" w:hAnsi="Times New Roman"/>
      <w:vertAlign w:val="superscript"/>
      <w:lang w:eastAsia="en-GB"/>
    </w:rPr>
  </w:style>
  <w:style w:type="character" w:customStyle="1" w:styleId="BodyTextIndentChar">
    <w:name w:val="Body Text Indent Char"/>
    <w:link w:val="BodyTextIndent"/>
    <w:semiHidden/>
    <w:rsid w:val="00A53E20"/>
    <w:rPr>
      <w:rFonts w:ascii="Verdana" w:hAnsi="Verdana"/>
      <w:lang w:eastAsia="en-US"/>
    </w:rPr>
  </w:style>
  <w:style w:type="paragraph" w:customStyle="1" w:styleId="Body">
    <w:name w:val="Body"/>
    <w:rsid w:val="00510B7E"/>
    <w:pPr>
      <w:pBdr>
        <w:top w:val="nil"/>
        <w:left w:val="nil"/>
        <w:bottom w:val="nil"/>
        <w:right w:val="nil"/>
        <w:between w:val="nil"/>
        <w:bar w:val="nil"/>
      </w:pBdr>
      <w:spacing w:after="200"/>
      <w:jc w:val="both"/>
    </w:pPr>
    <w:rPr>
      <w:rFonts w:ascii="Verdana" w:eastAsia="Arial Unicode MS" w:hAnsi="Verdana" w:cs="Arial Unicode MS"/>
      <w:color w:val="000000"/>
      <w:u w:color="000000"/>
      <w:bdr w:val="nil"/>
      <w:lang w:eastAsia="en-GB"/>
    </w:rPr>
  </w:style>
  <w:style w:type="character" w:customStyle="1" w:styleId="Hyperlink3">
    <w:name w:val="Hyperlink.3"/>
    <w:rsid w:val="00510B7E"/>
  </w:style>
  <w:style w:type="paragraph" w:customStyle="1" w:styleId="footnote1">
    <w:name w:val="footnote1"/>
    <w:basedOn w:val="Normal"/>
    <w:qFormat/>
    <w:rsid w:val="00C909EF"/>
    <w:pPr>
      <w:spacing w:after="0"/>
      <w:ind w:left="720" w:hanging="720"/>
    </w:pPr>
    <w:rPr>
      <w:rFonts w:ascii="Times New Roman" w:hAnsi="Times New Roman"/>
      <w:szCs w:val="22"/>
      <w:lang w:eastAsia="en-GB"/>
    </w:rPr>
  </w:style>
  <w:style w:type="paragraph" w:styleId="NormalWeb">
    <w:name w:val="Normal (Web)"/>
    <w:basedOn w:val="Normal"/>
    <w:uiPriority w:val="99"/>
    <w:semiHidden/>
    <w:unhideWhenUsed/>
    <w:rsid w:val="00832213"/>
    <w:pPr>
      <w:spacing w:before="100" w:beforeAutospacing="1" w:after="100" w:afterAutospacing="1"/>
      <w:jc w:val="left"/>
    </w:pPr>
    <w:rPr>
      <w:rFonts w:ascii="Times New Roman" w:hAnsi="Times New Roman"/>
      <w:sz w:val="24"/>
      <w:szCs w:val="24"/>
      <w:lang w:eastAsia="en-GB"/>
    </w:rPr>
  </w:style>
  <w:style w:type="paragraph" w:customStyle="1" w:styleId="paragraph">
    <w:name w:val="paragraph"/>
    <w:basedOn w:val="Normal"/>
    <w:rsid w:val="008B1F42"/>
    <w:pPr>
      <w:spacing w:before="100" w:beforeAutospacing="1" w:after="100" w:afterAutospacing="1"/>
      <w:jc w:val="left"/>
    </w:pPr>
    <w:rPr>
      <w:rFonts w:ascii="Times New Roman" w:hAnsi="Times New Roman"/>
      <w:sz w:val="24"/>
      <w:szCs w:val="24"/>
      <w:lang w:eastAsia="fr-BE"/>
    </w:rPr>
  </w:style>
  <w:style w:type="character" w:customStyle="1" w:styleId="normaltextrun">
    <w:name w:val="normaltextrun"/>
    <w:rsid w:val="008B1F42"/>
  </w:style>
  <w:style w:type="character" w:customStyle="1" w:styleId="eop">
    <w:name w:val="eop"/>
    <w:rsid w:val="008B1F42"/>
  </w:style>
  <w:style w:type="table" w:customStyle="1" w:styleId="TableLetterhead">
    <w:name w:val="Table Letterhead"/>
    <w:basedOn w:val="TableNormal"/>
    <w:semiHidden/>
    <w:rsid w:val="0062273B"/>
    <w:rPr>
      <w:sz w:val="24"/>
    </w:rPr>
    <w:tblPr>
      <w:tblCellMar>
        <w:left w:w="0" w:type="dxa"/>
        <w:bottom w:w="340" w:type="dxa"/>
        <w:right w:w="0" w:type="dxa"/>
      </w:tblCellMar>
    </w:tblPr>
  </w:style>
  <w:style w:type="paragraph" w:styleId="HTMLPreformatted">
    <w:name w:val="HTML Preformatted"/>
    <w:basedOn w:val="Normal"/>
    <w:link w:val="HTMLPreformattedChar"/>
    <w:uiPriority w:val="99"/>
    <w:semiHidden/>
    <w:unhideWhenUsed/>
    <w:rsid w:val="00C05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lang w:val="en-GB" w:eastAsia="en-GB"/>
    </w:rPr>
  </w:style>
  <w:style w:type="character" w:customStyle="1" w:styleId="HTMLPreformattedChar">
    <w:name w:val="HTML Preformatted Char"/>
    <w:basedOn w:val="DefaultParagraphFont"/>
    <w:link w:val="HTMLPreformatted"/>
    <w:uiPriority w:val="99"/>
    <w:semiHidden/>
    <w:rsid w:val="00C05637"/>
    <w:rPr>
      <w:rFonts w:ascii="Courier New" w:hAnsi="Courier New" w:cs="Courier New"/>
      <w:lang w:val="en-GB" w:eastAsia="en-GB"/>
    </w:rPr>
  </w:style>
  <w:style w:type="character" w:customStyle="1" w:styleId="y2iqfc">
    <w:name w:val="y2iqfc"/>
    <w:basedOn w:val="DefaultParagraphFont"/>
    <w:rsid w:val="00C05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68761">
      <w:bodyDiv w:val="1"/>
      <w:marLeft w:val="0"/>
      <w:marRight w:val="0"/>
      <w:marTop w:val="0"/>
      <w:marBottom w:val="0"/>
      <w:divBdr>
        <w:top w:val="none" w:sz="0" w:space="0" w:color="auto"/>
        <w:left w:val="none" w:sz="0" w:space="0" w:color="auto"/>
        <w:bottom w:val="none" w:sz="0" w:space="0" w:color="auto"/>
        <w:right w:val="none" w:sz="0" w:space="0" w:color="auto"/>
      </w:divBdr>
      <w:divsChild>
        <w:div w:id="95683694">
          <w:marLeft w:val="0"/>
          <w:marRight w:val="0"/>
          <w:marTop w:val="0"/>
          <w:marBottom w:val="0"/>
          <w:divBdr>
            <w:top w:val="none" w:sz="0" w:space="0" w:color="auto"/>
            <w:left w:val="none" w:sz="0" w:space="0" w:color="auto"/>
            <w:bottom w:val="none" w:sz="0" w:space="0" w:color="auto"/>
            <w:right w:val="none" w:sz="0" w:space="0" w:color="auto"/>
          </w:divBdr>
        </w:div>
      </w:divsChild>
    </w:div>
    <w:div w:id="38669110">
      <w:bodyDiv w:val="1"/>
      <w:marLeft w:val="0"/>
      <w:marRight w:val="0"/>
      <w:marTop w:val="0"/>
      <w:marBottom w:val="0"/>
      <w:divBdr>
        <w:top w:val="none" w:sz="0" w:space="0" w:color="auto"/>
        <w:left w:val="none" w:sz="0" w:space="0" w:color="auto"/>
        <w:bottom w:val="none" w:sz="0" w:space="0" w:color="auto"/>
        <w:right w:val="none" w:sz="0" w:space="0" w:color="auto"/>
      </w:divBdr>
    </w:div>
    <w:div w:id="90123816">
      <w:bodyDiv w:val="1"/>
      <w:marLeft w:val="0"/>
      <w:marRight w:val="0"/>
      <w:marTop w:val="0"/>
      <w:marBottom w:val="0"/>
      <w:divBdr>
        <w:top w:val="none" w:sz="0" w:space="0" w:color="auto"/>
        <w:left w:val="none" w:sz="0" w:space="0" w:color="auto"/>
        <w:bottom w:val="none" w:sz="0" w:space="0" w:color="auto"/>
        <w:right w:val="none" w:sz="0" w:space="0" w:color="auto"/>
      </w:divBdr>
    </w:div>
    <w:div w:id="103040698">
      <w:bodyDiv w:val="1"/>
      <w:marLeft w:val="0"/>
      <w:marRight w:val="0"/>
      <w:marTop w:val="0"/>
      <w:marBottom w:val="0"/>
      <w:divBdr>
        <w:top w:val="none" w:sz="0" w:space="0" w:color="auto"/>
        <w:left w:val="none" w:sz="0" w:space="0" w:color="auto"/>
        <w:bottom w:val="none" w:sz="0" w:space="0" w:color="auto"/>
        <w:right w:val="none" w:sz="0" w:space="0" w:color="auto"/>
      </w:divBdr>
    </w:div>
    <w:div w:id="141432808">
      <w:bodyDiv w:val="1"/>
      <w:marLeft w:val="0"/>
      <w:marRight w:val="0"/>
      <w:marTop w:val="0"/>
      <w:marBottom w:val="0"/>
      <w:divBdr>
        <w:top w:val="none" w:sz="0" w:space="0" w:color="auto"/>
        <w:left w:val="none" w:sz="0" w:space="0" w:color="auto"/>
        <w:bottom w:val="none" w:sz="0" w:space="0" w:color="auto"/>
        <w:right w:val="none" w:sz="0" w:space="0" w:color="auto"/>
      </w:divBdr>
    </w:div>
    <w:div w:id="176887031">
      <w:bodyDiv w:val="1"/>
      <w:marLeft w:val="0"/>
      <w:marRight w:val="0"/>
      <w:marTop w:val="0"/>
      <w:marBottom w:val="0"/>
      <w:divBdr>
        <w:top w:val="none" w:sz="0" w:space="0" w:color="auto"/>
        <w:left w:val="none" w:sz="0" w:space="0" w:color="auto"/>
        <w:bottom w:val="none" w:sz="0" w:space="0" w:color="auto"/>
        <w:right w:val="none" w:sz="0" w:space="0" w:color="auto"/>
      </w:divBdr>
    </w:div>
    <w:div w:id="190265158">
      <w:bodyDiv w:val="1"/>
      <w:marLeft w:val="0"/>
      <w:marRight w:val="0"/>
      <w:marTop w:val="0"/>
      <w:marBottom w:val="0"/>
      <w:divBdr>
        <w:top w:val="none" w:sz="0" w:space="0" w:color="auto"/>
        <w:left w:val="none" w:sz="0" w:space="0" w:color="auto"/>
        <w:bottom w:val="none" w:sz="0" w:space="0" w:color="auto"/>
        <w:right w:val="none" w:sz="0" w:space="0" w:color="auto"/>
      </w:divBdr>
    </w:div>
    <w:div w:id="210846157">
      <w:bodyDiv w:val="1"/>
      <w:marLeft w:val="0"/>
      <w:marRight w:val="0"/>
      <w:marTop w:val="0"/>
      <w:marBottom w:val="0"/>
      <w:divBdr>
        <w:top w:val="none" w:sz="0" w:space="0" w:color="auto"/>
        <w:left w:val="none" w:sz="0" w:space="0" w:color="auto"/>
        <w:bottom w:val="none" w:sz="0" w:space="0" w:color="auto"/>
        <w:right w:val="none" w:sz="0" w:space="0" w:color="auto"/>
      </w:divBdr>
    </w:div>
    <w:div w:id="211692104">
      <w:bodyDiv w:val="1"/>
      <w:marLeft w:val="0"/>
      <w:marRight w:val="0"/>
      <w:marTop w:val="0"/>
      <w:marBottom w:val="0"/>
      <w:divBdr>
        <w:top w:val="none" w:sz="0" w:space="0" w:color="auto"/>
        <w:left w:val="none" w:sz="0" w:space="0" w:color="auto"/>
        <w:bottom w:val="none" w:sz="0" w:space="0" w:color="auto"/>
        <w:right w:val="none" w:sz="0" w:space="0" w:color="auto"/>
      </w:divBdr>
    </w:div>
    <w:div w:id="219949969">
      <w:bodyDiv w:val="1"/>
      <w:marLeft w:val="0"/>
      <w:marRight w:val="0"/>
      <w:marTop w:val="0"/>
      <w:marBottom w:val="0"/>
      <w:divBdr>
        <w:top w:val="none" w:sz="0" w:space="0" w:color="auto"/>
        <w:left w:val="none" w:sz="0" w:space="0" w:color="auto"/>
        <w:bottom w:val="none" w:sz="0" w:space="0" w:color="auto"/>
        <w:right w:val="none" w:sz="0" w:space="0" w:color="auto"/>
      </w:divBdr>
    </w:div>
    <w:div w:id="221603459">
      <w:bodyDiv w:val="1"/>
      <w:marLeft w:val="0"/>
      <w:marRight w:val="0"/>
      <w:marTop w:val="0"/>
      <w:marBottom w:val="0"/>
      <w:divBdr>
        <w:top w:val="none" w:sz="0" w:space="0" w:color="auto"/>
        <w:left w:val="none" w:sz="0" w:space="0" w:color="auto"/>
        <w:bottom w:val="none" w:sz="0" w:space="0" w:color="auto"/>
        <w:right w:val="none" w:sz="0" w:space="0" w:color="auto"/>
      </w:divBdr>
    </w:div>
    <w:div w:id="227038112">
      <w:bodyDiv w:val="1"/>
      <w:marLeft w:val="0"/>
      <w:marRight w:val="0"/>
      <w:marTop w:val="0"/>
      <w:marBottom w:val="0"/>
      <w:divBdr>
        <w:top w:val="none" w:sz="0" w:space="0" w:color="auto"/>
        <w:left w:val="none" w:sz="0" w:space="0" w:color="auto"/>
        <w:bottom w:val="none" w:sz="0" w:space="0" w:color="auto"/>
        <w:right w:val="none" w:sz="0" w:space="0" w:color="auto"/>
      </w:divBdr>
      <w:divsChild>
        <w:div w:id="1323775610">
          <w:marLeft w:val="0"/>
          <w:marRight w:val="0"/>
          <w:marTop w:val="0"/>
          <w:marBottom w:val="0"/>
          <w:divBdr>
            <w:top w:val="none" w:sz="0" w:space="0" w:color="auto"/>
            <w:left w:val="none" w:sz="0" w:space="0" w:color="auto"/>
            <w:bottom w:val="none" w:sz="0" w:space="0" w:color="auto"/>
            <w:right w:val="none" w:sz="0" w:space="0" w:color="auto"/>
          </w:divBdr>
        </w:div>
      </w:divsChild>
    </w:div>
    <w:div w:id="262030436">
      <w:bodyDiv w:val="1"/>
      <w:marLeft w:val="0"/>
      <w:marRight w:val="0"/>
      <w:marTop w:val="0"/>
      <w:marBottom w:val="0"/>
      <w:divBdr>
        <w:top w:val="none" w:sz="0" w:space="0" w:color="auto"/>
        <w:left w:val="none" w:sz="0" w:space="0" w:color="auto"/>
        <w:bottom w:val="none" w:sz="0" w:space="0" w:color="auto"/>
        <w:right w:val="none" w:sz="0" w:space="0" w:color="auto"/>
      </w:divBdr>
    </w:div>
    <w:div w:id="359743173">
      <w:bodyDiv w:val="1"/>
      <w:marLeft w:val="0"/>
      <w:marRight w:val="0"/>
      <w:marTop w:val="0"/>
      <w:marBottom w:val="0"/>
      <w:divBdr>
        <w:top w:val="none" w:sz="0" w:space="0" w:color="auto"/>
        <w:left w:val="none" w:sz="0" w:space="0" w:color="auto"/>
        <w:bottom w:val="none" w:sz="0" w:space="0" w:color="auto"/>
        <w:right w:val="none" w:sz="0" w:space="0" w:color="auto"/>
      </w:divBdr>
    </w:div>
    <w:div w:id="409469453">
      <w:bodyDiv w:val="1"/>
      <w:marLeft w:val="0"/>
      <w:marRight w:val="0"/>
      <w:marTop w:val="0"/>
      <w:marBottom w:val="0"/>
      <w:divBdr>
        <w:top w:val="none" w:sz="0" w:space="0" w:color="auto"/>
        <w:left w:val="none" w:sz="0" w:space="0" w:color="auto"/>
        <w:bottom w:val="none" w:sz="0" w:space="0" w:color="auto"/>
        <w:right w:val="none" w:sz="0" w:space="0" w:color="auto"/>
      </w:divBdr>
    </w:div>
    <w:div w:id="419571455">
      <w:bodyDiv w:val="1"/>
      <w:marLeft w:val="0"/>
      <w:marRight w:val="0"/>
      <w:marTop w:val="0"/>
      <w:marBottom w:val="0"/>
      <w:divBdr>
        <w:top w:val="none" w:sz="0" w:space="0" w:color="auto"/>
        <w:left w:val="none" w:sz="0" w:space="0" w:color="auto"/>
        <w:bottom w:val="none" w:sz="0" w:space="0" w:color="auto"/>
        <w:right w:val="none" w:sz="0" w:space="0" w:color="auto"/>
      </w:divBdr>
    </w:div>
    <w:div w:id="424419585">
      <w:bodyDiv w:val="1"/>
      <w:marLeft w:val="0"/>
      <w:marRight w:val="0"/>
      <w:marTop w:val="0"/>
      <w:marBottom w:val="0"/>
      <w:divBdr>
        <w:top w:val="none" w:sz="0" w:space="0" w:color="auto"/>
        <w:left w:val="none" w:sz="0" w:space="0" w:color="auto"/>
        <w:bottom w:val="none" w:sz="0" w:space="0" w:color="auto"/>
        <w:right w:val="none" w:sz="0" w:space="0" w:color="auto"/>
      </w:divBdr>
    </w:div>
    <w:div w:id="447773217">
      <w:bodyDiv w:val="1"/>
      <w:marLeft w:val="0"/>
      <w:marRight w:val="0"/>
      <w:marTop w:val="0"/>
      <w:marBottom w:val="0"/>
      <w:divBdr>
        <w:top w:val="none" w:sz="0" w:space="0" w:color="auto"/>
        <w:left w:val="none" w:sz="0" w:space="0" w:color="auto"/>
        <w:bottom w:val="none" w:sz="0" w:space="0" w:color="auto"/>
        <w:right w:val="none" w:sz="0" w:space="0" w:color="auto"/>
      </w:divBdr>
    </w:div>
    <w:div w:id="533690867">
      <w:bodyDiv w:val="1"/>
      <w:marLeft w:val="0"/>
      <w:marRight w:val="0"/>
      <w:marTop w:val="0"/>
      <w:marBottom w:val="0"/>
      <w:divBdr>
        <w:top w:val="none" w:sz="0" w:space="0" w:color="auto"/>
        <w:left w:val="none" w:sz="0" w:space="0" w:color="auto"/>
        <w:bottom w:val="none" w:sz="0" w:space="0" w:color="auto"/>
        <w:right w:val="none" w:sz="0" w:space="0" w:color="auto"/>
      </w:divBdr>
      <w:divsChild>
        <w:div w:id="772475555">
          <w:marLeft w:val="0"/>
          <w:marRight w:val="0"/>
          <w:marTop w:val="0"/>
          <w:marBottom w:val="0"/>
          <w:divBdr>
            <w:top w:val="none" w:sz="0" w:space="0" w:color="auto"/>
            <w:left w:val="none" w:sz="0" w:space="0" w:color="auto"/>
            <w:bottom w:val="none" w:sz="0" w:space="0" w:color="auto"/>
            <w:right w:val="none" w:sz="0" w:space="0" w:color="auto"/>
          </w:divBdr>
        </w:div>
      </w:divsChild>
    </w:div>
    <w:div w:id="570122764">
      <w:bodyDiv w:val="1"/>
      <w:marLeft w:val="0"/>
      <w:marRight w:val="0"/>
      <w:marTop w:val="0"/>
      <w:marBottom w:val="0"/>
      <w:divBdr>
        <w:top w:val="none" w:sz="0" w:space="0" w:color="auto"/>
        <w:left w:val="none" w:sz="0" w:space="0" w:color="auto"/>
        <w:bottom w:val="none" w:sz="0" w:space="0" w:color="auto"/>
        <w:right w:val="none" w:sz="0" w:space="0" w:color="auto"/>
      </w:divBdr>
    </w:div>
    <w:div w:id="611135809">
      <w:bodyDiv w:val="1"/>
      <w:marLeft w:val="0"/>
      <w:marRight w:val="0"/>
      <w:marTop w:val="0"/>
      <w:marBottom w:val="0"/>
      <w:divBdr>
        <w:top w:val="none" w:sz="0" w:space="0" w:color="auto"/>
        <w:left w:val="none" w:sz="0" w:space="0" w:color="auto"/>
        <w:bottom w:val="none" w:sz="0" w:space="0" w:color="auto"/>
        <w:right w:val="none" w:sz="0" w:space="0" w:color="auto"/>
      </w:divBdr>
    </w:div>
    <w:div w:id="616529841">
      <w:bodyDiv w:val="1"/>
      <w:marLeft w:val="0"/>
      <w:marRight w:val="0"/>
      <w:marTop w:val="0"/>
      <w:marBottom w:val="0"/>
      <w:divBdr>
        <w:top w:val="none" w:sz="0" w:space="0" w:color="auto"/>
        <w:left w:val="none" w:sz="0" w:space="0" w:color="auto"/>
        <w:bottom w:val="none" w:sz="0" w:space="0" w:color="auto"/>
        <w:right w:val="none" w:sz="0" w:space="0" w:color="auto"/>
      </w:divBdr>
    </w:div>
    <w:div w:id="630791554">
      <w:bodyDiv w:val="1"/>
      <w:marLeft w:val="0"/>
      <w:marRight w:val="0"/>
      <w:marTop w:val="0"/>
      <w:marBottom w:val="0"/>
      <w:divBdr>
        <w:top w:val="none" w:sz="0" w:space="0" w:color="auto"/>
        <w:left w:val="none" w:sz="0" w:space="0" w:color="auto"/>
        <w:bottom w:val="none" w:sz="0" w:space="0" w:color="auto"/>
        <w:right w:val="none" w:sz="0" w:space="0" w:color="auto"/>
      </w:divBdr>
    </w:div>
    <w:div w:id="631522879">
      <w:bodyDiv w:val="1"/>
      <w:marLeft w:val="0"/>
      <w:marRight w:val="0"/>
      <w:marTop w:val="0"/>
      <w:marBottom w:val="0"/>
      <w:divBdr>
        <w:top w:val="none" w:sz="0" w:space="0" w:color="auto"/>
        <w:left w:val="none" w:sz="0" w:space="0" w:color="auto"/>
        <w:bottom w:val="none" w:sz="0" w:space="0" w:color="auto"/>
        <w:right w:val="none" w:sz="0" w:space="0" w:color="auto"/>
      </w:divBdr>
    </w:div>
    <w:div w:id="632515580">
      <w:bodyDiv w:val="1"/>
      <w:marLeft w:val="0"/>
      <w:marRight w:val="0"/>
      <w:marTop w:val="0"/>
      <w:marBottom w:val="0"/>
      <w:divBdr>
        <w:top w:val="none" w:sz="0" w:space="0" w:color="auto"/>
        <w:left w:val="none" w:sz="0" w:space="0" w:color="auto"/>
        <w:bottom w:val="none" w:sz="0" w:space="0" w:color="auto"/>
        <w:right w:val="none" w:sz="0" w:space="0" w:color="auto"/>
      </w:divBdr>
    </w:div>
    <w:div w:id="666978706">
      <w:bodyDiv w:val="1"/>
      <w:marLeft w:val="0"/>
      <w:marRight w:val="0"/>
      <w:marTop w:val="0"/>
      <w:marBottom w:val="0"/>
      <w:divBdr>
        <w:top w:val="none" w:sz="0" w:space="0" w:color="auto"/>
        <w:left w:val="none" w:sz="0" w:space="0" w:color="auto"/>
        <w:bottom w:val="none" w:sz="0" w:space="0" w:color="auto"/>
        <w:right w:val="none" w:sz="0" w:space="0" w:color="auto"/>
      </w:divBdr>
    </w:div>
    <w:div w:id="668796837">
      <w:bodyDiv w:val="1"/>
      <w:marLeft w:val="0"/>
      <w:marRight w:val="0"/>
      <w:marTop w:val="0"/>
      <w:marBottom w:val="0"/>
      <w:divBdr>
        <w:top w:val="none" w:sz="0" w:space="0" w:color="auto"/>
        <w:left w:val="none" w:sz="0" w:space="0" w:color="auto"/>
        <w:bottom w:val="none" w:sz="0" w:space="0" w:color="auto"/>
        <w:right w:val="none" w:sz="0" w:space="0" w:color="auto"/>
      </w:divBdr>
    </w:div>
    <w:div w:id="672874959">
      <w:bodyDiv w:val="1"/>
      <w:marLeft w:val="0"/>
      <w:marRight w:val="0"/>
      <w:marTop w:val="0"/>
      <w:marBottom w:val="0"/>
      <w:divBdr>
        <w:top w:val="none" w:sz="0" w:space="0" w:color="auto"/>
        <w:left w:val="none" w:sz="0" w:space="0" w:color="auto"/>
        <w:bottom w:val="none" w:sz="0" w:space="0" w:color="auto"/>
        <w:right w:val="none" w:sz="0" w:space="0" w:color="auto"/>
      </w:divBdr>
    </w:div>
    <w:div w:id="724332788">
      <w:bodyDiv w:val="1"/>
      <w:marLeft w:val="0"/>
      <w:marRight w:val="0"/>
      <w:marTop w:val="0"/>
      <w:marBottom w:val="0"/>
      <w:divBdr>
        <w:top w:val="none" w:sz="0" w:space="0" w:color="auto"/>
        <w:left w:val="none" w:sz="0" w:space="0" w:color="auto"/>
        <w:bottom w:val="none" w:sz="0" w:space="0" w:color="auto"/>
        <w:right w:val="none" w:sz="0" w:space="0" w:color="auto"/>
      </w:divBdr>
    </w:div>
    <w:div w:id="724571305">
      <w:bodyDiv w:val="1"/>
      <w:marLeft w:val="0"/>
      <w:marRight w:val="0"/>
      <w:marTop w:val="0"/>
      <w:marBottom w:val="0"/>
      <w:divBdr>
        <w:top w:val="none" w:sz="0" w:space="0" w:color="auto"/>
        <w:left w:val="none" w:sz="0" w:space="0" w:color="auto"/>
        <w:bottom w:val="none" w:sz="0" w:space="0" w:color="auto"/>
        <w:right w:val="none" w:sz="0" w:space="0" w:color="auto"/>
      </w:divBdr>
    </w:div>
    <w:div w:id="726759194">
      <w:bodyDiv w:val="1"/>
      <w:marLeft w:val="0"/>
      <w:marRight w:val="0"/>
      <w:marTop w:val="0"/>
      <w:marBottom w:val="0"/>
      <w:divBdr>
        <w:top w:val="none" w:sz="0" w:space="0" w:color="auto"/>
        <w:left w:val="none" w:sz="0" w:space="0" w:color="auto"/>
        <w:bottom w:val="none" w:sz="0" w:space="0" w:color="auto"/>
        <w:right w:val="none" w:sz="0" w:space="0" w:color="auto"/>
      </w:divBdr>
    </w:div>
    <w:div w:id="788429702">
      <w:bodyDiv w:val="1"/>
      <w:marLeft w:val="0"/>
      <w:marRight w:val="0"/>
      <w:marTop w:val="0"/>
      <w:marBottom w:val="0"/>
      <w:divBdr>
        <w:top w:val="none" w:sz="0" w:space="0" w:color="auto"/>
        <w:left w:val="none" w:sz="0" w:space="0" w:color="auto"/>
        <w:bottom w:val="none" w:sz="0" w:space="0" w:color="auto"/>
        <w:right w:val="none" w:sz="0" w:space="0" w:color="auto"/>
      </w:divBdr>
    </w:div>
    <w:div w:id="796067230">
      <w:bodyDiv w:val="1"/>
      <w:marLeft w:val="0"/>
      <w:marRight w:val="0"/>
      <w:marTop w:val="0"/>
      <w:marBottom w:val="0"/>
      <w:divBdr>
        <w:top w:val="none" w:sz="0" w:space="0" w:color="auto"/>
        <w:left w:val="none" w:sz="0" w:space="0" w:color="auto"/>
        <w:bottom w:val="none" w:sz="0" w:space="0" w:color="auto"/>
        <w:right w:val="none" w:sz="0" w:space="0" w:color="auto"/>
      </w:divBdr>
    </w:div>
    <w:div w:id="821583369">
      <w:bodyDiv w:val="1"/>
      <w:marLeft w:val="0"/>
      <w:marRight w:val="0"/>
      <w:marTop w:val="0"/>
      <w:marBottom w:val="0"/>
      <w:divBdr>
        <w:top w:val="none" w:sz="0" w:space="0" w:color="auto"/>
        <w:left w:val="none" w:sz="0" w:space="0" w:color="auto"/>
        <w:bottom w:val="none" w:sz="0" w:space="0" w:color="auto"/>
        <w:right w:val="none" w:sz="0" w:space="0" w:color="auto"/>
      </w:divBdr>
    </w:div>
    <w:div w:id="854685111">
      <w:bodyDiv w:val="1"/>
      <w:marLeft w:val="0"/>
      <w:marRight w:val="0"/>
      <w:marTop w:val="0"/>
      <w:marBottom w:val="0"/>
      <w:divBdr>
        <w:top w:val="none" w:sz="0" w:space="0" w:color="auto"/>
        <w:left w:val="none" w:sz="0" w:space="0" w:color="auto"/>
        <w:bottom w:val="none" w:sz="0" w:space="0" w:color="auto"/>
        <w:right w:val="none" w:sz="0" w:space="0" w:color="auto"/>
      </w:divBdr>
    </w:div>
    <w:div w:id="894436173">
      <w:bodyDiv w:val="1"/>
      <w:marLeft w:val="0"/>
      <w:marRight w:val="0"/>
      <w:marTop w:val="0"/>
      <w:marBottom w:val="0"/>
      <w:divBdr>
        <w:top w:val="none" w:sz="0" w:space="0" w:color="auto"/>
        <w:left w:val="none" w:sz="0" w:space="0" w:color="auto"/>
        <w:bottom w:val="none" w:sz="0" w:space="0" w:color="auto"/>
        <w:right w:val="none" w:sz="0" w:space="0" w:color="auto"/>
      </w:divBdr>
    </w:div>
    <w:div w:id="895354809">
      <w:bodyDiv w:val="1"/>
      <w:marLeft w:val="0"/>
      <w:marRight w:val="0"/>
      <w:marTop w:val="0"/>
      <w:marBottom w:val="0"/>
      <w:divBdr>
        <w:top w:val="none" w:sz="0" w:space="0" w:color="auto"/>
        <w:left w:val="none" w:sz="0" w:space="0" w:color="auto"/>
        <w:bottom w:val="none" w:sz="0" w:space="0" w:color="auto"/>
        <w:right w:val="none" w:sz="0" w:space="0" w:color="auto"/>
      </w:divBdr>
    </w:div>
    <w:div w:id="997726798">
      <w:bodyDiv w:val="1"/>
      <w:marLeft w:val="0"/>
      <w:marRight w:val="0"/>
      <w:marTop w:val="0"/>
      <w:marBottom w:val="0"/>
      <w:divBdr>
        <w:top w:val="none" w:sz="0" w:space="0" w:color="auto"/>
        <w:left w:val="none" w:sz="0" w:space="0" w:color="auto"/>
        <w:bottom w:val="none" w:sz="0" w:space="0" w:color="auto"/>
        <w:right w:val="none" w:sz="0" w:space="0" w:color="auto"/>
      </w:divBdr>
    </w:div>
    <w:div w:id="1109156641">
      <w:bodyDiv w:val="1"/>
      <w:marLeft w:val="0"/>
      <w:marRight w:val="0"/>
      <w:marTop w:val="0"/>
      <w:marBottom w:val="0"/>
      <w:divBdr>
        <w:top w:val="none" w:sz="0" w:space="0" w:color="auto"/>
        <w:left w:val="none" w:sz="0" w:space="0" w:color="auto"/>
        <w:bottom w:val="none" w:sz="0" w:space="0" w:color="auto"/>
        <w:right w:val="none" w:sz="0" w:space="0" w:color="auto"/>
      </w:divBdr>
    </w:div>
    <w:div w:id="1145196951">
      <w:bodyDiv w:val="1"/>
      <w:marLeft w:val="0"/>
      <w:marRight w:val="0"/>
      <w:marTop w:val="0"/>
      <w:marBottom w:val="0"/>
      <w:divBdr>
        <w:top w:val="none" w:sz="0" w:space="0" w:color="auto"/>
        <w:left w:val="none" w:sz="0" w:space="0" w:color="auto"/>
        <w:bottom w:val="none" w:sz="0" w:space="0" w:color="auto"/>
        <w:right w:val="none" w:sz="0" w:space="0" w:color="auto"/>
      </w:divBdr>
    </w:div>
    <w:div w:id="1156262582">
      <w:bodyDiv w:val="1"/>
      <w:marLeft w:val="0"/>
      <w:marRight w:val="0"/>
      <w:marTop w:val="0"/>
      <w:marBottom w:val="0"/>
      <w:divBdr>
        <w:top w:val="none" w:sz="0" w:space="0" w:color="auto"/>
        <w:left w:val="none" w:sz="0" w:space="0" w:color="auto"/>
        <w:bottom w:val="none" w:sz="0" w:space="0" w:color="auto"/>
        <w:right w:val="none" w:sz="0" w:space="0" w:color="auto"/>
      </w:divBdr>
    </w:div>
    <w:div w:id="1173647993">
      <w:bodyDiv w:val="1"/>
      <w:marLeft w:val="0"/>
      <w:marRight w:val="0"/>
      <w:marTop w:val="0"/>
      <w:marBottom w:val="0"/>
      <w:divBdr>
        <w:top w:val="none" w:sz="0" w:space="0" w:color="auto"/>
        <w:left w:val="none" w:sz="0" w:space="0" w:color="auto"/>
        <w:bottom w:val="none" w:sz="0" w:space="0" w:color="auto"/>
        <w:right w:val="none" w:sz="0" w:space="0" w:color="auto"/>
      </w:divBdr>
    </w:div>
    <w:div w:id="1250698026">
      <w:bodyDiv w:val="1"/>
      <w:marLeft w:val="0"/>
      <w:marRight w:val="0"/>
      <w:marTop w:val="0"/>
      <w:marBottom w:val="0"/>
      <w:divBdr>
        <w:top w:val="none" w:sz="0" w:space="0" w:color="auto"/>
        <w:left w:val="none" w:sz="0" w:space="0" w:color="auto"/>
        <w:bottom w:val="none" w:sz="0" w:space="0" w:color="auto"/>
        <w:right w:val="none" w:sz="0" w:space="0" w:color="auto"/>
      </w:divBdr>
    </w:div>
    <w:div w:id="1256867543">
      <w:bodyDiv w:val="1"/>
      <w:marLeft w:val="0"/>
      <w:marRight w:val="0"/>
      <w:marTop w:val="0"/>
      <w:marBottom w:val="0"/>
      <w:divBdr>
        <w:top w:val="none" w:sz="0" w:space="0" w:color="auto"/>
        <w:left w:val="none" w:sz="0" w:space="0" w:color="auto"/>
        <w:bottom w:val="none" w:sz="0" w:space="0" w:color="auto"/>
        <w:right w:val="none" w:sz="0" w:space="0" w:color="auto"/>
      </w:divBdr>
    </w:div>
    <w:div w:id="1360471180">
      <w:bodyDiv w:val="1"/>
      <w:marLeft w:val="0"/>
      <w:marRight w:val="0"/>
      <w:marTop w:val="0"/>
      <w:marBottom w:val="0"/>
      <w:divBdr>
        <w:top w:val="none" w:sz="0" w:space="0" w:color="auto"/>
        <w:left w:val="none" w:sz="0" w:space="0" w:color="auto"/>
        <w:bottom w:val="none" w:sz="0" w:space="0" w:color="auto"/>
        <w:right w:val="none" w:sz="0" w:space="0" w:color="auto"/>
      </w:divBdr>
    </w:div>
    <w:div w:id="1384131897">
      <w:bodyDiv w:val="1"/>
      <w:marLeft w:val="0"/>
      <w:marRight w:val="0"/>
      <w:marTop w:val="0"/>
      <w:marBottom w:val="0"/>
      <w:divBdr>
        <w:top w:val="none" w:sz="0" w:space="0" w:color="auto"/>
        <w:left w:val="none" w:sz="0" w:space="0" w:color="auto"/>
        <w:bottom w:val="none" w:sz="0" w:space="0" w:color="auto"/>
        <w:right w:val="none" w:sz="0" w:space="0" w:color="auto"/>
      </w:divBdr>
    </w:div>
    <w:div w:id="1451827119">
      <w:bodyDiv w:val="1"/>
      <w:marLeft w:val="0"/>
      <w:marRight w:val="0"/>
      <w:marTop w:val="0"/>
      <w:marBottom w:val="0"/>
      <w:divBdr>
        <w:top w:val="none" w:sz="0" w:space="0" w:color="auto"/>
        <w:left w:val="none" w:sz="0" w:space="0" w:color="auto"/>
        <w:bottom w:val="none" w:sz="0" w:space="0" w:color="auto"/>
        <w:right w:val="none" w:sz="0" w:space="0" w:color="auto"/>
      </w:divBdr>
    </w:div>
    <w:div w:id="1517234381">
      <w:bodyDiv w:val="1"/>
      <w:marLeft w:val="0"/>
      <w:marRight w:val="0"/>
      <w:marTop w:val="0"/>
      <w:marBottom w:val="0"/>
      <w:divBdr>
        <w:top w:val="none" w:sz="0" w:space="0" w:color="auto"/>
        <w:left w:val="none" w:sz="0" w:space="0" w:color="auto"/>
        <w:bottom w:val="none" w:sz="0" w:space="0" w:color="auto"/>
        <w:right w:val="none" w:sz="0" w:space="0" w:color="auto"/>
      </w:divBdr>
    </w:div>
    <w:div w:id="1539776412">
      <w:bodyDiv w:val="1"/>
      <w:marLeft w:val="0"/>
      <w:marRight w:val="0"/>
      <w:marTop w:val="0"/>
      <w:marBottom w:val="0"/>
      <w:divBdr>
        <w:top w:val="none" w:sz="0" w:space="0" w:color="auto"/>
        <w:left w:val="none" w:sz="0" w:space="0" w:color="auto"/>
        <w:bottom w:val="none" w:sz="0" w:space="0" w:color="auto"/>
        <w:right w:val="none" w:sz="0" w:space="0" w:color="auto"/>
      </w:divBdr>
    </w:div>
    <w:div w:id="1541359469">
      <w:bodyDiv w:val="1"/>
      <w:marLeft w:val="0"/>
      <w:marRight w:val="0"/>
      <w:marTop w:val="0"/>
      <w:marBottom w:val="0"/>
      <w:divBdr>
        <w:top w:val="none" w:sz="0" w:space="0" w:color="auto"/>
        <w:left w:val="none" w:sz="0" w:space="0" w:color="auto"/>
        <w:bottom w:val="none" w:sz="0" w:space="0" w:color="auto"/>
        <w:right w:val="none" w:sz="0" w:space="0" w:color="auto"/>
      </w:divBdr>
    </w:div>
    <w:div w:id="1635060599">
      <w:bodyDiv w:val="1"/>
      <w:marLeft w:val="0"/>
      <w:marRight w:val="0"/>
      <w:marTop w:val="0"/>
      <w:marBottom w:val="0"/>
      <w:divBdr>
        <w:top w:val="none" w:sz="0" w:space="0" w:color="auto"/>
        <w:left w:val="none" w:sz="0" w:space="0" w:color="auto"/>
        <w:bottom w:val="none" w:sz="0" w:space="0" w:color="auto"/>
        <w:right w:val="none" w:sz="0" w:space="0" w:color="auto"/>
      </w:divBdr>
    </w:div>
    <w:div w:id="1651448459">
      <w:bodyDiv w:val="1"/>
      <w:marLeft w:val="0"/>
      <w:marRight w:val="0"/>
      <w:marTop w:val="0"/>
      <w:marBottom w:val="0"/>
      <w:divBdr>
        <w:top w:val="none" w:sz="0" w:space="0" w:color="auto"/>
        <w:left w:val="none" w:sz="0" w:space="0" w:color="auto"/>
        <w:bottom w:val="none" w:sz="0" w:space="0" w:color="auto"/>
        <w:right w:val="none" w:sz="0" w:space="0" w:color="auto"/>
      </w:divBdr>
    </w:div>
    <w:div w:id="1687976972">
      <w:bodyDiv w:val="1"/>
      <w:marLeft w:val="0"/>
      <w:marRight w:val="0"/>
      <w:marTop w:val="0"/>
      <w:marBottom w:val="0"/>
      <w:divBdr>
        <w:top w:val="none" w:sz="0" w:space="0" w:color="auto"/>
        <w:left w:val="none" w:sz="0" w:space="0" w:color="auto"/>
        <w:bottom w:val="none" w:sz="0" w:space="0" w:color="auto"/>
        <w:right w:val="none" w:sz="0" w:space="0" w:color="auto"/>
      </w:divBdr>
    </w:div>
    <w:div w:id="1771504641">
      <w:bodyDiv w:val="1"/>
      <w:marLeft w:val="0"/>
      <w:marRight w:val="0"/>
      <w:marTop w:val="0"/>
      <w:marBottom w:val="0"/>
      <w:divBdr>
        <w:top w:val="none" w:sz="0" w:space="0" w:color="auto"/>
        <w:left w:val="none" w:sz="0" w:space="0" w:color="auto"/>
        <w:bottom w:val="none" w:sz="0" w:space="0" w:color="auto"/>
        <w:right w:val="none" w:sz="0" w:space="0" w:color="auto"/>
      </w:divBdr>
    </w:div>
    <w:div w:id="1811172023">
      <w:bodyDiv w:val="1"/>
      <w:marLeft w:val="0"/>
      <w:marRight w:val="0"/>
      <w:marTop w:val="0"/>
      <w:marBottom w:val="0"/>
      <w:divBdr>
        <w:top w:val="none" w:sz="0" w:space="0" w:color="auto"/>
        <w:left w:val="none" w:sz="0" w:space="0" w:color="auto"/>
        <w:bottom w:val="none" w:sz="0" w:space="0" w:color="auto"/>
        <w:right w:val="none" w:sz="0" w:space="0" w:color="auto"/>
      </w:divBdr>
      <w:divsChild>
        <w:div w:id="1701783708">
          <w:marLeft w:val="0"/>
          <w:marRight w:val="0"/>
          <w:marTop w:val="0"/>
          <w:marBottom w:val="0"/>
          <w:divBdr>
            <w:top w:val="none" w:sz="0" w:space="0" w:color="auto"/>
            <w:left w:val="none" w:sz="0" w:space="0" w:color="auto"/>
            <w:bottom w:val="none" w:sz="0" w:space="0" w:color="auto"/>
            <w:right w:val="none" w:sz="0" w:space="0" w:color="auto"/>
          </w:divBdr>
          <w:divsChild>
            <w:div w:id="2048604006">
              <w:marLeft w:val="0"/>
              <w:marRight w:val="0"/>
              <w:marTop w:val="0"/>
              <w:marBottom w:val="0"/>
              <w:divBdr>
                <w:top w:val="none" w:sz="0" w:space="0" w:color="auto"/>
                <w:left w:val="none" w:sz="0" w:space="0" w:color="auto"/>
                <w:bottom w:val="none" w:sz="0" w:space="0" w:color="auto"/>
                <w:right w:val="none" w:sz="0" w:space="0" w:color="auto"/>
              </w:divBdr>
              <w:divsChild>
                <w:div w:id="287513148">
                  <w:marLeft w:val="0"/>
                  <w:marRight w:val="0"/>
                  <w:marTop w:val="0"/>
                  <w:marBottom w:val="0"/>
                  <w:divBdr>
                    <w:top w:val="none" w:sz="0" w:space="0" w:color="auto"/>
                    <w:left w:val="none" w:sz="0" w:space="0" w:color="auto"/>
                    <w:bottom w:val="none" w:sz="0" w:space="0" w:color="auto"/>
                    <w:right w:val="none" w:sz="0" w:space="0" w:color="auto"/>
                  </w:divBdr>
                  <w:divsChild>
                    <w:div w:id="660088048">
                      <w:marLeft w:val="1"/>
                      <w:marRight w:val="1"/>
                      <w:marTop w:val="0"/>
                      <w:marBottom w:val="0"/>
                      <w:divBdr>
                        <w:top w:val="none" w:sz="0" w:space="0" w:color="auto"/>
                        <w:left w:val="none" w:sz="0" w:space="0" w:color="auto"/>
                        <w:bottom w:val="none" w:sz="0" w:space="0" w:color="auto"/>
                        <w:right w:val="none" w:sz="0" w:space="0" w:color="auto"/>
                      </w:divBdr>
                      <w:divsChild>
                        <w:div w:id="1348950006">
                          <w:marLeft w:val="0"/>
                          <w:marRight w:val="0"/>
                          <w:marTop w:val="0"/>
                          <w:marBottom w:val="0"/>
                          <w:divBdr>
                            <w:top w:val="none" w:sz="0" w:space="0" w:color="auto"/>
                            <w:left w:val="none" w:sz="0" w:space="0" w:color="auto"/>
                            <w:bottom w:val="none" w:sz="0" w:space="0" w:color="auto"/>
                            <w:right w:val="none" w:sz="0" w:space="0" w:color="auto"/>
                          </w:divBdr>
                          <w:divsChild>
                            <w:div w:id="1189299253">
                              <w:marLeft w:val="0"/>
                              <w:marRight w:val="0"/>
                              <w:marTop w:val="0"/>
                              <w:marBottom w:val="360"/>
                              <w:divBdr>
                                <w:top w:val="none" w:sz="0" w:space="0" w:color="auto"/>
                                <w:left w:val="none" w:sz="0" w:space="0" w:color="auto"/>
                                <w:bottom w:val="none" w:sz="0" w:space="0" w:color="auto"/>
                                <w:right w:val="none" w:sz="0" w:space="0" w:color="auto"/>
                              </w:divBdr>
                              <w:divsChild>
                                <w:div w:id="465394015">
                                  <w:marLeft w:val="0"/>
                                  <w:marRight w:val="0"/>
                                  <w:marTop w:val="0"/>
                                  <w:marBottom w:val="0"/>
                                  <w:divBdr>
                                    <w:top w:val="none" w:sz="0" w:space="0" w:color="auto"/>
                                    <w:left w:val="none" w:sz="0" w:space="0" w:color="auto"/>
                                    <w:bottom w:val="none" w:sz="0" w:space="0" w:color="auto"/>
                                    <w:right w:val="none" w:sz="0" w:space="0" w:color="auto"/>
                                  </w:divBdr>
                                  <w:divsChild>
                                    <w:div w:id="113220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4326886">
      <w:bodyDiv w:val="1"/>
      <w:marLeft w:val="0"/>
      <w:marRight w:val="0"/>
      <w:marTop w:val="0"/>
      <w:marBottom w:val="0"/>
      <w:divBdr>
        <w:top w:val="none" w:sz="0" w:space="0" w:color="auto"/>
        <w:left w:val="none" w:sz="0" w:space="0" w:color="auto"/>
        <w:bottom w:val="none" w:sz="0" w:space="0" w:color="auto"/>
        <w:right w:val="none" w:sz="0" w:space="0" w:color="auto"/>
      </w:divBdr>
    </w:div>
    <w:div w:id="1823424812">
      <w:bodyDiv w:val="1"/>
      <w:marLeft w:val="0"/>
      <w:marRight w:val="0"/>
      <w:marTop w:val="0"/>
      <w:marBottom w:val="0"/>
      <w:divBdr>
        <w:top w:val="none" w:sz="0" w:space="0" w:color="auto"/>
        <w:left w:val="none" w:sz="0" w:space="0" w:color="auto"/>
        <w:bottom w:val="none" w:sz="0" w:space="0" w:color="auto"/>
        <w:right w:val="none" w:sz="0" w:space="0" w:color="auto"/>
      </w:divBdr>
    </w:div>
    <w:div w:id="1855455251">
      <w:bodyDiv w:val="1"/>
      <w:marLeft w:val="0"/>
      <w:marRight w:val="0"/>
      <w:marTop w:val="0"/>
      <w:marBottom w:val="0"/>
      <w:divBdr>
        <w:top w:val="none" w:sz="0" w:space="0" w:color="auto"/>
        <w:left w:val="none" w:sz="0" w:space="0" w:color="auto"/>
        <w:bottom w:val="none" w:sz="0" w:space="0" w:color="auto"/>
        <w:right w:val="none" w:sz="0" w:space="0" w:color="auto"/>
      </w:divBdr>
    </w:div>
    <w:div w:id="1935435643">
      <w:bodyDiv w:val="1"/>
      <w:marLeft w:val="0"/>
      <w:marRight w:val="0"/>
      <w:marTop w:val="0"/>
      <w:marBottom w:val="0"/>
      <w:divBdr>
        <w:top w:val="none" w:sz="0" w:space="0" w:color="auto"/>
        <w:left w:val="none" w:sz="0" w:space="0" w:color="auto"/>
        <w:bottom w:val="none" w:sz="0" w:space="0" w:color="auto"/>
        <w:right w:val="none" w:sz="0" w:space="0" w:color="auto"/>
      </w:divBdr>
    </w:div>
    <w:div w:id="1998458193">
      <w:bodyDiv w:val="1"/>
      <w:marLeft w:val="0"/>
      <w:marRight w:val="0"/>
      <w:marTop w:val="0"/>
      <w:marBottom w:val="0"/>
      <w:divBdr>
        <w:top w:val="none" w:sz="0" w:space="0" w:color="auto"/>
        <w:left w:val="none" w:sz="0" w:space="0" w:color="auto"/>
        <w:bottom w:val="none" w:sz="0" w:space="0" w:color="auto"/>
        <w:right w:val="none" w:sz="0" w:space="0" w:color="auto"/>
      </w:divBdr>
    </w:div>
    <w:div w:id="2075003046">
      <w:bodyDiv w:val="1"/>
      <w:marLeft w:val="0"/>
      <w:marRight w:val="0"/>
      <w:marTop w:val="0"/>
      <w:marBottom w:val="0"/>
      <w:divBdr>
        <w:top w:val="none" w:sz="0" w:space="0" w:color="auto"/>
        <w:left w:val="none" w:sz="0" w:space="0" w:color="auto"/>
        <w:bottom w:val="none" w:sz="0" w:space="0" w:color="auto"/>
        <w:right w:val="none" w:sz="0" w:space="0" w:color="auto"/>
      </w:divBdr>
      <w:divsChild>
        <w:div w:id="1712268450">
          <w:marLeft w:val="0"/>
          <w:marRight w:val="0"/>
          <w:marTop w:val="0"/>
          <w:marBottom w:val="0"/>
          <w:divBdr>
            <w:top w:val="none" w:sz="0" w:space="0" w:color="auto"/>
            <w:left w:val="none" w:sz="0" w:space="0" w:color="auto"/>
            <w:bottom w:val="none" w:sz="0" w:space="0" w:color="auto"/>
            <w:right w:val="none" w:sz="0" w:space="0" w:color="auto"/>
          </w:divBdr>
          <w:divsChild>
            <w:div w:id="180778035">
              <w:marLeft w:val="0"/>
              <w:marRight w:val="0"/>
              <w:marTop w:val="0"/>
              <w:marBottom w:val="0"/>
              <w:divBdr>
                <w:top w:val="none" w:sz="0" w:space="0" w:color="auto"/>
                <w:left w:val="none" w:sz="0" w:space="0" w:color="auto"/>
                <w:bottom w:val="none" w:sz="0" w:space="0" w:color="auto"/>
                <w:right w:val="none" w:sz="0" w:space="0" w:color="auto"/>
              </w:divBdr>
              <w:divsChild>
                <w:div w:id="1595285576">
                  <w:marLeft w:val="0"/>
                  <w:marRight w:val="0"/>
                  <w:marTop w:val="0"/>
                  <w:marBottom w:val="0"/>
                  <w:divBdr>
                    <w:top w:val="none" w:sz="0" w:space="0" w:color="auto"/>
                    <w:left w:val="none" w:sz="0" w:space="0" w:color="auto"/>
                    <w:bottom w:val="none" w:sz="0" w:space="0" w:color="auto"/>
                    <w:right w:val="none" w:sz="0" w:space="0" w:color="auto"/>
                  </w:divBdr>
                  <w:divsChild>
                    <w:div w:id="1975213155">
                      <w:marLeft w:val="1"/>
                      <w:marRight w:val="1"/>
                      <w:marTop w:val="0"/>
                      <w:marBottom w:val="0"/>
                      <w:divBdr>
                        <w:top w:val="none" w:sz="0" w:space="0" w:color="auto"/>
                        <w:left w:val="none" w:sz="0" w:space="0" w:color="auto"/>
                        <w:bottom w:val="none" w:sz="0" w:space="0" w:color="auto"/>
                        <w:right w:val="none" w:sz="0" w:space="0" w:color="auto"/>
                      </w:divBdr>
                      <w:divsChild>
                        <w:div w:id="1348167530">
                          <w:marLeft w:val="0"/>
                          <w:marRight w:val="0"/>
                          <w:marTop w:val="0"/>
                          <w:marBottom w:val="0"/>
                          <w:divBdr>
                            <w:top w:val="none" w:sz="0" w:space="0" w:color="auto"/>
                            <w:left w:val="none" w:sz="0" w:space="0" w:color="auto"/>
                            <w:bottom w:val="none" w:sz="0" w:space="0" w:color="auto"/>
                            <w:right w:val="none" w:sz="0" w:space="0" w:color="auto"/>
                          </w:divBdr>
                          <w:divsChild>
                            <w:div w:id="1717856329">
                              <w:marLeft w:val="0"/>
                              <w:marRight w:val="0"/>
                              <w:marTop w:val="0"/>
                              <w:marBottom w:val="360"/>
                              <w:divBdr>
                                <w:top w:val="none" w:sz="0" w:space="0" w:color="auto"/>
                                <w:left w:val="none" w:sz="0" w:space="0" w:color="auto"/>
                                <w:bottom w:val="none" w:sz="0" w:space="0" w:color="auto"/>
                                <w:right w:val="none" w:sz="0" w:space="0" w:color="auto"/>
                              </w:divBdr>
                              <w:divsChild>
                                <w:div w:id="1654404583">
                                  <w:marLeft w:val="0"/>
                                  <w:marRight w:val="0"/>
                                  <w:marTop w:val="0"/>
                                  <w:marBottom w:val="0"/>
                                  <w:divBdr>
                                    <w:top w:val="none" w:sz="0" w:space="0" w:color="auto"/>
                                    <w:left w:val="none" w:sz="0" w:space="0" w:color="auto"/>
                                    <w:bottom w:val="none" w:sz="0" w:space="0" w:color="auto"/>
                                    <w:right w:val="none" w:sz="0" w:space="0" w:color="auto"/>
                                  </w:divBdr>
                                  <w:divsChild>
                                    <w:div w:id="13881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1655696">
      <w:bodyDiv w:val="1"/>
      <w:marLeft w:val="0"/>
      <w:marRight w:val="0"/>
      <w:marTop w:val="0"/>
      <w:marBottom w:val="0"/>
      <w:divBdr>
        <w:top w:val="none" w:sz="0" w:space="0" w:color="auto"/>
        <w:left w:val="none" w:sz="0" w:space="0" w:color="auto"/>
        <w:bottom w:val="none" w:sz="0" w:space="0" w:color="auto"/>
        <w:right w:val="none" w:sz="0" w:space="0" w:color="auto"/>
      </w:divBdr>
    </w:div>
    <w:div w:id="2113821858">
      <w:bodyDiv w:val="1"/>
      <w:marLeft w:val="0"/>
      <w:marRight w:val="0"/>
      <w:marTop w:val="0"/>
      <w:marBottom w:val="0"/>
      <w:divBdr>
        <w:top w:val="none" w:sz="0" w:space="0" w:color="auto"/>
        <w:left w:val="none" w:sz="0" w:space="0" w:color="auto"/>
        <w:bottom w:val="none" w:sz="0" w:space="0" w:color="auto"/>
        <w:right w:val="none" w:sz="0" w:space="0" w:color="auto"/>
      </w:divBdr>
    </w:div>
    <w:div w:id="2123644850">
      <w:bodyDiv w:val="1"/>
      <w:marLeft w:val="0"/>
      <w:marRight w:val="0"/>
      <w:marTop w:val="0"/>
      <w:marBottom w:val="0"/>
      <w:divBdr>
        <w:top w:val="none" w:sz="0" w:space="0" w:color="auto"/>
        <w:left w:val="none" w:sz="0" w:space="0" w:color="auto"/>
        <w:bottom w:val="none" w:sz="0" w:space="0" w:color="auto"/>
        <w:right w:val="none" w:sz="0" w:space="0" w:color="auto"/>
      </w:divBdr>
    </w:div>
    <w:div w:id="213748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eader" Target="header2.xml"/><Relationship Id="rId26" Type="http://schemas.openxmlformats.org/officeDocument/2006/relationships/hyperlink" Target="https://ec.europa.eu/info/funding-tenders/opportunities/portal/screen/opportunities/projects-results;programCode=REC" TargetMode="External"/><Relationship Id="rId39" Type="http://schemas.openxmlformats.org/officeDocument/2006/relationships/hyperlink" Target="https://eur-lex.europa.eu/legal-content/EN/ALL/?uri=CELEX:32016R0679&amp;qid=1613382053477" TargetMode="External"/><Relationship Id="rId21" Type="http://schemas.openxmlformats.org/officeDocument/2006/relationships/hyperlink" Target="https://eur-lex.europa.eu/legal-content/EN/ALL/?uri=CELEX:32018R1046&amp;qid=1535046024012" TargetMode="External"/><Relationship Id="rId34" Type="http://schemas.openxmlformats.org/officeDocument/2006/relationships/hyperlink" Target="https://ec.europa.eu/info/funding-tenders/opportunities/portal/screen/how-to-participate/participant-register" TargetMode="External"/><Relationship Id="rId42" Type="http://schemas.openxmlformats.org/officeDocument/2006/relationships/hyperlink" Target="https://eige.europa.eu/gender-mainstreaming/methods-tools/sex-disaggregated-data" TargetMode="External"/><Relationship Id="rId47" Type="http://schemas.openxmlformats.org/officeDocument/2006/relationships/hyperlink" Target="https://ec.europa.eu/info/funding-tenders/opportunities/docs/2021-2027/common/ftp/tc_en.pdf" TargetMode="External"/><Relationship Id="rId50" Type="http://schemas.openxmlformats.org/officeDocument/2006/relationships/hyperlink" Target="https://webgate.ec.europa.eu/cas/eim/external/register.cgi" TargetMode="External"/><Relationship Id="rId55" Type="http://schemas.openxmlformats.org/officeDocument/2006/relationships/hyperlink" Target="https://ec.europa.eu/info/funding-tenders/opportunities/docs/2021-2027/common/guidance/om_en.pdf" TargetMode="External"/><Relationship Id="rId63" Type="http://schemas.openxmlformats.org/officeDocument/2006/relationships/hyperlink" Target="https://ec.europa.eu/budget/fts/index_en.htm"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ec.europa.eu/info/funding-tenders/opportunities/docs/2021-2027/common/guidance/aga_en.pdf" TargetMode="External"/><Relationship Id="rId32" Type="http://schemas.openxmlformats.org/officeDocument/2006/relationships/hyperlink" Target="https://ec.europa.eu/info/funding-tenders/opportunities/docs/2021-2027/common/guidance/om_en.pdf" TargetMode="External"/><Relationship Id="rId37" Type="http://schemas.openxmlformats.org/officeDocument/2006/relationships/hyperlink" Target="http://eur-lex.europa.eu/LexUriServ/LexUriServ.do?uri=OJ:C:2013:205:FULL:EN:PDF" TargetMode="External"/><Relationship Id="rId40" Type="http://schemas.openxmlformats.org/officeDocument/2006/relationships/hyperlink" Target="https://eige.europa.eu/gender-mainstreaming/toolkits/gender-impact-assessment/guide-gender-impact-assessment" TargetMode="External"/><Relationship Id="rId45" Type="http://schemas.openxmlformats.org/officeDocument/2006/relationships/hyperlink" Target="https://ec.europa.eu/info/funding-tenders/opportunities/docs/2021-2027/common/guidance/rules-lev-lear-fca_en.pdf" TargetMode="External"/><Relationship Id="rId53" Type="http://schemas.openxmlformats.org/officeDocument/2006/relationships/hyperlink" Target="https://ec.europa.eu/info/funding-tenders/opportunities/portal/screen/support/helpdesks/contact-form" TargetMode="External"/><Relationship Id="rId58" Type="http://schemas.openxmlformats.org/officeDocument/2006/relationships/hyperlink" Target="mailto:EACEA-CERV@ec.europa.eu" TargetMode="External"/><Relationship Id="rId66"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ec.europa.eu/info/funding-tenders/opportunities/docs/2021-2027/common/guidance/om_en.pdf" TargetMode="External"/><Relationship Id="rId28" Type="http://schemas.openxmlformats.org/officeDocument/2006/relationships/hyperlink" Target="https://ec.europa.eu/info/funding-tenders/opportunities/portal/screen/opportunities/topic-search;freeTextSearchKeyword=;typeCodes=0,1;statusCodes=31094501,31094502,31094503;programCode=null;programDivisionCode=null;focusAreaCode=null;crossCuttingPriorityCode=null;callCode=Default;sortQuery=openingDate;orderBy=asc;onlyTenders=false;topicListKey=topicSearchTablePageState" TargetMode="External"/><Relationship Id="rId36" Type="http://schemas.openxmlformats.org/officeDocument/2006/relationships/hyperlink" Target="http://www.sanctionsmap.eu/" TargetMode="External"/><Relationship Id="rId49" Type="http://schemas.openxmlformats.org/officeDocument/2006/relationships/hyperlink" Target="https://ec.europa.eu/info/funding-tenders/opportunities/docs/2021-2027/common/guidance/aga_en.pdf" TargetMode="External"/><Relationship Id="rId57" Type="http://schemas.openxmlformats.org/officeDocument/2006/relationships/hyperlink" Target="https://ec.europa.eu/info/funding-tenders/opportunities/portal/screen/support/helpdesks/contact-form" TargetMode="External"/><Relationship Id="rId61" Type="http://schemas.openxmlformats.org/officeDocument/2006/relationships/hyperlink" Target="https://ec.europa.eu/info/funding-tenders/opportunities/docs/2021-2027/common/guidance/aga_en.pdf" TargetMode="External"/><Relationship Id="rId10" Type="http://schemas.openxmlformats.org/officeDocument/2006/relationships/styles" Target="styles.xml"/><Relationship Id="rId19" Type="http://schemas.openxmlformats.org/officeDocument/2006/relationships/footer" Target="footer2.xml"/><Relationship Id="rId31" Type="http://schemas.openxmlformats.org/officeDocument/2006/relationships/image" Target="media/image5.png"/><Relationship Id="rId44" Type="http://schemas.openxmlformats.org/officeDocument/2006/relationships/hyperlink" Target="https://ec.europa.eu/info/funding-tenders/opportunities/portal/screen/how-to-participate/participant-register" TargetMode="External"/><Relationship Id="rId52" Type="http://schemas.openxmlformats.org/officeDocument/2006/relationships/hyperlink" Target="https://ec.europa.eu/info/funding-tenders/opportunities/portal/screen/opportunities/topic-search;freeTextSearchKeyword=;typeCodes=0,1;statusCodes=31094501,31094502,31094503;programCode=null;programDivisionCode=null;focusAreaCode=null;crossCuttingPriorityCode=null;callCode=Default;sortQuery=openingDate;orderBy=asc;onlyTenders=false;topicListKey=topicSearchTablePageState" TargetMode="External"/><Relationship Id="rId60" Type="http://schemas.openxmlformats.org/officeDocument/2006/relationships/hyperlink" Target="https://ec.europa.eu/info/funding-tenders/opportunities/portal/screen/how-to-participate/participant-register" TargetMode="External"/><Relationship Id="rId65"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eur-lex.europa.eu/legal-content/EN/ALL/?uri=CELEX:32021R0692&amp;qid=1621199407469" TargetMode="External"/><Relationship Id="rId27" Type="http://schemas.openxmlformats.org/officeDocument/2006/relationships/hyperlink" Target="https://ec.europa.eu/justice/grants/results/daphne-toolkit/daphne-toolkit-%E2%80%93-active-resource-daphne-programme_en" TargetMode="External"/><Relationship Id="rId30" Type="http://schemas.openxmlformats.org/officeDocument/2006/relationships/hyperlink" Target="https://ec.europa.eu/info/sites/info/files/standards_child_protection_kcsc_en_1.pdf" TargetMode="External"/><Relationship Id="rId35" Type="http://schemas.openxmlformats.org/officeDocument/2006/relationships/image" Target="media/image6.png"/><Relationship Id="rId43" Type="http://schemas.openxmlformats.org/officeDocument/2006/relationships/hyperlink" Target="https://ec.europa.eu/info/sites/info/files/standards_child_protection_kcsc_en_1.pdf" TargetMode="External"/><Relationship Id="rId48" Type="http://schemas.openxmlformats.org/officeDocument/2006/relationships/hyperlink" Target="https://ec.europa.eu/info/funding-tenders/opportunities/portal/screen/how-to-participate/reference-documents" TargetMode="External"/><Relationship Id="rId56" Type="http://schemas.openxmlformats.org/officeDocument/2006/relationships/hyperlink" Target="https://ec.europa.eu/info/funding-tenders/opportunities/portal/screen/support/faq;categories=;programme=null;actions=;keyword=" TargetMode="External"/><Relationship Id="rId64" Type="http://schemas.openxmlformats.org/officeDocument/2006/relationships/hyperlink" Target="https://ec.europa.eu/info/funding-tenders/opportunities/docs/2021-2027/common/ftp/privacy-statement_en.pdf" TargetMode="External"/><Relationship Id="rId8" Type="http://schemas.openxmlformats.org/officeDocument/2006/relationships/customXml" Target="../customXml/item8.xml"/><Relationship Id="rId51" Type="http://schemas.openxmlformats.org/officeDocument/2006/relationships/hyperlink" Target="https://ec.europa.eu/info/funding-tenders/opportunities/portal/screen/how-to-participate/participant-register" TargetMode="Externa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yperlink" Target="https://ec.europa.eu/programmes/europe-for-citizens/projects/" TargetMode="External"/><Relationship Id="rId33" Type="http://schemas.openxmlformats.org/officeDocument/2006/relationships/hyperlink" Target="https://ec.europa.eu/info/funding-tenders/opportunities/docs/2021-2027/cerv/guidance/list-3rd-country-participation_cerv_en.pdf" TargetMode="External"/><Relationship Id="rId38" Type="http://schemas.openxmlformats.org/officeDocument/2006/relationships/hyperlink" Target="https://ec.europa.eu/info/funding-tenders/opportunities/docs/2021-2027/common/guidance/rules-lev-lear-fca_en.pdf" TargetMode="External"/><Relationship Id="rId46" Type="http://schemas.openxmlformats.org/officeDocument/2006/relationships/hyperlink" Target="http://eur-lex.europa.eu/legal-content/EN/ALL/?uri=CELEX:31995R2988&amp;qid=1501598622514" TargetMode="External"/><Relationship Id="rId59" Type="http://schemas.openxmlformats.org/officeDocument/2006/relationships/hyperlink" Target="https://ec.europa.eu/info/funding-tenders/opportunities/docs/2021-2027/common/ftp/tc_en.pdf" TargetMode="External"/><Relationship Id="rId67" Type="http://schemas.openxmlformats.org/officeDocument/2006/relationships/theme" Target="theme/theme1.xml"/><Relationship Id="rId20" Type="http://schemas.openxmlformats.org/officeDocument/2006/relationships/image" Target="media/image3.png"/><Relationship Id="rId41" Type="http://schemas.openxmlformats.org/officeDocument/2006/relationships/hyperlink" Target="http://www.enil.eu/wp-content/uploads/2012/07/Non-discrimination-mainstreaming-instruments-case-studies-way-forward.pdf" TargetMode="External"/><Relationship Id="rId54" Type="http://schemas.openxmlformats.org/officeDocument/2006/relationships/hyperlink" Target="https://ec.europa.eu/info/funding-tenders/opportunities/docs/2021-2027/common/guidance/om_en.pdf" TargetMode="External"/><Relationship Id="rId62" Type="http://schemas.openxmlformats.org/officeDocument/2006/relationships/hyperlink" Target="https://eur-lex.europa.eu/legal-content/EN/ALL/?uri=CELEX:32018R1046&amp;qid=1535046024012"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xUriServ/LexUriServ.do?uri=OJ:C:2013:205:FULL:EN:PDF" TargetMode="External"/><Relationship Id="rId3" Type="http://schemas.openxmlformats.org/officeDocument/2006/relationships/hyperlink" Target="https://ec.europa.eu/info/sites/default/files/eu_citizenship_report_2020_-_empowering_citizens_and_protecting_their_rights_en.pdf" TargetMode="External"/><Relationship Id="rId7" Type="http://schemas.openxmlformats.org/officeDocument/2006/relationships/hyperlink" Target="http://www.sanctionsmap.eu/" TargetMode="External"/><Relationship Id="rId12" Type="http://schemas.openxmlformats.org/officeDocument/2006/relationships/hyperlink" Target="https://ec.europa.eu/info/funding-tenders/opportunities/docs/2021-2027/cerv/guidance/ls-decision_cerv_en.pdf" TargetMode="External"/><Relationship Id="rId2" Type="http://schemas.openxmlformats.org/officeDocument/2006/relationships/hyperlink" Target="https://ec.europa.eu/info/aid-development-cooperation-fundamental-rights/your-rights-eu/eu-charter-fundamental-rights/application-charter/eu-strategy-strengthen-application-charter_en" TargetMode="External"/><Relationship Id="rId1" Type="http://schemas.openxmlformats.org/officeDocument/2006/relationships/hyperlink" Target="https://ec.europa.eu/info/publications/new-eu-roma-strategic-framework-equality-inclusion-and-participation-full-package_en" TargetMode="External"/><Relationship Id="rId6" Type="http://schemas.openxmlformats.org/officeDocument/2006/relationships/hyperlink" Target="https://eur-lex.europa.eu/legal-content/EN/ALL/?uri=CELEX:32018R1046&amp;qid=1535046024012" TargetMode="External"/><Relationship Id="rId11" Type="http://schemas.openxmlformats.org/officeDocument/2006/relationships/hyperlink" Target="https://eur-lex.europa.eu/legal-content/EN/ALL/?uri=CELEX:32018R1046&amp;qid=1535046024012" TargetMode="External"/><Relationship Id="rId5" Type="http://schemas.openxmlformats.org/officeDocument/2006/relationships/hyperlink" Target="https://eur-lex.europa.eu/legal-content/EN/ALL/?uri=CELEX:32018R1046&amp;qid=1535046024012" TargetMode="External"/><Relationship Id="rId10" Type="http://schemas.openxmlformats.org/officeDocument/2006/relationships/hyperlink" Target="https://eur-lex.europa.eu/legal-content/EN/ALL/?uri=CELEX:32018R1046&amp;qid=1535046024012" TargetMode="External"/><Relationship Id="rId4" Type="http://schemas.openxmlformats.org/officeDocument/2006/relationships/hyperlink" Target="https://ec.europa.eu/info/strategy/priorities-2019-2024/new-push-european-democracy/conference-future-europe_it" TargetMode="External"/><Relationship Id="rId9" Type="http://schemas.openxmlformats.org/officeDocument/2006/relationships/hyperlink" Target="http://www.enil.eu/wp-content/uploads/2012/07/Non-discrimination-mainstreaming-instruments-case-studies-way-forward.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file>

<file path=customXml/item2.xml><?xml version="1.0" encoding="utf-8"?>
<EurolookProperties>
  <ProductCustomizationId/>
  <Created>
    <Version>4.5</Version>
    <Date>2019-04-12T14:20:34</Date>
    <Language>EN</Language>
    <Note/>
  </Created>
  <Edited>
    <Version>10.0.42447.0</Version>
    <Date>2021-11-09T09:08:35</Date>
  </Edited>
  <DocumentModel>
    <Id>758e4243-45d9-4080-b5fe-135751945526</Id>
    <Name>Speech</Name>
  </DocumentModel>
  <DocumentDate/>
  <DocumentVersion/>
  <CompatibilityMode>Eurolook4X</CompatibilityMode>
</Eurolook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3D24022E66C1540A3B1E037465E0CE3" ma:contentTypeVersion="4" ma:contentTypeDescription="Create a new document." ma:contentTypeScope="" ma:versionID="ed01af0cf8280fc8bb4fc4e81038fd21">
  <xsd:schema xmlns:xsd="http://www.w3.org/2001/XMLSchema" xmlns:xs="http://www.w3.org/2001/XMLSchema" xmlns:p="http://schemas.microsoft.com/office/2006/metadata/properties" xmlns:ns2="d07530ff-ae8d-4383-9420-67306a016191" targetNamespace="http://schemas.microsoft.com/office/2006/metadata/properties" ma:root="true" ma:fieldsID="af8d9a1147f775ca281a46cdfa936f4a" ns2:_="">
    <xsd:import namespace="d07530ff-ae8d-4383-9420-67306a0161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530ff-ae8d-4383-9420-67306a016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Texts>
  <SecurityPersonalData>Personal data</SecurityPersonalData>
  <SecurityPharma>Pharma investigations</SecurityPharma>
  <MarkingUntilText>UNTIL</MarkingUntilText>
  <SecurityMediationServiceMatter>Mediation service</SecurityMediationServiceMatter>
  <SecurityEconomyAndFinance>Economy and finance</SecurityEconomyAndFinance>
  <FooterFax>Fax</FooterFax>
  <FooterOffice>Office:</FooterOffice>
  <SecurityOlafInvestigations>OLAF investigations</SecurityOlafInvestigations>
  <SensitiveHandling>Handling instructions for SENSITIVE information are given at https://europa.eu/!db43PX</SensitiveHandling>
  <SecurityOlafSpecialHandling>OLAF investigations</SecurityOlafSpecialHandling>
  <SecurityPersonal>Personal</SecurityPersonal>
  <CourtProceduralDocuments>Court procedural documents</CourtProceduralDocuments>
  <OrgaRoot>EUROPEAN COMMISSION</OrgaRoot>
  <SensitiveLabel>Sensitive</SensitiveLabel>
  <SpecialHandlingLabel>Special Handling</SpecialHandlingLabel>
  <SecurityInvestigationsDisciplinary>Investigations and disciplinary matters</SecurityInvestigationsDisciplinary>
  <SecurityCompOperations>COMP Operations</SecurityCompOperations>
  <SecurityEuSatellite>EU satellite navigation matters</SecurityEuSatellite>
  <SecurityReleasable>RELEASABLE TO:</SecurityReleasable>
  <SecurityStaffMatter>Staff matter</SecurityStaffMatter>
  <SecurityOpinionLegalService>Opinion of the Legal Service</SecurityOpinionLegalService>
  <SpecialHandlingFootnote>Special handling instructions are given at https://europa.eu/!db43PX</SpecialHandlingFootnote>
  <SecurityEtsSensitive>ETS</SecurityEtsSensitive>
  <SecurityEtsCritical>ETS Critical</SecurityEtsCritical>
  <SecurityCompSpecial>COMP</SecurityCompSpecial>
  <SecurityPharmaSpecial>Pharma investigations</SecurityPharmaSpecial>
  <TOCHeading>Table of Contents</TOCHeading>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TLPAmber>TLP: Amber</TLPAmber>
  <SecurityMedicalSecret>Medical secret</SecurityMedicalSecret>
  <SecurityEmbargo>Embargo until</SecurityEmbargo>
  <DateFormatShort>dd/MM/yyyy</DateFormatShort>
  <DateFormatLong>d MMMM yyyy</DateFormatLong>
</Texts>
</file>

<file path=customXml/item7.xml><?xml version="1.0" encoding="utf-8"?>
<Author Role="Creator">
  <Id>1d61e911-a39a-4b43-bbd8-7e4df8ddd3c8</Id>
  <Names>
    <Latin>
      <FirstName>Konstantinos</FirstName>
      <LastName>KOKOSIS</LastName>
    </Latin>
    <Greek>
      <FirstName/>
      <LastName/>
    </Greek>
    <Cyrillic>
      <FirstName/>
      <LastName/>
    </Cyrillic>
    <DocumentScript>
      <FirstName>Konstantinos</FirstName>
      <LastName>KOKOSIS</LastName>
      <FullName>Konstantinos KOKOSIS</FullName>
    </DocumentScript>
  </Names>
  <Initials>DinosK</Initials>
  <Gender>m</Gender>
  <Email>Konstantinos.KOKOSIS@ext.ec.europa.eu</Email>
  <Service>RTD.J.4.004</Service>
  <Function ShowInSignature="true"/>
  <WebAddress/>
  <InheritedWebAddress>WebAddress</InheritedWebAddress>
  <OrgaEntity1>
    <Id>201586b8-400f-4f1b-ab81-bfd045290f9b</Id>
    <LogicalLevel>1</LogicalLevel>
    <Name>RTD</Name>
    <HeadLine1>DIRECTORATE-GENERAL FOR RESEARCH &amp; INNOVATION</HeadLine1>
    <HeadLine2/>
    <PrimaryAddressId>f03b5801-04c9-4931-aa17-c6d6c70bc579</PrimaryAddressId>
    <SecondaryAddressId/>
    <WebAddress>WebAddress</WebAddress>
    <InheritedWebAddress>WebAddress</InheritedWebAddress>
    <ShowInHeader>true</ShowInHeader>
  </OrgaEntity1>
  <OrgaEntity2>
    <Id>4c8f0bf8-d9c9-47b3-8eb7-3ab9cc8e7e7c</Id>
    <LogicalLevel>2</LogicalLevel>
    <Name>RTD.J</Name>
    <HeadLine1>Common Support Centre</HeadLine1>
    <HeadLine2/>
    <PrimaryAddressId>f03b5801-04c9-4931-aa17-c6d6c70bc579</PrimaryAddressId>
    <SecondaryAddressId/>
    <WebAddress/>
    <InheritedWebAddress>WebAddress</InheritedWebAddress>
    <ShowInHeader>true</ShowInHeader>
  </OrgaEntity2>
  <OrgaEntity3>
    <Id>7d918adf-1a57-4e57-9ca2-3ad57f2888d2</Id>
    <LogicalLevel>3</LogicalLevel>
    <Name>RTD.J.4</Name>
    <HeadLine1>Common IT service</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+32 229 83882</Phone>
    <Office>ORBN 05/095</Office>
  </MainWorkplace>
  <Workplaces>
    <Workplace IsMain="false">
      <AddressId>1264fb81-f6bb-475e-9f9d-a937d3be6ee2</AddressId>
      <Fax/>
      <Phone/>
      <Office/>
    </Workplace>
    <Workplace IsMain="true">
      <AddressId>f03b5801-04c9-4931-aa17-c6d6c70bc579</AddressId>
      <Fax/>
      <Phone>+32 229 83882</Phone>
      <Office>ORBN 05/095</Office>
    </Workplace>
  </Workplaces>
</Author>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F4B3D-80B9-475A-93B0-1C898EC057A7}">
  <ds:schemaRefs>
    <ds:schemaRef ds:uri="http://schemas.microsoft.com/office/2006/metadata/longProperties"/>
  </ds:schemaRefs>
</ds:datastoreItem>
</file>

<file path=customXml/itemProps2.xml><?xml version="1.0" encoding="utf-8"?>
<ds:datastoreItem xmlns:ds="http://schemas.openxmlformats.org/officeDocument/2006/customXml" ds:itemID="{A64404DA-45EE-468F-9B83-25C3DBD29BC4}">
  <ds:schemaRefs/>
</ds:datastoreItem>
</file>

<file path=customXml/itemProps3.xml><?xml version="1.0" encoding="utf-8"?>
<ds:datastoreItem xmlns:ds="http://schemas.openxmlformats.org/officeDocument/2006/customXml" ds:itemID="{6861A413-90F2-4273-AA7B-403E11F13F13}">
  <ds:schemaRefs>
    <ds:schemaRef ds:uri="http://schemas.microsoft.com/sharepoint/v3/contenttype/forms"/>
  </ds:schemaRefs>
</ds:datastoreItem>
</file>

<file path=customXml/itemProps4.xml><?xml version="1.0" encoding="utf-8"?>
<ds:datastoreItem xmlns:ds="http://schemas.openxmlformats.org/officeDocument/2006/customXml" ds:itemID="{260DCBEA-C60B-4717-BD55-FC8385B26BE6}">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07530ff-ae8d-4383-9420-67306a016191"/>
    <ds:schemaRef ds:uri="http://purl.org/dc/terms/"/>
    <ds:schemaRef ds:uri="http://www.w3.org/XML/1998/namespace"/>
    <ds:schemaRef ds:uri="http://purl.org/dc/dcmitype/"/>
  </ds:schemaRefs>
</ds:datastoreItem>
</file>

<file path=customXml/itemProps5.xml><?xml version="1.0" encoding="utf-8"?>
<ds:datastoreItem xmlns:ds="http://schemas.openxmlformats.org/officeDocument/2006/customXml" ds:itemID="{1E5F6601-D36A-42D2-8B9E-CF2F7A382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530ff-ae8d-4383-9420-67306a0161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CA5B75-1EA7-4628-935C-286E27E0EEEB}">
  <ds:schemaRefs/>
</ds:datastoreItem>
</file>

<file path=customXml/itemProps7.xml><?xml version="1.0" encoding="utf-8"?>
<ds:datastoreItem xmlns:ds="http://schemas.openxmlformats.org/officeDocument/2006/customXml" ds:itemID="{9034E5F8-F5C8-4DD5-B73A-9040160523CA}">
  <ds:schemaRefs/>
</ds:datastoreItem>
</file>

<file path=customXml/itemProps8.xml><?xml version="1.0" encoding="utf-8"?>
<ds:datastoreItem xmlns:ds="http://schemas.openxmlformats.org/officeDocument/2006/customXml" ds:itemID="{07E4240F-4AF2-44D8-AE49-66AFCBF09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168</TotalTime>
  <Pages>28</Pages>
  <Words>11026</Words>
  <Characters>62853</Characters>
  <Application>Microsoft Office Word</Application>
  <DocSecurity>0</DocSecurity>
  <PresentationFormat>Microsoft Word 14.0</PresentationFormat>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73732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CDT</dc:creator>
  <cp:keywords/>
  <dc:description/>
  <cp:lastModifiedBy>SOKOLOWSKA Malgorzata (EACEA-EXT)</cp:lastModifiedBy>
  <cp:revision>44</cp:revision>
  <cp:lastPrinted>2017-11-06T13:30:00Z</cp:lastPrinted>
  <dcterms:created xsi:type="dcterms:W3CDTF">2021-12-09T12:20:00Z</dcterms:created>
  <dcterms:modified xsi:type="dcterms:W3CDTF">2022-01-24T12:45:00Z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4.5..01</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spe.dot</vt:lpwstr>
  </property>
  <property fmtid="{D5CDD505-2E9C-101B-9397-08002B2CF9AE}" pid="6" name="Created using">
    <vt:lpwstr>EL 4.6 Build 19516</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Danielle BARBIEUX</vt:lpwstr>
  </property>
  <property fmtid="{D5CDD505-2E9C-101B-9397-08002B2CF9AE}" pid="10" name="Type">
    <vt:lpwstr>Eurolook Speech</vt:lpwstr>
  </property>
  <property fmtid="{D5CDD505-2E9C-101B-9397-08002B2CF9AE}" pid="11" name="Language">
    <vt:lpwstr>EN</vt:lpwstr>
  </property>
  <property fmtid="{D5CDD505-2E9C-101B-9397-08002B2CF9AE}" pid="12" name="EL_Language">
    <vt:lpwstr>EN</vt:lpwstr>
  </property>
  <property fmtid="{D5CDD505-2E9C-101B-9397-08002B2CF9AE}" pid="13" name="ContentTypeId">
    <vt:lpwstr>0x01010043D24022E66C1540A3B1E037465E0CE3</vt:lpwstr>
  </property>
</Properties>
</file>