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A851D" w14:textId="5CFE0C2C" w:rsidR="00232C69" w:rsidRPr="0055296F" w:rsidRDefault="00232C69" w:rsidP="00DF41C4">
      <w:pPr>
        <w:ind w:left="720"/>
        <w:jc w:val="center"/>
        <w:rPr>
          <w:rFonts w:ascii="EC Square Sans Pro" w:hAnsi="EC Square Sans Pro"/>
          <w:b/>
          <w:sz w:val="30"/>
          <w:szCs w:val="30"/>
        </w:rPr>
      </w:pPr>
      <w:r w:rsidRPr="0055296F">
        <w:rPr>
          <w:rFonts w:ascii="EC Square Sans Pro" w:hAnsi="EC Square Sans Pro"/>
          <w:b/>
          <w:color w:val="00B0F0"/>
          <w:sz w:val="30"/>
          <w:szCs w:val="30"/>
        </w:rPr>
        <w:t>En cas de divergences entre les différentes versions linguistiques, la version en langue anglaise fait foi</w:t>
      </w:r>
      <w:r w:rsidR="0055296F">
        <w:rPr>
          <w:rFonts w:ascii="EC Square Sans Pro" w:hAnsi="EC Square Sans Pro"/>
          <w:b/>
          <w:color w:val="00B0F0"/>
          <w:sz w:val="30"/>
          <w:szCs w:val="30"/>
        </w:rPr>
        <w:t>.</w:t>
      </w:r>
      <w:bookmarkStart w:id="0" w:name="_GoBack"/>
      <w:bookmarkEnd w:id="0"/>
    </w:p>
    <w:p w14:paraId="21FCDCDD" w14:textId="77777777" w:rsidR="00F9780D" w:rsidRPr="00473050" w:rsidRDefault="00F9780D" w:rsidP="00BC77C3">
      <w:pPr>
        <w:jc w:val="center"/>
      </w:pPr>
    </w:p>
    <w:p w14:paraId="0385DD63" w14:textId="77777777" w:rsidR="00BC77C3" w:rsidRPr="00473050" w:rsidRDefault="00BC77C3" w:rsidP="00BC77C3">
      <w:pPr>
        <w:jc w:val="center"/>
      </w:pPr>
    </w:p>
    <w:p w14:paraId="418ADFA1" w14:textId="75C8365F" w:rsidR="00BC77C3" w:rsidRPr="00473050" w:rsidRDefault="005A3754" w:rsidP="00091DCA">
      <w:pPr>
        <w:jc w:val="center"/>
        <w:rPr>
          <w:rFonts w:ascii="Arial" w:hAnsi="Arial"/>
        </w:rPr>
      </w:pPr>
      <w:r w:rsidRPr="00473050">
        <w:rPr>
          <w:noProof/>
          <w:lang w:val="en-IE" w:eastAsia="en-IE"/>
        </w:rPr>
        <w:drawing>
          <wp:inline distT="0" distB="0" distL="0" distR="0" wp14:anchorId="3A69CB9C" wp14:editId="4CD3D611">
            <wp:extent cx="3198873" cy="2175753"/>
            <wp:effectExtent l="0" t="0" r="0" b="0"/>
            <wp:docPr id="1" name="Picture 1307357487" title="Title: Title: Title: Title: flag_yellow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7357487" name="Picture 1307357487" title="Title: Title: Title: Title: flag_yellow_low"/>
                    <pic:cNvPicPr/>
                  </pic:nvPicPr>
                  <pic:blipFill>
                    <a:blip r:embed="rId15">
                      <a:extLst>
                        <a:ext uri="{28A0092B-C50C-407E-A947-70E740481C1C}">
                          <a14:useLocalDpi xmlns:a14="http://schemas.microsoft.com/office/drawing/2010/main" val="0"/>
                        </a:ext>
                      </a:extLst>
                    </a:blip>
                    <a:srcRect r="-59" b="-115"/>
                    <a:stretch>
                      <a:fillRect/>
                    </a:stretch>
                  </pic:blipFill>
                  <pic:spPr>
                    <a:xfrm>
                      <a:off x="0" y="0"/>
                      <a:ext cx="3198495" cy="2175510"/>
                    </a:xfrm>
                    <a:prstGeom prst="rect">
                      <a:avLst/>
                    </a:prstGeom>
                  </pic:spPr>
                </pic:pic>
              </a:graphicData>
            </a:graphic>
          </wp:inline>
        </w:drawing>
      </w:r>
    </w:p>
    <w:p w14:paraId="5C568077" w14:textId="77777777" w:rsidR="00BC77C3" w:rsidRPr="00473050" w:rsidRDefault="00BC77C3" w:rsidP="00F9780D">
      <w:pPr>
        <w:jc w:val="center"/>
        <w:rPr>
          <w:rFonts w:ascii="Arial" w:hAnsi="Arial"/>
        </w:rPr>
      </w:pPr>
    </w:p>
    <w:p w14:paraId="7D8B3237" w14:textId="77777777" w:rsidR="00BC77C3" w:rsidRPr="00473050" w:rsidRDefault="00BC77C3" w:rsidP="00F9780D">
      <w:pPr>
        <w:jc w:val="center"/>
        <w:rPr>
          <w:rFonts w:ascii="Arial" w:hAnsi="Arial"/>
        </w:rPr>
      </w:pPr>
    </w:p>
    <w:p w14:paraId="35065F78" w14:textId="17DB65C8" w:rsidR="00877924" w:rsidRPr="00473050" w:rsidRDefault="00DE39DA" w:rsidP="42BB08A3">
      <w:pPr>
        <w:jc w:val="center"/>
        <w:rPr>
          <w:rFonts w:ascii="EC Square Sans Pro Light" w:hAnsi="EC Square Sans Pro Light"/>
          <w:b/>
          <w:bCs/>
          <w:sz w:val="48"/>
          <w:szCs w:val="48"/>
        </w:rPr>
      </w:pPr>
      <w:r w:rsidRPr="00473050">
        <w:rPr>
          <w:rFonts w:ascii="EC Square Sans Pro Medium" w:hAnsi="EC Square Sans Pro Medium"/>
          <w:b/>
          <w:bCs/>
          <w:sz w:val="48"/>
          <w:szCs w:val="48"/>
        </w:rPr>
        <w:t>Programme «Citoyens, égalité, droits et valeurs» (CERV)</w:t>
      </w:r>
    </w:p>
    <w:p w14:paraId="50894FE4" w14:textId="77777777" w:rsidR="00877924" w:rsidRPr="00473050" w:rsidRDefault="00877924" w:rsidP="00874AFD">
      <w:pPr>
        <w:jc w:val="center"/>
        <w:rPr>
          <w:rFonts w:ascii="EC Square Sans Pro Light" w:hAnsi="EC Square Sans Pro Light"/>
          <w:b/>
        </w:rPr>
      </w:pPr>
    </w:p>
    <w:p w14:paraId="3ECABABD" w14:textId="43646D72" w:rsidR="00877924" w:rsidRPr="00473050" w:rsidRDefault="00874AFD" w:rsidP="009E0E8F">
      <w:pPr>
        <w:spacing w:after="320"/>
        <w:jc w:val="center"/>
        <w:rPr>
          <w:rFonts w:ascii="EC Square Sans Pro Light" w:hAnsi="EC Square Sans Pro Light"/>
          <w:b/>
          <w:bCs/>
          <w:sz w:val="48"/>
          <w:szCs w:val="48"/>
        </w:rPr>
      </w:pPr>
      <w:r w:rsidRPr="00473050">
        <w:rPr>
          <w:rFonts w:ascii="EC Square Sans Pro Light" w:hAnsi="EC Square Sans Pro Light"/>
          <w:b/>
          <w:bCs/>
          <w:sz w:val="48"/>
          <w:szCs w:val="48"/>
        </w:rPr>
        <w:t xml:space="preserve">Appel à propositions </w:t>
      </w:r>
    </w:p>
    <w:p w14:paraId="026AC77F" w14:textId="77777777" w:rsidR="00BA69DD" w:rsidRPr="00054CBA" w:rsidRDefault="00BA69DD" w:rsidP="00BA69DD">
      <w:pPr>
        <w:spacing w:after="320"/>
        <w:jc w:val="center"/>
        <w:rPr>
          <w:rFonts w:ascii="EC Square Sans Pro Light" w:hAnsi="EC Square Sans Pro Light"/>
          <w:b/>
          <w:bCs/>
          <w:sz w:val="48"/>
          <w:szCs w:val="48"/>
          <w:lang w:val="fr-BE"/>
        </w:rPr>
      </w:pPr>
    </w:p>
    <w:p w14:paraId="5D3C2DA6" w14:textId="7FDDFAD8" w:rsidR="00BE4CEF" w:rsidRPr="00473050" w:rsidRDefault="00BE4CEF" w:rsidP="00BE4CEF">
      <w:pPr>
        <w:jc w:val="center"/>
        <w:rPr>
          <w:rFonts w:ascii="EC Square Sans Pro" w:eastAsia="EC Square Sans Pro" w:hAnsi="EC Square Sans Pro" w:cs="EC Square Sans Pro"/>
          <w:color w:val="000000"/>
          <w:sz w:val="30"/>
          <w:szCs w:val="30"/>
        </w:rPr>
      </w:pPr>
      <w:r w:rsidRPr="00473050">
        <w:rPr>
          <w:rFonts w:ascii="EC Square Sans Pro" w:hAnsi="EC Square Sans Pro"/>
          <w:color w:val="000000"/>
          <w:sz w:val="30"/>
          <w:szCs w:val="30"/>
        </w:rPr>
        <w:t>Jumelage de villes et Réseaux de villes</w:t>
      </w:r>
    </w:p>
    <w:p w14:paraId="7A38AB7F" w14:textId="32C6C549" w:rsidR="00BE4CEF" w:rsidRPr="00054CBA" w:rsidRDefault="00E81CEB" w:rsidP="00BE4CEF">
      <w:pPr>
        <w:jc w:val="center"/>
        <w:rPr>
          <w:rFonts w:ascii="EC Square Sans Pro" w:hAnsi="EC Square Sans Pro" w:cs="EC Square Sans Pro"/>
          <w:color w:val="000000"/>
          <w:sz w:val="30"/>
          <w:szCs w:val="30"/>
          <w:lang w:val="en-US"/>
        </w:rPr>
      </w:pPr>
      <w:r w:rsidRPr="00054CBA">
        <w:rPr>
          <w:rFonts w:ascii="EC Square Sans Pro" w:hAnsi="EC Square Sans Pro"/>
          <w:color w:val="000000"/>
          <w:sz w:val="30"/>
          <w:szCs w:val="30"/>
          <w:lang w:val="en-US"/>
        </w:rPr>
        <w:t xml:space="preserve">(CERV-2022-CITIZENS-TOWN: </w:t>
      </w:r>
    </w:p>
    <w:p w14:paraId="68B0281F" w14:textId="4C206E2A" w:rsidR="00BE4CEF" w:rsidRPr="00054CBA" w:rsidRDefault="00E81CEB" w:rsidP="00BE4CEF">
      <w:pPr>
        <w:jc w:val="center"/>
        <w:rPr>
          <w:rFonts w:ascii="EC Square Sans Pro" w:eastAsia="EC Square Sans Pro" w:hAnsi="EC Square Sans Pro" w:cs="EC Square Sans Pro"/>
          <w:color w:val="000000"/>
          <w:sz w:val="30"/>
          <w:szCs w:val="30"/>
          <w:lang w:val="en-US"/>
        </w:rPr>
      </w:pPr>
      <w:r w:rsidRPr="00054CBA">
        <w:rPr>
          <w:rFonts w:ascii="EC Square Sans Pro" w:hAnsi="EC Square Sans Pro"/>
          <w:color w:val="000000"/>
          <w:sz w:val="30"/>
          <w:szCs w:val="30"/>
          <w:lang w:val="en-US"/>
        </w:rPr>
        <w:t>CERV-2022-TOWN-TT, CERV-2022-TOWN-NT)</w:t>
      </w:r>
    </w:p>
    <w:p w14:paraId="3EDE395E" w14:textId="77777777" w:rsidR="007A412A" w:rsidRPr="00054CBA" w:rsidRDefault="007A412A" w:rsidP="007A412A">
      <w:pPr>
        <w:jc w:val="center"/>
        <w:rPr>
          <w:rFonts w:ascii="EC Square Sans Pro Light" w:hAnsi="EC Square Sans Pro Light"/>
          <w:b/>
          <w:lang w:val="en-US"/>
        </w:rPr>
      </w:pPr>
    </w:p>
    <w:p w14:paraId="6E4B9879" w14:textId="77777777" w:rsidR="007A412A" w:rsidRPr="00054CBA" w:rsidRDefault="007A412A" w:rsidP="007A412A">
      <w:pPr>
        <w:jc w:val="center"/>
        <w:rPr>
          <w:rFonts w:ascii="EC Square Sans Pro Light" w:hAnsi="EC Square Sans Pro Light"/>
          <w:b/>
          <w:lang w:val="en-US"/>
        </w:rPr>
      </w:pPr>
    </w:p>
    <w:p w14:paraId="61DBCCDA" w14:textId="77777777" w:rsidR="007A412A" w:rsidRPr="00054CBA" w:rsidRDefault="007A412A" w:rsidP="007A412A">
      <w:pPr>
        <w:jc w:val="center"/>
        <w:rPr>
          <w:rFonts w:ascii="EC Square Sans Pro Light" w:hAnsi="EC Square Sans Pro Light"/>
          <w:b/>
          <w:lang w:val="en-US"/>
        </w:rPr>
      </w:pPr>
    </w:p>
    <w:p w14:paraId="5FB6A2F5" w14:textId="51B3A1A9" w:rsidR="00877924" w:rsidRPr="00473050" w:rsidRDefault="00877924" w:rsidP="007A412A">
      <w:pPr>
        <w:spacing w:after="0"/>
        <w:jc w:val="center"/>
        <w:rPr>
          <w:rFonts w:ascii="EC Square Sans Pro Light" w:hAnsi="EC Square Sans Pro Light"/>
          <w:b/>
        </w:rPr>
      </w:pPr>
      <w:r w:rsidRPr="00473050">
        <w:rPr>
          <w:rFonts w:ascii="EC Square Sans Pro Light" w:hAnsi="EC Square Sans Pro Light"/>
          <w:b/>
        </w:rPr>
        <w:t>Version 1.0</w:t>
      </w:r>
    </w:p>
    <w:p w14:paraId="6AA6E93A" w14:textId="5A75814B" w:rsidR="00A2572D" w:rsidRPr="00473050" w:rsidRDefault="0086598B" w:rsidP="00A2572D">
      <w:pPr>
        <w:spacing w:after="0"/>
        <w:jc w:val="center"/>
        <w:rPr>
          <w:rFonts w:ascii="EC Square Sans Pro Light" w:hAnsi="EC Square Sans Pro Light"/>
          <w:b/>
        </w:rPr>
      </w:pPr>
      <w:r w:rsidRPr="00473050">
        <w:rPr>
          <w:rFonts w:ascii="EC Square Sans Pro Light" w:hAnsi="EC Square Sans Pro Light"/>
          <w:b/>
        </w:rPr>
        <w:t>16 novembre 2021</w:t>
      </w:r>
    </w:p>
    <w:p w14:paraId="048B71E5" w14:textId="77777777" w:rsidR="00A2572D" w:rsidRPr="00473050" w:rsidRDefault="00A2572D" w:rsidP="00A2572D">
      <w:pPr>
        <w:spacing w:after="0"/>
        <w:jc w:val="center"/>
        <w:rPr>
          <w:rFonts w:ascii="EC Square Sans Pro Light" w:hAnsi="EC Square Sans Pro Light"/>
          <w:bCs/>
          <w:lang w:val="en-US" w:eastAsia="en-GB"/>
        </w:rPr>
        <w:sectPr w:rsidR="00A2572D" w:rsidRPr="00473050" w:rsidSect="007E6BA0">
          <w:headerReference w:type="even" r:id="rId16"/>
          <w:headerReference w:type="default" r:id="rId17"/>
          <w:footerReference w:type="even" r:id="rId18"/>
          <w:footerReference w:type="default" r:id="rId19"/>
          <w:headerReference w:type="first" r:id="rId20"/>
          <w:footerReference w:type="first" r:id="rId21"/>
          <w:pgSz w:w="11906" w:h="16838" w:code="9"/>
          <w:pgMar w:top="1560" w:right="1588" w:bottom="1276" w:left="1588" w:header="567" w:footer="737" w:gutter="0"/>
          <w:cols w:space="720"/>
          <w:titlePg/>
          <w:docGrid w:linePitch="381"/>
        </w:sectPr>
      </w:pPr>
    </w:p>
    <w:tbl>
      <w:tblPr>
        <w:tblW w:w="9000"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45" w:type="dxa"/>
          <w:right w:w="45" w:type="dxa"/>
        </w:tblCellMar>
        <w:tblLook w:val="04A0" w:firstRow="1" w:lastRow="0" w:firstColumn="1" w:lastColumn="0" w:noHBand="0" w:noVBand="1"/>
      </w:tblPr>
      <w:tblGrid>
        <w:gridCol w:w="975"/>
        <w:gridCol w:w="1350"/>
        <w:gridCol w:w="6000"/>
        <w:gridCol w:w="675"/>
      </w:tblGrid>
      <w:tr w:rsidR="002F6C8E" w:rsidRPr="00473050" w14:paraId="366E97BE" w14:textId="77777777" w:rsidTr="002F6C8E">
        <w:trPr>
          <w:jc w:val="center"/>
        </w:trPr>
        <w:tc>
          <w:tcPr>
            <w:tcW w:w="9000" w:type="dxa"/>
            <w:gridSpan w:val="4"/>
            <w:hideMark/>
          </w:tcPr>
          <w:p w14:paraId="6DE6483F" w14:textId="77777777" w:rsidR="00877924" w:rsidRPr="00473050" w:rsidRDefault="00877924" w:rsidP="00877924">
            <w:pPr>
              <w:spacing w:before="160" w:after="160"/>
              <w:jc w:val="center"/>
              <w:rPr>
                <w:b/>
                <w:color w:val="595959"/>
              </w:rPr>
            </w:pPr>
            <w:r w:rsidRPr="00473050">
              <w:lastRenderedPageBreak/>
              <w:br w:type="page"/>
            </w:r>
            <w:r w:rsidRPr="00473050">
              <w:br w:type="page"/>
            </w:r>
            <w:r w:rsidRPr="00473050">
              <w:br w:type="page"/>
            </w:r>
            <w:r w:rsidRPr="00473050">
              <w:rPr>
                <w:b/>
                <w:color w:val="595959"/>
              </w:rPr>
              <w:t>HISTORIQUE DES MODIFICATIONS</w:t>
            </w:r>
          </w:p>
        </w:tc>
      </w:tr>
      <w:tr w:rsidR="002F6C8E" w:rsidRPr="00473050" w14:paraId="4E3EB65A" w14:textId="77777777" w:rsidTr="002F6C8E">
        <w:trPr>
          <w:jc w:val="center"/>
        </w:trPr>
        <w:tc>
          <w:tcPr>
            <w:tcW w:w="975" w:type="dxa"/>
            <w:vAlign w:val="center"/>
            <w:hideMark/>
          </w:tcPr>
          <w:p w14:paraId="4BC01B6E" w14:textId="77777777" w:rsidR="00877924" w:rsidRPr="00473050" w:rsidRDefault="00877924" w:rsidP="00877924">
            <w:pPr>
              <w:spacing w:before="60" w:after="60"/>
              <w:jc w:val="center"/>
              <w:rPr>
                <w:b/>
                <w:color w:val="595959"/>
              </w:rPr>
            </w:pPr>
            <w:r w:rsidRPr="00473050">
              <w:rPr>
                <w:b/>
                <w:color w:val="595959"/>
              </w:rPr>
              <w:t>Version</w:t>
            </w:r>
          </w:p>
        </w:tc>
        <w:tc>
          <w:tcPr>
            <w:tcW w:w="1350" w:type="dxa"/>
            <w:vAlign w:val="center"/>
            <w:hideMark/>
          </w:tcPr>
          <w:p w14:paraId="23E928C6" w14:textId="77777777" w:rsidR="00877924" w:rsidRPr="00473050" w:rsidRDefault="00877924" w:rsidP="00877924">
            <w:pPr>
              <w:keepNext/>
              <w:tabs>
                <w:tab w:val="right" w:pos="9063"/>
              </w:tabs>
              <w:spacing w:before="60" w:after="60"/>
              <w:ind w:left="-54"/>
              <w:jc w:val="center"/>
              <w:outlineLvl w:val="1"/>
              <w:rPr>
                <w:b/>
                <w:bCs/>
                <w:iCs/>
                <w:color w:val="595959"/>
              </w:rPr>
            </w:pPr>
            <w:r w:rsidRPr="00473050">
              <w:rPr>
                <w:b/>
                <w:bCs/>
                <w:iCs/>
                <w:color w:val="595959"/>
              </w:rPr>
              <w:t>Date de publication</w:t>
            </w:r>
          </w:p>
        </w:tc>
        <w:tc>
          <w:tcPr>
            <w:tcW w:w="6000" w:type="dxa"/>
            <w:vAlign w:val="center"/>
            <w:hideMark/>
          </w:tcPr>
          <w:p w14:paraId="42CDF74A" w14:textId="77777777" w:rsidR="00877924" w:rsidRPr="00473050" w:rsidRDefault="00877924" w:rsidP="00877924">
            <w:pPr>
              <w:keepNext/>
              <w:tabs>
                <w:tab w:val="right" w:pos="9063"/>
              </w:tabs>
              <w:spacing w:before="60" w:after="60"/>
              <w:jc w:val="center"/>
              <w:outlineLvl w:val="1"/>
              <w:rPr>
                <w:b/>
                <w:bCs/>
                <w:iCs/>
                <w:color w:val="595959"/>
              </w:rPr>
            </w:pPr>
            <w:r w:rsidRPr="00473050">
              <w:rPr>
                <w:b/>
                <w:bCs/>
                <w:iCs/>
                <w:color w:val="595959"/>
              </w:rPr>
              <w:t>Modification</w:t>
            </w:r>
          </w:p>
        </w:tc>
        <w:tc>
          <w:tcPr>
            <w:tcW w:w="675" w:type="dxa"/>
            <w:vAlign w:val="center"/>
            <w:hideMark/>
          </w:tcPr>
          <w:p w14:paraId="7294B709" w14:textId="77777777" w:rsidR="00877924" w:rsidRPr="00473050" w:rsidRDefault="00877924" w:rsidP="00877924">
            <w:pPr>
              <w:spacing w:before="60" w:after="60"/>
              <w:jc w:val="center"/>
              <w:rPr>
                <w:b/>
                <w:color w:val="595959"/>
              </w:rPr>
            </w:pPr>
            <w:r w:rsidRPr="00473050">
              <w:rPr>
                <w:b/>
                <w:color w:val="595959"/>
              </w:rPr>
              <w:t>Page</w:t>
            </w:r>
          </w:p>
        </w:tc>
      </w:tr>
      <w:tr w:rsidR="002F6C8E" w:rsidRPr="00473050" w14:paraId="6AD94C27" w14:textId="77777777" w:rsidTr="002F6C8E">
        <w:trPr>
          <w:jc w:val="center"/>
        </w:trPr>
        <w:tc>
          <w:tcPr>
            <w:tcW w:w="975" w:type="dxa"/>
            <w:hideMark/>
          </w:tcPr>
          <w:p w14:paraId="56E66BB1" w14:textId="77777777" w:rsidR="007C1E0D" w:rsidRPr="00473050" w:rsidRDefault="007C1E0D" w:rsidP="0084666C">
            <w:pPr>
              <w:spacing w:before="60" w:after="60"/>
              <w:jc w:val="center"/>
              <w:rPr>
                <w:color w:val="595959"/>
                <w:sz w:val="18"/>
                <w:szCs w:val="18"/>
              </w:rPr>
            </w:pPr>
            <w:r w:rsidRPr="00473050">
              <w:rPr>
                <w:color w:val="595959"/>
                <w:sz w:val="18"/>
                <w:szCs w:val="18"/>
              </w:rPr>
              <w:t>1.0</w:t>
            </w:r>
          </w:p>
        </w:tc>
        <w:tc>
          <w:tcPr>
            <w:tcW w:w="1350" w:type="dxa"/>
            <w:hideMark/>
          </w:tcPr>
          <w:p w14:paraId="60BE4CB3" w14:textId="30249BF1" w:rsidR="007C1E0D" w:rsidRPr="00473050" w:rsidRDefault="00BE4CEF" w:rsidP="00F52256">
            <w:pPr>
              <w:keepNext/>
              <w:tabs>
                <w:tab w:val="right" w:pos="9063"/>
              </w:tabs>
              <w:spacing w:before="60" w:after="60"/>
              <w:jc w:val="center"/>
              <w:outlineLvl w:val="1"/>
              <w:rPr>
                <w:color w:val="595959"/>
                <w:sz w:val="18"/>
                <w:szCs w:val="18"/>
              </w:rPr>
            </w:pPr>
            <w:r w:rsidRPr="00473050">
              <w:rPr>
                <w:color w:val="595959"/>
                <w:sz w:val="18"/>
                <w:szCs w:val="18"/>
              </w:rPr>
              <w:t>16/11/2021</w:t>
            </w:r>
          </w:p>
        </w:tc>
        <w:tc>
          <w:tcPr>
            <w:tcW w:w="6000" w:type="dxa"/>
            <w:hideMark/>
          </w:tcPr>
          <w:p w14:paraId="7F916257" w14:textId="077F49C4" w:rsidR="007C1E0D" w:rsidRPr="00473050" w:rsidRDefault="009E1814" w:rsidP="00584316">
            <w:pPr>
              <w:keepNext/>
              <w:numPr>
                <w:ilvl w:val="0"/>
                <w:numId w:val="23"/>
              </w:numPr>
              <w:tabs>
                <w:tab w:val="left" w:pos="318"/>
                <w:tab w:val="right" w:pos="9063"/>
              </w:tabs>
              <w:spacing w:before="60" w:after="60"/>
              <w:ind w:left="318" w:hanging="284"/>
              <w:outlineLvl w:val="1"/>
              <w:rPr>
                <w:color w:val="595959"/>
                <w:sz w:val="18"/>
                <w:szCs w:val="18"/>
              </w:rPr>
            </w:pPr>
            <w:r w:rsidRPr="00473050">
              <w:rPr>
                <w:color w:val="595959"/>
                <w:sz w:val="18"/>
                <w:szCs w:val="18"/>
              </w:rPr>
              <w:t>Version initiale (CFP 2021-2022)</w:t>
            </w:r>
          </w:p>
        </w:tc>
        <w:tc>
          <w:tcPr>
            <w:tcW w:w="675" w:type="dxa"/>
            <w:hideMark/>
          </w:tcPr>
          <w:p w14:paraId="0776925A" w14:textId="77777777" w:rsidR="007C1E0D" w:rsidRPr="00473050" w:rsidRDefault="007C1E0D" w:rsidP="00877924">
            <w:pPr>
              <w:keepNext/>
              <w:tabs>
                <w:tab w:val="right" w:pos="9063"/>
              </w:tabs>
              <w:spacing w:before="60" w:after="60"/>
              <w:jc w:val="center"/>
              <w:outlineLvl w:val="1"/>
              <w:rPr>
                <w:color w:val="595959"/>
                <w:sz w:val="18"/>
                <w:szCs w:val="18"/>
                <w:lang w:val="en-US"/>
              </w:rPr>
            </w:pPr>
          </w:p>
        </w:tc>
      </w:tr>
      <w:tr w:rsidR="002F6C8E" w:rsidRPr="00473050" w14:paraId="6B8E79B0" w14:textId="77777777" w:rsidTr="002F6C8E">
        <w:trPr>
          <w:jc w:val="center"/>
        </w:trPr>
        <w:tc>
          <w:tcPr>
            <w:tcW w:w="975" w:type="dxa"/>
          </w:tcPr>
          <w:p w14:paraId="2D4B5C9F" w14:textId="77777777" w:rsidR="007C1E0D" w:rsidRPr="00473050" w:rsidRDefault="007C1E0D" w:rsidP="0084666C">
            <w:pPr>
              <w:spacing w:before="60" w:after="60"/>
              <w:jc w:val="center"/>
              <w:rPr>
                <w:color w:val="595959"/>
                <w:sz w:val="18"/>
                <w:szCs w:val="18"/>
              </w:rPr>
            </w:pPr>
          </w:p>
        </w:tc>
        <w:tc>
          <w:tcPr>
            <w:tcW w:w="1350" w:type="dxa"/>
          </w:tcPr>
          <w:p w14:paraId="3F2CFB55" w14:textId="77777777" w:rsidR="007C1E0D" w:rsidRPr="00473050" w:rsidRDefault="007C1E0D" w:rsidP="0084666C">
            <w:pPr>
              <w:keepNext/>
              <w:tabs>
                <w:tab w:val="right" w:pos="9063"/>
              </w:tabs>
              <w:spacing w:before="60" w:after="60"/>
              <w:jc w:val="center"/>
              <w:outlineLvl w:val="1"/>
              <w:rPr>
                <w:color w:val="595959"/>
                <w:sz w:val="18"/>
                <w:szCs w:val="18"/>
              </w:rPr>
            </w:pPr>
          </w:p>
        </w:tc>
        <w:tc>
          <w:tcPr>
            <w:tcW w:w="6000" w:type="dxa"/>
            <w:hideMark/>
          </w:tcPr>
          <w:p w14:paraId="3BB2AEDE" w14:textId="77777777" w:rsidR="007C1E0D" w:rsidRPr="00473050"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50EB3CF6" w14:textId="77777777" w:rsidR="007C1E0D" w:rsidRPr="00473050" w:rsidRDefault="007C1E0D" w:rsidP="00877924">
            <w:pPr>
              <w:keepNext/>
              <w:tabs>
                <w:tab w:val="right" w:pos="9063"/>
              </w:tabs>
              <w:spacing w:before="60" w:after="60"/>
              <w:jc w:val="center"/>
              <w:outlineLvl w:val="1"/>
              <w:rPr>
                <w:color w:val="595959"/>
                <w:sz w:val="18"/>
                <w:szCs w:val="18"/>
                <w:lang w:val="en-US"/>
              </w:rPr>
            </w:pPr>
          </w:p>
        </w:tc>
      </w:tr>
      <w:tr w:rsidR="002F6C8E" w:rsidRPr="00473050" w14:paraId="543D7828" w14:textId="77777777" w:rsidTr="002F6C8E">
        <w:trPr>
          <w:jc w:val="center"/>
        </w:trPr>
        <w:tc>
          <w:tcPr>
            <w:tcW w:w="975" w:type="dxa"/>
          </w:tcPr>
          <w:p w14:paraId="53DF4A59" w14:textId="77777777" w:rsidR="007C1E0D" w:rsidRPr="00473050" w:rsidRDefault="007C1E0D" w:rsidP="0084666C">
            <w:pPr>
              <w:spacing w:before="60" w:after="60"/>
              <w:jc w:val="center"/>
              <w:rPr>
                <w:color w:val="595959"/>
                <w:sz w:val="18"/>
                <w:szCs w:val="18"/>
              </w:rPr>
            </w:pPr>
          </w:p>
        </w:tc>
        <w:tc>
          <w:tcPr>
            <w:tcW w:w="1350" w:type="dxa"/>
          </w:tcPr>
          <w:p w14:paraId="38342A73" w14:textId="77777777" w:rsidR="007C1E0D" w:rsidRPr="00473050" w:rsidRDefault="007C1E0D" w:rsidP="0084666C">
            <w:pPr>
              <w:keepNext/>
              <w:tabs>
                <w:tab w:val="right" w:pos="9063"/>
              </w:tabs>
              <w:spacing w:before="60" w:after="60"/>
              <w:jc w:val="center"/>
              <w:outlineLvl w:val="1"/>
              <w:rPr>
                <w:color w:val="595959"/>
                <w:sz w:val="18"/>
                <w:szCs w:val="18"/>
              </w:rPr>
            </w:pPr>
          </w:p>
        </w:tc>
        <w:tc>
          <w:tcPr>
            <w:tcW w:w="6000" w:type="dxa"/>
          </w:tcPr>
          <w:p w14:paraId="444D49C1" w14:textId="77777777" w:rsidR="007C1E0D" w:rsidRPr="00473050"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641351FE" w14:textId="77777777" w:rsidR="007C1E0D" w:rsidRPr="00473050" w:rsidRDefault="007C1E0D" w:rsidP="00877924">
            <w:pPr>
              <w:keepNext/>
              <w:tabs>
                <w:tab w:val="right" w:pos="9063"/>
              </w:tabs>
              <w:spacing w:before="60" w:after="60"/>
              <w:jc w:val="center"/>
              <w:outlineLvl w:val="1"/>
              <w:rPr>
                <w:color w:val="595959"/>
                <w:sz w:val="18"/>
                <w:szCs w:val="18"/>
                <w:lang w:val="en-US"/>
              </w:rPr>
            </w:pPr>
          </w:p>
        </w:tc>
      </w:tr>
      <w:tr w:rsidR="002F6C8E" w:rsidRPr="00473050" w14:paraId="30FE2898" w14:textId="77777777" w:rsidTr="002F6C8E">
        <w:trPr>
          <w:jc w:val="center"/>
        </w:trPr>
        <w:tc>
          <w:tcPr>
            <w:tcW w:w="975" w:type="dxa"/>
          </w:tcPr>
          <w:p w14:paraId="55376C2C" w14:textId="77777777" w:rsidR="007C1E0D" w:rsidRPr="00473050" w:rsidRDefault="007C1E0D" w:rsidP="0084666C">
            <w:pPr>
              <w:spacing w:before="60" w:after="60"/>
              <w:jc w:val="center"/>
              <w:rPr>
                <w:color w:val="595959"/>
                <w:sz w:val="18"/>
                <w:szCs w:val="18"/>
              </w:rPr>
            </w:pPr>
          </w:p>
        </w:tc>
        <w:tc>
          <w:tcPr>
            <w:tcW w:w="1350" w:type="dxa"/>
          </w:tcPr>
          <w:p w14:paraId="4A3DC56D" w14:textId="77777777" w:rsidR="007C1E0D" w:rsidRPr="00473050" w:rsidRDefault="007C1E0D" w:rsidP="0084666C">
            <w:pPr>
              <w:keepNext/>
              <w:tabs>
                <w:tab w:val="right" w:pos="9063"/>
              </w:tabs>
              <w:spacing w:before="60" w:after="60"/>
              <w:jc w:val="center"/>
              <w:outlineLvl w:val="1"/>
              <w:rPr>
                <w:color w:val="595959"/>
                <w:sz w:val="18"/>
                <w:szCs w:val="18"/>
              </w:rPr>
            </w:pPr>
          </w:p>
        </w:tc>
        <w:tc>
          <w:tcPr>
            <w:tcW w:w="6000" w:type="dxa"/>
          </w:tcPr>
          <w:p w14:paraId="3ECBC096" w14:textId="77777777" w:rsidR="007C1E0D" w:rsidRPr="00473050"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29A81A1A" w14:textId="77777777" w:rsidR="007C1E0D" w:rsidRPr="00473050" w:rsidRDefault="007C1E0D" w:rsidP="00877924">
            <w:pPr>
              <w:keepNext/>
              <w:tabs>
                <w:tab w:val="right" w:pos="9063"/>
              </w:tabs>
              <w:spacing w:before="60" w:after="60"/>
              <w:jc w:val="center"/>
              <w:outlineLvl w:val="1"/>
              <w:rPr>
                <w:color w:val="595959"/>
                <w:sz w:val="18"/>
                <w:szCs w:val="18"/>
                <w:lang w:val="en-US"/>
              </w:rPr>
            </w:pPr>
          </w:p>
        </w:tc>
      </w:tr>
    </w:tbl>
    <w:p w14:paraId="21681E32" w14:textId="77777777" w:rsidR="00877924" w:rsidRPr="00473050" w:rsidRDefault="00877924" w:rsidP="00877924">
      <w:pPr>
        <w:spacing w:after="0"/>
        <w:rPr>
          <w:sz w:val="22"/>
          <w:szCs w:val="22"/>
          <w:lang w:val="en-US"/>
        </w:rPr>
      </w:pPr>
    </w:p>
    <w:p w14:paraId="129A5496" w14:textId="77777777" w:rsidR="0062273B" w:rsidRPr="00473050" w:rsidRDefault="00877924" w:rsidP="00771274">
      <w:pPr>
        <w:spacing w:after="0"/>
        <w:jc w:val="center"/>
        <w:rPr>
          <w:sz w:val="22"/>
          <w:szCs w:val="22"/>
        </w:rPr>
      </w:pPr>
      <w:r w:rsidRPr="00473050">
        <w:br w:type="page"/>
      </w:r>
    </w:p>
    <w:tbl>
      <w:tblPr>
        <w:tblStyle w:val="TableLetterhead"/>
        <w:tblW w:w="9480" w:type="dxa"/>
        <w:tblLook w:val="04A0" w:firstRow="1" w:lastRow="0" w:firstColumn="1" w:lastColumn="0" w:noHBand="0" w:noVBand="1"/>
      </w:tblPr>
      <w:tblGrid>
        <w:gridCol w:w="2400"/>
        <w:gridCol w:w="7080"/>
      </w:tblGrid>
      <w:tr w:rsidR="0062273B" w:rsidRPr="00473050" w14:paraId="63C3AADA" w14:textId="77777777" w:rsidTr="000579AF">
        <w:tc>
          <w:tcPr>
            <w:tcW w:w="2400" w:type="dxa"/>
          </w:tcPr>
          <w:p w14:paraId="45ABB2A4" w14:textId="1231702F" w:rsidR="0062273B" w:rsidRPr="00473050" w:rsidRDefault="005A3754" w:rsidP="0062273B">
            <w:pPr>
              <w:widowControl w:val="0"/>
              <w:spacing w:after="0"/>
              <w:ind w:right="85"/>
              <w:rPr>
                <w:rFonts w:ascii="Times New Roman" w:hAnsi="Times New Roman"/>
              </w:rPr>
            </w:pPr>
            <w:r w:rsidRPr="00473050">
              <w:rPr>
                <w:rFonts w:ascii="Times New Roman" w:hAnsi="Times New Roman"/>
                <w:noProof/>
                <w:lang w:val="en-IE" w:eastAsia="en-IE"/>
              </w:rPr>
              <w:lastRenderedPageBreak/>
              <w:drawing>
                <wp:inline distT="0" distB="0" distL="0" distR="0" wp14:anchorId="09CA6CCD" wp14:editId="2A0B6514">
                  <wp:extent cx="1371600" cy="672465"/>
                  <wp:effectExtent l="0" t="0" r="0" b="0"/>
                  <wp:docPr id="3" name="Picture 3"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the European Commission, 12 yellow stars on a blue background arranged in a circle and framed by two light grey graphic elements representing the Berlaymont building, which is the headquarter of the European Commiss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672465"/>
                          </a:xfrm>
                          <a:prstGeom prst="rect">
                            <a:avLst/>
                          </a:prstGeom>
                          <a:noFill/>
                          <a:ln>
                            <a:noFill/>
                          </a:ln>
                        </pic:spPr>
                      </pic:pic>
                    </a:graphicData>
                  </a:graphic>
                </wp:inline>
              </w:drawing>
            </w:r>
          </w:p>
        </w:tc>
        <w:tc>
          <w:tcPr>
            <w:tcW w:w="7080" w:type="dxa"/>
          </w:tcPr>
          <w:p w14:paraId="66F12799" w14:textId="408A0EF9" w:rsidR="0062273B" w:rsidRPr="00473050" w:rsidRDefault="0062273B" w:rsidP="0062273B">
            <w:pPr>
              <w:widowControl w:val="0"/>
              <w:spacing w:before="90" w:after="0"/>
              <w:ind w:right="85"/>
              <w:jc w:val="left"/>
              <w:rPr>
                <w:rFonts w:ascii="Times New Roman" w:hAnsi="Times New Roman"/>
                <w:caps/>
              </w:rPr>
            </w:pPr>
            <w:r w:rsidRPr="00473050">
              <w:rPr>
                <w:rFonts w:ascii="Times New Roman" w:hAnsi="Times New Roman"/>
                <w:caps/>
              </w:rPr>
              <w:t>AGENCE EXÉCUTIVE EUROPÉENNE POUR</w:t>
            </w:r>
          </w:p>
          <w:p w14:paraId="4C89199C" w14:textId="44C382F9" w:rsidR="0062273B" w:rsidRPr="00473050" w:rsidRDefault="0062273B" w:rsidP="0062273B">
            <w:pPr>
              <w:widowControl w:val="0"/>
              <w:spacing w:after="0"/>
              <w:ind w:right="85"/>
              <w:jc w:val="left"/>
              <w:rPr>
                <w:rFonts w:ascii="Times New Roman" w:hAnsi="Times New Roman"/>
                <w:caps/>
              </w:rPr>
            </w:pPr>
            <w:r w:rsidRPr="00473050">
              <w:rPr>
                <w:rFonts w:ascii="Times New Roman" w:hAnsi="Times New Roman"/>
                <w:caps/>
              </w:rPr>
              <w:t>L’ÉDUCATION ET LA CULTURE (EACEA)</w:t>
            </w:r>
          </w:p>
          <w:p w14:paraId="42A84745" w14:textId="77777777" w:rsidR="0062273B" w:rsidRPr="00473050" w:rsidRDefault="0062273B" w:rsidP="0062273B">
            <w:pPr>
              <w:widowControl w:val="0"/>
              <w:spacing w:after="0"/>
              <w:ind w:right="85"/>
              <w:jc w:val="left"/>
              <w:rPr>
                <w:rFonts w:ascii="Times New Roman" w:hAnsi="Times New Roman"/>
                <w:sz w:val="16"/>
                <w:lang w:eastAsia="fr-BE"/>
              </w:rPr>
            </w:pPr>
          </w:p>
          <w:p w14:paraId="4CC2F47D" w14:textId="09BE9929" w:rsidR="0062273B" w:rsidRPr="00473050" w:rsidRDefault="0062273B" w:rsidP="0062273B">
            <w:pPr>
              <w:widowControl w:val="0"/>
              <w:spacing w:after="0"/>
              <w:ind w:right="85"/>
              <w:jc w:val="left"/>
              <w:rPr>
                <w:rFonts w:ascii="Times New Roman" w:hAnsi="Times New Roman"/>
                <w:sz w:val="16"/>
              </w:rPr>
            </w:pPr>
            <w:r w:rsidRPr="00473050">
              <w:rPr>
                <w:rFonts w:ascii="Times New Roman" w:hAnsi="Times New Roman"/>
                <w:sz w:val="16"/>
              </w:rPr>
              <w:t>EACEA.B - Créativité, Citoyenneté et Opérations Conjointes</w:t>
            </w:r>
          </w:p>
          <w:p w14:paraId="6E2A31C1" w14:textId="0B6D355C" w:rsidR="0062273B" w:rsidRPr="00473050" w:rsidRDefault="0062273B" w:rsidP="0062273B">
            <w:pPr>
              <w:widowControl w:val="0"/>
              <w:spacing w:after="0"/>
              <w:ind w:right="85"/>
              <w:jc w:val="left"/>
              <w:rPr>
                <w:rFonts w:ascii="Times New Roman" w:hAnsi="Times New Roman"/>
                <w:b/>
                <w:sz w:val="16"/>
              </w:rPr>
            </w:pPr>
            <w:r w:rsidRPr="00473050">
              <w:rPr>
                <w:rFonts w:ascii="Times New Roman" w:hAnsi="Times New Roman"/>
                <w:b/>
                <w:sz w:val="16"/>
              </w:rPr>
              <w:t>EACEA.B.3 - L’Europe pour les citoyens</w:t>
            </w:r>
          </w:p>
        </w:tc>
      </w:tr>
    </w:tbl>
    <w:p w14:paraId="60377700" w14:textId="77777777" w:rsidR="00233324" w:rsidRPr="00473050" w:rsidRDefault="00233324" w:rsidP="007502F1">
      <w:pPr>
        <w:pStyle w:val="BodyText"/>
        <w:spacing w:before="8"/>
        <w:jc w:val="center"/>
        <w:rPr>
          <w:sz w:val="22"/>
          <w:szCs w:val="22"/>
        </w:rPr>
      </w:pPr>
    </w:p>
    <w:p w14:paraId="4ADD2FD0" w14:textId="77777777" w:rsidR="007502F1" w:rsidRPr="00473050" w:rsidRDefault="00233324" w:rsidP="007502F1">
      <w:pPr>
        <w:pStyle w:val="BodyText"/>
        <w:spacing w:before="8"/>
        <w:jc w:val="center"/>
        <w:rPr>
          <w:b/>
          <w:sz w:val="22"/>
          <w:szCs w:val="22"/>
        </w:rPr>
      </w:pPr>
      <w:r w:rsidRPr="00473050">
        <w:rPr>
          <w:b/>
          <w:sz w:val="22"/>
          <w:szCs w:val="22"/>
        </w:rPr>
        <w:t xml:space="preserve">APPEL À PROPOSITIONS </w:t>
      </w:r>
    </w:p>
    <w:p w14:paraId="22801F39" w14:textId="77777777" w:rsidR="00004B82" w:rsidRPr="00473050" w:rsidRDefault="00004B82" w:rsidP="00B57534">
      <w:pPr>
        <w:widowControl w:val="0"/>
      </w:pPr>
    </w:p>
    <w:p w14:paraId="694C64CB" w14:textId="77777777" w:rsidR="0084666C" w:rsidRPr="00473050" w:rsidRDefault="0084666C" w:rsidP="005A543F">
      <w:pPr>
        <w:autoSpaceDE w:val="0"/>
        <w:autoSpaceDN w:val="0"/>
        <w:adjustRightInd w:val="0"/>
        <w:jc w:val="left"/>
        <w:rPr>
          <w:rFonts w:eastAsia="Calibri" w:cs="Verdana"/>
          <w:b/>
          <w:color w:val="A50021"/>
          <w:sz w:val="18"/>
        </w:rPr>
      </w:pPr>
      <w:r w:rsidRPr="00473050">
        <w:rPr>
          <w:b/>
          <w:color w:val="A50021"/>
          <w:sz w:val="18"/>
        </w:rPr>
        <w:t>TABLE DES MATIÈRES</w:t>
      </w:r>
    </w:p>
    <w:p w14:paraId="3B7ED583" w14:textId="7F8EE1AE" w:rsidR="00473050" w:rsidRPr="00473050" w:rsidRDefault="00340A6F">
      <w:pPr>
        <w:pStyle w:val="TOC1"/>
        <w:rPr>
          <w:rFonts w:asciiTheme="minorHAnsi" w:eastAsiaTheme="minorEastAsia" w:hAnsiTheme="minorHAnsi" w:cstheme="minorBidi"/>
          <w:noProof/>
          <w:sz w:val="22"/>
          <w:szCs w:val="22"/>
          <w:lang w:val="fr-LU" w:eastAsia="fr-LU"/>
        </w:rPr>
      </w:pPr>
      <w:r w:rsidRPr="00473050">
        <w:fldChar w:fldCharType="begin"/>
      </w:r>
      <w:r w:rsidRPr="00473050">
        <w:instrText xml:space="preserve"> TOC \o "1-1" \h \z \t "Heading 2,2,Heading 3,3,Subtitle,2" </w:instrText>
      </w:r>
      <w:r w:rsidRPr="00473050">
        <w:fldChar w:fldCharType="separate"/>
      </w:r>
      <w:hyperlink w:anchor="_Toc92977192" w:history="1">
        <w:r w:rsidR="00473050" w:rsidRPr="00473050">
          <w:rPr>
            <w:rStyle w:val="Hyperlink"/>
            <w:noProof/>
          </w:rPr>
          <w:t>0.</w:t>
        </w:r>
        <w:r w:rsidR="00473050" w:rsidRPr="00473050">
          <w:rPr>
            <w:rFonts w:asciiTheme="minorHAnsi" w:eastAsiaTheme="minorEastAsia" w:hAnsiTheme="minorHAnsi" w:cstheme="minorBidi"/>
            <w:noProof/>
            <w:sz w:val="22"/>
            <w:szCs w:val="22"/>
            <w:lang w:val="fr-LU" w:eastAsia="fr-LU"/>
          </w:rPr>
          <w:tab/>
        </w:r>
        <w:r w:rsidR="00473050" w:rsidRPr="00473050">
          <w:rPr>
            <w:rStyle w:val="Hyperlink"/>
            <w:noProof/>
          </w:rPr>
          <w:t>Introduction</w:t>
        </w:r>
        <w:r w:rsidR="00473050" w:rsidRPr="00473050">
          <w:rPr>
            <w:noProof/>
            <w:webHidden/>
          </w:rPr>
          <w:tab/>
        </w:r>
        <w:r w:rsidR="00473050" w:rsidRPr="00473050">
          <w:rPr>
            <w:noProof/>
            <w:webHidden/>
          </w:rPr>
          <w:fldChar w:fldCharType="begin"/>
        </w:r>
        <w:r w:rsidR="00473050" w:rsidRPr="00473050">
          <w:rPr>
            <w:noProof/>
            <w:webHidden/>
          </w:rPr>
          <w:instrText xml:space="preserve"> PAGEREF _Toc92977192 \h </w:instrText>
        </w:r>
        <w:r w:rsidR="00473050" w:rsidRPr="00473050">
          <w:rPr>
            <w:noProof/>
            <w:webHidden/>
          </w:rPr>
        </w:r>
        <w:r w:rsidR="00473050" w:rsidRPr="00473050">
          <w:rPr>
            <w:noProof/>
            <w:webHidden/>
          </w:rPr>
          <w:fldChar w:fldCharType="separate"/>
        </w:r>
        <w:r w:rsidR="00145FF1">
          <w:rPr>
            <w:noProof/>
            <w:webHidden/>
          </w:rPr>
          <w:t>5</w:t>
        </w:r>
        <w:r w:rsidR="00473050" w:rsidRPr="00473050">
          <w:rPr>
            <w:noProof/>
            <w:webHidden/>
          </w:rPr>
          <w:fldChar w:fldCharType="end"/>
        </w:r>
      </w:hyperlink>
    </w:p>
    <w:p w14:paraId="0BD1E786" w14:textId="449AC4A4" w:rsidR="00473050" w:rsidRPr="00473050" w:rsidRDefault="0055296F">
      <w:pPr>
        <w:pStyle w:val="TOC1"/>
        <w:rPr>
          <w:rFonts w:asciiTheme="minorHAnsi" w:eastAsiaTheme="minorEastAsia" w:hAnsiTheme="minorHAnsi" w:cstheme="minorBidi"/>
          <w:noProof/>
          <w:sz w:val="22"/>
          <w:szCs w:val="22"/>
          <w:lang w:val="fr-LU" w:eastAsia="fr-LU"/>
        </w:rPr>
      </w:pPr>
      <w:hyperlink w:anchor="_Toc92977193" w:history="1">
        <w:r w:rsidR="00473050" w:rsidRPr="00473050">
          <w:rPr>
            <w:rStyle w:val="Hyperlink"/>
            <w:noProof/>
          </w:rPr>
          <w:t>1.</w:t>
        </w:r>
        <w:r w:rsidR="00473050" w:rsidRPr="00473050">
          <w:rPr>
            <w:rFonts w:asciiTheme="minorHAnsi" w:eastAsiaTheme="minorEastAsia" w:hAnsiTheme="minorHAnsi" w:cstheme="minorBidi"/>
            <w:noProof/>
            <w:sz w:val="22"/>
            <w:szCs w:val="22"/>
            <w:lang w:val="fr-LU" w:eastAsia="fr-LU"/>
          </w:rPr>
          <w:tab/>
        </w:r>
        <w:r w:rsidR="00473050" w:rsidRPr="00473050">
          <w:rPr>
            <w:rStyle w:val="Hyperlink"/>
            <w:noProof/>
          </w:rPr>
          <w:t>Contexte</w:t>
        </w:r>
        <w:r w:rsidR="00473050" w:rsidRPr="00473050">
          <w:rPr>
            <w:noProof/>
            <w:webHidden/>
          </w:rPr>
          <w:tab/>
        </w:r>
        <w:r w:rsidR="00473050" w:rsidRPr="00473050">
          <w:rPr>
            <w:noProof/>
            <w:webHidden/>
          </w:rPr>
          <w:fldChar w:fldCharType="begin"/>
        </w:r>
        <w:r w:rsidR="00473050" w:rsidRPr="00473050">
          <w:rPr>
            <w:noProof/>
            <w:webHidden/>
          </w:rPr>
          <w:instrText xml:space="preserve"> PAGEREF _Toc92977193 \h </w:instrText>
        </w:r>
        <w:r w:rsidR="00473050" w:rsidRPr="00473050">
          <w:rPr>
            <w:noProof/>
            <w:webHidden/>
          </w:rPr>
        </w:r>
        <w:r w:rsidR="00473050" w:rsidRPr="00473050">
          <w:rPr>
            <w:noProof/>
            <w:webHidden/>
          </w:rPr>
          <w:fldChar w:fldCharType="separate"/>
        </w:r>
        <w:r w:rsidR="00145FF1">
          <w:rPr>
            <w:noProof/>
            <w:webHidden/>
          </w:rPr>
          <w:t>6</w:t>
        </w:r>
        <w:r w:rsidR="00473050" w:rsidRPr="00473050">
          <w:rPr>
            <w:noProof/>
            <w:webHidden/>
          </w:rPr>
          <w:fldChar w:fldCharType="end"/>
        </w:r>
      </w:hyperlink>
    </w:p>
    <w:p w14:paraId="0EABA67F" w14:textId="61D37AC6" w:rsidR="00473050" w:rsidRPr="00473050" w:rsidRDefault="0055296F">
      <w:pPr>
        <w:pStyle w:val="TOC1"/>
        <w:rPr>
          <w:rFonts w:asciiTheme="minorHAnsi" w:eastAsiaTheme="minorEastAsia" w:hAnsiTheme="minorHAnsi" w:cstheme="minorBidi"/>
          <w:noProof/>
          <w:sz w:val="22"/>
          <w:szCs w:val="22"/>
          <w:lang w:val="fr-LU" w:eastAsia="fr-LU"/>
        </w:rPr>
      </w:pPr>
      <w:hyperlink w:anchor="_Toc92977194" w:history="1">
        <w:r w:rsidR="00473050" w:rsidRPr="00473050">
          <w:rPr>
            <w:rStyle w:val="Hyperlink"/>
            <w:noProof/>
          </w:rPr>
          <w:t>2.</w:t>
        </w:r>
        <w:r w:rsidR="00473050" w:rsidRPr="00473050">
          <w:rPr>
            <w:rFonts w:asciiTheme="minorHAnsi" w:eastAsiaTheme="minorEastAsia" w:hAnsiTheme="minorHAnsi" w:cstheme="minorBidi"/>
            <w:noProof/>
            <w:sz w:val="22"/>
            <w:szCs w:val="22"/>
            <w:lang w:val="fr-LU" w:eastAsia="fr-LU"/>
          </w:rPr>
          <w:tab/>
        </w:r>
        <w:r w:rsidR="00473050" w:rsidRPr="00473050">
          <w:rPr>
            <w:rStyle w:val="Hyperlink"/>
            <w:noProof/>
          </w:rPr>
          <w:t>Objectifs — Thèmes et priorités — Activités pouvant être financées — Résultat attendu</w:t>
        </w:r>
        <w:r w:rsidR="00473050" w:rsidRPr="00473050">
          <w:rPr>
            <w:noProof/>
            <w:webHidden/>
          </w:rPr>
          <w:tab/>
        </w:r>
        <w:r w:rsidR="00473050" w:rsidRPr="00473050">
          <w:rPr>
            <w:noProof/>
            <w:webHidden/>
          </w:rPr>
          <w:fldChar w:fldCharType="begin"/>
        </w:r>
        <w:r w:rsidR="00473050" w:rsidRPr="00473050">
          <w:rPr>
            <w:noProof/>
            <w:webHidden/>
          </w:rPr>
          <w:instrText xml:space="preserve"> PAGEREF _Toc92977194 \h </w:instrText>
        </w:r>
        <w:r w:rsidR="00473050" w:rsidRPr="00473050">
          <w:rPr>
            <w:noProof/>
            <w:webHidden/>
          </w:rPr>
        </w:r>
        <w:r w:rsidR="00473050" w:rsidRPr="00473050">
          <w:rPr>
            <w:noProof/>
            <w:webHidden/>
          </w:rPr>
          <w:fldChar w:fldCharType="separate"/>
        </w:r>
        <w:r w:rsidR="00145FF1">
          <w:rPr>
            <w:noProof/>
            <w:webHidden/>
          </w:rPr>
          <w:t>7</w:t>
        </w:r>
        <w:r w:rsidR="00473050" w:rsidRPr="00473050">
          <w:rPr>
            <w:noProof/>
            <w:webHidden/>
          </w:rPr>
          <w:fldChar w:fldCharType="end"/>
        </w:r>
      </w:hyperlink>
    </w:p>
    <w:p w14:paraId="6A1F0D0F" w14:textId="43573116" w:rsidR="00473050" w:rsidRPr="00473050" w:rsidRDefault="0055296F">
      <w:pPr>
        <w:pStyle w:val="TOC3"/>
        <w:rPr>
          <w:rFonts w:asciiTheme="minorHAnsi" w:eastAsiaTheme="minorEastAsia" w:hAnsiTheme="minorHAnsi" w:cstheme="minorBidi"/>
          <w:sz w:val="22"/>
          <w:szCs w:val="22"/>
          <w:lang w:val="fr-LU" w:eastAsia="fr-LU"/>
        </w:rPr>
      </w:pPr>
      <w:hyperlink w:anchor="_Toc92977195" w:history="1">
        <w:r w:rsidR="00473050" w:rsidRPr="00473050">
          <w:rPr>
            <w:rStyle w:val="Hyperlink"/>
          </w:rPr>
          <w:t>Objectifs</w:t>
        </w:r>
        <w:r w:rsidR="00473050" w:rsidRPr="00473050">
          <w:rPr>
            <w:webHidden/>
          </w:rPr>
          <w:tab/>
        </w:r>
        <w:r w:rsidR="00473050" w:rsidRPr="00473050">
          <w:rPr>
            <w:webHidden/>
          </w:rPr>
          <w:fldChar w:fldCharType="begin"/>
        </w:r>
        <w:r w:rsidR="00473050" w:rsidRPr="00473050">
          <w:rPr>
            <w:webHidden/>
          </w:rPr>
          <w:instrText xml:space="preserve"> PAGEREF _Toc92977195 \h </w:instrText>
        </w:r>
        <w:r w:rsidR="00473050" w:rsidRPr="00473050">
          <w:rPr>
            <w:webHidden/>
          </w:rPr>
        </w:r>
        <w:r w:rsidR="00473050" w:rsidRPr="00473050">
          <w:rPr>
            <w:webHidden/>
          </w:rPr>
          <w:fldChar w:fldCharType="separate"/>
        </w:r>
        <w:r w:rsidR="00145FF1">
          <w:rPr>
            <w:webHidden/>
          </w:rPr>
          <w:t>7</w:t>
        </w:r>
        <w:r w:rsidR="00473050" w:rsidRPr="00473050">
          <w:rPr>
            <w:webHidden/>
          </w:rPr>
          <w:fldChar w:fldCharType="end"/>
        </w:r>
      </w:hyperlink>
    </w:p>
    <w:p w14:paraId="4444D7C2" w14:textId="218CB9AD" w:rsidR="00473050" w:rsidRPr="00473050" w:rsidRDefault="0055296F">
      <w:pPr>
        <w:pStyle w:val="TOC3"/>
        <w:rPr>
          <w:rFonts w:asciiTheme="minorHAnsi" w:eastAsiaTheme="minorEastAsia" w:hAnsiTheme="minorHAnsi" w:cstheme="minorBidi"/>
          <w:sz w:val="22"/>
          <w:szCs w:val="22"/>
          <w:lang w:val="fr-LU" w:eastAsia="fr-LU"/>
        </w:rPr>
      </w:pPr>
      <w:hyperlink w:anchor="_Toc92977196" w:history="1">
        <w:r w:rsidR="00473050" w:rsidRPr="00473050">
          <w:rPr>
            <w:rStyle w:val="Hyperlink"/>
          </w:rPr>
          <w:t>Thèmes et priorités (champ d’application)</w:t>
        </w:r>
        <w:r w:rsidR="00473050" w:rsidRPr="00473050">
          <w:rPr>
            <w:webHidden/>
          </w:rPr>
          <w:tab/>
        </w:r>
        <w:r w:rsidR="00473050" w:rsidRPr="00473050">
          <w:rPr>
            <w:webHidden/>
          </w:rPr>
          <w:fldChar w:fldCharType="begin"/>
        </w:r>
        <w:r w:rsidR="00473050" w:rsidRPr="00473050">
          <w:rPr>
            <w:webHidden/>
          </w:rPr>
          <w:instrText xml:space="preserve"> PAGEREF _Toc92977196 \h </w:instrText>
        </w:r>
        <w:r w:rsidR="00473050" w:rsidRPr="00473050">
          <w:rPr>
            <w:webHidden/>
          </w:rPr>
        </w:r>
        <w:r w:rsidR="00473050" w:rsidRPr="00473050">
          <w:rPr>
            <w:webHidden/>
          </w:rPr>
          <w:fldChar w:fldCharType="separate"/>
        </w:r>
        <w:r w:rsidR="00145FF1">
          <w:rPr>
            <w:webHidden/>
          </w:rPr>
          <w:t>7</w:t>
        </w:r>
        <w:r w:rsidR="00473050" w:rsidRPr="00473050">
          <w:rPr>
            <w:webHidden/>
          </w:rPr>
          <w:fldChar w:fldCharType="end"/>
        </w:r>
      </w:hyperlink>
    </w:p>
    <w:p w14:paraId="2016091E" w14:textId="79945B90" w:rsidR="00473050" w:rsidRPr="00473050" w:rsidRDefault="0055296F">
      <w:pPr>
        <w:pStyle w:val="TOC3"/>
        <w:rPr>
          <w:rFonts w:asciiTheme="minorHAnsi" w:eastAsiaTheme="minorEastAsia" w:hAnsiTheme="minorHAnsi" w:cstheme="minorBidi"/>
          <w:sz w:val="22"/>
          <w:szCs w:val="22"/>
          <w:lang w:val="fr-LU" w:eastAsia="fr-LU"/>
        </w:rPr>
      </w:pPr>
      <w:hyperlink w:anchor="_Toc92977197" w:history="1">
        <w:r w:rsidR="00473050" w:rsidRPr="00473050">
          <w:rPr>
            <w:rStyle w:val="Hyperlink"/>
          </w:rPr>
          <w:t>Objectifs</w:t>
        </w:r>
        <w:r w:rsidR="00473050" w:rsidRPr="00473050">
          <w:rPr>
            <w:webHidden/>
          </w:rPr>
          <w:tab/>
        </w:r>
        <w:r w:rsidR="00473050" w:rsidRPr="00473050">
          <w:rPr>
            <w:webHidden/>
          </w:rPr>
          <w:fldChar w:fldCharType="begin"/>
        </w:r>
        <w:r w:rsidR="00473050" w:rsidRPr="00473050">
          <w:rPr>
            <w:webHidden/>
          </w:rPr>
          <w:instrText xml:space="preserve"> PAGEREF _Toc92977197 \h </w:instrText>
        </w:r>
        <w:r w:rsidR="00473050" w:rsidRPr="00473050">
          <w:rPr>
            <w:webHidden/>
          </w:rPr>
        </w:r>
        <w:r w:rsidR="00473050" w:rsidRPr="00473050">
          <w:rPr>
            <w:webHidden/>
          </w:rPr>
          <w:fldChar w:fldCharType="separate"/>
        </w:r>
        <w:r w:rsidR="00145FF1">
          <w:rPr>
            <w:webHidden/>
          </w:rPr>
          <w:t>8</w:t>
        </w:r>
        <w:r w:rsidR="00473050" w:rsidRPr="00473050">
          <w:rPr>
            <w:webHidden/>
          </w:rPr>
          <w:fldChar w:fldCharType="end"/>
        </w:r>
      </w:hyperlink>
    </w:p>
    <w:p w14:paraId="08687CFF" w14:textId="781C8A40" w:rsidR="00473050" w:rsidRPr="00473050" w:rsidRDefault="0055296F">
      <w:pPr>
        <w:pStyle w:val="TOC3"/>
        <w:rPr>
          <w:rFonts w:asciiTheme="minorHAnsi" w:eastAsiaTheme="minorEastAsia" w:hAnsiTheme="minorHAnsi" w:cstheme="minorBidi"/>
          <w:sz w:val="22"/>
          <w:szCs w:val="22"/>
          <w:lang w:val="fr-LU" w:eastAsia="fr-LU"/>
        </w:rPr>
      </w:pPr>
      <w:hyperlink w:anchor="_Toc92977198" w:history="1">
        <w:r w:rsidR="00473050" w:rsidRPr="00473050">
          <w:rPr>
            <w:rStyle w:val="Hyperlink"/>
          </w:rPr>
          <w:t>Thèmes et priorités (champ d’application)</w:t>
        </w:r>
        <w:r w:rsidR="00473050" w:rsidRPr="00473050">
          <w:rPr>
            <w:webHidden/>
          </w:rPr>
          <w:tab/>
        </w:r>
        <w:r w:rsidR="00473050" w:rsidRPr="00473050">
          <w:rPr>
            <w:webHidden/>
          </w:rPr>
          <w:fldChar w:fldCharType="begin"/>
        </w:r>
        <w:r w:rsidR="00473050" w:rsidRPr="00473050">
          <w:rPr>
            <w:webHidden/>
          </w:rPr>
          <w:instrText xml:space="preserve"> PAGEREF _Toc92977198 \h </w:instrText>
        </w:r>
        <w:r w:rsidR="00473050" w:rsidRPr="00473050">
          <w:rPr>
            <w:webHidden/>
          </w:rPr>
        </w:r>
        <w:r w:rsidR="00473050" w:rsidRPr="00473050">
          <w:rPr>
            <w:webHidden/>
          </w:rPr>
          <w:fldChar w:fldCharType="separate"/>
        </w:r>
        <w:r w:rsidR="00145FF1">
          <w:rPr>
            <w:webHidden/>
          </w:rPr>
          <w:t>9</w:t>
        </w:r>
        <w:r w:rsidR="00473050" w:rsidRPr="00473050">
          <w:rPr>
            <w:webHidden/>
          </w:rPr>
          <w:fldChar w:fldCharType="end"/>
        </w:r>
      </w:hyperlink>
    </w:p>
    <w:p w14:paraId="2B9005D9" w14:textId="203BA92B" w:rsidR="00473050" w:rsidRPr="00473050" w:rsidRDefault="0055296F">
      <w:pPr>
        <w:pStyle w:val="TOC3"/>
        <w:rPr>
          <w:rFonts w:asciiTheme="minorHAnsi" w:eastAsiaTheme="minorEastAsia" w:hAnsiTheme="minorHAnsi" w:cstheme="minorBidi"/>
          <w:sz w:val="22"/>
          <w:szCs w:val="22"/>
          <w:lang w:val="fr-LU" w:eastAsia="fr-LU"/>
        </w:rPr>
      </w:pPr>
      <w:hyperlink w:anchor="_Toc92977199" w:history="1">
        <w:r w:rsidR="00473050" w:rsidRPr="00473050">
          <w:rPr>
            <w:rStyle w:val="Hyperlink"/>
          </w:rPr>
          <w:t>Activités pouvant être financées (champ d’application)</w:t>
        </w:r>
        <w:r w:rsidR="00473050" w:rsidRPr="00473050">
          <w:rPr>
            <w:webHidden/>
          </w:rPr>
          <w:tab/>
        </w:r>
        <w:r w:rsidR="00473050" w:rsidRPr="00473050">
          <w:rPr>
            <w:webHidden/>
          </w:rPr>
          <w:fldChar w:fldCharType="begin"/>
        </w:r>
        <w:r w:rsidR="00473050" w:rsidRPr="00473050">
          <w:rPr>
            <w:webHidden/>
          </w:rPr>
          <w:instrText xml:space="preserve"> PAGEREF _Toc92977199 \h </w:instrText>
        </w:r>
        <w:r w:rsidR="00473050" w:rsidRPr="00473050">
          <w:rPr>
            <w:webHidden/>
          </w:rPr>
        </w:r>
        <w:r w:rsidR="00473050" w:rsidRPr="00473050">
          <w:rPr>
            <w:webHidden/>
          </w:rPr>
          <w:fldChar w:fldCharType="separate"/>
        </w:r>
        <w:r w:rsidR="00145FF1">
          <w:rPr>
            <w:webHidden/>
          </w:rPr>
          <w:t>10</w:t>
        </w:r>
        <w:r w:rsidR="00473050" w:rsidRPr="00473050">
          <w:rPr>
            <w:webHidden/>
          </w:rPr>
          <w:fldChar w:fldCharType="end"/>
        </w:r>
      </w:hyperlink>
    </w:p>
    <w:p w14:paraId="4F3D2D0C" w14:textId="3AB52C08" w:rsidR="00473050" w:rsidRPr="00473050" w:rsidRDefault="0055296F">
      <w:pPr>
        <w:pStyle w:val="TOC3"/>
        <w:rPr>
          <w:rFonts w:asciiTheme="minorHAnsi" w:eastAsiaTheme="minorEastAsia" w:hAnsiTheme="minorHAnsi" w:cstheme="minorBidi"/>
          <w:sz w:val="22"/>
          <w:szCs w:val="22"/>
          <w:lang w:val="fr-LU" w:eastAsia="fr-LU"/>
        </w:rPr>
      </w:pPr>
      <w:hyperlink w:anchor="_Toc92977200" w:history="1">
        <w:r w:rsidR="00473050" w:rsidRPr="00473050">
          <w:rPr>
            <w:rStyle w:val="Hyperlink"/>
          </w:rPr>
          <w:t>Résultat attendu</w:t>
        </w:r>
        <w:r w:rsidR="00473050" w:rsidRPr="00473050">
          <w:rPr>
            <w:webHidden/>
          </w:rPr>
          <w:tab/>
        </w:r>
        <w:r w:rsidR="00473050" w:rsidRPr="00473050">
          <w:rPr>
            <w:webHidden/>
          </w:rPr>
          <w:fldChar w:fldCharType="begin"/>
        </w:r>
        <w:r w:rsidR="00473050" w:rsidRPr="00473050">
          <w:rPr>
            <w:webHidden/>
          </w:rPr>
          <w:instrText xml:space="preserve"> PAGEREF _Toc92977200 \h </w:instrText>
        </w:r>
        <w:r w:rsidR="00473050" w:rsidRPr="00473050">
          <w:rPr>
            <w:webHidden/>
          </w:rPr>
        </w:r>
        <w:r w:rsidR="00473050" w:rsidRPr="00473050">
          <w:rPr>
            <w:webHidden/>
          </w:rPr>
          <w:fldChar w:fldCharType="separate"/>
        </w:r>
        <w:r w:rsidR="00145FF1">
          <w:rPr>
            <w:webHidden/>
          </w:rPr>
          <w:t>10</w:t>
        </w:r>
        <w:r w:rsidR="00473050" w:rsidRPr="00473050">
          <w:rPr>
            <w:webHidden/>
          </w:rPr>
          <w:fldChar w:fldCharType="end"/>
        </w:r>
      </w:hyperlink>
    </w:p>
    <w:p w14:paraId="78F60FAE" w14:textId="2F57C0A2" w:rsidR="00473050" w:rsidRPr="00473050" w:rsidRDefault="0055296F">
      <w:pPr>
        <w:pStyle w:val="TOC1"/>
        <w:rPr>
          <w:rFonts w:asciiTheme="minorHAnsi" w:eastAsiaTheme="minorEastAsia" w:hAnsiTheme="minorHAnsi" w:cstheme="minorBidi"/>
          <w:noProof/>
          <w:sz w:val="22"/>
          <w:szCs w:val="22"/>
          <w:lang w:val="fr-LU" w:eastAsia="fr-LU"/>
        </w:rPr>
      </w:pPr>
      <w:hyperlink w:anchor="_Toc92977201" w:history="1">
        <w:r w:rsidR="00473050" w:rsidRPr="00473050">
          <w:rPr>
            <w:rStyle w:val="Hyperlink"/>
            <w:noProof/>
          </w:rPr>
          <w:t>3.</w:t>
        </w:r>
        <w:r w:rsidR="00473050" w:rsidRPr="00473050">
          <w:rPr>
            <w:rFonts w:asciiTheme="minorHAnsi" w:eastAsiaTheme="minorEastAsia" w:hAnsiTheme="minorHAnsi" w:cstheme="minorBidi"/>
            <w:noProof/>
            <w:sz w:val="22"/>
            <w:szCs w:val="22"/>
            <w:lang w:val="fr-LU" w:eastAsia="fr-LU"/>
          </w:rPr>
          <w:tab/>
        </w:r>
        <w:r w:rsidR="00473050" w:rsidRPr="00473050">
          <w:rPr>
            <w:rStyle w:val="Hyperlink"/>
            <w:noProof/>
          </w:rPr>
          <w:t>Budget disponible</w:t>
        </w:r>
        <w:r w:rsidR="00473050" w:rsidRPr="00473050">
          <w:rPr>
            <w:noProof/>
            <w:webHidden/>
          </w:rPr>
          <w:tab/>
        </w:r>
        <w:r w:rsidR="00473050" w:rsidRPr="00473050">
          <w:rPr>
            <w:noProof/>
            <w:webHidden/>
          </w:rPr>
          <w:fldChar w:fldCharType="begin"/>
        </w:r>
        <w:r w:rsidR="00473050" w:rsidRPr="00473050">
          <w:rPr>
            <w:noProof/>
            <w:webHidden/>
          </w:rPr>
          <w:instrText xml:space="preserve"> PAGEREF _Toc92977201 \h </w:instrText>
        </w:r>
        <w:r w:rsidR="00473050" w:rsidRPr="00473050">
          <w:rPr>
            <w:noProof/>
            <w:webHidden/>
          </w:rPr>
        </w:r>
        <w:r w:rsidR="00473050" w:rsidRPr="00473050">
          <w:rPr>
            <w:noProof/>
            <w:webHidden/>
          </w:rPr>
          <w:fldChar w:fldCharType="separate"/>
        </w:r>
        <w:r w:rsidR="00145FF1">
          <w:rPr>
            <w:noProof/>
            <w:webHidden/>
          </w:rPr>
          <w:t>10</w:t>
        </w:r>
        <w:r w:rsidR="00473050" w:rsidRPr="00473050">
          <w:rPr>
            <w:noProof/>
            <w:webHidden/>
          </w:rPr>
          <w:fldChar w:fldCharType="end"/>
        </w:r>
      </w:hyperlink>
    </w:p>
    <w:p w14:paraId="12C47CC0" w14:textId="2E3AC149" w:rsidR="00473050" w:rsidRPr="00473050" w:rsidRDefault="0055296F">
      <w:pPr>
        <w:pStyle w:val="TOC1"/>
        <w:rPr>
          <w:rFonts w:asciiTheme="minorHAnsi" w:eastAsiaTheme="minorEastAsia" w:hAnsiTheme="minorHAnsi" w:cstheme="minorBidi"/>
          <w:noProof/>
          <w:sz w:val="22"/>
          <w:szCs w:val="22"/>
          <w:lang w:val="fr-LU" w:eastAsia="fr-LU"/>
        </w:rPr>
      </w:pPr>
      <w:hyperlink w:anchor="_Toc92977202" w:history="1">
        <w:r w:rsidR="00473050" w:rsidRPr="00473050">
          <w:rPr>
            <w:rStyle w:val="Hyperlink"/>
            <w:noProof/>
          </w:rPr>
          <w:t>4.</w:t>
        </w:r>
        <w:r w:rsidR="00473050" w:rsidRPr="00473050">
          <w:rPr>
            <w:rFonts w:asciiTheme="minorHAnsi" w:eastAsiaTheme="minorEastAsia" w:hAnsiTheme="minorHAnsi" w:cstheme="minorBidi"/>
            <w:noProof/>
            <w:sz w:val="22"/>
            <w:szCs w:val="22"/>
            <w:lang w:val="fr-LU" w:eastAsia="fr-LU"/>
          </w:rPr>
          <w:tab/>
        </w:r>
        <w:r w:rsidR="00473050" w:rsidRPr="00473050">
          <w:rPr>
            <w:rStyle w:val="Hyperlink"/>
            <w:noProof/>
          </w:rPr>
          <w:t>Calendrier et délais</w:t>
        </w:r>
        <w:r w:rsidR="00473050" w:rsidRPr="00473050">
          <w:rPr>
            <w:noProof/>
            <w:webHidden/>
          </w:rPr>
          <w:tab/>
        </w:r>
        <w:r w:rsidR="00473050" w:rsidRPr="00473050">
          <w:rPr>
            <w:noProof/>
            <w:webHidden/>
          </w:rPr>
          <w:fldChar w:fldCharType="begin"/>
        </w:r>
        <w:r w:rsidR="00473050" w:rsidRPr="00473050">
          <w:rPr>
            <w:noProof/>
            <w:webHidden/>
          </w:rPr>
          <w:instrText xml:space="preserve"> PAGEREF _Toc92977202 \h </w:instrText>
        </w:r>
        <w:r w:rsidR="00473050" w:rsidRPr="00473050">
          <w:rPr>
            <w:noProof/>
            <w:webHidden/>
          </w:rPr>
        </w:r>
        <w:r w:rsidR="00473050" w:rsidRPr="00473050">
          <w:rPr>
            <w:noProof/>
            <w:webHidden/>
          </w:rPr>
          <w:fldChar w:fldCharType="separate"/>
        </w:r>
        <w:r w:rsidR="00145FF1">
          <w:rPr>
            <w:noProof/>
            <w:webHidden/>
          </w:rPr>
          <w:t>11</w:t>
        </w:r>
        <w:r w:rsidR="00473050" w:rsidRPr="00473050">
          <w:rPr>
            <w:noProof/>
            <w:webHidden/>
          </w:rPr>
          <w:fldChar w:fldCharType="end"/>
        </w:r>
      </w:hyperlink>
    </w:p>
    <w:p w14:paraId="16F29304" w14:textId="24C15876" w:rsidR="00473050" w:rsidRPr="00473050" w:rsidRDefault="0055296F">
      <w:pPr>
        <w:pStyle w:val="TOC1"/>
        <w:rPr>
          <w:rFonts w:asciiTheme="minorHAnsi" w:eastAsiaTheme="minorEastAsia" w:hAnsiTheme="minorHAnsi" w:cstheme="minorBidi"/>
          <w:noProof/>
          <w:sz w:val="22"/>
          <w:szCs w:val="22"/>
          <w:lang w:val="fr-LU" w:eastAsia="fr-LU"/>
        </w:rPr>
      </w:pPr>
      <w:hyperlink w:anchor="_Toc92977203" w:history="1">
        <w:r w:rsidR="00473050" w:rsidRPr="00473050">
          <w:rPr>
            <w:rStyle w:val="Hyperlink"/>
            <w:noProof/>
          </w:rPr>
          <w:t>5.</w:t>
        </w:r>
        <w:r w:rsidR="00473050" w:rsidRPr="00473050">
          <w:rPr>
            <w:rFonts w:asciiTheme="minorHAnsi" w:eastAsiaTheme="minorEastAsia" w:hAnsiTheme="minorHAnsi" w:cstheme="minorBidi"/>
            <w:noProof/>
            <w:sz w:val="22"/>
            <w:szCs w:val="22"/>
            <w:lang w:val="fr-LU" w:eastAsia="fr-LU"/>
          </w:rPr>
          <w:tab/>
        </w:r>
        <w:r w:rsidR="00473050" w:rsidRPr="00473050">
          <w:rPr>
            <w:rStyle w:val="Hyperlink"/>
            <w:noProof/>
          </w:rPr>
          <w:t>Admissibilité et documents</w:t>
        </w:r>
        <w:r w:rsidR="00473050" w:rsidRPr="00473050">
          <w:rPr>
            <w:noProof/>
            <w:webHidden/>
          </w:rPr>
          <w:tab/>
        </w:r>
        <w:r w:rsidR="00473050" w:rsidRPr="00473050">
          <w:rPr>
            <w:noProof/>
            <w:webHidden/>
          </w:rPr>
          <w:fldChar w:fldCharType="begin"/>
        </w:r>
        <w:r w:rsidR="00473050" w:rsidRPr="00473050">
          <w:rPr>
            <w:noProof/>
            <w:webHidden/>
          </w:rPr>
          <w:instrText xml:space="preserve"> PAGEREF _Toc92977203 \h </w:instrText>
        </w:r>
        <w:r w:rsidR="00473050" w:rsidRPr="00473050">
          <w:rPr>
            <w:noProof/>
            <w:webHidden/>
          </w:rPr>
        </w:r>
        <w:r w:rsidR="00473050" w:rsidRPr="00473050">
          <w:rPr>
            <w:noProof/>
            <w:webHidden/>
          </w:rPr>
          <w:fldChar w:fldCharType="separate"/>
        </w:r>
        <w:r w:rsidR="00145FF1">
          <w:rPr>
            <w:noProof/>
            <w:webHidden/>
          </w:rPr>
          <w:t>11</w:t>
        </w:r>
        <w:r w:rsidR="00473050" w:rsidRPr="00473050">
          <w:rPr>
            <w:noProof/>
            <w:webHidden/>
          </w:rPr>
          <w:fldChar w:fldCharType="end"/>
        </w:r>
      </w:hyperlink>
    </w:p>
    <w:p w14:paraId="72FEBBF2" w14:textId="3ADA239B" w:rsidR="00473050" w:rsidRPr="00473050" w:rsidRDefault="0055296F">
      <w:pPr>
        <w:pStyle w:val="TOC1"/>
        <w:rPr>
          <w:rFonts w:asciiTheme="minorHAnsi" w:eastAsiaTheme="minorEastAsia" w:hAnsiTheme="minorHAnsi" w:cstheme="minorBidi"/>
          <w:noProof/>
          <w:sz w:val="22"/>
          <w:szCs w:val="22"/>
          <w:lang w:val="fr-LU" w:eastAsia="fr-LU"/>
        </w:rPr>
      </w:pPr>
      <w:hyperlink w:anchor="_Toc92977204" w:history="1">
        <w:r w:rsidR="00473050" w:rsidRPr="00473050">
          <w:rPr>
            <w:rStyle w:val="Hyperlink"/>
            <w:noProof/>
          </w:rPr>
          <w:t>6.</w:t>
        </w:r>
        <w:r w:rsidR="00473050" w:rsidRPr="00473050">
          <w:rPr>
            <w:rFonts w:asciiTheme="minorHAnsi" w:eastAsiaTheme="minorEastAsia" w:hAnsiTheme="minorHAnsi" w:cstheme="minorBidi"/>
            <w:noProof/>
            <w:sz w:val="22"/>
            <w:szCs w:val="22"/>
            <w:lang w:val="fr-LU" w:eastAsia="fr-LU"/>
          </w:rPr>
          <w:tab/>
        </w:r>
        <w:r w:rsidR="00473050" w:rsidRPr="00473050">
          <w:rPr>
            <w:rStyle w:val="Hyperlink"/>
            <w:noProof/>
          </w:rPr>
          <w:t>Éligibilité</w:t>
        </w:r>
        <w:r w:rsidR="00473050" w:rsidRPr="00473050">
          <w:rPr>
            <w:noProof/>
            <w:webHidden/>
          </w:rPr>
          <w:tab/>
        </w:r>
        <w:r w:rsidR="00473050" w:rsidRPr="00473050">
          <w:rPr>
            <w:noProof/>
            <w:webHidden/>
          </w:rPr>
          <w:fldChar w:fldCharType="begin"/>
        </w:r>
        <w:r w:rsidR="00473050" w:rsidRPr="00473050">
          <w:rPr>
            <w:noProof/>
            <w:webHidden/>
          </w:rPr>
          <w:instrText xml:space="preserve"> PAGEREF _Toc92977204 \h </w:instrText>
        </w:r>
        <w:r w:rsidR="00473050" w:rsidRPr="00473050">
          <w:rPr>
            <w:noProof/>
            <w:webHidden/>
          </w:rPr>
        </w:r>
        <w:r w:rsidR="00473050" w:rsidRPr="00473050">
          <w:rPr>
            <w:noProof/>
            <w:webHidden/>
          </w:rPr>
          <w:fldChar w:fldCharType="separate"/>
        </w:r>
        <w:r w:rsidR="00145FF1">
          <w:rPr>
            <w:noProof/>
            <w:webHidden/>
          </w:rPr>
          <w:t>12</w:t>
        </w:r>
        <w:r w:rsidR="00473050" w:rsidRPr="00473050">
          <w:rPr>
            <w:noProof/>
            <w:webHidden/>
          </w:rPr>
          <w:fldChar w:fldCharType="end"/>
        </w:r>
      </w:hyperlink>
    </w:p>
    <w:p w14:paraId="317D154C" w14:textId="2E599877" w:rsidR="00473050" w:rsidRPr="00473050" w:rsidRDefault="0055296F">
      <w:pPr>
        <w:pStyle w:val="TOC3"/>
        <w:rPr>
          <w:rFonts w:asciiTheme="minorHAnsi" w:eastAsiaTheme="minorEastAsia" w:hAnsiTheme="minorHAnsi" w:cstheme="minorBidi"/>
          <w:sz w:val="22"/>
          <w:szCs w:val="22"/>
          <w:lang w:val="fr-LU" w:eastAsia="fr-LU"/>
        </w:rPr>
      </w:pPr>
      <w:hyperlink w:anchor="_Toc92977205" w:history="1">
        <w:r w:rsidR="00473050" w:rsidRPr="00473050">
          <w:rPr>
            <w:rStyle w:val="Hyperlink"/>
          </w:rPr>
          <w:t>Participants éligibles (pays éligibles)</w:t>
        </w:r>
        <w:r w:rsidR="00473050" w:rsidRPr="00473050">
          <w:rPr>
            <w:webHidden/>
          </w:rPr>
          <w:tab/>
        </w:r>
        <w:r w:rsidR="00473050" w:rsidRPr="00473050">
          <w:rPr>
            <w:webHidden/>
          </w:rPr>
          <w:fldChar w:fldCharType="begin"/>
        </w:r>
        <w:r w:rsidR="00473050" w:rsidRPr="00473050">
          <w:rPr>
            <w:webHidden/>
          </w:rPr>
          <w:instrText xml:space="preserve"> PAGEREF _Toc92977205 \h </w:instrText>
        </w:r>
        <w:r w:rsidR="00473050" w:rsidRPr="00473050">
          <w:rPr>
            <w:webHidden/>
          </w:rPr>
        </w:r>
        <w:r w:rsidR="00473050" w:rsidRPr="00473050">
          <w:rPr>
            <w:webHidden/>
          </w:rPr>
          <w:fldChar w:fldCharType="separate"/>
        </w:r>
        <w:r w:rsidR="00145FF1">
          <w:rPr>
            <w:webHidden/>
          </w:rPr>
          <w:t>12</w:t>
        </w:r>
        <w:r w:rsidR="00473050" w:rsidRPr="00473050">
          <w:rPr>
            <w:webHidden/>
          </w:rPr>
          <w:fldChar w:fldCharType="end"/>
        </w:r>
      </w:hyperlink>
    </w:p>
    <w:p w14:paraId="26A6CB1E" w14:textId="706FA0DF" w:rsidR="00473050" w:rsidRPr="00473050" w:rsidRDefault="0055296F">
      <w:pPr>
        <w:pStyle w:val="TOC3"/>
        <w:rPr>
          <w:rFonts w:asciiTheme="minorHAnsi" w:eastAsiaTheme="minorEastAsia" w:hAnsiTheme="minorHAnsi" w:cstheme="minorBidi"/>
          <w:sz w:val="22"/>
          <w:szCs w:val="22"/>
          <w:lang w:val="fr-LU" w:eastAsia="fr-LU"/>
        </w:rPr>
      </w:pPr>
      <w:hyperlink w:anchor="_Toc92977206" w:history="1">
        <w:r w:rsidR="00473050" w:rsidRPr="00473050">
          <w:rPr>
            <w:rStyle w:val="Hyperlink"/>
          </w:rPr>
          <w:t>Composition du consortium</w:t>
        </w:r>
        <w:r w:rsidR="00473050" w:rsidRPr="00473050">
          <w:rPr>
            <w:webHidden/>
          </w:rPr>
          <w:tab/>
        </w:r>
        <w:r w:rsidR="00473050" w:rsidRPr="00473050">
          <w:rPr>
            <w:webHidden/>
          </w:rPr>
          <w:fldChar w:fldCharType="begin"/>
        </w:r>
        <w:r w:rsidR="00473050" w:rsidRPr="00473050">
          <w:rPr>
            <w:webHidden/>
          </w:rPr>
          <w:instrText xml:space="preserve"> PAGEREF _Toc92977206 \h </w:instrText>
        </w:r>
        <w:r w:rsidR="00473050" w:rsidRPr="00473050">
          <w:rPr>
            <w:webHidden/>
          </w:rPr>
        </w:r>
        <w:r w:rsidR="00473050" w:rsidRPr="00473050">
          <w:rPr>
            <w:webHidden/>
          </w:rPr>
          <w:fldChar w:fldCharType="separate"/>
        </w:r>
        <w:r w:rsidR="00145FF1">
          <w:rPr>
            <w:webHidden/>
          </w:rPr>
          <w:t>14</w:t>
        </w:r>
        <w:r w:rsidR="00473050" w:rsidRPr="00473050">
          <w:rPr>
            <w:webHidden/>
          </w:rPr>
          <w:fldChar w:fldCharType="end"/>
        </w:r>
      </w:hyperlink>
    </w:p>
    <w:p w14:paraId="67CB14D0" w14:textId="6B378129" w:rsidR="00473050" w:rsidRPr="00473050" w:rsidRDefault="0055296F">
      <w:pPr>
        <w:pStyle w:val="TOC3"/>
        <w:rPr>
          <w:rFonts w:asciiTheme="minorHAnsi" w:eastAsiaTheme="minorEastAsia" w:hAnsiTheme="minorHAnsi" w:cstheme="minorBidi"/>
          <w:sz w:val="22"/>
          <w:szCs w:val="22"/>
          <w:lang w:val="fr-LU" w:eastAsia="fr-LU"/>
        </w:rPr>
      </w:pPr>
      <w:hyperlink w:anchor="_Toc92977207" w:history="1">
        <w:r w:rsidR="00473050" w:rsidRPr="00473050">
          <w:rPr>
            <w:rStyle w:val="Hyperlink"/>
          </w:rPr>
          <w:t>Activités éligibles</w:t>
        </w:r>
        <w:r w:rsidR="00473050" w:rsidRPr="00473050">
          <w:rPr>
            <w:webHidden/>
          </w:rPr>
          <w:tab/>
        </w:r>
        <w:r w:rsidR="00473050" w:rsidRPr="00473050">
          <w:rPr>
            <w:webHidden/>
          </w:rPr>
          <w:fldChar w:fldCharType="begin"/>
        </w:r>
        <w:r w:rsidR="00473050" w:rsidRPr="00473050">
          <w:rPr>
            <w:webHidden/>
          </w:rPr>
          <w:instrText xml:space="preserve"> PAGEREF _Toc92977207 \h </w:instrText>
        </w:r>
        <w:r w:rsidR="00473050" w:rsidRPr="00473050">
          <w:rPr>
            <w:webHidden/>
          </w:rPr>
        </w:r>
        <w:r w:rsidR="00473050" w:rsidRPr="00473050">
          <w:rPr>
            <w:webHidden/>
          </w:rPr>
          <w:fldChar w:fldCharType="separate"/>
        </w:r>
        <w:r w:rsidR="00145FF1">
          <w:rPr>
            <w:webHidden/>
          </w:rPr>
          <w:t>15</w:t>
        </w:r>
        <w:r w:rsidR="00473050" w:rsidRPr="00473050">
          <w:rPr>
            <w:webHidden/>
          </w:rPr>
          <w:fldChar w:fldCharType="end"/>
        </w:r>
      </w:hyperlink>
    </w:p>
    <w:p w14:paraId="74EA645F" w14:textId="30B3267D" w:rsidR="00473050" w:rsidRPr="00473050" w:rsidRDefault="0055296F">
      <w:pPr>
        <w:pStyle w:val="TOC3"/>
        <w:rPr>
          <w:rFonts w:asciiTheme="minorHAnsi" w:eastAsiaTheme="minorEastAsia" w:hAnsiTheme="minorHAnsi" w:cstheme="minorBidi"/>
          <w:sz w:val="22"/>
          <w:szCs w:val="22"/>
          <w:lang w:val="fr-LU" w:eastAsia="fr-LU"/>
        </w:rPr>
      </w:pPr>
      <w:hyperlink w:anchor="_Toc92977208" w:history="1">
        <w:r w:rsidR="00473050" w:rsidRPr="00473050">
          <w:rPr>
            <w:rStyle w:val="Hyperlink"/>
          </w:rPr>
          <w:t>Situation géographique (pays cibles)</w:t>
        </w:r>
        <w:r w:rsidR="00473050" w:rsidRPr="00473050">
          <w:rPr>
            <w:webHidden/>
          </w:rPr>
          <w:tab/>
        </w:r>
        <w:r w:rsidR="00473050" w:rsidRPr="00473050">
          <w:rPr>
            <w:webHidden/>
          </w:rPr>
          <w:fldChar w:fldCharType="begin"/>
        </w:r>
        <w:r w:rsidR="00473050" w:rsidRPr="00473050">
          <w:rPr>
            <w:webHidden/>
          </w:rPr>
          <w:instrText xml:space="preserve"> PAGEREF _Toc92977208 \h </w:instrText>
        </w:r>
        <w:r w:rsidR="00473050" w:rsidRPr="00473050">
          <w:rPr>
            <w:webHidden/>
          </w:rPr>
        </w:r>
        <w:r w:rsidR="00473050" w:rsidRPr="00473050">
          <w:rPr>
            <w:webHidden/>
          </w:rPr>
          <w:fldChar w:fldCharType="separate"/>
        </w:r>
        <w:r w:rsidR="00145FF1">
          <w:rPr>
            <w:webHidden/>
          </w:rPr>
          <w:t>15</w:t>
        </w:r>
        <w:r w:rsidR="00473050" w:rsidRPr="00473050">
          <w:rPr>
            <w:webHidden/>
          </w:rPr>
          <w:fldChar w:fldCharType="end"/>
        </w:r>
      </w:hyperlink>
    </w:p>
    <w:p w14:paraId="5F199788" w14:textId="7C3124C7" w:rsidR="00473050" w:rsidRPr="00473050" w:rsidRDefault="0055296F">
      <w:pPr>
        <w:pStyle w:val="TOC3"/>
        <w:rPr>
          <w:rFonts w:asciiTheme="minorHAnsi" w:eastAsiaTheme="minorEastAsia" w:hAnsiTheme="minorHAnsi" w:cstheme="minorBidi"/>
          <w:sz w:val="22"/>
          <w:szCs w:val="22"/>
          <w:lang w:val="fr-LU" w:eastAsia="fr-LU"/>
        </w:rPr>
      </w:pPr>
      <w:hyperlink w:anchor="_Toc92977209" w:history="1">
        <w:r w:rsidR="00473050" w:rsidRPr="00473050">
          <w:rPr>
            <w:rStyle w:val="Hyperlink"/>
          </w:rPr>
          <w:t>Durée</w:t>
        </w:r>
        <w:r w:rsidR="00473050" w:rsidRPr="00473050">
          <w:rPr>
            <w:webHidden/>
          </w:rPr>
          <w:tab/>
        </w:r>
        <w:r w:rsidR="00473050" w:rsidRPr="00473050">
          <w:rPr>
            <w:webHidden/>
          </w:rPr>
          <w:fldChar w:fldCharType="begin"/>
        </w:r>
        <w:r w:rsidR="00473050" w:rsidRPr="00473050">
          <w:rPr>
            <w:webHidden/>
          </w:rPr>
          <w:instrText xml:space="preserve"> PAGEREF _Toc92977209 \h </w:instrText>
        </w:r>
        <w:r w:rsidR="00473050" w:rsidRPr="00473050">
          <w:rPr>
            <w:webHidden/>
          </w:rPr>
        </w:r>
        <w:r w:rsidR="00473050" w:rsidRPr="00473050">
          <w:rPr>
            <w:webHidden/>
          </w:rPr>
          <w:fldChar w:fldCharType="separate"/>
        </w:r>
        <w:r w:rsidR="00145FF1">
          <w:rPr>
            <w:webHidden/>
          </w:rPr>
          <w:t>15</w:t>
        </w:r>
        <w:r w:rsidR="00473050" w:rsidRPr="00473050">
          <w:rPr>
            <w:webHidden/>
          </w:rPr>
          <w:fldChar w:fldCharType="end"/>
        </w:r>
      </w:hyperlink>
    </w:p>
    <w:p w14:paraId="73D72288" w14:textId="78BBE20F" w:rsidR="00473050" w:rsidRPr="00473050" w:rsidRDefault="0055296F">
      <w:pPr>
        <w:pStyle w:val="TOC3"/>
        <w:rPr>
          <w:rFonts w:asciiTheme="minorHAnsi" w:eastAsiaTheme="minorEastAsia" w:hAnsiTheme="minorHAnsi" w:cstheme="minorBidi"/>
          <w:sz w:val="22"/>
          <w:szCs w:val="22"/>
          <w:lang w:val="fr-LU" w:eastAsia="fr-LU"/>
        </w:rPr>
      </w:pPr>
      <w:hyperlink w:anchor="_Toc92977210" w:history="1">
        <w:r w:rsidR="00473050" w:rsidRPr="00473050">
          <w:rPr>
            <w:rStyle w:val="Hyperlink"/>
          </w:rPr>
          <w:t>Éthique et valeurs de l’UE</w:t>
        </w:r>
        <w:r w:rsidR="00473050" w:rsidRPr="00473050">
          <w:rPr>
            <w:webHidden/>
          </w:rPr>
          <w:tab/>
        </w:r>
        <w:r w:rsidR="00473050" w:rsidRPr="00473050">
          <w:rPr>
            <w:webHidden/>
          </w:rPr>
          <w:fldChar w:fldCharType="begin"/>
        </w:r>
        <w:r w:rsidR="00473050" w:rsidRPr="00473050">
          <w:rPr>
            <w:webHidden/>
          </w:rPr>
          <w:instrText xml:space="preserve"> PAGEREF _Toc92977210 \h </w:instrText>
        </w:r>
        <w:r w:rsidR="00473050" w:rsidRPr="00473050">
          <w:rPr>
            <w:webHidden/>
          </w:rPr>
        </w:r>
        <w:r w:rsidR="00473050" w:rsidRPr="00473050">
          <w:rPr>
            <w:webHidden/>
          </w:rPr>
          <w:fldChar w:fldCharType="separate"/>
        </w:r>
        <w:r w:rsidR="00145FF1">
          <w:rPr>
            <w:webHidden/>
          </w:rPr>
          <w:t>15</w:t>
        </w:r>
        <w:r w:rsidR="00473050" w:rsidRPr="00473050">
          <w:rPr>
            <w:webHidden/>
          </w:rPr>
          <w:fldChar w:fldCharType="end"/>
        </w:r>
      </w:hyperlink>
    </w:p>
    <w:p w14:paraId="1F54AB5A" w14:textId="513A5B11" w:rsidR="00473050" w:rsidRPr="00473050" w:rsidRDefault="0055296F">
      <w:pPr>
        <w:pStyle w:val="TOC1"/>
        <w:rPr>
          <w:rFonts w:asciiTheme="minorHAnsi" w:eastAsiaTheme="minorEastAsia" w:hAnsiTheme="minorHAnsi" w:cstheme="minorBidi"/>
          <w:noProof/>
          <w:sz w:val="22"/>
          <w:szCs w:val="22"/>
          <w:lang w:val="fr-LU" w:eastAsia="fr-LU"/>
        </w:rPr>
      </w:pPr>
      <w:hyperlink w:anchor="_Toc92977211" w:history="1">
        <w:r w:rsidR="00473050" w:rsidRPr="00473050">
          <w:rPr>
            <w:rStyle w:val="Hyperlink"/>
            <w:noProof/>
          </w:rPr>
          <w:t>7.</w:t>
        </w:r>
        <w:r w:rsidR="00473050" w:rsidRPr="00473050">
          <w:rPr>
            <w:rFonts w:asciiTheme="minorHAnsi" w:eastAsiaTheme="minorEastAsia" w:hAnsiTheme="minorHAnsi" w:cstheme="minorBidi"/>
            <w:noProof/>
            <w:sz w:val="22"/>
            <w:szCs w:val="22"/>
            <w:lang w:val="fr-LU" w:eastAsia="fr-LU"/>
          </w:rPr>
          <w:tab/>
        </w:r>
        <w:r w:rsidR="00473050" w:rsidRPr="00473050">
          <w:rPr>
            <w:rStyle w:val="Hyperlink"/>
            <w:noProof/>
          </w:rPr>
          <w:t>Capacité financière et opérationnelle et exclusion</w:t>
        </w:r>
        <w:r w:rsidR="00473050" w:rsidRPr="00473050">
          <w:rPr>
            <w:noProof/>
            <w:webHidden/>
          </w:rPr>
          <w:tab/>
        </w:r>
        <w:r w:rsidR="00473050" w:rsidRPr="00473050">
          <w:rPr>
            <w:noProof/>
            <w:webHidden/>
          </w:rPr>
          <w:fldChar w:fldCharType="begin"/>
        </w:r>
        <w:r w:rsidR="00473050" w:rsidRPr="00473050">
          <w:rPr>
            <w:noProof/>
            <w:webHidden/>
          </w:rPr>
          <w:instrText xml:space="preserve"> PAGEREF _Toc92977211 \h </w:instrText>
        </w:r>
        <w:r w:rsidR="00473050" w:rsidRPr="00473050">
          <w:rPr>
            <w:noProof/>
            <w:webHidden/>
          </w:rPr>
        </w:r>
        <w:r w:rsidR="00473050" w:rsidRPr="00473050">
          <w:rPr>
            <w:noProof/>
            <w:webHidden/>
          </w:rPr>
          <w:fldChar w:fldCharType="separate"/>
        </w:r>
        <w:r w:rsidR="00145FF1">
          <w:rPr>
            <w:noProof/>
            <w:webHidden/>
          </w:rPr>
          <w:t>16</w:t>
        </w:r>
        <w:r w:rsidR="00473050" w:rsidRPr="00473050">
          <w:rPr>
            <w:noProof/>
            <w:webHidden/>
          </w:rPr>
          <w:fldChar w:fldCharType="end"/>
        </w:r>
      </w:hyperlink>
    </w:p>
    <w:p w14:paraId="0E3E5D90" w14:textId="7D6A6259" w:rsidR="00473050" w:rsidRPr="00473050" w:rsidRDefault="0055296F">
      <w:pPr>
        <w:pStyle w:val="TOC3"/>
        <w:rPr>
          <w:rFonts w:asciiTheme="minorHAnsi" w:eastAsiaTheme="minorEastAsia" w:hAnsiTheme="minorHAnsi" w:cstheme="minorBidi"/>
          <w:sz w:val="22"/>
          <w:szCs w:val="22"/>
          <w:lang w:val="fr-LU" w:eastAsia="fr-LU"/>
        </w:rPr>
      </w:pPr>
      <w:hyperlink w:anchor="_Toc92977212" w:history="1">
        <w:r w:rsidR="00473050" w:rsidRPr="00473050">
          <w:rPr>
            <w:rStyle w:val="Hyperlink"/>
          </w:rPr>
          <w:t>Capacité financière</w:t>
        </w:r>
        <w:r w:rsidR="00473050" w:rsidRPr="00473050">
          <w:rPr>
            <w:webHidden/>
          </w:rPr>
          <w:tab/>
        </w:r>
        <w:r w:rsidR="00473050" w:rsidRPr="00473050">
          <w:rPr>
            <w:webHidden/>
          </w:rPr>
          <w:fldChar w:fldCharType="begin"/>
        </w:r>
        <w:r w:rsidR="00473050" w:rsidRPr="00473050">
          <w:rPr>
            <w:webHidden/>
          </w:rPr>
          <w:instrText xml:space="preserve"> PAGEREF _Toc92977212 \h </w:instrText>
        </w:r>
        <w:r w:rsidR="00473050" w:rsidRPr="00473050">
          <w:rPr>
            <w:webHidden/>
          </w:rPr>
        </w:r>
        <w:r w:rsidR="00473050" w:rsidRPr="00473050">
          <w:rPr>
            <w:webHidden/>
          </w:rPr>
          <w:fldChar w:fldCharType="separate"/>
        </w:r>
        <w:r w:rsidR="00145FF1">
          <w:rPr>
            <w:webHidden/>
          </w:rPr>
          <w:t>16</w:t>
        </w:r>
        <w:r w:rsidR="00473050" w:rsidRPr="00473050">
          <w:rPr>
            <w:webHidden/>
          </w:rPr>
          <w:fldChar w:fldCharType="end"/>
        </w:r>
      </w:hyperlink>
    </w:p>
    <w:p w14:paraId="099803D4" w14:textId="7F03D62B" w:rsidR="00473050" w:rsidRPr="00473050" w:rsidRDefault="0055296F">
      <w:pPr>
        <w:pStyle w:val="TOC3"/>
        <w:rPr>
          <w:rFonts w:asciiTheme="minorHAnsi" w:eastAsiaTheme="minorEastAsia" w:hAnsiTheme="minorHAnsi" w:cstheme="minorBidi"/>
          <w:sz w:val="22"/>
          <w:szCs w:val="22"/>
          <w:lang w:val="fr-LU" w:eastAsia="fr-LU"/>
        </w:rPr>
      </w:pPr>
      <w:hyperlink w:anchor="_Toc92977213" w:history="1">
        <w:r w:rsidR="00473050" w:rsidRPr="00473050">
          <w:rPr>
            <w:rStyle w:val="Hyperlink"/>
          </w:rPr>
          <w:t>Capacité opérationnelle</w:t>
        </w:r>
        <w:r w:rsidR="00473050" w:rsidRPr="00473050">
          <w:rPr>
            <w:webHidden/>
          </w:rPr>
          <w:tab/>
        </w:r>
        <w:r w:rsidR="00473050" w:rsidRPr="00473050">
          <w:rPr>
            <w:webHidden/>
          </w:rPr>
          <w:fldChar w:fldCharType="begin"/>
        </w:r>
        <w:r w:rsidR="00473050" w:rsidRPr="00473050">
          <w:rPr>
            <w:webHidden/>
          </w:rPr>
          <w:instrText xml:space="preserve"> PAGEREF _Toc92977213 \h </w:instrText>
        </w:r>
        <w:r w:rsidR="00473050" w:rsidRPr="00473050">
          <w:rPr>
            <w:webHidden/>
          </w:rPr>
        </w:r>
        <w:r w:rsidR="00473050" w:rsidRPr="00473050">
          <w:rPr>
            <w:webHidden/>
          </w:rPr>
          <w:fldChar w:fldCharType="separate"/>
        </w:r>
        <w:r w:rsidR="00145FF1">
          <w:rPr>
            <w:webHidden/>
          </w:rPr>
          <w:t>17</w:t>
        </w:r>
        <w:r w:rsidR="00473050" w:rsidRPr="00473050">
          <w:rPr>
            <w:webHidden/>
          </w:rPr>
          <w:fldChar w:fldCharType="end"/>
        </w:r>
      </w:hyperlink>
    </w:p>
    <w:p w14:paraId="27D79D6E" w14:textId="0CEC8470" w:rsidR="00473050" w:rsidRPr="00473050" w:rsidRDefault="0055296F">
      <w:pPr>
        <w:pStyle w:val="TOC3"/>
        <w:rPr>
          <w:rFonts w:asciiTheme="minorHAnsi" w:eastAsiaTheme="minorEastAsia" w:hAnsiTheme="minorHAnsi" w:cstheme="minorBidi"/>
          <w:sz w:val="22"/>
          <w:szCs w:val="22"/>
          <w:lang w:val="fr-LU" w:eastAsia="fr-LU"/>
        </w:rPr>
      </w:pPr>
      <w:hyperlink w:anchor="_Toc92977214" w:history="1">
        <w:r w:rsidR="00473050" w:rsidRPr="00473050">
          <w:rPr>
            <w:rStyle w:val="Hyperlink"/>
          </w:rPr>
          <w:t>Exclusion</w:t>
        </w:r>
        <w:r w:rsidR="00473050" w:rsidRPr="00473050">
          <w:rPr>
            <w:webHidden/>
          </w:rPr>
          <w:tab/>
        </w:r>
        <w:r w:rsidR="00473050" w:rsidRPr="00473050">
          <w:rPr>
            <w:webHidden/>
          </w:rPr>
          <w:fldChar w:fldCharType="begin"/>
        </w:r>
        <w:r w:rsidR="00473050" w:rsidRPr="00473050">
          <w:rPr>
            <w:webHidden/>
          </w:rPr>
          <w:instrText xml:space="preserve"> PAGEREF _Toc92977214 \h </w:instrText>
        </w:r>
        <w:r w:rsidR="00473050" w:rsidRPr="00473050">
          <w:rPr>
            <w:webHidden/>
          </w:rPr>
        </w:r>
        <w:r w:rsidR="00473050" w:rsidRPr="00473050">
          <w:rPr>
            <w:webHidden/>
          </w:rPr>
          <w:fldChar w:fldCharType="separate"/>
        </w:r>
        <w:r w:rsidR="00145FF1">
          <w:rPr>
            <w:webHidden/>
          </w:rPr>
          <w:t>18</w:t>
        </w:r>
        <w:r w:rsidR="00473050" w:rsidRPr="00473050">
          <w:rPr>
            <w:webHidden/>
          </w:rPr>
          <w:fldChar w:fldCharType="end"/>
        </w:r>
      </w:hyperlink>
    </w:p>
    <w:p w14:paraId="15BF4E65" w14:textId="1483EAFE" w:rsidR="00473050" w:rsidRPr="00473050" w:rsidRDefault="0055296F">
      <w:pPr>
        <w:pStyle w:val="TOC1"/>
        <w:rPr>
          <w:rFonts w:asciiTheme="minorHAnsi" w:eastAsiaTheme="minorEastAsia" w:hAnsiTheme="minorHAnsi" w:cstheme="minorBidi"/>
          <w:noProof/>
          <w:sz w:val="22"/>
          <w:szCs w:val="22"/>
          <w:lang w:val="fr-LU" w:eastAsia="fr-LU"/>
        </w:rPr>
      </w:pPr>
      <w:hyperlink w:anchor="_Toc92977215" w:history="1">
        <w:r w:rsidR="00473050" w:rsidRPr="00473050">
          <w:rPr>
            <w:rStyle w:val="Hyperlink"/>
            <w:noProof/>
          </w:rPr>
          <w:t>8.</w:t>
        </w:r>
        <w:r w:rsidR="00473050" w:rsidRPr="00473050">
          <w:rPr>
            <w:rFonts w:asciiTheme="minorHAnsi" w:eastAsiaTheme="minorEastAsia" w:hAnsiTheme="minorHAnsi" w:cstheme="minorBidi"/>
            <w:noProof/>
            <w:sz w:val="22"/>
            <w:szCs w:val="22"/>
            <w:lang w:val="fr-LU" w:eastAsia="fr-LU"/>
          </w:rPr>
          <w:tab/>
        </w:r>
        <w:r w:rsidR="00473050" w:rsidRPr="00473050">
          <w:rPr>
            <w:rStyle w:val="Hyperlink"/>
            <w:noProof/>
          </w:rPr>
          <w:t>Procédure d’évaluation et d’attribution</w:t>
        </w:r>
        <w:r w:rsidR="00473050" w:rsidRPr="00473050">
          <w:rPr>
            <w:noProof/>
            <w:webHidden/>
          </w:rPr>
          <w:tab/>
        </w:r>
        <w:r w:rsidR="00473050" w:rsidRPr="00473050">
          <w:rPr>
            <w:noProof/>
            <w:webHidden/>
          </w:rPr>
          <w:fldChar w:fldCharType="begin"/>
        </w:r>
        <w:r w:rsidR="00473050" w:rsidRPr="00473050">
          <w:rPr>
            <w:noProof/>
            <w:webHidden/>
          </w:rPr>
          <w:instrText xml:space="preserve"> PAGEREF _Toc92977215 \h </w:instrText>
        </w:r>
        <w:r w:rsidR="00473050" w:rsidRPr="00473050">
          <w:rPr>
            <w:noProof/>
            <w:webHidden/>
          </w:rPr>
        </w:r>
        <w:r w:rsidR="00473050" w:rsidRPr="00473050">
          <w:rPr>
            <w:noProof/>
            <w:webHidden/>
          </w:rPr>
          <w:fldChar w:fldCharType="separate"/>
        </w:r>
        <w:r w:rsidR="00145FF1">
          <w:rPr>
            <w:noProof/>
            <w:webHidden/>
          </w:rPr>
          <w:t>19</w:t>
        </w:r>
        <w:r w:rsidR="00473050" w:rsidRPr="00473050">
          <w:rPr>
            <w:noProof/>
            <w:webHidden/>
          </w:rPr>
          <w:fldChar w:fldCharType="end"/>
        </w:r>
      </w:hyperlink>
    </w:p>
    <w:p w14:paraId="672F2C77" w14:textId="1D0BEF77" w:rsidR="00473050" w:rsidRPr="00473050" w:rsidRDefault="0055296F">
      <w:pPr>
        <w:pStyle w:val="TOC1"/>
        <w:rPr>
          <w:rFonts w:asciiTheme="minorHAnsi" w:eastAsiaTheme="minorEastAsia" w:hAnsiTheme="minorHAnsi" w:cstheme="minorBidi"/>
          <w:noProof/>
          <w:sz w:val="22"/>
          <w:szCs w:val="22"/>
          <w:lang w:val="fr-LU" w:eastAsia="fr-LU"/>
        </w:rPr>
      </w:pPr>
      <w:hyperlink w:anchor="_Toc92977216" w:history="1">
        <w:r w:rsidR="00473050" w:rsidRPr="00473050">
          <w:rPr>
            <w:rStyle w:val="Hyperlink"/>
            <w:noProof/>
          </w:rPr>
          <w:t>9.</w:t>
        </w:r>
        <w:r w:rsidR="00473050" w:rsidRPr="00473050">
          <w:rPr>
            <w:rFonts w:asciiTheme="minorHAnsi" w:eastAsiaTheme="minorEastAsia" w:hAnsiTheme="minorHAnsi" w:cstheme="minorBidi"/>
            <w:noProof/>
            <w:sz w:val="22"/>
            <w:szCs w:val="22"/>
            <w:lang w:val="fr-LU" w:eastAsia="fr-LU"/>
          </w:rPr>
          <w:tab/>
        </w:r>
        <w:r w:rsidR="00473050" w:rsidRPr="00473050">
          <w:rPr>
            <w:rStyle w:val="Hyperlink"/>
            <w:noProof/>
          </w:rPr>
          <w:t>Critères d’attribution</w:t>
        </w:r>
        <w:r w:rsidR="00473050" w:rsidRPr="00473050">
          <w:rPr>
            <w:noProof/>
            <w:webHidden/>
          </w:rPr>
          <w:tab/>
        </w:r>
        <w:r w:rsidR="00473050" w:rsidRPr="00473050">
          <w:rPr>
            <w:noProof/>
            <w:webHidden/>
          </w:rPr>
          <w:fldChar w:fldCharType="begin"/>
        </w:r>
        <w:r w:rsidR="00473050" w:rsidRPr="00473050">
          <w:rPr>
            <w:noProof/>
            <w:webHidden/>
          </w:rPr>
          <w:instrText xml:space="preserve"> PAGEREF _Toc92977216 \h </w:instrText>
        </w:r>
        <w:r w:rsidR="00473050" w:rsidRPr="00473050">
          <w:rPr>
            <w:noProof/>
            <w:webHidden/>
          </w:rPr>
        </w:r>
        <w:r w:rsidR="00473050" w:rsidRPr="00473050">
          <w:rPr>
            <w:noProof/>
            <w:webHidden/>
          </w:rPr>
          <w:fldChar w:fldCharType="separate"/>
        </w:r>
        <w:r w:rsidR="00145FF1">
          <w:rPr>
            <w:noProof/>
            <w:webHidden/>
          </w:rPr>
          <w:t>19</w:t>
        </w:r>
        <w:r w:rsidR="00473050" w:rsidRPr="00473050">
          <w:rPr>
            <w:noProof/>
            <w:webHidden/>
          </w:rPr>
          <w:fldChar w:fldCharType="end"/>
        </w:r>
      </w:hyperlink>
    </w:p>
    <w:p w14:paraId="17C9BEC7" w14:textId="6DB98F7B" w:rsidR="00473050" w:rsidRPr="00473050" w:rsidRDefault="0055296F">
      <w:pPr>
        <w:pStyle w:val="TOC1"/>
        <w:rPr>
          <w:rFonts w:asciiTheme="minorHAnsi" w:eastAsiaTheme="minorEastAsia" w:hAnsiTheme="minorHAnsi" w:cstheme="minorBidi"/>
          <w:noProof/>
          <w:sz w:val="22"/>
          <w:szCs w:val="22"/>
          <w:lang w:val="fr-LU" w:eastAsia="fr-LU"/>
        </w:rPr>
      </w:pPr>
      <w:hyperlink w:anchor="_Toc92977217" w:history="1">
        <w:r w:rsidR="00473050" w:rsidRPr="00473050">
          <w:rPr>
            <w:rStyle w:val="Hyperlink"/>
            <w:noProof/>
          </w:rPr>
          <w:t>10.</w:t>
        </w:r>
        <w:r w:rsidR="00473050" w:rsidRPr="00473050">
          <w:rPr>
            <w:rFonts w:asciiTheme="minorHAnsi" w:eastAsiaTheme="minorEastAsia" w:hAnsiTheme="minorHAnsi" w:cstheme="minorBidi"/>
            <w:noProof/>
            <w:sz w:val="22"/>
            <w:szCs w:val="22"/>
            <w:lang w:val="fr-LU" w:eastAsia="fr-LU"/>
          </w:rPr>
          <w:tab/>
        </w:r>
        <w:r w:rsidR="00473050" w:rsidRPr="00473050">
          <w:rPr>
            <w:rStyle w:val="Hyperlink"/>
            <w:noProof/>
          </w:rPr>
          <w:t>Structure juridique et financière des conventions de subvention</w:t>
        </w:r>
        <w:r w:rsidR="00473050" w:rsidRPr="00473050">
          <w:rPr>
            <w:noProof/>
            <w:webHidden/>
          </w:rPr>
          <w:tab/>
        </w:r>
        <w:r w:rsidR="00473050" w:rsidRPr="00473050">
          <w:rPr>
            <w:noProof/>
            <w:webHidden/>
          </w:rPr>
          <w:fldChar w:fldCharType="begin"/>
        </w:r>
        <w:r w:rsidR="00473050" w:rsidRPr="00473050">
          <w:rPr>
            <w:noProof/>
            <w:webHidden/>
          </w:rPr>
          <w:instrText xml:space="preserve"> PAGEREF _Toc92977217 \h </w:instrText>
        </w:r>
        <w:r w:rsidR="00473050" w:rsidRPr="00473050">
          <w:rPr>
            <w:noProof/>
            <w:webHidden/>
          </w:rPr>
        </w:r>
        <w:r w:rsidR="00473050" w:rsidRPr="00473050">
          <w:rPr>
            <w:noProof/>
            <w:webHidden/>
          </w:rPr>
          <w:fldChar w:fldCharType="separate"/>
        </w:r>
        <w:r w:rsidR="00145FF1">
          <w:rPr>
            <w:noProof/>
            <w:webHidden/>
          </w:rPr>
          <w:t>20</w:t>
        </w:r>
        <w:r w:rsidR="00473050" w:rsidRPr="00473050">
          <w:rPr>
            <w:noProof/>
            <w:webHidden/>
          </w:rPr>
          <w:fldChar w:fldCharType="end"/>
        </w:r>
      </w:hyperlink>
    </w:p>
    <w:p w14:paraId="31A8A133" w14:textId="75B958A4" w:rsidR="00473050" w:rsidRPr="00473050" w:rsidRDefault="0055296F">
      <w:pPr>
        <w:pStyle w:val="TOC3"/>
        <w:rPr>
          <w:rFonts w:asciiTheme="minorHAnsi" w:eastAsiaTheme="minorEastAsia" w:hAnsiTheme="minorHAnsi" w:cstheme="minorBidi"/>
          <w:sz w:val="22"/>
          <w:szCs w:val="22"/>
          <w:lang w:val="fr-LU" w:eastAsia="fr-LU"/>
        </w:rPr>
      </w:pPr>
      <w:hyperlink w:anchor="_Toc92977218" w:history="1">
        <w:r w:rsidR="00473050" w:rsidRPr="00473050">
          <w:rPr>
            <w:rStyle w:val="Hyperlink"/>
          </w:rPr>
          <w:t>Date de lancement et durée du projet</w:t>
        </w:r>
        <w:r w:rsidR="00473050" w:rsidRPr="00473050">
          <w:rPr>
            <w:webHidden/>
          </w:rPr>
          <w:tab/>
        </w:r>
        <w:r w:rsidR="00473050" w:rsidRPr="00473050">
          <w:rPr>
            <w:webHidden/>
          </w:rPr>
          <w:fldChar w:fldCharType="begin"/>
        </w:r>
        <w:r w:rsidR="00473050" w:rsidRPr="00473050">
          <w:rPr>
            <w:webHidden/>
          </w:rPr>
          <w:instrText xml:space="preserve"> PAGEREF _Toc92977218 \h </w:instrText>
        </w:r>
        <w:r w:rsidR="00473050" w:rsidRPr="00473050">
          <w:rPr>
            <w:webHidden/>
          </w:rPr>
        </w:r>
        <w:r w:rsidR="00473050" w:rsidRPr="00473050">
          <w:rPr>
            <w:webHidden/>
          </w:rPr>
          <w:fldChar w:fldCharType="separate"/>
        </w:r>
        <w:r w:rsidR="00145FF1">
          <w:rPr>
            <w:webHidden/>
          </w:rPr>
          <w:t>21</w:t>
        </w:r>
        <w:r w:rsidR="00473050" w:rsidRPr="00473050">
          <w:rPr>
            <w:webHidden/>
          </w:rPr>
          <w:fldChar w:fldCharType="end"/>
        </w:r>
      </w:hyperlink>
    </w:p>
    <w:p w14:paraId="2D3CF141" w14:textId="764CD57C" w:rsidR="00473050" w:rsidRPr="00473050" w:rsidRDefault="0055296F">
      <w:pPr>
        <w:pStyle w:val="TOC3"/>
        <w:rPr>
          <w:rFonts w:asciiTheme="minorHAnsi" w:eastAsiaTheme="minorEastAsia" w:hAnsiTheme="minorHAnsi" w:cstheme="minorBidi"/>
          <w:sz w:val="22"/>
          <w:szCs w:val="22"/>
          <w:lang w:val="fr-LU" w:eastAsia="fr-LU"/>
        </w:rPr>
      </w:pPr>
      <w:hyperlink w:anchor="_Toc92977219" w:history="1">
        <w:r w:rsidR="00473050" w:rsidRPr="00473050">
          <w:rPr>
            <w:rStyle w:val="Hyperlink"/>
          </w:rPr>
          <w:t>Étapes et livrables</w:t>
        </w:r>
        <w:r w:rsidR="00473050" w:rsidRPr="00473050">
          <w:rPr>
            <w:webHidden/>
          </w:rPr>
          <w:tab/>
        </w:r>
        <w:r w:rsidR="00473050" w:rsidRPr="00473050">
          <w:rPr>
            <w:webHidden/>
          </w:rPr>
          <w:fldChar w:fldCharType="begin"/>
        </w:r>
        <w:r w:rsidR="00473050" w:rsidRPr="00473050">
          <w:rPr>
            <w:webHidden/>
          </w:rPr>
          <w:instrText xml:space="preserve"> PAGEREF _Toc92977219 \h </w:instrText>
        </w:r>
        <w:r w:rsidR="00473050" w:rsidRPr="00473050">
          <w:rPr>
            <w:webHidden/>
          </w:rPr>
        </w:r>
        <w:r w:rsidR="00473050" w:rsidRPr="00473050">
          <w:rPr>
            <w:webHidden/>
          </w:rPr>
          <w:fldChar w:fldCharType="separate"/>
        </w:r>
        <w:r w:rsidR="00145FF1">
          <w:rPr>
            <w:webHidden/>
          </w:rPr>
          <w:t>21</w:t>
        </w:r>
        <w:r w:rsidR="00473050" w:rsidRPr="00473050">
          <w:rPr>
            <w:webHidden/>
          </w:rPr>
          <w:fldChar w:fldCharType="end"/>
        </w:r>
      </w:hyperlink>
    </w:p>
    <w:p w14:paraId="16000848" w14:textId="290E8BEE" w:rsidR="00473050" w:rsidRPr="00473050" w:rsidRDefault="0055296F">
      <w:pPr>
        <w:pStyle w:val="TOC3"/>
        <w:rPr>
          <w:rFonts w:asciiTheme="minorHAnsi" w:eastAsiaTheme="minorEastAsia" w:hAnsiTheme="minorHAnsi" w:cstheme="minorBidi"/>
          <w:sz w:val="22"/>
          <w:szCs w:val="22"/>
          <w:lang w:val="fr-LU" w:eastAsia="fr-LU"/>
        </w:rPr>
      </w:pPr>
      <w:hyperlink w:anchor="_Toc92977220" w:history="1">
        <w:r w:rsidR="00473050" w:rsidRPr="00473050">
          <w:rPr>
            <w:rStyle w:val="Hyperlink"/>
          </w:rPr>
          <w:t>Formulaire de subvention, taux de financement et montant maximal de la subvention</w:t>
        </w:r>
        <w:r w:rsidR="00473050" w:rsidRPr="00473050">
          <w:rPr>
            <w:webHidden/>
          </w:rPr>
          <w:tab/>
        </w:r>
        <w:r w:rsidR="00473050" w:rsidRPr="00473050">
          <w:rPr>
            <w:webHidden/>
          </w:rPr>
          <w:fldChar w:fldCharType="begin"/>
        </w:r>
        <w:r w:rsidR="00473050" w:rsidRPr="00473050">
          <w:rPr>
            <w:webHidden/>
          </w:rPr>
          <w:instrText xml:space="preserve"> PAGEREF _Toc92977220 \h </w:instrText>
        </w:r>
        <w:r w:rsidR="00473050" w:rsidRPr="00473050">
          <w:rPr>
            <w:webHidden/>
          </w:rPr>
        </w:r>
        <w:r w:rsidR="00473050" w:rsidRPr="00473050">
          <w:rPr>
            <w:webHidden/>
          </w:rPr>
          <w:fldChar w:fldCharType="separate"/>
        </w:r>
        <w:r w:rsidR="00145FF1">
          <w:rPr>
            <w:webHidden/>
          </w:rPr>
          <w:t>21</w:t>
        </w:r>
        <w:r w:rsidR="00473050" w:rsidRPr="00473050">
          <w:rPr>
            <w:webHidden/>
          </w:rPr>
          <w:fldChar w:fldCharType="end"/>
        </w:r>
      </w:hyperlink>
    </w:p>
    <w:p w14:paraId="1A4A7871" w14:textId="5D2C74B6" w:rsidR="00473050" w:rsidRPr="00473050" w:rsidRDefault="0055296F">
      <w:pPr>
        <w:pStyle w:val="TOC3"/>
        <w:rPr>
          <w:rFonts w:asciiTheme="minorHAnsi" w:eastAsiaTheme="minorEastAsia" w:hAnsiTheme="minorHAnsi" w:cstheme="minorBidi"/>
          <w:sz w:val="22"/>
          <w:szCs w:val="22"/>
          <w:lang w:val="fr-LU" w:eastAsia="fr-LU"/>
        </w:rPr>
      </w:pPr>
      <w:hyperlink w:anchor="_Toc92977221" w:history="1">
        <w:r w:rsidR="00473050" w:rsidRPr="00473050">
          <w:rPr>
            <w:rStyle w:val="Hyperlink"/>
          </w:rPr>
          <w:t>Catégories budgétaires et règles d’éligibilité des coûts</w:t>
        </w:r>
        <w:r w:rsidR="00473050" w:rsidRPr="00473050">
          <w:rPr>
            <w:webHidden/>
          </w:rPr>
          <w:tab/>
        </w:r>
        <w:r w:rsidR="00473050" w:rsidRPr="00473050">
          <w:rPr>
            <w:webHidden/>
          </w:rPr>
          <w:fldChar w:fldCharType="begin"/>
        </w:r>
        <w:r w:rsidR="00473050" w:rsidRPr="00473050">
          <w:rPr>
            <w:webHidden/>
          </w:rPr>
          <w:instrText xml:space="preserve"> PAGEREF _Toc92977221 \h </w:instrText>
        </w:r>
        <w:r w:rsidR="00473050" w:rsidRPr="00473050">
          <w:rPr>
            <w:webHidden/>
          </w:rPr>
        </w:r>
        <w:r w:rsidR="00473050" w:rsidRPr="00473050">
          <w:rPr>
            <w:webHidden/>
          </w:rPr>
          <w:fldChar w:fldCharType="separate"/>
        </w:r>
        <w:r w:rsidR="00145FF1">
          <w:rPr>
            <w:webHidden/>
          </w:rPr>
          <w:t>21</w:t>
        </w:r>
        <w:r w:rsidR="00473050" w:rsidRPr="00473050">
          <w:rPr>
            <w:webHidden/>
          </w:rPr>
          <w:fldChar w:fldCharType="end"/>
        </w:r>
      </w:hyperlink>
    </w:p>
    <w:p w14:paraId="35FB4910" w14:textId="76FA70DB" w:rsidR="00473050" w:rsidRPr="00473050" w:rsidRDefault="0055296F">
      <w:pPr>
        <w:pStyle w:val="TOC3"/>
        <w:rPr>
          <w:rFonts w:asciiTheme="minorHAnsi" w:eastAsiaTheme="minorEastAsia" w:hAnsiTheme="minorHAnsi" w:cstheme="minorBidi"/>
          <w:sz w:val="22"/>
          <w:szCs w:val="22"/>
          <w:lang w:val="fr-LU" w:eastAsia="fr-LU"/>
        </w:rPr>
      </w:pPr>
      <w:hyperlink w:anchor="_Toc92977222" w:history="1">
        <w:r w:rsidR="00473050" w:rsidRPr="00473050">
          <w:rPr>
            <w:rStyle w:val="Hyperlink"/>
          </w:rPr>
          <w:t>Modalités de remise des rapports et de paiement</w:t>
        </w:r>
        <w:r w:rsidR="00473050" w:rsidRPr="00473050">
          <w:rPr>
            <w:webHidden/>
          </w:rPr>
          <w:tab/>
        </w:r>
        <w:r w:rsidR="00473050" w:rsidRPr="00473050">
          <w:rPr>
            <w:webHidden/>
          </w:rPr>
          <w:fldChar w:fldCharType="begin"/>
        </w:r>
        <w:r w:rsidR="00473050" w:rsidRPr="00473050">
          <w:rPr>
            <w:webHidden/>
          </w:rPr>
          <w:instrText xml:space="preserve"> PAGEREF _Toc92977222 \h </w:instrText>
        </w:r>
        <w:r w:rsidR="00473050" w:rsidRPr="00473050">
          <w:rPr>
            <w:webHidden/>
          </w:rPr>
        </w:r>
        <w:r w:rsidR="00473050" w:rsidRPr="00473050">
          <w:rPr>
            <w:webHidden/>
          </w:rPr>
          <w:fldChar w:fldCharType="separate"/>
        </w:r>
        <w:r w:rsidR="00145FF1">
          <w:rPr>
            <w:webHidden/>
          </w:rPr>
          <w:t>22</w:t>
        </w:r>
        <w:r w:rsidR="00473050" w:rsidRPr="00473050">
          <w:rPr>
            <w:webHidden/>
          </w:rPr>
          <w:fldChar w:fldCharType="end"/>
        </w:r>
      </w:hyperlink>
    </w:p>
    <w:p w14:paraId="042EC5A1" w14:textId="27BC60DD" w:rsidR="00473050" w:rsidRPr="00473050" w:rsidRDefault="0055296F">
      <w:pPr>
        <w:pStyle w:val="TOC3"/>
        <w:rPr>
          <w:rFonts w:asciiTheme="minorHAnsi" w:eastAsiaTheme="minorEastAsia" w:hAnsiTheme="minorHAnsi" w:cstheme="minorBidi"/>
          <w:sz w:val="22"/>
          <w:szCs w:val="22"/>
          <w:lang w:val="fr-LU" w:eastAsia="fr-LU"/>
        </w:rPr>
      </w:pPr>
      <w:hyperlink w:anchor="_Toc92977223" w:history="1">
        <w:r w:rsidR="00473050" w:rsidRPr="00473050">
          <w:rPr>
            <w:rStyle w:val="Hyperlink"/>
          </w:rPr>
          <w:t>Garanties de préfinancement</w:t>
        </w:r>
        <w:r w:rsidR="00473050" w:rsidRPr="00473050">
          <w:rPr>
            <w:webHidden/>
          </w:rPr>
          <w:tab/>
        </w:r>
        <w:r w:rsidR="00473050" w:rsidRPr="00473050">
          <w:rPr>
            <w:webHidden/>
          </w:rPr>
          <w:fldChar w:fldCharType="begin"/>
        </w:r>
        <w:r w:rsidR="00473050" w:rsidRPr="00473050">
          <w:rPr>
            <w:webHidden/>
          </w:rPr>
          <w:instrText xml:space="preserve"> PAGEREF _Toc92977223 \h </w:instrText>
        </w:r>
        <w:r w:rsidR="00473050" w:rsidRPr="00473050">
          <w:rPr>
            <w:webHidden/>
          </w:rPr>
        </w:r>
        <w:r w:rsidR="00473050" w:rsidRPr="00473050">
          <w:rPr>
            <w:webHidden/>
          </w:rPr>
          <w:fldChar w:fldCharType="separate"/>
        </w:r>
        <w:r w:rsidR="00145FF1">
          <w:rPr>
            <w:webHidden/>
          </w:rPr>
          <w:t>22</w:t>
        </w:r>
        <w:r w:rsidR="00473050" w:rsidRPr="00473050">
          <w:rPr>
            <w:webHidden/>
          </w:rPr>
          <w:fldChar w:fldCharType="end"/>
        </w:r>
      </w:hyperlink>
    </w:p>
    <w:p w14:paraId="11606AA9" w14:textId="30F7DC59" w:rsidR="00473050" w:rsidRPr="00473050" w:rsidRDefault="0055296F">
      <w:pPr>
        <w:pStyle w:val="TOC3"/>
        <w:rPr>
          <w:rFonts w:asciiTheme="minorHAnsi" w:eastAsiaTheme="minorEastAsia" w:hAnsiTheme="minorHAnsi" w:cstheme="minorBidi"/>
          <w:sz w:val="22"/>
          <w:szCs w:val="22"/>
          <w:lang w:val="fr-LU" w:eastAsia="fr-LU"/>
        </w:rPr>
      </w:pPr>
      <w:hyperlink w:anchor="_Toc92977224" w:history="1">
        <w:r w:rsidR="00473050" w:rsidRPr="00473050">
          <w:rPr>
            <w:rStyle w:val="Hyperlink"/>
          </w:rPr>
          <w:t>Certificats</w:t>
        </w:r>
        <w:r w:rsidR="00473050" w:rsidRPr="00473050">
          <w:rPr>
            <w:webHidden/>
          </w:rPr>
          <w:tab/>
        </w:r>
        <w:r w:rsidR="00473050" w:rsidRPr="00473050">
          <w:rPr>
            <w:webHidden/>
          </w:rPr>
          <w:fldChar w:fldCharType="begin"/>
        </w:r>
        <w:r w:rsidR="00473050" w:rsidRPr="00473050">
          <w:rPr>
            <w:webHidden/>
          </w:rPr>
          <w:instrText xml:space="preserve"> PAGEREF _Toc92977224 \h </w:instrText>
        </w:r>
        <w:r w:rsidR="00473050" w:rsidRPr="00473050">
          <w:rPr>
            <w:webHidden/>
          </w:rPr>
        </w:r>
        <w:r w:rsidR="00473050" w:rsidRPr="00473050">
          <w:rPr>
            <w:webHidden/>
          </w:rPr>
          <w:fldChar w:fldCharType="separate"/>
        </w:r>
        <w:r w:rsidR="00145FF1">
          <w:rPr>
            <w:webHidden/>
          </w:rPr>
          <w:t>23</w:t>
        </w:r>
        <w:r w:rsidR="00473050" w:rsidRPr="00473050">
          <w:rPr>
            <w:webHidden/>
          </w:rPr>
          <w:fldChar w:fldCharType="end"/>
        </w:r>
      </w:hyperlink>
    </w:p>
    <w:p w14:paraId="3AE89F93" w14:textId="667042C1" w:rsidR="00473050" w:rsidRPr="00473050" w:rsidRDefault="0055296F">
      <w:pPr>
        <w:pStyle w:val="TOC3"/>
        <w:rPr>
          <w:rFonts w:asciiTheme="minorHAnsi" w:eastAsiaTheme="minorEastAsia" w:hAnsiTheme="minorHAnsi" w:cstheme="minorBidi"/>
          <w:sz w:val="22"/>
          <w:szCs w:val="22"/>
          <w:lang w:val="fr-LU" w:eastAsia="fr-LU"/>
        </w:rPr>
      </w:pPr>
      <w:hyperlink w:anchor="_Toc92977225" w:history="1">
        <w:r w:rsidR="00473050" w:rsidRPr="00473050">
          <w:rPr>
            <w:rStyle w:val="Hyperlink"/>
          </w:rPr>
          <w:t>Régime de responsabilité pour les recouvrements</w:t>
        </w:r>
        <w:r w:rsidR="00473050" w:rsidRPr="00473050">
          <w:rPr>
            <w:webHidden/>
          </w:rPr>
          <w:tab/>
        </w:r>
        <w:r w:rsidR="00473050" w:rsidRPr="00473050">
          <w:rPr>
            <w:webHidden/>
          </w:rPr>
          <w:fldChar w:fldCharType="begin"/>
        </w:r>
        <w:r w:rsidR="00473050" w:rsidRPr="00473050">
          <w:rPr>
            <w:webHidden/>
          </w:rPr>
          <w:instrText xml:space="preserve"> PAGEREF _Toc92977225 \h </w:instrText>
        </w:r>
        <w:r w:rsidR="00473050" w:rsidRPr="00473050">
          <w:rPr>
            <w:webHidden/>
          </w:rPr>
        </w:r>
        <w:r w:rsidR="00473050" w:rsidRPr="00473050">
          <w:rPr>
            <w:webHidden/>
          </w:rPr>
          <w:fldChar w:fldCharType="separate"/>
        </w:r>
        <w:r w:rsidR="00145FF1">
          <w:rPr>
            <w:webHidden/>
          </w:rPr>
          <w:t>23</w:t>
        </w:r>
        <w:r w:rsidR="00473050" w:rsidRPr="00473050">
          <w:rPr>
            <w:webHidden/>
          </w:rPr>
          <w:fldChar w:fldCharType="end"/>
        </w:r>
      </w:hyperlink>
    </w:p>
    <w:p w14:paraId="093E9D80" w14:textId="39DB80EB" w:rsidR="00473050" w:rsidRPr="00473050" w:rsidRDefault="0055296F">
      <w:pPr>
        <w:pStyle w:val="TOC3"/>
        <w:rPr>
          <w:rFonts w:asciiTheme="minorHAnsi" w:eastAsiaTheme="minorEastAsia" w:hAnsiTheme="minorHAnsi" w:cstheme="minorBidi"/>
          <w:sz w:val="22"/>
          <w:szCs w:val="22"/>
          <w:lang w:val="fr-LU" w:eastAsia="fr-LU"/>
        </w:rPr>
      </w:pPr>
      <w:hyperlink w:anchor="_Toc92977226" w:history="1">
        <w:r w:rsidR="00473050" w:rsidRPr="00473050">
          <w:rPr>
            <w:rStyle w:val="Hyperlink"/>
          </w:rPr>
          <w:t>Dispositions relatives à la mise en œuvre du projet</w:t>
        </w:r>
        <w:r w:rsidR="00473050" w:rsidRPr="00473050">
          <w:rPr>
            <w:webHidden/>
          </w:rPr>
          <w:tab/>
        </w:r>
        <w:r w:rsidR="00473050" w:rsidRPr="00473050">
          <w:rPr>
            <w:webHidden/>
          </w:rPr>
          <w:fldChar w:fldCharType="begin"/>
        </w:r>
        <w:r w:rsidR="00473050" w:rsidRPr="00473050">
          <w:rPr>
            <w:webHidden/>
          </w:rPr>
          <w:instrText xml:space="preserve"> PAGEREF _Toc92977226 \h </w:instrText>
        </w:r>
        <w:r w:rsidR="00473050" w:rsidRPr="00473050">
          <w:rPr>
            <w:webHidden/>
          </w:rPr>
        </w:r>
        <w:r w:rsidR="00473050" w:rsidRPr="00473050">
          <w:rPr>
            <w:webHidden/>
          </w:rPr>
          <w:fldChar w:fldCharType="separate"/>
        </w:r>
        <w:r w:rsidR="00145FF1">
          <w:rPr>
            <w:webHidden/>
          </w:rPr>
          <w:t>23</w:t>
        </w:r>
        <w:r w:rsidR="00473050" w:rsidRPr="00473050">
          <w:rPr>
            <w:webHidden/>
          </w:rPr>
          <w:fldChar w:fldCharType="end"/>
        </w:r>
      </w:hyperlink>
    </w:p>
    <w:p w14:paraId="422CFBD6" w14:textId="15174243" w:rsidR="00473050" w:rsidRPr="00473050" w:rsidRDefault="0055296F">
      <w:pPr>
        <w:pStyle w:val="TOC3"/>
        <w:rPr>
          <w:rFonts w:asciiTheme="minorHAnsi" w:eastAsiaTheme="minorEastAsia" w:hAnsiTheme="minorHAnsi" w:cstheme="minorBidi"/>
          <w:sz w:val="22"/>
          <w:szCs w:val="22"/>
          <w:lang w:val="fr-LU" w:eastAsia="fr-LU"/>
        </w:rPr>
      </w:pPr>
      <w:hyperlink w:anchor="_Toc92977227" w:history="1">
        <w:r w:rsidR="00473050" w:rsidRPr="00473050">
          <w:rPr>
            <w:rStyle w:val="Hyperlink"/>
          </w:rPr>
          <w:t>Autres particularités</w:t>
        </w:r>
        <w:r w:rsidR="00473050" w:rsidRPr="00473050">
          <w:rPr>
            <w:webHidden/>
          </w:rPr>
          <w:tab/>
        </w:r>
        <w:r w:rsidR="00473050" w:rsidRPr="00473050">
          <w:rPr>
            <w:webHidden/>
          </w:rPr>
          <w:fldChar w:fldCharType="begin"/>
        </w:r>
        <w:r w:rsidR="00473050" w:rsidRPr="00473050">
          <w:rPr>
            <w:webHidden/>
          </w:rPr>
          <w:instrText xml:space="preserve"> PAGEREF _Toc92977227 \h </w:instrText>
        </w:r>
        <w:r w:rsidR="00473050" w:rsidRPr="00473050">
          <w:rPr>
            <w:webHidden/>
          </w:rPr>
        </w:r>
        <w:r w:rsidR="00473050" w:rsidRPr="00473050">
          <w:rPr>
            <w:webHidden/>
          </w:rPr>
          <w:fldChar w:fldCharType="separate"/>
        </w:r>
        <w:r w:rsidR="00145FF1">
          <w:rPr>
            <w:webHidden/>
          </w:rPr>
          <w:t>24</w:t>
        </w:r>
        <w:r w:rsidR="00473050" w:rsidRPr="00473050">
          <w:rPr>
            <w:webHidden/>
          </w:rPr>
          <w:fldChar w:fldCharType="end"/>
        </w:r>
      </w:hyperlink>
    </w:p>
    <w:p w14:paraId="52C60D65" w14:textId="4E6ABCB7" w:rsidR="00473050" w:rsidRPr="00473050" w:rsidRDefault="0055296F">
      <w:pPr>
        <w:pStyle w:val="TOC3"/>
        <w:rPr>
          <w:rFonts w:asciiTheme="minorHAnsi" w:eastAsiaTheme="minorEastAsia" w:hAnsiTheme="minorHAnsi" w:cstheme="minorBidi"/>
          <w:sz w:val="22"/>
          <w:szCs w:val="22"/>
          <w:lang w:val="fr-LU" w:eastAsia="fr-LU"/>
        </w:rPr>
      </w:pPr>
      <w:hyperlink w:anchor="_Toc92977228" w:history="1">
        <w:r w:rsidR="00473050" w:rsidRPr="00473050">
          <w:rPr>
            <w:rStyle w:val="Hyperlink"/>
          </w:rPr>
          <w:t>Non-conformité et rupture de contrat</w:t>
        </w:r>
        <w:r w:rsidR="00473050" w:rsidRPr="00473050">
          <w:rPr>
            <w:webHidden/>
          </w:rPr>
          <w:tab/>
        </w:r>
        <w:r w:rsidR="00473050" w:rsidRPr="00473050">
          <w:rPr>
            <w:webHidden/>
          </w:rPr>
          <w:fldChar w:fldCharType="begin"/>
        </w:r>
        <w:r w:rsidR="00473050" w:rsidRPr="00473050">
          <w:rPr>
            <w:webHidden/>
          </w:rPr>
          <w:instrText xml:space="preserve"> PAGEREF _Toc92977228 \h </w:instrText>
        </w:r>
        <w:r w:rsidR="00473050" w:rsidRPr="00473050">
          <w:rPr>
            <w:webHidden/>
          </w:rPr>
        </w:r>
        <w:r w:rsidR="00473050" w:rsidRPr="00473050">
          <w:rPr>
            <w:webHidden/>
          </w:rPr>
          <w:fldChar w:fldCharType="separate"/>
        </w:r>
        <w:r w:rsidR="00145FF1">
          <w:rPr>
            <w:webHidden/>
          </w:rPr>
          <w:t>24</w:t>
        </w:r>
        <w:r w:rsidR="00473050" w:rsidRPr="00473050">
          <w:rPr>
            <w:webHidden/>
          </w:rPr>
          <w:fldChar w:fldCharType="end"/>
        </w:r>
      </w:hyperlink>
    </w:p>
    <w:p w14:paraId="12FCAE91" w14:textId="14D22FCF" w:rsidR="00473050" w:rsidRPr="00473050" w:rsidRDefault="0055296F">
      <w:pPr>
        <w:pStyle w:val="TOC1"/>
        <w:rPr>
          <w:rFonts w:asciiTheme="minorHAnsi" w:eastAsiaTheme="minorEastAsia" w:hAnsiTheme="minorHAnsi" w:cstheme="minorBidi"/>
          <w:noProof/>
          <w:sz w:val="22"/>
          <w:szCs w:val="22"/>
          <w:lang w:val="fr-LU" w:eastAsia="fr-LU"/>
        </w:rPr>
      </w:pPr>
      <w:hyperlink w:anchor="_Toc92977229" w:history="1">
        <w:r w:rsidR="00473050" w:rsidRPr="00473050">
          <w:rPr>
            <w:rStyle w:val="Hyperlink"/>
            <w:noProof/>
          </w:rPr>
          <w:t>11.</w:t>
        </w:r>
        <w:r w:rsidR="00473050" w:rsidRPr="00473050">
          <w:rPr>
            <w:rFonts w:asciiTheme="minorHAnsi" w:eastAsiaTheme="minorEastAsia" w:hAnsiTheme="minorHAnsi" w:cstheme="minorBidi"/>
            <w:noProof/>
            <w:sz w:val="22"/>
            <w:szCs w:val="22"/>
            <w:lang w:val="fr-LU" w:eastAsia="fr-LU"/>
          </w:rPr>
          <w:tab/>
        </w:r>
        <w:r w:rsidR="00473050" w:rsidRPr="00473050">
          <w:rPr>
            <w:rStyle w:val="Hyperlink"/>
            <w:noProof/>
          </w:rPr>
          <w:t>Comment présenter la candidature?</w:t>
        </w:r>
        <w:r w:rsidR="00473050" w:rsidRPr="00473050">
          <w:rPr>
            <w:noProof/>
            <w:webHidden/>
          </w:rPr>
          <w:tab/>
        </w:r>
        <w:r w:rsidR="00473050" w:rsidRPr="00473050">
          <w:rPr>
            <w:noProof/>
            <w:webHidden/>
          </w:rPr>
          <w:fldChar w:fldCharType="begin"/>
        </w:r>
        <w:r w:rsidR="00473050" w:rsidRPr="00473050">
          <w:rPr>
            <w:noProof/>
            <w:webHidden/>
          </w:rPr>
          <w:instrText xml:space="preserve"> PAGEREF _Toc92977229 \h </w:instrText>
        </w:r>
        <w:r w:rsidR="00473050" w:rsidRPr="00473050">
          <w:rPr>
            <w:noProof/>
            <w:webHidden/>
          </w:rPr>
        </w:r>
        <w:r w:rsidR="00473050" w:rsidRPr="00473050">
          <w:rPr>
            <w:noProof/>
            <w:webHidden/>
          </w:rPr>
          <w:fldChar w:fldCharType="separate"/>
        </w:r>
        <w:r w:rsidR="00145FF1">
          <w:rPr>
            <w:noProof/>
            <w:webHidden/>
          </w:rPr>
          <w:t>24</w:t>
        </w:r>
        <w:r w:rsidR="00473050" w:rsidRPr="00473050">
          <w:rPr>
            <w:noProof/>
            <w:webHidden/>
          </w:rPr>
          <w:fldChar w:fldCharType="end"/>
        </w:r>
      </w:hyperlink>
    </w:p>
    <w:p w14:paraId="02C1A01C" w14:textId="1170D6BA" w:rsidR="00473050" w:rsidRPr="00473050" w:rsidRDefault="0055296F">
      <w:pPr>
        <w:pStyle w:val="TOC1"/>
        <w:rPr>
          <w:rFonts w:asciiTheme="minorHAnsi" w:eastAsiaTheme="minorEastAsia" w:hAnsiTheme="minorHAnsi" w:cstheme="minorBidi"/>
          <w:noProof/>
          <w:sz w:val="22"/>
          <w:szCs w:val="22"/>
          <w:lang w:val="fr-LU" w:eastAsia="fr-LU"/>
        </w:rPr>
      </w:pPr>
      <w:hyperlink w:anchor="_Toc92977230" w:history="1">
        <w:r w:rsidR="00473050" w:rsidRPr="00473050">
          <w:rPr>
            <w:rStyle w:val="Hyperlink"/>
            <w:noProof/>
          </w:rPr>
          <w:t>12.</w:t>
        </w:r>
        <w:r w:rsidR="00473050" w:rsidRPr="00473050">
          <w:rPr>
            <w:rFonts w:asciiTheme="minorHAnsi" w:eastAsiaTheme="minorEastAsia" w:hAnsiTheme="minorHAnsi" w:cstheme="minorBidi"/>
            <w:noProof/>
            <w:sz w:val="22"/>
            <w:szCs w:val="22"/>
            <w:lang w:val="fr-LU" w:eastAsia="fr-LU"/>
          </w:rPr>
          <w:tab/>
        </w:r>
        <w:r w:rsidR="00473050" w:rsidRPr="00473050">
          <w:rPr>
            <w:rStyle w:val="Hyperlink"/>
            <w:noProof/>
          </w:rPr>
          <w:t>Aide</w:t>
        </w:r>
        <w:r w:rsidR="00473050" w:rsidRPr="00473050">
          <w:rPr>
            <w:noProof/>
            <w:webHidden/>
          </w:rPr>
          <w:tab/>
        </w:r>
        <w:r w:rsidR="00473050" w:rsidRPr="00473050">
          <w:rPr>
            <w:noProof/>
            <w:webHidden/>
          </w:rPr>
          <w:fldChar w:fldCharType="begin"/>
        </w:r>
        <w:r w:rsidR="00473050" w:rsidRPr="00473050">
          <w:rPr>
            <w:noProof/>
            <w:webHidden/>
          </w:rPr>
          <w:instrText xml:space="preserve"> PAGEREF _Toc92977230 \h </w:instrText>
        </w:r>
        <w:r w:rsidR="00473050" w:rsidRPr="00473050">
          <w:rPr>
            <w:noProof/>
            <w:webHidden/>
          </w:rPr>
        </w:r>
        <w:r w:rsidR="00473050" w:rsidRPr="00473050">
          <w:rPr>
            <w:noProof/>
            <w:webHidden/>
          </w:rPr>
          <w:fldChar w:fldCharType="separate"/>
        </w:r>
        <w:r w:rsidR="00145FF1">
          <w:rPr>
            <w:noProof/>
            <w:webHidden/>
          </w:rPr>
          <w:t>25</w:t>
        </w:r>
        <w:r w:rsidR="00473050" w:rsidRPr="00473050">
          <w:rPr>
            <w:noProof/>
            <w:webHidden/>
          </w:rPr>
          <w:fldChar w:fldCharType="end"/>
        </w:r>
      </w:hyperlink>
    </w:p>
    <w:p w14:paraId="592804D2" w14:textId="26D55AD0" w:rsidR="00473050" w:rsidRPr="00473050" w:rsidRDefault="0055296F">
      <w:pPr>
        <w:pStyle w:val="TOC1"/>
        <w:rPr>
          <w:rFonts w:asciiTheme="minorHAnsi" w:eastAsiaTheme="minorEastAsia" w:hAnsiTheme="minorHAnsi" w:cstheme="minorBidi"/>
          <w:noProof/>
          <w:sz w:val="22"/>
          <w:szCs w:val="22"/>
          <w:lang w:val="fr-LU" w:eastAsia="fr-LU"/>
        </w:rPr>
      </w:pPr>
      <w:hyperlink w:anchor="_Toc92977231" w:history="1">
        <w:r w:rsidR="00473050" w:rsidRPr="00473050">
          <w:rPr>
            <w:rStyle w:val="Hyperlink"/>
            <w:noProof/>
          </w:rPr>
          <w:t>13.</w:t>
        </w:r>
        <w:r w:rsidR="00473050" w:rsidRPr="00473050">
          <w:rPr>
            <w:rFonts w:asciiTheme="minorHAnsi" w:eastAsiaTheme="minorEastAsia" w:hAnsiTheme="minorHAnsi" w:cstheme="minorBidi"/>
            <w:noProof/>
            <w:sz w:val="22"/>
            <w:szCs w:val="22"/>
            <w:lang w:val="fr-LU" w:eastAsia="fr-LU"/>
          </w:rPr>
          <w:tab/>
        </w:r>
        <w:r w:rsidR="00473050" w:rsidRPr="00473050">
          <w:rPr>
            <w:rStyle w:val="Hyperlink"/>
            <w:noProof/>
          </w:rPr>
          <w:t>Important</w:t>
        </w:r>
        <w:r w:rsidR="00473050" w:rsidRPr="00473050">
          <w:rPr>
            <w:noProof/>
            <w:webHidden/>
          </w:rPr>
          <w:tab/>
        </w:r>
        <w:r w:rsidR="00473050" w:rsidRPr="00473050">
          <w:rPr>
            <w:noProof/>
            <w:webHidden/>
          </w:rPr>
          <w:fldChar w:fldCharType="begin"/>
        </w:r>
        <w:r w:rsidR="00473050" w:rsidRPr="00473050">
          <w:rPr>
            <w:noProof/>
            <w:webHidden/>
          </w:rPr>
          <w:instrText xml:space="preserve"> PAGEREF _Toc92977231 \h </w:instrText>
        </w:r>
        <w:r w:rsidR="00473050" w:rsidRPr="00473050">
          <w:rPr>
            <w:noProof/>
            <w:webHidden/>
          </w:rPr>
        </w:r>
        <w:r w:rsidR="00473050" w:rsidRPr="00473050">
          <w:rPr>
            <w:noProof/>
            <w:webHidden/>
          </w:rPr>
          <w:fldChar w:fldCharType="separate"/>
        </w:r>
        <w:r w:rsidR="00145FF1">
          <w:rPr>
            <w:noProof/>
            <w:webHidden/>
          </w:rPr>
          <w:t>26</w:t>
        </w:r>
        <w:r w:rsidR="00473050" w:rsidRPr="00473050">
          <w:rPr>
            <w:noProof/>
            <w:webHidden/>
          </w:rPr>
          <w:fldChar w:fldCharType="end"/>
        </w:r>
      </w:hyperlink>
    </w:p>
    <w:p w14:paraId="4D152A2B" w14:textId="704C55A7" w:rsidR="0084666C" w:rsidRPr="00473050" w:rsidRDefault="00340A6F" w:rsidP="00B57534">
      <w:pPr>
        <w:widowControl w:val="0"/>
      </w:pPr>
      <w:r w:rsidRPr="00473050">
        <w:rPr>
          <w:sz w:val="16"/>
        </w:rPr>
        <w:fldChar w:fldCharType="end"/>
      </w:r>
    </w:p>
    <w:p w14:paraId="62C1CABA" w14:textId="6C15280B" w:rsidR="0062273B" w:rsidRPr="00473050" w:rsidRDefault="0062273B" w:rsidP="00623078">
      <w:pPr>
        <w:pStyle w:val="Heading1"/>
        <w:numPr>
          <w:ilvl w:val="0"/>
          <w:numId w:val="54"/>
        </w:numPr>
        <w:tabs>
          <w:tab w:val="left" w:pos="284"/>
        </w:tabs>
        <w:ind w:left="0" w:firstLine="0"/>
      </w:pPr>
      <w:r w:rsidRPr="00473050">
        <w:br w:type="page"/>
      </w:r>
      <w:bookmarkStart w:id="1" w:name="_Toc92977192"/>
      <w:r w:rsidRPr="00473050">
        <w:lastRenderedPageBreak/>
        <w:t>Introduction</w:t>
      </w:r>
      <w:bookmarkEnd w:id="1"/>
    </w:p>
    <w:p w14:paraId="1281A2B9" w14:textId="4F8BAA46" w:rsidR="00526CED" w:rsidRPr="00473050" w:rsidRDefault="00494E0C" w:rsidP="00AD584E">
      <w:pPr>
        <w:widowControl w:val="0"/>
      </w:pPr>
      <w:r w:rsidRPr="00473050">
        <w:t xml:space="preserve">Le présent appel a pour objet de susciter des propositions portant sur des </w:t>
      </w:r>
      <w:r w:rsidRPr="00473050">
        <w:rPr>
          <w:b/>
          <w:bCs/>
        </w:rPr>
        <w:t>subventions à l’action</w:t>
      </w:r>
      <w:r w:rsidRPr="00473050">
        <w:t xml:space="preserve"> de l’UE dans le domaine de l’engagement et de la participation des citoyens dans le cadre du </w:t>
      </w:r>
      <w:r w:rsidRPr="00473050">
        <w:rPr>
          <w:b/>
          <w:bCs/>
        </w:rPr>
        <w:t>programme «Citoyens, égalité, droits et valeurs» (CERV)</w:t>
      </w:r>
      <w:r w:rsidRPr="00473050">
        <w:t>. Le cadre réglementaire de ce programme de financement de l’UE est défini dans:</w:t>
      </w:r>
    </w:p>
    <w:p w14:paraId="124C55BF" w14:textId="196A7BDD" w:rsidR="00526CED" w:rsidRPr="00473050" w:rsidRDefault="00526CED" w:rsidP="00584316">
      <w:pPr>
        <w:numPr>
          <w:ilvl w:val="0"/>
          <w:numId w:val="32"/>
        </w:numPr>
        <w:spacing w:after="120"/>
        <w:ind w:left="568" w:hanging="284"/>
      </w:pPr>
      <w:r w:rsidRPr="00473050">
        <w:t>le règlement 2018/1046 (</w:t>
      </w:r>
      <w:hyperlink r:id="rId23" w:history="1">
        <w:r w:rsidRPr="00473050">
          <w:rPr>
            <w:rStyle w:val="Hyperlink"/>
          </w:rPr>
          <w:t>règlement financier de l’UE</w:t>
        </w:r>
      </w:hyperlink>
      <w:r w:rsidRPr="00473050">
        <w:t>),</w:t>
      </w:r>
    </w:p>
    <w:p w14:paraId="15823F41" w14:textId="251E8EA0" w:rsidR="00526CED" w:rsidRPr="00473050" w:rsidRDefault="00526CED" w:rsidP="42BB08A3">
      <w:pPr>
        <w:numPr>
          <w:ilvl w:val="0"/>
          <w:numId w:val="32"/>
        </w:numPr>
        <w:ind w:left="568" w:hanging="284"/>
        <w:rPr>
          <w:u w:val="single"/>
        </w:rPr>
      </w:pPr>
      <w:r w:rsidRPr="00473050">
        <w:t>l’acte de base [règlement (UE) </w:t>
      </w:r>
      <w:hyperlink r:id="rId24" w:history="1">
        <w:r w:rsidRPr="00473050">
          <w:rPr>
            <w:rStyle w:val="Hyperlink"/>
          </w:rPr>
          <w:t>2021/692</w:t>
        </w:r>
      </w:hyperlink>
      <w:r w:rsidRPr="00473050">
        <w:t xml:space="preserve"> (CERV)</w:t>
      </w:r>
      <w:r w:rsidR="000D6EA6" w:rsidRPr="00473050">
        <w:rPr>
          <w:rStyle w:val="FootnoteReference"/>
        </w:rPr>
        <w:footnoteReference w:id="2"/>
      </w:r>
      <w:r w:rsidRPr="00473050">
        <w:t>].</w:t>
      </w:r>
    </w:p>
    <w:p w14:paraId="12AD4BB0" w14:textId="464B2AA2" w:rsidR="0000139E" w:rsidRPr="00473050" w:rsidRDefault="00526CED" w:rsidP="0000139E">
      <w:pPr>
        <w:autoSpaceDE w:val="0"/>
        <w:autoSpaceDN w:val="0"/>
        <w:adjustRightInd w:val="0"/>
        <w:rPr>
          <w:bCs/>
          <w:color w:val="000000"/>
        </w:rPr>
      </w:pPr>
      <w:r w:rsidRPr="00473050">
        <w:t>L’appel est lancé conformément au programme de travail 2021-2022</w:t>
      </w:r>
      <w:r w:rsidR="00494E0C" w:rsidRPr="00473050">
        <w:rPr>
          <w:vertAlign w:val="superscript"/>
        </w:rPr>
        <w:footnoteReference w:id="3"/>
      </w:r>
      <w:r w:rsidRPr="00473050">
        <w:t xml:space="preserve"> et sera géré par l’</w:t>
      </w:r>
      <w:r w:rsidRPr="00473050">
        <w:rPr>
          <w:b/>
        </w:rPr>
        <w:t>Agence exécutive européenne pour l’éducation et la culture» (EACEA)</w:t>
      </w:r>
      <w:r w:rsidRPr="00473050">
        <w:t xml:space="preserve"> («l’Agence»).</w:t>
      </w:r>
    </w:p>
    <w:p w14:paraId="03C747D1" w14:textId="54C3BAAB" w:rsidR="00494E0C" w:rsidRPr="00473050" w:rsidRDefault="00330493" w:rsidP="00CC2315">
      <w:pPr>
        <w:spacing w:after="120"/>
      </w:pPr>
      <w:r w:rsidRPr="00473050">
        <w:t>L’appel porte sur les</w:t>
      </w:r>
      <w:r w:rsidRPr="00473050">
        <w:rPr>
          <w:b/>
        </w:rPr>
        <w:t xml:space="preserve"> thèmes </w:t>
      </w:r>
      <w:r w:rsidRPr="00473050">
        <w:t>suivants:</w:t>
      </w:r>
    </w:p>
    <w:p w14:paraId="0F1AE17D" w14:textId="55D45AD3" w:rsidR="00AD584E" w:rsidRPr="00473050" w:rsidRDefault="00AD584E" w:rsidP="42BB08A3">
      <w:pPr>
        <w:numPr>
          <w:ilvl w:val="0"/>
          <w:numId w:val="29"/>
        </w:numPr>
        <w:rPr>
          <w:b/>
          <w:bCs/>
        </w:rPr>
      </w:pPr>
      <w:r w:rsidRPr="00473050">
        <w:rPr>
          <w:b/>
          <w:bCs/>
          <w:color w:val="A50021"/>
        </w:rPr>
        <w:t>CERV-2022-CITIZENS-TOWN-TT (Thème 1)</w:t>
      </w:r>
      <w:r w:rsidRPr="00473050">
        <w:rPr>
          <w:b/>
          <w:bCs/>
        </w:rPr>
        <w:t xml:space="preserve"> — Jumelage de villes</w:t>
      </w:r>
    </w:p>
    <w:p w14:paraId="1549339B" w14:textId="4EAD4397" w:rsidR="00AD584E" w:rsidRPr="00473050" w:rsidRDefault="00AD584E" w:rsidP="42BB08A3">
      <w:pPr>
        <w:numPr>
          <w:ilvl w:val="0"/>
          <w:numId w:val="29"/>
        </w:numPr>
      </w:pPr>
      <w:r w:rsidRPr="00473050">
        <w:rPr>
          <w:b/>
          <w:bCs/>
          <w:color w:val="A50021"/>
        </w:rPr>
        <w:t>CERV-2022-CITIZENS-TOWN-NT (Thème 2)</w:t>
      </w:r>
      <w:r w:rsidRPr="00473050">
        <w:rPr>
          <w:b/>
          <w:bCs/>
        </w:rPr>
        <w:t xml:space="preserve"> — Réseaux de villes</w:t>
      </w:r>
    </w:p>
    <w:p w14:paraId="52501F07" w14:textId="77777777" w:rsidR="00743E49" w:rsidRPr="00473050" w:rsidRDefault="00743E49" w:rsidP="00743E49">
      <w:pPr>
        <w:autoSpaceDE w:val="0"/>
        <w:autoSpaceDN w:val="0"/>
        <w:adjustRightInd w:val="0"/>
        <w:rPr>
          <w:rFonts w:cs="Verdana"/>
          <w:color w:val="000000"/>
        </w:rPr>
      </w:pPr>
      <w:r w:rsidRPr="00473050">
        <w:t>Chaque candidature soumise au titre de cet appel ne doit porter que sur un seul de ces thèmes. Les candidats souhaitant soumettre une candidature pour plus d’un thème doivent présenter une proposition distincte pour chaque thème.</w:t>
      </w:r>
    </w:p>
    <w:p w14:paraId="043E9BF0" w14:textId="113722C1" w:rsidR="004D29DC" w:rsidRPr="00473050" w:rsidRDefault="004D29DC" w:rsidP="004D29DC">
      <w:pPr>
        <w:autoSpaceDE w:val="0"/>
        <w:autoSpaceDN w:val="0"/>
        <w:adjustRightInd w:val="0"/>
        <w:rPr>
          <w:rFonts w:cs="Verdana"/>
          <w:color w:val="000000"/>
        </w:rPr>
      </w:pPr>
      <w:r w:rsidRPr="00473050">
        <w:rPr>
          <w:color w:val="000000"/>
        </w:rPr>
        <w:t xml:space="preserve">Nous vous invitons à lire attentivement la documentation relative à l’appel et en particulier le présent document relatif à l’appel, le modèle de convention de subvention, le </w:t>
      </w:r>
      <w:hyperlink r:id="rId25" w:history="1">
        <w:r w:rsidRPr="00473050">
          <w:rPr>
            <w:rStyle w:val="Hyperlink"/>
          </w:rPr>
          <w:t>manuel en ligne du portail «Funding &amp; Tenders» de l’UE</w:t>
        </w:r>
      </w:hyperlink>
      <w:r w:rsidRPr="00473050">
        <w:rPr>
          <w:bCs/>
          <w:color w:val="000000"/>
        </w:rPr>
        <w:t xml:space="preserve"> et la </w:t>
      </w:r>
      <w:hyperlink r:id="rId26" w:history="1">
        <w:r w:rsidRPr="00473050">
          <w:rPr>
            <w:rStyle w:val="Hyperlink"/>
          </w:rPr>
          <w:t>convention de subvention annotée (AGA) de l’UE</w:t>
        </w:r>
      </w:hyperlink>
      <w:r w:rsidRPr="00473050">
        <w:rPr>
          <w:color w:val="000000"/>
        </w:rPr>
        <w:t>.</w:t>
      </w:r>
    </w:p>
    <w:p w14:paraId="69E91152" w14:textId="77777777" w:rsidR="00494E0C" w:rsidRPr="00473050" w:rsidRDefault="00494E0C" w:rsidP="00494E0C">
      <w:pPr>
        <w:autoSpaceDE w:val="0"/>
        <w:autoSpaceDN w:val="0"/>
        <w:adjustRightInd w:val="0"/>
        <w:rPr>
          <w:rFonts w:cs="Verdana"/>
          <w:color w:val="000000"/>
        </w:rPr>
      </w:pPr>
      <w:r w:rsidRPr="00473050">
        <w:rPr>
          <w:color w:val="000000"/>
        </w:rPr>
        <w:t xml:space="preserve">Ces documents apportent des éclaircissements et des réponses aux questions que vous pourriez vous poser lors de la préparation de votre candidature: </w:t>
      </w:r>
    </w:p>
    <w:p w14:paraId="2D4A671C" w14:textId="77777777" w:rsidR="00494E0C" w:rsidRPr="00473050" w:rsidRDefault="00E06F7E" w:rsidP="00584316">
      <w:pPr>
        <w:numPr>
          <w:ilvl w:val="0"/>
          <w:numId w:val="29"/>
        </w:numPr>
        <w:autoSpaceDE w:val="0"/>
        <w:autoSpaceDN w:val="0"/>
        <w:adjustRightInd w:val="0"/>
        <w:jc w:val="left"/>
        <w:rPr>
          <w:rFonts w:cs="Verdana"/>
          <w:color w:val="000000"/>
        </w:rPr>
      </w:pPr>
      <w:r w:rsidRPr="00473050">
        <w:rPr>
          <w:color w:val="000000"/>
        </w:rPr>
        <w:t xml:space="preserve">le </w:t>
      </w:r>
      <w:r w:rsidRPr="00473050">
        <w:rPr>
          <w:color w:val="000000"/>
          <w:u w:val="single"/>
        </w:rPr>
        <w:t>document relatif à l’appel</w:t>
      </w:r>
      <w:r w:rsidRPr="00473050">
        <w:rPr>
          <w:color w:val="000000"/>
        </w:rPr>
        <w:t xml:space="preserve"> décrit: </w:t>
      </w:r>
    </w:p>
    <w:p w14:paraId="1A625B5D" w14:textId="77777777" w:rsidR="00E06F7E" w:rsidRPr="00473050" w:rsidRDefault="00E06F7E" w:rsidP="008B1F42">
      <w:pPr>
        <w:numPr>
          <w:ilvl w:val="1"/>
          <w:numId w:val="41"/>
        </w:numPr>
        <w:autoSpaceDE w:val="0"/>
        <w:autoSpaceDN w:val="0"/>
        <w:adjustRightInd w:val="0"/>
        <w:rPr>
          <w:rFonts w:cs="Verdana"/>
          <w:color w:val="000000"/>
        </w:rPr>
      </w:pPr>
      <w:r w:rsidRPr="00473050">
        <w:rPr>
          <w:color w:val="000000"/>
        </w:rPr>
        <w:t>le contexte, les objectifs, le champ d’application, les activités pouvant être financées et les résultats attendus (sections 1 et 2);</w:t>
      </w:r>
    </w:p>
    <w:p w14:paraId="4A57CF7C" w14:textId="77777777" w:rsidR="00E06F7E" w:rsidRPr="00473050" w:rsidRDefault="00E06F7E" w:rsidP="008B1F42">
      <w:pPr>
        <w:numPr>
          <w:ilvl w:val="1"/>
          <w:numId w:val="41"/>
        </w:numPr>
        <w:autoSpaceDE w:val="0"/>
        <w:autoSpaceDN w:val="0"/>
        <w:adjustRightInd w:val="0"/>
        <w:rPr>
          <w:rFonts w:cs="Verdana"/>
          <w:color w:val="000000"/>
        </w:rPr>
      </w:pPr>
      <w:r w:rsidRPr="00473050">
        <w:rPr>
          <w:color w:val="000000"/>
        </w:rPr>
        <w:t xml:space="preserve">le calendrier et le budget disponible (sections 3 et 4); </w:t>
      </w:r>
    </w:p>
    <w:p w14:paraId="789651DB" w14:textId="77777777" w:rsidR="00F114D2" w:rsidRPr="00473050" w:rsidRDefault="00F114D2" w:rsidP="008B1F42">
      <w:pPr>
        <w:numPr>
          <w:ilvl w:val="1"/>
          <w:numId w:val="41"/>
        </w:numPr>
        <w:autoSpaceDE w:val="0"/>
        <w:autoSpaceDN w:val="0"/>
        <w:adjustRightInd w:val="0"/>
        <w:rPr>
          <w:rFonts w:cs="Verdana"/>
          <w:color w:val="000000"/>
        </w:rPr>
      </w:pPr>
      <w:r w:rsidRPr="00473050">
        <w:rPr>
          <w:color w:val="000000"/>
        </w:rPr>
        <w:t>les conditions d’admissibilité et d’éligibilité (y compris les documents obligatoires; sections 5 et 6);</w:t>
      </w:r>
    </w:p>
    <w:p w14:paraId="39CF2DC1" w14:textId="77777777" w:rsidR="00F114D2" w:rsidRPr="00473050" w:rsidRDefault="00F114D2" w:rsidP="008B1F42">
      <w:pPr>
        <w:numPr>
          <w:ilvl w:val="1"/>
          <w:numId w:val="41"/>
        </w:numPr>
        <w:autoSpaceDE w:val="0"/>
        <w:autoSpaceDN w:val="0"/>
        <w:adjustRightInd w:val="0"/>
        <w:rPr>
          <w:rFonts w:cs="Verdana"/>
          <w:color w:val="000000"/>
        </w:rPr>
      </w:pPr>
      <w:r w:rsidRPr="00473050">
        <w:rPr>
          <w:color w:val="000000"/>
        </w:rPr>
        <w:t>les critères de capacité financière et opérationnelle et d’exclusion (section 7);</w:t>
      </w:r>
    </w:p>
    <w:p w14:paraId="418D4BD7" w14:textId="77777777" w:rsidR="00E06F7E" w:rsidRPr="00473050" w:rsidRDefault="00E06F7E" w:rsidP="008B1F42">
      <w:pPr>
        <w:numPr>
          <w:ilvl w:val="1"/>
          <w:numId w:val="41"/>
        </w:numPr>
        <w:autoSpaceDE w:val="0"/>
        <w:autoSpaceDN w:val="0"/>
        <w:adjustRightInd w:val="0"/>
        <w:rPr>
          <w:rFonts w:cs="Verdana"/>
          <w:color w:val="000000"/>
        </w:rPr>
      </w:pPr>
      <w:r w:rsidRPr="00473050">
        <w:rPr>
          <w:color w:val="000000"/>
        </w:rPr>
        <w:t>la procédure d’évaluation et d’attribution (section 8);</w:t>
      </w:r>
    </w:p>
    <w:p w14:paraId="64A33DFC" w14:textId="77777777" w:rsidR="00510B7E" w:rsidRPr="00473050" w:rsidRDefault="00510B7E" w:rsidP="008B1F42">
      <w:pPr>
        <w:numPr>
          <w:ilvl w:val="1"/>
          <w:numId w:val="41"/>
        </w:numPr>
        <w:autoSpaceDE w:val="0"/>
        <w:autoSpaceDN w:val="0"/>
        <w:adjustRightInd w:val="0"/>
        <w:rPr>
          <w:rFonts w:cs="Verdana"/>
          <w:color w:val="000000"/>
        </w:rPr>
      </w:pPr>
      <w:r w:rsidRPr="00473050">
        <w:rPr>
          <w:color w:val="000000"/>
        </w:rPr>
        <w:t xml:space="preserve">les critères d’attribution (section 9); </w:t>
      </w:r>
    </w:p>
    <w:p w14:paraId="658DE64E" w14:textId="77777777" w:rsidR="00736C6F" w:rsidRPr="00473050" w:rsidRDefault="00E06F7E" w:rsidP="008B1F42">
      <w:pPr>
        <w:numPr>
          <w:ilvl w:val="1"/>
          <w:numId w:val="41"/>
        </w:numPr>
        <w:autoSpaceDE w:val="0"/>
        <w:autoSpaceDN w:val="0"/>
        <w:adjustRightInd w:val="0"/>
        <w:rPr>
          <w:rFonts w:cs="Verdana"/>
          <w:color w:val="000000"/>
        </w:rPr>
      </w:pPr>
      <w:r w:rsidRPr="00473050">
        <w:rPr>
          <w:color w:val="000000"/>
        </w:rPr>
        <w:t>la structure juridique et financière des conventions de subvention (section 10);</w:t>
      </w:r>
    </w:p>
    <w:p w14:paraId="0FC91E8C" w14:textId="77777777" w:rsidR="00604FA0" w:rsidRPr="00473050" w:rsidRDefault="00604FA0" w:rsidP="008B1F42">
      <w:pPr>
        <w:numPr>
          <w:ilvl w:val="1"/>
          <w:numId w:val="41"/>
        </w:numPr>
        <w:autoSpaceDE w:val="0"/>
        <w:autoSpaceDN w:val="0"/>
        <w:adjustRightInd w:val="0"/>
        <w:rPr>
          <w:rFonts w:cs="Verdana"/>
          <w:color w:val="000000"/>
        </w:rPr>
      </w:pPr>
      <w:r w:rsidRPr="00473050">
        <w:t>comment soumettre une demande (section 11);</w:t>
      </w:r>
    </w:p>
    <w:p w14:paraId="31A59D07" w14:textId="77777777" w:rsidR="00494E0C" w:rsidRPr="00473050" w:rsidRDefault="00E06F7E" w:rsidP="00584316">
      <w:pPr>
        <w:numPr>
          <w:ilvl w:val="0"/>
          <w:numId w:val="29"/>
        </w:numPr>
        <w:autoSpaceDE w:val="0"/>
        <w:autoSpaceDN w:val="0"/>
        <w:adjustRightInd w:val="0"/>
        <w:jc w:val="left"/>
        <w:rPr>
          <w:rFonts w:cs="Verdana"/>
          <w:color w:val="000000"/>
        </w:rPr>
      </w:pPr>
      <w:r w:rsidRPr="00473050">
        <w:rPr>
          <w:color w:val="000000"/>
        </w:rPr>
        <w:lastRenderedPageBreak/>
        <w:t xml:space="preserve">le </w:t>
      </w:r>
      <w:r w:rsidRPr="00473050">
        <w:rPr>
          <w:color w:val="000000"/>
          <w:u w:val="single"/>
        </w:rPr>
        <w:t>manuel en ligne</w:t>
      </w:r>
      <w:r w:rsidRPr="00473050">
        <w:rPr>
          <w:color w:val="000000"/>
        </w:rPr>
        <w:t xml:space="preserve"> présente les éléments suivants: </w:t>
      </w:r>
    </w:p>
    <w:p w14:paraId="3985E9EA" w14:textId="77777777" w:rsidR="00494E0C" w:rsidRPr="00473050" w:rsidRDefault="00494E0C" w:rsidP="008B1F42">
      <w:pPr>
        <w:numPr>
          <w:ilvl w:val="1"/>
          <w:numId w:val="41"/>
        </w:numPr>
        <w:autoSpaceDE w:val="0"/>
        <w:autoSpaceDN w:val="0"/>
        <w:adjustRightInd w:val="0"/>
        <w:rPr>
          <w:rFonts w:cs="Verdana"/>
        </w:rPr>
      </w:pPr>
      <w:r w:rsidRPr="00473050">
        <w:t xml:space="preserve">les procédures d’enregistrement et de soumission des propositions en ligne via le portail «Funding &amp; Tenders» de l’UE (le «portail»); </w:t>
      </w:r>
    </w:p>
    <w:p w14:paraId="616B7DB6" w14:textId="77777777" w:rsidR="00494E0C" w:rsidRPr="00473050" w:rsidRDefault="00494E0C" w:rsidP="008B1F42">
      <w:pPr>
        <w:numPr>
          <w:ilvl w:val="1"/>
          <w:numId w:val="41"/>
        </w:numPr>
        <w:autoSpaceDE w:val="0"/>
        <w:autoSpaceDN w:val="0"/>
        <w:adjustRightInd w:val="0"/>
        <w:rPr>
          <w:rFonts w:cs="Verdana"/>
          <w:color w:val="000000"/>
        </w:rPr>
      </w:pPr>
      <w:r w:rsidRPr="00473050">
        <w:rPr>
          <w:color w:val="000000"/>
        </w:rPr>
        <w:t>des recommandations pour la préparation de la demande;</w:t>
      </w:r>
    </w:p>
    <w:p w14:paraId="73C2A8CC" w14:textId="79977971" w:rsidR="00494E0C" w:rsidRPr="00473050" w:rsidRDefault="00524F18" w:rsidP="00584316">
      <w:pPr>
        <w:numPr>
          <w:ilvl w:val="0"/>
          <w:numId w:val="29"/>
        </w:numPr>
        <w:autoSpaceDE w:val="0"/>
        <w:autoSpaceDN w:val="0"/>
        <w:adjustRightInd w:val="0"/>
        <w:jc w:val="left"/>
        <w:rPr>
          <w:rFonts w:cs="Verdana"/>
          <w:color w:val="000000"/>
        </w:rPr>
      </w:pPr>
      <w:r w:rsidRPr="00473050">
        <w:rPr>
          <w:color w:val="000000"/>
        </w:rPr>
        <w:t>l’</w:t>
      </w:r>
      <w:r w:rsidRPr="00473050">
        <w:rPr>
          <w:color w:val="000000"/>
          <w:u w:val="single"/>
        </w:rPr>
        <w:t>AGA — convention de subvention annotée</w:t>
      </w:r>
      <w:r w:rsidRPr="00473050">
        <w:rPr>
          <w:color w:val="000000"/>
        </w:rPr>
        <w:t xml:space="preserve"> contient:</w:t>
      </w:r>
    </w:p>
    <w:p w14:paraId="0DD299B7" w14:textId="77777777" w:rsidR="00494E0C" w:rsidRPr="00473050" w:rsidRDefault="00736C6F" w:rsidP="008B1F42">
      <w:pPr>
        <w:numPr>
          <w:ilvl w:val="1"/>
          <w:numId w:val="41"/>
        </w:numPr>
        <w:autoSpaceDE w:val="0"/>
        <w:autoSpaceDN w:val="0"/>
        <w:adjustRightInd w:val="0"/>
        <w:rPr>
          <w:rFonts w:cs="Verdana"/>
          <w:color w:val="000000"/>
        </w:rPr>
      </w:pPr>
      <w:r w:rsidRPr="00473050">
        <w:rPr>
          <w:color w:val="000000"/>
        </w:rPr>
        <w:t xml:space="preserve">des annotations détaillées sur toutes les dispositions de la convention de subvention que vous devrez signer pour obtenir la subvention </w:t>
      </w:r>
      <w:r w:rsidRPr="00473050">
        <w:rPr>
          <w:i/>
          <w:color w:val="000000"/>
        </w:rPr>
        <w:t>(y compris l’éligibilité des coûts, le calendrier de paiement, les obligations accessoires, etc.)</w:t>
      </w:r>
      <w:r w:rsidRPr="00473050">
        <w:rPr>
          <w:color w:val="000000"/>
        </w:rPr>
        <w:t xml:space="preserve">. </w:t>
      </w:r>
    </w:p>
    <w:p w14:paraId="635FC1D8" w14:textId="7A98B738" w:rsidR="00774448" w:rsidRPr="00473050" w:rsidRDefault="00526CED" w:rsidP="42BB08A3">
      <w:pPr>
        <w:autoSpaceDE w:val="0"/>
        <w:autoSpaceDN w:val="0"/>
        <w:adjustRightInd w:val="0"/>
        <w:rPr>
          <w:rFonts w:cs="Verdana"/>
          <w:color w:val="000000"/>
        </w:rPr>
      </w:pPr>
      <w:r w:rsidRPr="00473050">
        <w:rPr>
          <w:color w:val="000000"/>
        </w:rPr>
        <w:t xml:space="preserve">Vous êtes également encouragé à visiter le </w:t>
      </w:r>
      <w:hyperlink r:id="rId27" w:history="1">
        <w:r w:rsidRPr="00473050">
          <w:rPr>
            <w:rStyle w:val="Hyperlink"/>
          </w:rPr>
          <w:t>site web des résultats des projets du programme «L’Europe pour les citoyens»</w:t>
        </w:r>
      </w:hyperlink>
      <w:r w:rsidRPr="00473050">
        <w:rPr>
          <w:color w:val="000000"/>
        </w:rPr>
        <w:t xml:space="preserve">, </w:t>
      </w:r>
      <w:hyperlink r:id="rId28" w:history="1">
        <w:r w:rsidRPr="00473050">
          <w:rPr>
            <w:rStyle w:val="Hyperlink"/>
          </w:rPr>
          <w:t>la page web des résultats du programme «Droits, égalité et citoyenneté»</w:t>
        </w:r>
      </w:hyperlink>
      <w:r w:rsidRPr="00473050">
        <w:rPr>
          <w:color w:val="000000"/>
        </w:rPr>
        <w:t xml:space="preserve"> et le </w:t>
      </w:r>
      <w:hyperlink r:id="rId29" w:history="1">
        <w:r w:rsidRPr="00473050">
          <w:rPr>
            <w:rStyle w:val="Hyperlink"/>
          </w:rPr>
          <w:t xml:space="preserve">site internet «Daphné Toolkit» </w:t>
        </w:r>
      </w:hyperlink>
      <w:r w:rsidRPr="00473050">
        <w:rPr>
          <w:color w:val="000000"/>
        </w:rPr>
        <w:t xml:space="preserve">pour consulter la liste des projets financés précédemment. </w:t>
      </w:r>
    </w:p>
    <w:p w14:paraId="6B9C566E" w14:textId="6F44641E" w:rsidR="00B57534" w:rsidRPr="00473050" w:rsidRDefault="00B57534" w:rsidP="00623078">
      <w:pPr>
        <w:pStyle w:val="Heading1"/>
        <w:numPr>
          <w:ilvl w:val="0"/>
          <w:numId w:val="54"/>
        </w:numPr>
        <w:tabs>
          <w:tab w:val="left" w:pos="284"/>
        </w:tabs>
        <w:ind w:left="0" w:firstLine="0"/>
      </w:pPr>
      <w:bookmarkStart w:id="2" w:name="_Toc92977193"/>
      <w:r w:rsidRPr="00473050">
        <w:t>Contexte</w:t>
      </w:r>
      <w:bookmarkEnd w:id="2"/>
    </w:p>
    <w:p w14:paraId="369A6579" w14:textId="3C1F1087" w:rsidR="0062273B" w:rsidRPr="00473050" w:rsidRDefault="008B1F42" w:rsidP="00623078">
      <w:pPr>
        <w:pStyle w:val="paragraph"/>
        <w:spacing w:before="0" w:beforeAutospacing="0" w:after="200" w:afterAutospacing="0"/>
        <w:jc w:val="both"/>
        <w:textAlignment w:val="baseline"/>
        <w:rPr>
          <w:rStyle w:val="normaltextrun"/>
          <w:rFonts w:ascii="Verdana" w:hAnsi="Verdana"/>
          <w:sz w:val="20"/>
          <w:szCs w:val="20"/>
        </w:rPr>
      </w:pPr>
      <w:r w:rsidRPr="00473050">
        <w:rPr>
          <w:rFonts w:ascii="Verdana" w:hAnsi="Verdana"/>
          <w:sz w:val="20"/>
          <w:szCs w:val="20"/>
        </w:rPr>
        <w:t>Le programme «Citoyens, égalité, droits et valeurs» fournit un financement pour l’engagement des citoyens, l’égalité pour tous et la mise en œuvre des droits et des valeurs de l’UE. Le programme «Citoyens, égalité, droits et valeurs» (ci-après le «programme») regroupe les anciens programmes «Droits, égalité et citoyenneté»</w:t>
      </w:r>
      <w:r w:rsidRPr="00473050">
        <w:rPr>
          <w:rFonts w:ascii="Verdana" w:hAnsi="Verdana"/>
          <w:sz w:val="20"/>
          <w:szCs w:val="20"/>
          <w:lang w:val="en-GB"/>
        </w:rPr>
        <w:footnoteReference w:id="4"/>
      </w:r>
      <w:r w:rsidRPr="00473050">
        <w:rPr>
          <w:rFonts w:ascii="Verdana" w:hAnsi="Verdana"/>
          <w:sz w:val="20"/>
          <w:szCs w:val="20"/>
        </w:rPr>
        <w:t xml:space="preserve"> et «L’Europe pour les citoyens»</w:t>
      </w:r>
      <w:r w:rsidRPr="00473050">
        <w:rPr>
          <w:rStyle w:val="FootnoteReference"/>
          <w:rFonts w:ascii="Verdana" w:hAnsi="Verdana"/>
          <w:sz w:val="20"/>
          <w:szCs w:val="20"/>
          <w:lang w:val="en-GB"/>
        </w:rPr>
        <w:footnoteReference w:id="5"/>
      </w:r>
      <w:r w:rsidRPr="00473050">
        <w:rPr>
          <w:rFonts w:ascii="Verdana" w:hAnsi="Verdana"/>
          <w:sz w:val="20"/>
          <w:szCs w:val="20"/>
        </w:rPr>
        <w:t>.</w:t>
      </w:r>
    </w:p>
    <w:p w14:paraId="516FC889" w14:textId="77777777" w:rsidR="008B1F42" w:rsidRPr="00473050" w:rsidRDefault="008B1F42" w:rsidP="008B1F42">
      <w:pPr>
        <w:rPr>
          <w:rFonts w:eastAsia="Verdana" w:cs="Verdana"/>
        </w:rPr>
      </w:pPr>
      <w:r w:rsidRPr="00473050">
        <w:t>Le programme encourage les échanges entre citoyens de pays différents, renforce la compréhension et la tolérance mutuelles et leur offre l’occasion d’élargir leurs perspectives et de développer un sentiment d’appartenance et d’identité européenne par leur participation à des activités de jumelage et de réseaux de villes. Tout en maintenant une démarche qui part véritablement de la base, le programme offre aussi, en particulier aux réseaux de villes, la possibilité de se concentrer sur les priorités de l’UE. Il vise, par exemple, à améliorer la connaissance de la Charte des droits fondamentaux de l’UE par les citoyens, à contribuer à atteindre un taux de participation plus élevé et des candidatures inclusives aux élections du Parlement européen, et à sensibiliser davantage à la discrimination, au racisme et à leurs conséquences.</w:t>
      </w:r>
    </w:p>
    <w:p w14:paraId="65A00F56" w14:textId="4DA47FF4" w:rsidR="009A57EA" w:rsidRPr="00473050" w:rsidRDefault="008B1F42" w:rsidP="0062273B">
      <w:pPr>
        <w:spacing w:after="0"/>
        <w:rPr>
          <w:rFonts w:eastAsia="Verdana" w:cs="Verdana"/>
        </w:rPr>
      </w:pPr>
      <w:r w:rsidRPr="00473050">
        <w:t>Cet appel à propositions vise à soutenir les initiatives politiques suivantes: le plan d’action pour la démocratie européenne</w:t>
      </w:r>
      <w:r w:rsidRPr="00473050">
        <w:rPr>
          <w:rStyle w:val="FootnoteReference"/>
          <w:rFonts w:eastAsia="Verdana" w:cs="Verdana"/>
        </w:rPr>
        <w:footnoteReference w:id="6"/>
      </w:r>
      <w:r w:rsidRPr="00473050">
        <w:t>, le cadre stratégique de l’UE pour l’égalité, l’inclusion et la participation des Roms</w:t>
      </w:r>
      <w:r w:rsidRPr="00473050">
        <w:rPr>
          <w:rStyle w:val="FootnoteReference"/>
          <w:rFonts w:eastAsia="Verdana" w:cs="Verdana"/>
        </w:rPr>
        <w:footnoteReference w:id="7"/>
      </w:r>
      <w:r w:rsidRPr="00473050">
        <w:t>, la stratégie de l’UE visant à renforcer l’application de la charte des droits fondamentaux</w:t>
      </w:r>
      <w:r w:rsidRPr="00473050">
        <w:rPr>
          <w:rStyle w:val="FootnoteReference"/>
          <w:rFonts w:eastAsia="Verdana" w:cs="Verdana"/>
        </w:rPr>
        <w:footnoteReference w:id="8"/>
      </w:r>
      <w:r w:rsidRPr="00473050">
        <w:t>, le rapport sur la citoyenneté de l’Union européenne 2020</w:t>
      </w:r>
      <w:r w:rsidRPr="00473050">
        <w:rPr>
          <w:rStyle w:val="FootnoteReference"/>
          <w:rFonts w:eastAsia="Verdana" w:cs="Verdana"/>
        </w:rPr>
        <w:footnoteReference w:id="9"/>
      </w:r>
      <w:r w:rsidRPr="00473050">
        <w:t xml:space="preserve">. </w:t>
      </w:r>
    </w:p>
    <w:p w14:paraId="3ACDA2AF" w14:textId="77777777" w:rsidR="0062273B" w:rsidRPr="00473050" w:rsidRDefault="0062273B" w:rsidP="0062273B">
      <w:pPr>
        <w:spacing w:after="0"/>
      </w:pPr>
    </w:p>
    <w:p w14:paraId="2B0ABE9D" w14:textId="5A8C4B79" w:rsidR="00CC2315" w:rsidRPr="00473050" w:rsidRDefault="00276AD7" w:rsidP="00473050">
      <w:pPr>
        <w:pStyle w:val="Heading1"/>
        <w:keepNext/>
        <w:keepLines/>
        <w:numPr>
          <w:ilvl w:val="0"/>
          <w:numId w:val="54"/>
        </w:numPr>
        <w:tabs>
          <w:tab w:val="left" w:pos="284"/>
        </w:tabs>
        <w:ind w:left="0" w:firstLine="0"/>
      </w:pPr>
      <w:bookmarkStart w:id="3" w:name="_Toc92977194"/>
      <w:r w:rsidRPr="00473050">
        <w:t>Objectifs — Thèmes et priorités — Activités pouvant être financées — Résultat attendu</w:t>
      </w:r>
      <w:bookmarkEnd w:id="3"/>
    </w:p>
    <w:p w14:paraId="10C94222" w14:textId="3D5C2B6B" w:rsidR="008B1F42" w:rsidRPr="00473050" w:rsidRDefault="00BF7239" w:rsidP="008B1F42">
      <w:pPr>
        <w:widowControl w:val="0"/>
        <w:outlineLvl w:val="1"/>
        <w:rPr>
          <w:b/>
          <w:bCs/>
          <w:color w:val="A50021"/>
          <w:u w:val="single"/>
        </w:rPr>
      </w:pPr>
      <w:r w:rsidRPr="00473050">
        <w:rPr>
          <w:b/>
          <w:bCs/>
          <w:color w:val="A50021"/>
          <w:u w:val="single"/>
        </w:rPr>
        <w:t>CERV-2022-CITIZENS-TOWN-TT – Jumelage de villes</w:t>
      </w:r>
    </w:p>
    <w:p w14:paraId="13FAC18F" w14:textId="77777777" w:rsidR="008B1F42" w:rsidRPr="00473050" w:rsidRDefault="008B1F42" w:rsidP="008B1F42">
      <w:pPr>
        <w:pStyle w:val="Heading3"/>
      </w:pPr>
      <w:bookmarkStart w:id="4" w:name="_Toc92977195"/>
      <w:r w:rsidRPr="00473050">
        <w:t>Objectifs</w:t>
      </w:r>
      <w:bookmarkEnd w:id="4"/>
      <w:r w:rsidRPr="00473050">
        <w:t xml:space="preserve"> </w:t>
      </w:r>
    </w:p>
    <w:p w14:paraId="15E04F10" w14:textId="77777777" w:rsidR="008B1F42" w:rsidRPr="00473050" w:rsidRDefault="008B1F42" w:rsidP="008B1F42">
      <w:pPr>
        <w:pStyle w:val="ListParagraph"/>
        <w:numPr>
          <w:ilvl w:val="0"/>
          <w:numId w:val="47"/>
        </w:numPr>
        <w:snapToGrid w:val="0"/>
        <w:spacing w:after="200"/>
        <w:jc w:val="both"/>
        <w:rPr>
          <w:rFonts w:eastAsia="Verdana" w:cs="Verdana"/>
        </w:rPr>
      </w:pPr>
      <w:r w:rsidRPr="00473050">
        <w:rPr>
          <w:sz w:val="20"/>
          <w:szCs w:val="20"/>
        </w:rPr>
        <w:lastRenderedPageBreak/>
        <w:t>Promouvoir les échanges entre citoyens de différents pays;</w:t>
      </w:r>
    </w:p>
    <w:p w14:paraId="5945D08F" w14:textId="77777777" w:rsidR="008B1F42" w:rsidRPr="00473050" w:rsidRDefault="008B1F42" w:rsidP="008B1F42">
      <w:pPr>
        <w:pStyle w:val="ListParagraph"/>
        <w:numPr>
          <w:ilvl w:val="0"/>
          <w:numId w:val="47"/>
        </w:numPr>
        <w:snapToGrid w:val="0"/>
        <w:spacing w:after="200"/>
        <w:jc w:val="both"/>
        <w:rPr>
          <w:rFonts w:eastAsia="Verdana" w:cs="Verdana"/>
        </w:rPr>
      </w:pPr>
      <w:r w:rsidRPr="00473050">
        <w:rPr>
          <w:sz w:val="20"/>
          <w:szCs w:val="20"/>
        </w:rPr>
        <w:t>Offrir aux citoyens l’occasion de découvrir la diversité culturelle de l’Union européenne et leur faire comprendre que les valeurs et le patrimoine culturel européens constituent la base d’un avenir commun</w:t>
      </w:r>
      <w:r w:rsidRPr="00473050">
        <w:rPr>
          <w:iCs/>
          <w:sz w:val="20"/>
          <w:szCs w:val="20"/>
        </w:rPr>
        <w:t xml:space="preserve">; </w:t>
      </w:r>
    </w:p>
    <w:p w14:paraId="665EDD2E" w14:textId="77777777" w:rsidR="008B1F42" w:rsidRPr="00473050" w:rsidRDefault="008B1F42" w:rsidP="008B1F42">
      <w:pPr>
        <w:pStyle w:val="ListParagraph"/>
        <w:numPr>
          <w:ilvl w:val="0"/>
          <w:numId w:val="47"/>
        </w:numPr>
        <w:snapToGrid w:val="0"/>
        <w:spacing w:after="200"/>
        <w:jc w:val="both"/>
        <w:rPr>
          <w:rFonts w:eastAsia="Verdana" w:cs="Verdana"/>
        </w:rPr>
      </w:pPr>
      <w:r w:rsidRPr="00473050">
        <w:rPr>
          <w:sz w:val="20"/>
          <w:szCs w:val="20"/>
        </w:rPr>
        <w:t>Garantir des relations pacifiques entre Européens et assurer leur participation active au niveau local;</w:t>
      </w:r>
    </w:p>
    <w:p w14:paraId="605828BE" w14:textId="77777777" w:rsidR="008B1F42" w:rsidRPr="00473050" w:rsidRDefault="008B1F42" w:rsidP="008B1F42">
      <w:pPr>
        <w:pStyle w:val="ListParagraph"/>
        <w:numPr>
          <w:ilvl w:val="0"/>
          <w:numId w:val="47"/>
        </w:numPr>
        <w:snapToGrid w:val="0"/>
        <w:spacing w:after="200"/>
        <w:jc w:val="both"/>
        <w:rPr>
          <w:rFonts w:eastAsia="Verdana" w:cs="Verdana"/>
        </w:rPr>
      </w:pPr>
      <w:r w:rsidRPr="00473050">
        <w:rPr>
          <w:sz w:val="20"/>
          <w:szCs w:val="20"/>
        </w:rPr>
        <w:t>Renforcer la compréhension mutuelle et l’amitié entre les citoyens européens;</w:t>
      </w:r>
    </w:p>
    <w:p w14:paraId="311FE49B" w14:textId="77777777" w:rsidR="008B1F42" w:rsidRPr="00473050" w:rsidRDefault="008B1F42" w:rsidP="008B1F42">
      <w:pPr>
        <w:pStyle w:val="ListParagraph"/>
        <w:numPr>
          <w:ilvl w:val="0"/>
          <w:numId w:val="47"/>
        </w:numPr>
        <w:snapToGrid w:val="0"/>
        <w:spacing w:after="200"/>
        <w:jc w:val="both"/>
        <w:rPr>
          <w:rFonts w:eastAsia="Verdana" w:cs="Verdana"/>
          <w:sz w:val="20"/>
          <w:szCs w:val="20"/>
        </w:rPr>
      </w:pPr>
      <w:r w:rsidRPr="00473050">
        <w:rPr>
          <w:sz w:val="20"/>
          <w:szCs w:val="20"/>
        </w:rPr>
        <w:t>Encourager la coopération entre les municipalités et l’échange de bonnes pratiques;</w:t>
      </w:r>
    </w:p>
    <w:p w14:paraId="2F91D125" w14:textId="77777777" w:rsidR="008B1F42" w:rsidRPr="00473050" w:rsidRDefault="008B1F42" w:rsidP="008B1F42">
      <w:pPr>
        <w:pStyle w:val="ListParagraph"/>
        <w:numPr>
          <w:ilvl w:val="0"/>
          <w:numId w:val="47"/>
        </w:numPr>
        <w:snapToGrid w:val="0"/>
        <w:spacing w:after="200"/>
        <w:jc w:val="both"/>
        <w:rPr>
          <w:rFonts w:eastAsia="Verdana" w:cs="Verdana"/>
          <w:sz w:val="20"/>
          <w:szCs w:val="20"/>
        </w:rPr>
      </w:pPr>
      <w:r w:rsidRPr="00473050">
        <w:rPr>
          <w:sz w:val="20"/>
          <w:szCs w:val="20"/>
        </w:rPr>
        <w:t>Soutenir la bonne gouvernance locale et renforcer le rôle des autorités locales et régionales dans le processus d’intégration européenne.</w:t>
      </w:r>
    </w:p>
    <w:p w14:paraId="0811532F" w14:textId="77777777" w:rsidR="008B1F42" w:rsidRPr="00473050" w:rsidRDefault="008B1F42" w:rsidP="008B1F42">
      <w:pPr>
        <w:pStyle w:val="ListParagraph"/>
        <w:spacing w:after="200"/>
        <w:ind w:left="0"/>
        <w:jc w:val="both"/>
        <w:rPr>
          <w:rFonts w:eastAsia="Verdana" w:cs="Verdana"/>
          <w:sz w:val="20"/>
          <w:szCs w:val="20"/>
        </w:rPr>
      </w:pPr>
    </w:p>
    <w:p w14:paraId="18B8EBBE" w14:textId="2BAD98CB" w:rsidR="008B1F42" w:rsidRPr="00473050" w:rsidRDefault="008B1F42" w:rsidP="00CC2315">
      <w:pPr>
        <w:pStyle w:val="ListParagraph"/>
        <w:spacing w:after="200"/>
        <w:ind w:left="0"/>
        <w:jc w:val="both"/>
        <w:rPr>
          <w:rFonts w:eastAsia="Verdana" w:cs="Verdana"/>
          <w:sz w:val="20"/>
          <w:szCs w:val="20"/>
        </w:rPr>
      </w:pPr>
      <w:r w:rsidRPr="00473050">
        <w:rPr>
          <w:sz w:val="20"/>
          <w:szCs w:val="20"/>
        </w:rPr>
        <w:t>Les projets de jumelage de villes devraient proposer un nouveau scénario pour l’Europe, axé sur les citoyens, favorisant l’égalité, tourné vers l’avenir et constructif, qui serait plus attrayant pour la jeune génération en particulier. Ils peuvent s’appuyer sur les résultats de consultations citoyennes et conduire à des débats sur les moyens concrets de créer une Union plus démocratique, de permettre aux citoyens de s’engager dans l’UE et de développer un sentiment plus fort d’appropriation du projet européen.</w:t>
      </w:r>
    </w:p>
    <w:p w14:paraId="6C324617" w14:textId="7DEA1873" w:rsidR="008B1F42" w:rsidRPr="00473050" w:rsidRDefault="008B1F42" w:rsidP="008B1F42">
      <w:pPr>
        <w:pStyle w:val="Heading3"/>
      </w:pPr>
      <w:bookmarkStart w:id="5" w:name="_Toc92977196"/>
      <w:r w:rsidRPr="00473050">
        <w:t>Thèmes et priorités (champ d’application)</w:t>
      </w:r>
      <w:bookmarkEnd w:id="5"/>
    </w:p>
    <w:p w14:paraId="5FB7D970" w14:textId="77777777" w:rsidR="008B1F42" w:rsidRPr="00473050" w:rsidRDefault="008B1F42" w:rsidP="008B1F42">
      <w:pPr>
        <w:numPr>
          <w:ilvl w:val="0"/>
          <w:numId w:val="48"/>
        </w:numPr>
        <w:rPr>
          <w:rFonts w:eastAsia="Verdana" w:cs="Verdana"/>
        </w:rPr>
      </w:pPr>
      <w:r w:rsidRPr="00473050">
        <w:rPr>
          <w:b/>
          <w:bCs/>
        </w:rPr>
        <w:t>Sensibiliser à la richesse de l’environnement culturel et linguistique en Europe</w:t>
      </w:r>
    </w:p>
    <w:p w14:paraId="2B1D8BE9" w14:textId="77777777" w:rsidR="008B1F42" w:rsidRPr="00473050" w:rsidRDefault="008B1F42" w:rsidP="008B1F42">
      <w:pPr>
        <w:rPr>
          <w:rFonts w:eastAsia="Verdana" w:cs="Verdana"/>
        </w:rPr>
      </w:pPr>
      <w:r w:rsidRPr="00473050">
        <w:t xml:space="preserve">Le programme contribue à la promotion du dialogue interculturel en rassemblant les citoyens européens de nationalités et de langues différentes et en leur donnant la possibilité de participer à des activités communes. Dans ce contexte, les projets de jumelage devraient sensibiliser à la richesse de l’environnement culturel et linguistique en Europe et promouvoir la compréhension mutuelle et la tolérance, contribuant ainsi à l’émergence d’une identité européenne respectueuse, dynamique et diversifiée et au respect des valeurs communes, de la démocratie et des droits fondamentaux. </w:t>
      </w:r>
    </w:p>
    <w:p w14:paraId="278D248A" w14:textId="77777777" w:rsidR="008B1F42" w:rsidRPr="00473050" w:rsidRDefault="008B1F42" w:rsidP="008B1F42">
      <w:pPr>
        <w:numPr>
          <w:ilvl w:val="0"/>
          <w:numId w:val="48"/>
        </w:numPr>
        <w:rPr>
          <w:rFonts w:eastAsia="Verdana" w:cs="Verdana"/>
        </w:rPr>
      </w:pPr>
      <w:r w:rsidRPr="00473050">
        <w:rPr>
          <w:b/>
          <w:bCs/>
        </w:rPr>
        <w:t>Sensibiliser à l’importance de renforcer le processus d’intégration européenne basé sur la solidarité</w:t>
      </w:r>
    </w:p>
    <w:p w14:paraId="6CBF9321" w14:textId="77777777" w:rsidR="008B1F42" w:rsidRPr="00473050" w:rsidRDefault="008B1F42" w:rsidP="008B1F42">
      <w:pPr>
        <w:rPr>
          <w:rFonts w:eastAsia="Verdana" w:cs="Verdana"/>
        </w:rPr>
      </w:pPr>
      <w:r w:rsidRPr="00473050">
        <w:t>L’Union européenne est bâtie sur la solidarité: la solidarité entre ses citoyens, la solidarité transfrontalière entre ses États membres, et la solidarité au travers d’actions de soutien à l’intérieur et à l’extérieur de l’Union. La solidarité est une valeur partagée qui favorise la cohésion et permet de relever les défis sociétaux. Les projets de jumelage de villes devraient contribuer à surmonter les perceptions nationales en favorisant une compréhension mutuelle et en créant des enceintes dans lesquelles des solutions communes peuvent être discutées de manière constructive. Ils devraient avoir pour objectif de sensibiliser à l’importance de renforcer le processus d’intégration européenne fondé sur la solidarité et les valeurs communes.</w:t>
      </w:r>
    </w:p>
    <w:p w14:paraId="0C7C4065" w14:textId="77777777" w:rsidR="008B1F42" w:rsidRPr="00473050" w:rsidRDefault="008B1F42" w:rsidP="008B1F42">
      <w:pPr>
        <w:numPr>
          <w:ilvl w:val="0"/>
          <w:numId w:val="48"/>
        </w:numPr>
        <w:rPr>
          <w:rFonts w:eastAsia="Verdana" w:cs="Verdana"/>
        </w:rPr>
      </w:pPr>
      <w:r w:rsidRPr="00473050">
        <w:rPr>
          <w:b/>
          <w:bCs/>
        </w:rPr>
        <w:t xml:space="preserve">Renforcer le sentiment d’appartenance à l’Europe en promouvant le débat sur l’avenir de l’Europe </w:t>
      </w:r>
    </w:p>
    <w:p w14:paraId="1B7C766D" w14:textId="77777777" w:rsidR="008B1F42" w:rsidRPr="00473050" w:rsidRDefault="008B1F42" w:rsidP="008B1F42">
      <w:pPr>
        <w:rPr>
          <w:rFonts w:eastAsia="Verdana" w:cs="Verdana"/>
        </w:rPr>
      </w:pPr>
      <w:r w:rsidRPr="00473050">
        <w:t xml:space="preserve">Les projets de jumelage de villes devraient donner aux citoyens la possibilité de s’exprimer sur le type d’Europe qu’ils souhaitent. Les débats organisés au titre du jumelage de villes devraient se fonder sur les réalisations concrètes de l’Union européenne et sur les enseignements tirés de l’histoire. Ces débats devraient également permettre aux participants de réfléchir aux évolutions actuelles et de combattre l’euroscepticisme en suggérant des mesures qui pourraient être prises par l’Union pour favoriser un sentiment d’appartenance à l’Europe, comprendre les avantages de l’Union et renforcer la cohésion sociale et politique de l’UE. Les municipalités jumelées sont encouragées à se mobiliser autour des objectifs de la Conférence sur l’avenir de </w:t>
      </w:r>
      <w:r w:rsidRPr="00473050">
        <w:lastRenderedPageBreak/>
        <w:t>l’Europe</w:t>
      </w:r>
      <w:r w:rsidRPr="00473050">
        <w:rPr>
          <w:rStyle w:val="FootnoteReference"/>
          <w:rFonts w:eastAsia="Verdana" w:cs="Verdana"/>
        </w:rPr>
        <w:footnoteReference w:id="10"/>
      </w:r>
      <w:r w:rsidRPr="00473050">
        <w:t>. En outre, les discussions devraient promouvoir une culture du débat démocratique, dans laquelle les opinions de tous les participants sont reconnues de valeur égale, indépendamment de leur sexe, de leur âge ou de leur origine ethnique.</w:t>
      </w:r>
    </w:p>
    <w:p w14:paraId="10D7F696" w14:textId="77777777" w:rsidR="008B1F42" w:rsidRPr="00473050" w:rsidRDefault="008B1F42" w:rsidP="008B1F42">
      <w:pPr>
        <w:numPr>
          <w:ilvl w:val="0"/>
          <w:numId w:val="48"/>
        </w:numPr>
        <w:rPr>
          <w:rFonts w:eastAsia="Verdana" w:cs="Verdana"/>
          <w:b/>
          <w:bCs/>
        </w:rPr>
      </w:pPr>
      <w:r w:rsidRPr="00473050">
        <w:rPr>
          <w:b/>
          <w:bCs/>
        </w:rPr>
        <w:t>Réflexion sur l’impact de la pandémie de COVID-19 sur les communautés locales</w:t>
      </w:r>
    </w:p>
    <w:p w14:paraId="481B9ACE" w14:textId="77777777" w:rsidR="008B1F42" w:rsidRPr="00473050" w:rsidRDefault="008B1F42" w:rsidP="008B1F42">
      <w:pPr>
        <w:rPr>
          <w:rFonts w:eastAsia="Verdana" w:cs="Verdana"/>
        </w:rPr>
      </w:pPr>
      <w:r w:rsidRPr="00473050">
        <w:t>La pandémie de COVID-19 a perturbé les modalités de fonctionnement de nos démocraties et de la participation civique. La nécessité de prévenir la propagation de la contagion a conduit à imposer de fortes restrictions aux libertés individuelles et collectives. Les projets de jumelage de villes sont encouragés à s’interroger sur l’impact de la pandémie de COVID-19 sur la vie et le fonctionnement des communautés locales, et sur les modalités de la participation civique dans le contexte de la crise liée à la COVID-19.</w:t>
      </w:r>
    </w:p>
    <w:p w14:paraId="36719A73" w14:textId="77777777" w:rsidR="008B1F42" w:rsidRPr="00473050" w:rsidRDefault="008B1F42" w:rsidP="008B1F42">
      <w:pPr>
        <w:widowControl w:val="0"/>
        <w:outlineLvl w:val="1"/>
        <w:rPr>
          <w:i/>
          <w:color w:val="A50021"/>
          <w:u w:val="single"/>
        </w:rPr>
      </w:pPr>
      <w:r w:rsidRPr="00473050">
        <w:rPr>
          <w:i/>
          <w:color w:val="A50021"/>
          <w:u w:val="single"/>
        </w:rPr>
        <w:t>Activités pouvant être financées (champ d’application)</w:t>
      </w:r>
    </w:p>
    <w:p w14:paraId="3F3EFBB4" w14:textId="77777777" w:rsidR="008B1F42" w:rsidRPr="00473050" w:rsidRDefault="008B1F42" w:rsidP="008B1F42">
      <w:pPr>
        <w:widowControl w:val="0"/>
        <w:outlineLvl w:val="1"/>
      </w:pPr>
      <w:r w:rsidRPr="00473050">
        <w:t xml:space="preserve">Les activités peuvent inclure, notamment: </w:t>
      </w:r>
    </w:p>
    <w:p w14:paraId="6E4AFEA1" w14:textId="2D94E985" w:rsidR="008B1F42" w:rsidRPr="00473050" w:rsidRDefault="008B1F42" w:rsidP="008B1F42">
      <w:pPr>
        <w:pStyle w:val="Text3"/>
        <w:numPr>
          <w:ilvl w:val="0"/>
          <w:numId w:val="48"/>
        </w:numPr>
        <w:tabs>
          <w:tab w:val="left" w:pos="567"/>
        </w:tabs>
        <w:ind w:left="567" w:hanging="207"/>
      </w:pPr>
      <w:r w:rsidRPr="00473050">
        <w:t>des ateliers, des séminaires, des conférences, des activités de formation, des réunions d’experts, des webinaires, des actions de sensibilisation, la collecte et la consultation de données, le développement, le partage et la diffusion de bonnes pratiques entre les autorités publiques et les organisations de la société civile, l’élaboration d’outils de communication et l’utilisation des médias sociaux.</w:t>
      </w:r>
    </w:p>
    <w:p w14:paraId="44CF613E" w14:textId="055AEA4F" w:rsidR="00BF5947" w:rsidRPr="00473050" w:rsidRDefault="00BF5947" w:rsidP="00CC2315">
      <w:pPr>
        <w:widowControl w:val="0"/>
      </w:pPr>
      <w:r w:rsidRPr="00473050">
        <w:t xml:space="preserve">La perspective de l’égalité entre les hommes et les femmes devrait être prise en considération lors de la conception du «format» des activités, afin de garantir qu’il soit accessible aux femmes et aux hommes sur un pied d’égalité, et que tant les femmes que les hommes puissent participer aux activités. </w:t>
      </w:r>
    </w:p>
    <w:p w14:paraId="4E176950" w14:textId="7F1D3AA0" w:rsidR="008B1F42" w:rsidRPr="00473050" w:rsidRDefault="008B1F42" w:rsidP="008B1F42">
      <w:pPr>
        <w:widowControl w:val="0"/>
        <w:outlineLvl w:val="1"/>
        <w:rPr>
          <w:i/>
          <w:color w:val="A50021"/>
          <w:u w:val="single"/>
        </w:rPr>
      </w:pPr>
      <w:r w:rsidRPr="00473050">
        <w:rPr>
          <w:i/>
          <w:color w:val="A50021"/>
          <w:u w:val="single"/>
        </w:rPr>
        <w:t>Résultat attendu</w:t>
      </w:r>
    </w:p>
    <w:p w14:paraId="73300198" w14:textId="7369E399" w:rsidR="008B1F42" w:rsidRPr="00473050" w:rsidRDefault="008B1F42" w:rsidP="008B1F42">
      <w:pPr>
        <w:pStyle w:val="ListParagraph"/>
        <w:numPr>
          <w:ilvl w:val="0"/>
          <w:numId w:val="49"/>
        </w:numPr>
        <w:snapToGrid w:val="0"/>
        <w:rPr>
          <w:rFonts w:eastAsia="Verdana" w:cs="Verdana"/>
          <w:sz w:val="20"/>
          <w:szCs w:val="20"/>
        </w:rPr>
      </w:pPr>
      <w:r w:rsidRPr="00473050">
        <w:rPr>
          <w:sz w:val="20"/>
          <w:szCs w:val="20"/>
        </w:rPr>
        <w:t>Renforcer et encourager la compréhension mutuelle et l’amitié entre les citoyens des villes jumelées;</w:t>
      </w:r>
    </w:p>
    <w:p w14:paraId="13BA14C4" w14:textId="77777777" w:rsidR="008B1F42" w:rsidRPr="00473050" w:rsidRDefault="008B1F42" w:rsidP="008B1F42">
      <w:pPr>
        <w:pStyle w:val="ListParagraph"/>
        <w:numPr>
          <w:ilvl w:val="0"/>
          <w:numId w:val="49"/>
        </w:numPr>
        <w:snapToGrid w:val="0"/>
        <w:rPr>
          <w:rFonts w:eastAsia="Verdana" w:cs="Verdana"/>
          <w:sz w:val="20"/>
          <w:szCs w:val="20"/>
        </w:rPr>
      </w:pPr>
      <w:r w:rsidRPr="00473050">
        <w:rPr>
          <w:sz w:val="20"/>
          <w:szCs w:val="20"/>
        </w:rPr>
        <w:t>Faire participer un large éventail de citoyens des communautés locales et reconnaître la valeur ajoutée apportée par l’UE à travers une approche de terrain;</w:t>
      </w:r>
    </w:p>
    <w:p w14:paraId="64BB5015" w14:textId="77777777" w:rsidR="008B1F42" w:rsidRPr="00473050" w:rsidRDefault="008B1F42" w:rsidP="009C148E">
      <w:pPr>
        <w:pStyle w:val="ListParagraph"/>
        <w:numPr>
          <w:ilvl w:val="0"/>
          <w:numId w:val="49"/>
        </w:numPr>
        <w:snapToGrid w:val="0"/>
        <w:spacing w:after="200"/>
        <w:rPr>
          <w:rFonts w:eastAsia="Verdana" w:cs="Verdana"/>
          <w:sz w:val="20"/>
          <w:szCs w:val="20"/>
        </w:rPr>
      </w:pPr>
      <w:r w:rsidRPr="00473050">
        <w:rPr>
          <w:sz w:val="20"/>
          <w:szCs w:val="20"/>
        </w:rPr>
        <w:t>Favoriser un sentiment accru d’appartenance à l’UE.</w:t>
      </w:r>
    </w:p>
    <w:p w14:paraId="3816CD76" w14:textId="7A8224D0" w:rsidR="008B1F42" w:rsidRPr="00473050" w:rsidRDefault="00BF7239" w:rsidP="008B1F42">
      <w:pPr>
        <w:widowControl w:val="0"/>
        <w:outlineLvl w:val="1"/>
        <w:rPr>
          <w:b/>
          <w:bCs/>
          <w:color w:val="A50021"/>
        </w:rPr>
      </w:pPr>
      <w:r w:rsidRPr="00473050">
        <w:rPr>
          <w:b/>
          <w:bCs/>
          <w:color w:val="A50021"/>
          <w:u w:val="single"/>
        </w:rPr>
        <w:t>CERV-2022-CITIZENS-TOWN-NT – Réseaux de villes</w:t>
      </w:r>
      <w:r w:rsidRPr="00473050">
        <w:rPr>
          <w:b/>
          <w:bCs/>
          <w:color w:val="A50021"/>
        </w:rPr>
        <w:t xml:space="preserve"> </w:t>
      </w:r>
    </w:p>
    <w:p w14:paraId="5DD50407" w14:textId="77777777" w:rsidR="008B1F42" w:rsidRPr="00473050" w:rsidRDefault="008B1F42" w:rsidP="008B1F42">
      <w:pPr>
        <w:pStyle w:val="Heading3"/>
      </w:pPr>
      <w:bookmarkStart w:id="6" w:name="_Toc92977197"/>
      <w:r w:rsidRPr="00473050">
        <w:t>Objectifs</w:t>
      </w:r>
      <w:bookmarkEnd w:id="6"/>
      <w:r w:rsidRPr="00473050">
        <w:t xml:space="preserve"> </w:t>
      </w:r>
    </w:p>
    <w:p w14:paraId="50086A6A" w14:textId="77777777" w:rsidR="008B1F42" w:rsidRPr="00473050" w:rsidRDefault="008B1F42" w:rsidP="008B1F42">
      <w:pPr>
        <w:pStyle w:val="ListParagraph"/>
        <w:numPr>
          <w:ilvl w:val="0"/>
          <w:numId w:val="47"/>
        </w:numPr>
        <w:snapToGrid w:val="0"/>
        <w:spacing w:after="200"/>
        <w:jc w:val="both"/>
        <w:rPr>
          <w:rFonts w:eastAsia="Verdana" w:cs="Verdana"/>
          <w:sz w:val="20"/>
          <w:szCs w:val="20"/>
        </w:rPr>
      </w:pPr>
      <w:r w:rsidRPr="00473050">
        <w:rPr>
          <w:sz w:val="20"/>
          <w:szCs w:val="20"/>
        </w:rPr>
        <w:t>Promouvoir les échanges entre citoyens de différents pays;</w:t>
      </w:r>
    </w:p>
    <w:p w14:paraId="4930950B" w14:textId="58DB2063" w:rsidR="008B1F42" w:rsidRPr="00473050" w:rsidRDefault="008B1F42" w:rsidP="008B1F42">
      <w:pPr>
        <w:pStyle w:val="ListParagraph"/>
        <w:numPr>
          <w:ilvl w:val="0"/>
          <w:numId w:val="47"/>
        </w:numPr>
        <w:snapToGrid w:val="0"/>
        <w:spacing w:after="200"/>
        <w:jc w:val="both"/>
        <w:rPr>
          <w:rFonts w:eastAsia="Verdana" w:cs="Verdana"/>
          <w:sz w:val="20"/>
          <w:szCs w:val="20"/>
        </w:rPr>
      </w:pPr>
      <w:r w:rsidRPr="00473050">
        <w:rPr>
          <w:sz w:val="20"/>
          <w:szCs w:val="20"/>
        </w:rPr>
        <w:t>Offrir aux citoyens l’occasion de découvrir la diversité culturelle de l’Union européenne et leur faire comprendre que les valeurs et le patrimoine culturel européens constituent la base d’un avenir commun</w:t>
      </w:r>
      <w:r w:rsidRPr="00473050">
        <w:rPr>
          <w:iCs/>
          <w:sz w:val="20"/>
          <w:szCs w:val="20"/>
        </w:rPr>
        <w:t>;</w:t>
      </w:r>
    </w:p>
    <w:p w14:paraId="67D2B464" w14:textId="77777777" w:rsidR="008B1F42" w:rsidRPr="00473050" w:rsidRDefault="008B1F42" w:rsidP="008B1F42">
      <w:pPr>
        <w:pStyle w:val="ListParagraph"/>
        <w:numPr>
          <w:ilvl w:val="0"/>
          <w:numId w:val="47"/>
        </w:numPr>
        <w:snapToGrid w:val="0"/>
        <w:spacing w:after="200"/>
        <w:jc w:val="both"/>
        <w:rPr>
          <w:rFonts w:eastAsia="Verdana" w:cs="Verdana"/>
          <w:sz w:val="20"/>
          <w:szCs w:val="20"/>
        </w:rPr>
      </w:pPr>
      <w:r w:rsidRPr="00473050">
        <w:rPr>
          <w:sz w:val="20"/>
          <w:szCs w:val="20"/>
        </w:rPr>
        <w:t>Garantir des relations pacifiques entre Européens et assurer leur participation active au niveau local;</w:t>
      </w:r>
    </w:p>
    <w:p w14:paraId="195F41AA" w14:textId="77777777" w:rsidR="008B1F42" w:rsidRPr="00473050" w:rsidRDefault="008B1F42" w:rsidP="008B1F42">
      <w:pPr>
        <w:pStyle w:val="ListParagraph"/>
        <w:numPr>
          <w:ilvl w:val="0"/>
          <w:numId w:val="47"/>
        </w:numPr>
        <w:snapToGrid w:val="0"/>
        <w:spacing w:after="200"/>
        <w:jc w:val="both"/>
        <w:rPr>
          <w:rFonts w:eastAsia="Verdana" w:cs="Verdana"/>
          <w:sz w:val="20"/>
          <w:szCs w:val="20"/>
        </w:rPr>
      </w:pPr>
      <w:r w:rsidRPr="00473050">
        <w:rPr>
          <w:sz w:val="20"/>
          <w:szCs w:val="20"/>
        </w:rPr>
        <w:t>Renforcer la compréhension mutuelle et l’amitié entre les citoyens européens;</w:t>
      </w:r>
    </w:p>
    <w:p w14:paraId="7666C85B" w14:textId="77777777" w:rsidR="008B1F42" w:rsidRPr="00473050" w:rsidRDefault="008B1F42" w:rsidP="008B1F42">
      <w:pPr>
        <w:pStyle w:val="ListParagraph"/>
        <w:numPr>
          <w:ilvl w:val="0"/>
          <w:numId w:val="47"/>
        </w:numPr>
        <w:snapToGrid w:val="0"/>
        <w:spacing w:after="200"/>
        <w:jc w:val="both"/>
        <w:rPr>
          <w:rFonts w:eastAsia="Verdana" w:cs="Verdana"/>
          <w:sz w:val="20"/>
          <w:szCs w:val="20"/>
        </w:rPr>
      </w:pPr>
      <w:r w:rsidRPr="00473050">
        <w:rPr>
          <w:sz w:val="20"/>
          <w:szCs w:val="20"/>
        </w:rPr>
        <w:lastRenderedPageBreak/>
        <w:t>Encourager la coopération entre les municipalités et l’échange de bonnes pratiques;</w:t>
      </w:r>
    </w:p>
    <w:p w14:paraId="602154B3" w14:textId="77777777" w:rsidR="008B1F42" w:rsidRPr="00473050" w:rsidRDefault="008B1F42" w:rsidP="008B1F42">
      <w:pPr>
        <w:pStyle w:val="ListParagraph"/>
        <w:numPr>
          <w:ilvl w:val="0"/>
          <w:numId w:val="47"/>
        </w:numPr>
        <w:snapToGrid w:val="0"/>
        <w:spacing w:after="200"/>
        <w:jc w:val="both"/>
        <w:rPr>
          <w:rFonts w:eastAsia="Verdana" w:cs="Verdana"/>
          <w:sz w:val="20"/>
          <w:szCs w:val="20"/>
        </w:rPr>
      </w:pPr>
      <w:r w:rsidRPr="00473050">
        <w:rPr>
          <w:sz w:val="20"/>
          <w:szCs w:val="20"/>
        </w:rPr>
        <w:t>Soutenir la bonne gouvernance locale et renforcer le rôle des autorités locales et régionales dans le processus d’intégration européenne.</w:t>
      </w:r>
    </w:p>
    <w:p w14:paraId="79BB4ACA" w14:textId="77777777" w:rsidR="008B1F42" w:rsidRPr="00473050" w:rsidRDefault="008B1F42" w:rsidP="008B1F42">
      <w:pPr>
        <w:rPr>
          <w:rFonts w:eastAsia="Verdana" w:cs="Verdana"/>
        </w:rPr>
      </w:pPr>
      <w:r w:rsidRPr="00473050">
        <w:t>Les projets de jumelage de villes devraient proposer un nouveau scénario pour l’Europe, axé sur les citoyens, favorisant l’égalité, tourné vers l’avenir et constructif, qui serait plus attrayant pour la jeune génération en particulier. Ils peuvent s’appuyer sur les résultats de consultations citoyennes et conduire à des débats sur les moyens concrets de créer une Union plus démocratique, de permettre aux citoyens de s’engager dans l’UE et de développer un sentiment plus fort d’appropriation du projet européen.</w:t>
      </w:r>
    </w:p>
    <w:p w14:paraId="21311993" w14:textId="77777777" w:rsidR="008B1F42" w:rsidRPr="00473050" w:rsidRDefault="008B1F42" w:rsidP="008B1F42">
      <w:pPr>
        <w:rPr>
          <w:rFonts w:eastAsia="Verdana" w:cs="Verdana"/>
        </w:rPr>
      </w:pPr>
      <w:r w:rsidRPr="00473050">
        <w:t>Les réseaux de villes devraient offrir aux villes et aux municipalités la possibilité d’approfondir et d’intensifier leur coopération et leur débat dans une perspective à long terme, de développer des réseaux durables et d’exposer leur vision à long terme de l’avenir de l’intégration européenne.</w:t>
      </w:r>
    </w:p>
    <w:p w14:paraId="73AEEF58" w14:textId="77777777" w:rsidR="008B1F42" w:rsidRPr="00473050" w:rsidRDefault="008B1F42" w:rsidP="008B1F42">
      <w:pPr>
        <w:pStyle w:val="Heading3"/>
      </w:pPr>
      <w:bookmarkStart w:id="7" w:name="_Toc92977198"/>
      <w:r w:rsidRPr="00473050">
        <w:t>Thèmes et priorités (champ d’application)</w:t>
      </w:r>
      <w:bookmarkEnd w:id="7"/>
    </w:p>
    <w:p w14:paraId="19210619" w14:textId="5F6CD73A" w:rsidR="008B1F42" w:rsidRPr="00473050" w:rsidRDefault="008B1F42" w:rsidP="008B1F42">
      <w:pPr>
        <w:pStyle w:val="Text3"/>
        <w:ind w:left="0"/>
        <w:rPr>
          <w:rFonts w:eastAsia="Verdana" w:cs="Verdana"/>
        </w:rPr>
      </w:pPr>
      <w:r w:rsidRPr="00473050">
        <w:t>Tout en maintenant une démarche qui part véritablement de la base, une attention particulière pourrait être accordée aux aspects suivants.</w:t>
      </w:r>
    </w:p>
    <w:p w14:paraId="0114D3C8" w14:textId="77777777" w:rsidR="00DF1A7E" w:rsidRPr="00473050" w:rsidRDefault="00DF1A7E" w:rsidP="00DF1A7E">
      <w:pPr>
        <w:numPr>
          <w:ilvl w:val="0"/>
          <w:numId w:val="48"/>
        </w:numPr>
        <w:rPr>
          <w:rFonts w:eastAsia="Verdana" w:cs="Verdana"/>
        </w:rPr>
      </w:pPr>
      <w:r w:rsidRPr="00473050">
        <w:rPr>
          <w:b/>
        </w:rPr>
        <w:t>Renforcer la dimension européenne et démocratique du processus décisionnel de l’UE</w:t>
      </w:r>
    </w:p>
    <w:p w14:paraId="170D5575" w14:textId="591CBCC7" w:rsidR="00DF1A7E" w:rsidRPr="00473050" w:rsidRDefault="00DF1A7E" w:rsidP="00DF1A7E">
      <w:r w:rsidRPr="00473050">
        <w:t>Les réseaux de villes sont invités à élaborer des projets qui renforcent la gouvernance démocratique en soutenant la participation active des citoyens à la vie politique européenne et l’exercice de leurs droits électoraux. Ces projets contribueraient à lutter contre le faible taux de participation aux élections, le populisme, la désinformation et les défis auxquels la société civile est confrontée.</w:t>
      </w:r>
    </w:p>
    <w:p w14:paraId="75942D03" w14:textId="57AAA631" w:rsidR="00DF1A7E" w:rsidRPr="00473050" w:rsidRDefault="00DF1A7E" w:rsidP="00DF1A7E">
      <w:pPr>
        <w:numPr>
          <w:ilvl w:val="0"/>
          <w:numId w:val="48"/>
        </w:numPr>
        <w:rPr>
          <w:rFonts w:eastAsia="Verdana" w:cs="Verdana"/>
          <w:b/>
        </w:rPr>
      </w:pPr>
      <w:r w:rsidRPr="00473050">
        <w:rPr>
          <w:b/>
        </w:rPr>
        <w:t>Soutenir des élections libres et équitables en Europe</w:t>
      </w:r>
    </w:p>
    <w:p w14:paraId="508FCAAE" w14:textId="13093283" w:rsidR="00DF1A7E" w:rsidRPr="00473050" w:rsidRDefault="00DF1A7E" w:rsidP="00DF1A7E">
      <w:pPr>
        <w:rPr>
          <w:rFonts w:eastAsia="Verdana" w:cs="Verdana"/>
        </w:rPr>
      </w:pPr>
      <w:r w:rsidRPr="00473050">
        <w:t>Dans la perspective des élections européennes de 2024, les réseaux de villes sont invités à œuvrer à la préservation des institutions démocratiques de l’UE et à la participation des citoyens à ces institutions. La coordination au sein des réseaux concernés et entre ceux-ci pourrait notamment conduire à la mise en place de méthodes de travail communes, au renforcement des capacités, pour détecter et combattre les menaces qui pèsent sur les élections, et à l’élaboration de modèles de bonnes pratiques et de lignes directrices.</w:t>
      </w:r>
    </w:p>
    <w:p w14:paraId="609BDE0C" w14:textId="77777777" w:rsidR="00DF1A7E" w:rsidRPr="00473050" w:rsidRDefault="00DF1A7E" w:rsidP="00DF1A7E">
      <w:pPr>
        <w:numPr>
          <w:ilvl w:val="0"/>
          <w:numId w:val="48"/>
        </w:numPr>
        <w:rPr>
          <w:rFonts w:eastAsia="Verdana" w:cs="Verdana"/>
        </w:rPr>
      </w:pPr>
      <w:r w:rsidRPr="00473050">
        <w:rPr>
          <w:b/>
          <w:bCs/>
        </w:rPr>
        <w:t xml:space="preserve">Renforcer le sentiment d’appartenance à l’Europe en promouvant le débat sur l’avenir de l’Europe </w:t>
      </w:r>
    </w:p>
    <w:p w14:paraId="56A249A6" w14:textId="404D5832" w:rsidR="00DF1A7E" w:rsidRPr="00473050" w:rsidRDefault="00DF1A7E" w:rsidP="00DF1A7E">
      <w:pPr>
        <w:rPr>
          <w:rFonts w:eastAsia="Verdana" w:cs="Verdana"/>
        </w:rPr>
      </w:pPr>
      <w:r w:rsidRPr="00473050">
        <w:t>Les réseaux de villes pourraient donner aux citoyens la possibilité de s’exprimer sur le type d’Europe qu’ils souhaitent. Les débats devraient se fonder sur les réalisations concrètes de l’Union européenne et sur les enseignements tirés de l’histoire. Ces débats peuvent également suggérer des mesures qui pourraient être prises par l’Union européenne pour favoriser un sentiment d’appartenance à l’Europe, comprendre les avantages de l’Union et renforcer la cohésion sociale et politique de l’UE. Les réseaux de villes sont encouragés à se mobiliser autour des objectifs de la Conférence sur l’avenir de l’Europe.</w:t>
      </w:r>
    </w:p>
    <w:p w14:paraId="2AF05699" w14:textId="77777777" w:rsidR="00DF1A7E" w:rsidRPr="00473050" w:rsidRDefault="00DF1A7E" w:rsidP="00DF1A7E">
      <w:pPr>
        <w:numPr>
          <w:ilvl w:val="0"/>
          <w:numId w:val="48"/>
        </w:numPr>
        <w:rPr>
          <w:rFonts w:eastAsia="Verdana" w:cs="Verdana"/>
          <w:b/>
          <w:bCs/>
        </w:rPr>
      </w:pPr>
      <w:r w:rsidRPr="00473050">
        <w:rPr>
          <w:b/>
          <w:bCs/>
        </w:rPr>
        <w:t>Réflexion sur l’impact de la pandémie de COVID-19 sur les communautés locales</w:t>
      </w:r>
    </w:p>
    <w:p w14:paraId="4F1B2504" w14:textId="23705276" w:rsidR="00DF1A7E" w:rsidRPr="00473050" w:rsidRDefault="00DF1A7E" w:rsidP="006F58BD">
      <w:pPr>
        <w:pStyle w:val="Text3"/>
        <w:ind w:left="0"/>
        <w:rPr>
          <w:rFonts w:eastAsia="Verdana" w:cs="Verdana"/>
        </w:rPr>
      </w:pPr>
      <w:r w:rsidRPr="00473050">
        <w:t xml:space="preserve">La pandémie de COVID-19 a perturbé les modalités de fonctionnement de nos démocraties et de la participation civique. La nécessité de prévenir la propagation de la contagion a conduit à imposer de fortes restrictions aux libertés individuelles et </w:t>
      </w:r>
      <w:r w:rsidRPr="00473050">
        <w:lastRenderedPageBreak/>
        <w:t>collectives. Les réseaux de villes sont encouragés à s’interroger sur l’impact de la pandémie de COVID-19 sur la vie et le fonctionnement des communautés locales, et sur les modalités de la participation civique dans le contexte de la crise liée à la COVID-19.</w:t>
      </w:r>
    </w:p>
    <w:p w14:paraId="67B84D45" w14:textId="5CF8C7F0" w:rsidR="008B1F42" w:rsidRPr="00473050" w:rsidRDefault="008B1F42" w:rsidP="008B1F42">
      <w:pPr>
        <w:pStyle w:val="Heading3"/>
      </w:pPr>
      <w:bookmarkStart w:id="8" w:name="_Toc92977199"/>
      <w:r w:rsidRPr="00473050">
        <w:t>Activités pouvant être financées (champ d’application)</w:t>
      </w:r>
      <w:bookmarkEnd w:id="8"/>
    </w:p>
    <w:p w14:paraId="24792C88" w14:textId="77777777" w:rsidR="008B1F42" w:rsidRPr="00473050" w:rsidRDefault="008B1F42" w:rsidP="008B1F42">
      <w:pPr>
        <w:widowControl w:val="0"/>
        <w:outlineLvl w:val="1"/>
      </w:pPr>
      <w:r w:rsidRPr="00473050">
        <w:t xml:space="preserve">Les activités peuvent inclure, notamment: </w:t>
      </w:r>
    </w:p>
    <w:p w14:paraId="31F23C7A" w14:textId="77777777" w:rsidR="008B1F42" w:rsidRPr="00473050" w:rsidRDefault="008B1F42" w:rsidP="008B1F42">
      <w:pPr>
        <w:pStyle w:val="Text3"/>
        <w:numPr>
          <w:ilvl w:val="0"/>
          <w:numId w:val="48"/>
        </w:numPr>
        <w:tabs>
          <w:tab w:val="left" w:pos="567"/>
        </w:tabs>
        <w:ind w:left="567" w:hanging="207"/>
      </w:pPr>
      <w:r w:rsidRPr="00473050">
        <w:t>des ateliers, des séminaires, des conférences, des activités de formation, des réunions d’experts, des webinaires, des actions de sensibilisation, la collecte et la consultation de données, le développement, le partage et la diffusion de bonnes pratiques entre les autorités publiques et les organisations de la société civile, l’élaboration d’outils de communication et l’utilisation des médias sociaux.</w:t>
      </w:r>
    </w:p>
    <w:p w14:paraId="4FBCD5D4" w14:textId="58457A61" w:rsidR="00E83685" w:rsidRPr="00473050" w:rsidRDefault="00E83685" w:rsidP="00E83685">
      <w:pPr>
        <w:widowControl w:val="0"/>
      </w:pPr>
      <w:r w:rsidRPr="00473050">
        <w:t xml:space="preserve">La perspective de l’égalité entre les hommes et les femmes devrait être prise en considération lors de la conception du «format» des activités, afin de garantir qu’il soit accessible aux femmes et aux hommes sur un pied d’égalité, et que tant les femmes que les hommes puissent participer aux activités. </w:t>
      </w:r>
    </w:p>
    <w:p w14:paraId="60B4B3FC" w14:textId="77777777" w:rsidR="00BF5947" w:rsidRPr="00473050" w:rsidRDefault="00BF5947" w:rsidP="00BF5947">
      <w:pPr>
        <w:widowControl w:val="0"/>
      </w:pPr>
      <w:r w:rsidRPr="00473050">
        <w:t>La conception et la mise en œuvre des projets doivent promouvoir l’intégration de l’égalité entre les hommes et les femmes et de la non-discrimination. Par exemple, les candidats pourraient réaliser et inclure dans leur proposition une analyse de genre, qui permettrait de cartographier les différents effets potentiels du projet et de ses activités sur les femmes et les hommes ainsi que sur les filles et les garçons dans toute leur diversité. Ainsi, les effets négatifs involontaires de l’intervention sur l’un ou l’autre genre pourraient être évités (approche visant «à ne pas nuire»)</w:t>
      </w:r>
      <w:r w:rsidRPr="00473050">
        <w:rPr>
          <w:rStyle w:val="FootnoteReference"/>
        </w:rPr>
        <w:footnoteReference w:id="11"/>
      </w:r>
      <w:r w:rsidRPr="00473050">
        <w:t>.</w:t>
      </w:r>
    </w:p>
    <w:p w14:paraId="363A4BA3" w14:textId="77777777" w:rsidR="008B1F42" w:rsidRPr="00473050" w:rsidRDefault="008B1F42" w:rsidP="008B1F42">
      <w:pPr>
        <w:pStyle w:val="Heading3"/>
      </w:pPr>
      <w:bookmarkStart w:id="9" w:name="_Toc92977200"/>
      <w:r w:rsidRPr="00473050">
        <w:t>Résultat attendu</w:t>
      </w:r>
      <w:bookmarkEnd w:id="9"/>
    </w:p>
    <w:p w14:paraId="757470EC" w14:textId="77777777" w:rsidR="008B1F42" w:rsidRPr="00473050" w:rsidRDefault="008B1F42" w:rsidP="008B1F42">
      <w:pPr>
        <w:pStyle w:val="ListParagraph"/>
        <w:numPr>
          <w:ilvl w:val="0"/>
          <w:numId w:val="50"/>
        </w:numPr>
        <w:snapToGrid w:val="0"/>
        <w:rPr>
          <w:rFonts w:eastAsia="Verdana" w:cs="Verdana"/>
          <w:sz w:val="20"/>
          <w:szCs w:val="20"/>
        </w:rPr>
      </w:pPr>
      <w:r w:rsidRPr="00473050">
        <w:rPr>
          <w:sz w:val="20"/>
          <w:szCs w:val="20"/>
        </w:rPr>
        <w:t xml:space="preserve">Offrir aux villes et aux municipalités la possibilité de développer des projets à plus grande échelle en vue d’accroître l’impact et la durabilité de leurs projets; </w:t>
      </w:r>
    </w:p>
    <w:p w14:paraId="0F1CFD3B" w14:textId="77777777" w:rsidR="008B1F42" w:rsidRPr="00473050" w:rsidRDefault="008B1F42" w:rsidP="008B1F42">
      <w:pPr>
        <w:pStyle w:val="ListParagraph"/>
        <w:numPr>
          <w:ilvl w:val="0"/>
          <w:numId w:val="50"/>
        </w:numPr>
        <w:snapToGrid w:val="0"/>
        <w:rPr>
          <w:rFonts w:eastAsia="Verdana" w:cs="Verdana"/>
          <w:sz w:val="20"/>
          <w:szCs w:val="20"/>
        </w:rPr>
      </w:pPr>
      <w:r w:rsidRPr="00473050">
        <w:rPr>
          <w:sz w:val="20"/>
          <w:szCs w:val="20"/>
        </w:rPr>
        <w:t xml:space="preserve">Permettre aux bénéficiaires de développer des projets plus thématiques et davantage liés aux politiques; </w:t>
      </w:r>
    </w:p>
    <w:p w14:paraId="662B7EB2" w14:textId="77777777" w:rsidR="008B1F42" w:rsidRPr="00473050" w:rsidRDefault="008B1F42" w:rsidP="008B1F42">
      <w:pPr>
        <w:pStyle w:val="ListParagraph"/>
        <w:numPr>
          <w:ilvl w:val="0"/>
          <w:numId w:val="50"/>
        </w:numPr>
        <w:snapToGrid w:val="0"/>
        <w:rPr>
          <w:rFonts w:eastAsia="Verdana" w:cs="Verdana"/>
          <w:sz w:val="20"/>
          <w:szCs w:val="20"/>
        </w:rPr>
      </w:pPr>
      <w:r w:rsidRPr="00473050">
        <w:rPr>
          <w:sz w:val="20"/>
          <w:szCs w:val="20"/>
        </w:rPr>
        <w:t xml:space="preserve">Nouer des liens durables avec les organisations partenaires; </w:t>
      </w:r>
    </w:p>
    <w:p w14:paraId="2DA870B2" w14:textId="77777777" w:rsidR="008B1F42" w:rsidRPr="00473050" w:rsidRDefault="008B1F42" w:rsidP="008B1F42">
      <w:pPr>
        <w:pStyle w:val="ListParagraph"/>
        <w:numPr>
          <w:ilvl w:val="0"/>
          <w:numId w:val="50"/>
        </w:numPr>
        <w:snapToGrid w:val="0"/>
        <w:rPr>
          <w:rFonts w:eastAsia="Verdana" w:cs="Verdana"/>
          <w:sz w:val="20"/>
          <w:szCs w:val="20"/>
        </w:rPr>
      </w:pPr>
      <w:r w:rsidRPr="00473050">
        <w:rPr>
          <w:sz w:val="20"/>
          <w:szCs w:val="20"/>
        </w:rPr>
        <w:t xml:space="preserve">Sensibiliser aux avantages de la diversité et lutter contre la discrimination et le racisme; </w:t>
      </w:r>
    </w:p>
    <w:p w14:paraId="31F82412" w14:textId="77777777" w:rsidR="008B1F42" w:rsidRPr="00473050" w:rsidRDefault="008B1F42" w:rsidP="008B1F42">
      <w:pPr>
        <w:pStyle w:val="ListParagraph"/>
        <w:numPr>
          <w:ilvl w:val="0"/>
          <w:numId w:val="50"/>
        </w:numPr>
        <w:snapToGrid w:val="0"/>
        <w:rPr>
          <w:rFonts w:eastAsia="Verdana" w:cs="Verdana"/>
          <w:sz w:val="20"/>
          <w:szCs w:val="20"/>
        </w:rPr>
      </w:pPr>
      <w:r w:rsidRPr="00473050">
        <w:rPr>
          <w:sz w:val="20"/>
          <w:szCs w:val="20"/>
        </w:rPr>
        <w:t xml:space="preserve">Accroître et encourager la compréhension mutuelle et l’acceptation des minorités européennes, telles que les Roms; </w:t>
      </w:r>
    </w:p>
    <w:p w14:paraId="178CA45A" w14:textId="77777777" w:rsidR="008B1F42" w:rsidRPr="00473050" w:rsidRDefault="008B1F42" w:rsidP="008B1F42">
      <w:pPr>
        <w:pStyle w:val="ListParagraph"/>
        <w:numPr>
          <w:ilvl w:val="0"/>
          <w:numId w:val="50"/>
        </w:numPr>
        <w:snapToGrid w:val="0"/>
        <w:rPr>
          <w:rFonts w:eastAsia="Verdana" w:cs="Verdana"/>
          <w:sz w:val="20"/>
          <w:szCs w:val="20"/>
        </w:rPr>
      </w:pPr>
      <w:r w:rsidRPr="00473050">
        <w:rPr>
          <w:sz w:val="20"/>
          <w:szCs w:val="20"/>
        </w:rPr>
        <w:t xml:space="preserve">Faire mieux connaître la charte des droits fondamentaux de l’UE et son application et promouvoir une culture des droits fondamentaux; </w:t>
      </w:r>
    </w:p>
    <w:p w14:paraId="0989D40F" w14:textId="77777777" w:rsidR="008B1F42" w:rsidRPr="00473050" w:rsidRDefault="008B1F42" w:rsidP="008B1F42">
      <w:pPr>
        <w:pStyle w:val="ListParagraph"/>
        <w:numPr>
          <w:ilvl w:val="0"/>
          <w:numId w:val="50"/>
        </w:numPr>
        <w:snapToGrid w:val="0"/>
        <w:rPr>
          <w:rFonts w:eastAsia="Verdana" w:cs="Verdana"/>
          <w:sz w:val="20"/>
          <w:szCs w:val="20"/>
        </w:rPr>
      </w:pPr>
      <w:r w:rsidRPr="00473050">
        <w:rPr>
          <w:sz w:val="20"/>
          <w:szCs w:val="20"/>
        </w:rPr>
        <w:t>Améliorer l’information sur les droits conférés par la citoyenneté européenne et améliorer leur mise en œuvre dans les États membres;</w:t>
      </w:r>
    </w:p>
    <w:p w14:paraId="0799023E" w14:textId="0EEC0001" w:rsidR="008B1F42" w:rsidRPr="00473050" w:rsidRDefault="008B1F42" w:rsidP="001E6C28">
      <w:pPr>
        <w:pStyle w:val="ListParagraph"/>
        <w:numPr>
          <w:ilvl w:val="0"/>
          <w:numId w:val="50"/>
        </w:numPr>
        <w:snapToGrid w:val="0"/>
        <w:rPr>
          <w:rFonts w:eastAsia="Verdana" w:cs="Verdana"/>
          <w:sz w:val="20"/>
          <w:szCs w:val="20"/>
        </w:rPr>
      </w:pPr>
      <w:r w:rsidRPr="00473050">
        <w:rPr>
          <w:sz w:val="20"/>
          <w:szCs w:val="20"/>
        </w:rPr>
        <w:t>Sensibiliser et mieux informer les citoyens européens mobiles et les membres de leur famille sur leurs droits en matière de citoyenneté européenne.</w:t>
      </w:r>
    </w:p>
    <w:p w14:paraId="0EC8E6E1" w14:textId="77777777" w:rsidR="001E6C28" w:rsidRPr="002F268A" w:rsidRDefault="001E6C28" w:rsidP="001E6C28">
      <w:pPr>
        <w:pStyle w:val="ListParagraph"/>
        <w:snapToGrid w:val="0"/>
        <w:rPr>
          <w:rFonts w:eastAsia="Verdana" w:cs="Verdana"/>
          <w:sz w:val="20"/>
          <w:szCs w:val="20"/>
          <w:lang w:val="fr-BE"/>
        </w:rPr>
      </w:pPr>
    </w:p>
    <w:p w14:paraId="0B640087" w14:textId="37226C81" w:rsidR="007926FA" w:rsidRPr="00473050" w:rsidRDefault="007926FA" w:rsidP="00623078">
      <w:pPr>
        <w:pStyle w:val="Heading1"/>
        <w:numPr>
          <w:ilvl w:val="0"/>
          <w:numId w:val="54"/>
        </w:numPr>
        <w:tabs>
          <w:tab w:val="left" w:pos="284"/>
        </w:tabs>
        <w:ind w:left="0" w:firstLine="0"/>
      </w:pPr>
      <w:bookmarkStart w:id="10" w:name="_Toc92977201"/>
      <w:r w:rsidRPr="00473050">
        <w:t>Budget disponible</w:t>
      </w:r>
      <w:bookmarkEnd w:id="10"/>
    </w:p>
    <w:p w14:paraId="0930E03A" w14:textId="36C575EE" w:rsidR="003D5D72" w:rsidRPr="00473050" w:rsidRDefault="008246AA" w:rsidP="00F114D2">
      <w:r w:rsidRPr="00473050">
        <w:t xml:space="preserve">Le budget disponible pour l’appel est de </w:t>
      </w:r>
      <w:r w:rsidRPr="00473050">
        <w:rPr>
          <w:b/>
        </w:rPr>
        <w:t>11 000 000 EUR.</w:t>
      </w:r>
    </w:p>
    <w:p w14:paraId="0AD2884B" w14:textId="156487E9" w:rsidR="003D5D72" w:rsidRPr="00473050" w:rsidRDefault="003D5D72" w:rsidP="003D5D72">
      <w:pPr>
        <w:spacing w:after="240"/>
      </w:pPr>
      <w:r w:rsidRPr="00473050">
        <w:t>Des informations sur le budget spécifique par thème figurent dans le tableau ci-dessous.</w:t>
      </w:r>
    </w:p>
    <w:tbl>
      <w:tblPr>
        <w:tblW w:w="4032"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2044"/>
        <w:gridCol w:w="1988"/>
      </w:tblGrid>
      <w:tr w:rsidR="00F96E2C" w:rsidRPr="00473050" w14:paraId="2BC8F981" w14:textId="77777777" w:rsidTr="0062273B">
        <w:trPr>
          <w:trHeight w:val="416"/>
          <w:jc w:val="center"/>
        </w:trPr>
        <w:tc>
          <w:tcPr>
            <w:tcW w:w="2044" w:type="dxa"/>
            <w:tcBorders>
              <w:top w:val="single" w:sz="12" w:space="0" w:color="BFBFBF"/>
              <w:left w:val="single" w:sz="12" w:space="0" w:color="BFBFBF"/>
              <w:bottom w:val="single" w:sz="12" w:space="0" w:color="BFBFBF"/>
              <w:right w:val="single" w:sz="12" w:space="0" w:color="BFBFBF"/>
            </w:tcBorders>
            <w:shd w:val="clear" w:color="auto" w:fill="F2F2F2"/>
            <w:hideMark/>
          </w:tcPr>
          <w:p w14:paraId="68ADA62B" w14:textId="77777777" w:rsidR="00F96E2C" w:rsidRPr="00473050" w:rsidRDefault="00F96E2C">
            <w:pPr>
              <w:spacing w:before="120" w:after="120"/>
              <w:jc w:val="left"/>
              <w:rPr>
                <w:rFonts w:cs="Arial"/>
                <w:b/>
                <w:color w:val="595959"/>
                <w:sz w:val="16"/>
                <w:szCs w:val="16"/>
                <w:highlight w:val="lightGray"/>
              </w:rPr>
            </w:pPr>
            <w:r w:rsidRPr="00473050">
              <w:rPr>
                <w:b/>
                <w:color w:val="595959"/>
                <w:sz w:val="16"/>
                <w:szCs w:val="16"/>
                <w:highlight w:val="lightGray"/>
              </w:rPr>
              <w:t>Thème</w:t>
            </w:r>
          </w:p>
        </w:tc>
        <w:tc>
          <w:tcPr>
            <w:tcW w:w="1988" w:type="dxa"/>
            <w:tcBorders>
              <w:top w:val="single" w:sz="12" w:space="0" w:color="BFBFBF"/>
              <w:left w:val="single" w:sz="12" w:space="0" w:color="BFBFBF"/>
              <w:bottom w:val="single" w:sz="12" w:space="0" w:color="BFBFBF"/>
              <w:right w:val="single" w:sz="12" w:space="0" w:color="BFBFBF"/>
            </w:tcBorders>
            <w:shd w:val="clear" w:color="auto" w:fill="F2F2F2"/>
            <w:hideMark/>
          </w:tcPr>
          <w:p w14:paraId="68CC9EDA" w14:textId="77777777" w:rsidR="00F96E2C" w:rsidRPr="00473050" w:rsidRDefault="00F96E2C">
            <w:pPr>
              <w:spacing w:before="120" w:after="120"/>
              <w:jc w:val="center"/>
              <w:rPr>
                <w:rFonts w:cs="Arial"/>
                <w:b/>
                <w:color w:val="595959"/>
                <w:sz w:val="16"/>
                <w:szCs w:val="16"/>
                <w:highlight w:val="lightGray"/>
              </w:rPr>
            </w:pPr>
            <w:r w:rsidRPr="00473050">
              <w:rPr>
                <w:b/>
                <w:color w:val="595959"/>
                <w:sz w:val="16"/>
                <w:szCs w:val="16"/>
                <w:highlight w:val="lightGray"/>
              </w:rPr>
              <w:t>Budget du thème</w:t>
            </w:r>
          </w:p>
        </w:tc>
      </w:tr>
      <w:tr w:rsidR="00F96E2C" w:rsidRPr="00473050" w14:paraId="76597913" w14:textId="77777777" w:rsidTr="0062273B">
        <w:trPr>
          <w:trHeight w:val="677"/>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5818A49A" w14:textId="5F8ACD0B" w:rsidR="00F96E2C" w:rsidRPr="00473050" w:rsidRDefault="00732A4F" w:rsidP="00982C03">
            <w:pPr>
              <w:pStyle w:val="Default"/>
              <w:spacing w:before="120" w:after="120"/>
              <w:rPr>
                <w:rFonts w:ascii="Calibri" w:hAnsi="Calibri" w:cs="Calibri"/>
                <w:color w:val="595959"/>
                <w:sz w:val="18"/>
                <w:szCs w:val="18"/>
              </w:rPr>
            </w:pPr>
            <w:r w:rsidRPr="00473050">
              <w:rPr>
                <w:rFonts w:ascii="Calibri" w:hAnsi="Calibri"/>
                <w:color w:val="595959"/>
                <w:sz w:val="18"/>
                <w:szCs w:val="18"/>
              </w:rPr>
              <w:lastRenderedPageBreak/>
              <w:t>1 — Jumelage de villes</w:t>
            </w:r>
          </w:p>
        </w:tc>
        <w:tc>
          <w:tcPr>
            <w:tcW w:w="1988" w:type="dxa"/>
            <w:tcBorders>
              <w:top w:val="single" w:sz="12" w:space="0" w:color="BFBFBF"/>
              <w:left w:val="single" w:sz="12" w:space="0" w:color="BFBFBF"/>
              <w:bottom w:val="single" w:sz="12" w:space="0" w:color="BFBFBF"/>
              <w:right w:val="single" w:sz="12" w:space="0" w:color="BFBFBF"/>
            </w:tcBorders>
            <w:hideMark/>
          </w:tcPr>
          <w:p w14:paraId="446F8083" w14:textId="7AA8B48E" w:rsidR="00F96E2C" w:rsidRPr="00473050" w:rsidRDefault="00F96E2C" w:rsidP="00BF7239">
            <w:pPr>
              <w:tabs>
                <w:tab w:val="left" w:pos="2160"/>
              </w:tabs>
              <w:spacing w:before="120" w:after="120"/>
              <w:jc w:val="center"/>
              <w:rPr>
                <w:b/>
                <w:color w:val="595959"/>
                <w:sz w:val="16"/>
              </w:rPr>
            </w:pPr>
            <w:r w:rsidRPr="00473050">
              <w:rPr>
                <w:b/>
                <w:color w:val="595959"/>
                <w:sz w:val="16"/>
              </w:rPr>
              <w:t xml:space="preserve">4 500 000 EUR </w:t>
            </w:r>
          </w:p>
        </w:tc>
      </w:tr>
      <w:tr w:rsidR="00F96E2C" w:rsidRPr="00473050" w14:paraId="6BFB59AD" w14:textId="77777777" w:rsidTr="0062273B">
        <w:trPr>
          <w:trHeight w:val="586"/>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6186D585" w14:textId="6DBBF70D" w:rsidR="00F96E2C" w:rsidRPr="00473050" w:rsidRDefault="00732A4F" w:rsidP="00F86AB3">
            <w:pPr>
              <w:pStyle w:val="Default"/>
              <w:spacing w:before="120" w:after="120"/>
              <w:rPr>
                <w:rFonts w:ascii="Calibri" w:hAnsi="Calibri" w:cs="Calibri"/>
              </w:rPr>
            </w:pPr>
            <w:r w:rsidRPr="00473050">
              <w:rPr>
                <w:rFonts w:ascii="Calibri" w:hAnsi="Calibri"/>
                <w:color w:val="595959"/>
                <w:sz w:val="18"/>
                <w:szCs w:val="18"/>
              </w:rPr>
              <w:t>2— Réseaux de villes</w:t>
            </w:r>
          </w:p>
        </w:tc>
        <w:tc>
          <w:tcPr>
            <w:tcW w:w="1988" w:type="dxa"/>
            <w:tcBorders>
              <w:top w:val="single" w:sz="12" w:space="0" w:color="BFBFBF"/>
              <w:left w:val="single" w:sz="12" w:space="0" w:color="BFBFBF"/>
              <w:bottom w:val="single" w:sz="12" w:space="0" w:color="BFBFBF"/>
              <w:right w:val="single" w:sz="12" w:space="0" w:color="BFBFBF"/>
            </w:tcBorders>
            <w:hideMark/>
          </w:tcPr>
          <w:p w14:paraId="0CBA46D5" w14:textId="364B41A5" w:rsidR="00F96E2C" w:rsidRPr="00473050" w:rsidRDefault="00F96E2C" w:rsidP="00BF7239">
            <w:pPr>
              <w:tabs>
                <w:tab w:val="left" w:pos="2160"/>
              </w:tabs>
              <w:spacing w:before="120" w:after="120"/>
              <w:jc w:val="center"/>
              <w:rPr>
                <w:b/>
                <w:color w:val="595959"/>
                <w:sz w:val="16"/>
              </w:rPr>
            </w:pPr>
            <w:r w:rsidRPr="00473050">
              <w:rPr>
                <w:b/>
                <w:color w:val="595959"/>
                <w:sz w:val="16"/>
              </w:rPr>
              <w:t xml:space="preserve">6 500 000 EUR </w:t>
            </w:r>
          </w:p>
        </w:tc>
      </w:tr>
    </w:tbl>
    <w:p w14:paraId="24AC267A" w14:textId="77777777" w:rsidR="003D5D72" w:rsidRPr="00473050" w:rsidRDefault="003D5D72" w:rsidP="000579AF">
      <w:pPr>
        <w:spacing w:after="0"/>
      </w:pPr>
    </w:p>
    <w:p w14:paraId="5155AA30" w14:textId="193C0ACA" w:rsidR="008246AA" w:rsidRPr="00473050" w:rsidRDefault="005764E8" w:rsidP="000579AF">
      <w:pPr>
        <w:spacing w:after="0"/>
      </w:pPr>
      <w:r w:rsidRPr="00473050">
        <w:t xml:space="preserve">Nous nous réservons le droit de ne pas attribuer tous les fonds disponibles ou de les redistribuer entre les thèmes de l’appel, en fonction des propositions reçues et des résultats de l’évaluation. </w:t>
      </w:r>
    </w:p>
    <w:p w14:paraId="2F76B7EF" w14:textId="77777777" w:rsidR="00E17677" w:rsidRPr="002F268A" w:rsidRDefault="00E17677" w:rsidP="00623078">
      <w:pPr>
        <w:pStyle w:val="ListParagraph"/>
        <w:snapToGrid w:val="0"/>
        <w:rPr>
          <w:rFonts w:eastAsia="Verdana" w:cs="Verdana"/>
          <w:sz w:val="20"/>
          <w:szCs w:val="20"/>
          <w:lang w:val="fr-BE"/>
        </w:rPr>
      </w:pPr>
    </w:p>
    <w:p w14:paraId="443BB5FD" w14:textId="3369C3E2" w:rsidR="0081075D" w:rsidRPr="00473050" w:rsidRDefault="0081075D" w:rsidP="00623078">
      <w:pPr>
        <w:pStyle w:val="Heading1"/>
        <w:numPr>
          <w:ilvl w:val="0"/>
          <w:numId w:val="54"/>
        </w:numPr>
        <w:tabs>
          <w:tab w:val="left" w:pos="284"/>
        </w:tabs>
        <w:ind w:left="0" w:firstLine="0"/>
      </w:pPr>
      <w:bookmarkStart w:id="11" w:name="_Toc92977202"/>
      <w:r w:rsidRPr="00473050">
        <w:t>Calendrier et délais</w:t>
      </w:r>
      <w:bookmarkEnd w:id="11"/>
      <w:r w:rsidRPr="00473050">
        <w:t xml:space="preserve"> </w:t>
      </w:r>
    </w:p>
    <w:tbl>
      <w:tblPr>
        <w:tblW w:w="0" w:type="auto"/>
        <w:tblInd w:w="58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3631"/>
        <w:gridCol w:w="3402"/>
      </w:tblGrid>
      <w:tr w:rsidR="0081075D" w:rsidRPr="00473050" w14:paraId="2551C42E" w14:textId="77777777" w:rsidTr="0081075D">
        <w:tc>
          <w:tcPr>
            <w:tcW w:w="7033" w:type="dxa"/>
            <w:gridSpan w:val="2"/>
            <w:shd w:val="clear" w:color="auto" w:fill="F2F2F2"/>
          </w:tcPr>
          <w:p w14:paraId="35F223BC" w14:textId="77777777" w:rsidR="0081075D" w:rsidRPr="00473050" w:rsidRDefault="0081075D" w:rsidP="008138D1">
            <w:pPr>
              <w:spacing w:before="120" w:after="120"/>
              <w:jc w:val="left"/>
              <w:rPr>
                <w:rFonts w:cs="Arial"/>
                <w:b/>
                <w:color w:val="595959"/>
                <w:sz w:val="16"/>
                <w:szCs w:val="16"/>
              </w:rPr>
            </w:pPr>
            <w:r w:rsidRPr="00473050">
              <w:rPr>
                <w:b/>
                <w:color w:val="595959"/>
                <w:sz w:val="16"/>
                <w:szCs w:val="16"/>
              </w:rPr>
              <w:t>Calendrier et délais (indicatifs)</w:t>
            </w:r>
          </w:p>
        </w:tc>
      </w:tr>
      <w:tr w:rsidR="00D51B6C" w:rsidRPr="00473050" w14:paraId="2A67B858" w14:textId="77777777" w:rsidTr="0081075D">
        <w:tc>
          <w:tcPr>
            <w:tcW w:w="3631" w:type="dxa"/>
            <w:shd w:val="clear" w:color="auto" w:fill="F2F2F2"/>
          </w:tcPr>
          <w:p w14:paraId="4CDFED3B" w14:textId="77777777" w:rsidR="00D51B6C" w:rsidRPr="00473050" w:rsidRDefault="00D51B6C" w:rsidP="00D51B6C">
            <w:pPr>
              <w:spacing w:before="120" w:after="120"/>
              <w:jc w:val="left"/>
              <w:rPr>
                <w:rFonts w:cs="Arial"/>
                <w:color w:val="595959"/>
                <w:sz w:val="16"/>
                <w:szCs w:val="16"/>
              </w:rPr>
            </w:pPr>
            <w:r w:rsidRPr="00473050">
              <w:rPr>
                <w:color w:val="595959"/>
                <w:sz w:val="16"/>
                <w:szCs w:val="16"/>
              </w:rPr>
              <w:t>Ouverture de l’appel:</w:t>
            </w:r>
          </w:p>
        </w:tc>
        <w:tc>
          <w:tcPr>
            <w:tcW w:w="3402" w:type="dxa"/>
            <w:shd w:val="clear" w:color="auto" w:fill="auto"/>
          </w:tcPr>
          <w:p w14:paraId="459CC614" w14:textId="1A965A82" w:rsidR="00D51B6C" w:rsidRPr="00473050" w:rsidRDefault="00FB7748" w:rsidP="00D51B6C">
            <w:pPr>
              <w:spacing w:before="120" w:after="120"/>
              <w:jc w:val="center"/>
              <w:rPr>
                <w:rFonts w:cs="Arial"/>
                <w:color w:val="595959"/>
                <w:sz w:val="16"/>
                <w:szCs w:val="16"/>
              </w:rPr>
            </w:pPr>
            <w:r w:rsidRPr="00473050">
              <w:rPr>
                <w:color w:val="595959"/>
                <w:sz w:val="16"/>
                <w:szCs w:val="16"/>
              </w:rPr>
              <w:t>16 novembre 2021</w:t>
            </w:r>
          </w:p>
        </w:tc>
      </w:tr>
      <w:tr w:rsidR="00D51B6C" w:rsidRPr="00473050" w14:paraId="13487F30" w14:textId="77777777" w:rsidTr="0081075D">
        <w:tc>
          <w:tcPr>
            <w:tcW w:w="3631" w:type="dxa"/>
            <w:shd w:val="clear" w:color="auto" w:fill="F2F2F2"/>
          </w:tcPr>
          <w:p w14:paraId="6817E1F5" w14:textId="77777777" w:rsidR="00D51B6C" w:rsidRPr="00473050" w:rsidRDefault="00D51B6C" w:rsidP="00D51B6C">
            <w:pPr>
              <w:spacing w:before="120" w:after="120"/>
              <w:jc w:val="left"/>
              <w:rPr>
                <w:rFonts w:cs="Arial"/>
                <w:color w:val="595959"/>
                <w:sz w:val="16"/>
                <w:szCs w:val="16"/>
                <w:u w:val="single"/>
              </w:rPr>
            </w:pPr>
            <w:r w:rsidRPr="00473050">
              <w:rPr>
                <w:color w:val="595959"/>
                <w:sz w:val="16"/>
                <w:szCs w:val="16"/>
                <w:u w:val="single"/>
              </w:rPr>
              <w:t>Date limite de dépôt des candidatures:</w:t>
            </w:r>
          </w:p>
        </w:tc>
        <w:tc>
          <w:tcPr>
            <w:tcW w:w="3402" w:type="dxa"/>
            <w:shd w:val="clear" w:color="auto" w:fill="auto"/>
          </w:tcPr>
          <w:p w14:paraId="7744539C" w14:textId="65D0B910" w:rsidR="00D51B6C" w:rsidRPr="00473050" w:rsidRDefault="00FB7748" w:rsidP="00D51B6C">
            <w:pPr>
              <w:spacing w:before="120" w:after="120"/>
              <w:jc w:val="center"/>
              <w:rPr>
                <w:rFonts w:cs="Arial"/>
                <w:color w:val="595959"/>
                <w:sz w:val="16"/>
                <w:szCs w:val="16"/>
                <w:u w:val="single"/>
              </w:rPr>
            </w:pPr>
            <w:r w:rsidRPr="00473050">
              <w:rPr>
                <w:color w:val="595959"/>
                <w:sz w:val="16"/>
                <w:szCs w:val="16"/>
                <w:u w:val="single"/>
              </w:rPr>
              <w:t>24 mars 2022 – 17 h 00 CET (Bruxelles)</w:t>
            </w:r>
          </w:p>
        </w:tc>
      </w:tr>
      <w:tr w:rsidR="00D51B6C" w:rsidRPr="00473050" w14:paraId="4E10F558" w14:textId="77777777" w:rsidTr="0081075D">
        <w:tc>
          <w:tcPr>
            <w:tcW w:w="3631" w:type="dxa"/>
            <w:shd w:val="clear" w:color="auto" w:fill="F2F2F2"/>
          </w:tcPr>
          <w:p w14:paraId="5F43FD1F" w14:textId="77777777" w:rsidR="00D51B6C" w:rsidRPr="00473050" w:rsidRDefault="00D51B6C" w:rsidP="00D51B6C">
            <w:pPr>
              <w:spacing w:before="120" w:after="120"/>
              <w:jc w:val="left"/>
              <w:rPr>
                <w:rFonts w:cs="Arial"/>
                <w:color w:val="595959"/>
                <w:sz w:val="16"/>
                <w:szCs w:val="16"/>
              </w:rPr>
            </w:pPr>
            <w:r w:rsidRPr="00473050">
              <w:rPr>
                <w:color w:val="595959"/>
                <w:sz w:val="16"/>
                <w:szCs w:val="16"/>
              </w:rPr>
              <w:t>Évaluation:</w:t>
            </w:r>
          </w:p>
        </w:tc>
        <w:tc>
          <w:tcPr>
            <w:tcW w:w="3402" w:type="dxa"/>
            <w:shd w:val="clear" w:color="auto" w:fill="auto"/>
          </w:tcPr>
          <w:p w14:paraId="4E52804D" w14:textId="53BEE602" w:rsidR="00D51B6C" w:rsidRPr="00473050" w:rsidRDefault="006F58BD" w:rsidP="00D51B6C">
            <w:pPr>
              <w:spacing w:before="120" w:after="120"/>
              <w:jc w:val="center"/>
              <w:rPr>
                <w:rFonts w:cs="Arial"/>
                <w:color w:val="595959"/>
                <w:sz w:val="16"/>
                <w:szCs w:val="16"/>
              </w:rPr>
            </w:pPr>
            <w:r w:rsidRPr="00473050">
              <w:rPr>
                <w:color w:val="595959"/>
                <w:sz w:val="16"/>
                <w:szCs w:val="16"/>
              </w:rPr>
              <w:t>mars - juin 2022</w:t>
            </w:r>
          </w:p>
        </w:tc>
      </w:tr>
      <w:tr w:rsidR="00D51B6C" w:rsidRPr="00473050" w14:paraId="16AD7E30" w14:textId="77777777" w:rsidTr="0081075D">
        <w:tc>
          <w:tcPr>
            <w:tcW w:w="3631" w:type="dxa"/>
            <w:shd w:val="clear" w:color="auto" w:fill="F2F2F2"/>
          </w:tcPr>
          <w:p w14:paraId="7BA115F8" w14:textId="77777777" w:rsidR="00D51B6C" w:rsidRPr="00473050" w:rsidRDefault="00D51B6C" w:rsidP="00D51B6C">
            <w:pPr>
              <w:spacing w:before="120" w:after="120"/>
              <w:jc w:val="left"/>
              <w:rPr>
                <w:rFonts w:cs="Arial"/>
                <w:color w:val="595959"/>
                <w:sz w:val="16"/>
                <w:szCs w:val="16"/>
              </w:rPr>
            </w:pPr>
            <w:r w:rsidRPr="00473050">
              <w:rPr>
                <w:color w:val="595959"/>
                <w:sz w:val="16"/>
                <w:szCs w:val="16"/>
              </w:rPr>
              <w:t>Informations sur les résultats de l’évaluation:</w:t>
            </w:r>
          </w:p>
        </w:tc>
        <w:tc>
          <w:tcPr>
            <w:tcW w:w="3402" w:type="dxa"/>
            <w:shd w:val="clear" w:color="auto" w:fill="auto"/>
          </w:tcPr>
          <w:p w14:paraId="6DD4C599" w14:textId="302F0E77" w:rsidR="00D51B6C" w:rsidRPr="00473050" w:rsidRDefault="00FB7748" w:rsidP="00D51B6C">
            <w:pPr>
              <w:spacing w:before="120" w:after="120"/>
              <w:jc w:val="center"/>
              <w:rPr>
                <w:rFonts w:cs="Arial"/>
                <w:color w:val="595959"/>
                <w:sz w:val="16"/>
                <w:szCs w:val="16"/>
              </w:rPr>
            </w:pPr>
            <w:r w:rsidRPr="00473050">
              <w:rPr>
                <w:color w:val="595959"/>
                <w:sz w:val="16"/>
                <w:szCs w:val="16"/>
              </w:rPr>
              <w:t>juin - juillet 2022</w:t>
            </w:r>
          </w:p>
        </w:tc>
      </w:tr>
      <w:tr w:rsidR="00D51B6C" w:rsidRPr="00473050" w14:paraId="122CA5CC" w14:textId="77777777" w:rsidTr="0081075D">
        <w:tc>
          <w:tcPr>
            <w:tcW w:w="3631" w:type="dxa"/>
            <w:shd w:val="clear" w:color="auto" w:fill="F2F2F2"/>
          </w:tcPr>
          <w:p w14:paraId="18CEB7CE" w14:textId="77777777" w:rsidR="00D51B6C" w:rsidRPr="00473050" w:rsidRDefault="00D51B6C" w:rsidP="00D51B6C">
            <w:pPr>
              <w:spacing w:before="120" w:after="120"/>
              <w:jc w:val="left"/>
              <w:rPr>
                <w:rFonts w:cs="Arial"/>
                <w:color w:val="595959"/>
                <w:sz w:val="16"/>
                <w:szCs w:val="16"/>
              </w:rPr>
            </w:pPr>
            <w:r w:rsidRPr="00473050">
              <w:rPr>
                <w:color w:val="595959"/>
                <w:sz w:val="16"/>
                <w:szCs w:val="16"/>
              </w:rPr>
              <w:t>Signature de la convention de subvention:</w:t>
            </w:r>
          </w:p>
        </w:tc>
        <w:tc>
          <w:tcPr>
            <w:tcW w:w="3402" w:type="dxa"/>
            <w:shd w:val="clear" w:color="auto" w:fill="auto"/>
          </w:tcPr>
          <w:p w14:paraId="4D6E0E6F" w14:textId="06911F90" w:rsidR="00D51B6C" w:rsidRPr="00473050" w:rsidRDefault="0086598B" w:rsidP="00D51B6C">
            <w:pPr>
              <w:spacing w:before="120" w:after="120"/>
              <w:jc w:val="center"/>
              <w:rPr>
                <w:rFonts w:cs="Arial"/>
                <w:color w:val="595959"/>
                <w:sz w:val="16"/>
                <w:szCs w:val="16"/>
              </w:rPr>
            </w:pPr>
            <w:r w:rsidRPr="00473050">
              <w:rPr>
                <w:color w:val="595959"/>
                <w:sz w:val="16"/>
                <w:szCs w:val="16"/>
              </w:rPr>
              <w:t>août - novembre 2022</w:t>
            </w:r>
          </w:p>
        </w:tc>
      </w:tr>
    </w:tbl>
    <w:p w14:paraId="55E1450C" w14:textId="77777777" w:rsidR="00C50DC1" w:rsidRPr="00473050" w:rsidRDefault="00C50DC1" w:rsidP="00A2572D">
      <w:pPr>
        <w:widowControl w:val="0"/>
        <w:jc w:val="left"/>
        <w:rPr>
          <w:color w:val="595959"/>
          <w:highlight w:val="yellow"/>
        </w:rPr>
      </w:pPr>
    </w:p>
    <w:p w14:paraId="0915A488" w14:textId="055C12B6" w:rsidR="00B57534" w:rsidRPr="00473050" w:rsidRDefault="00276AD7" w:rsidP="000579AF">
      <w:pPr>
        <w:pStyle w:val="Heading1"/>
        <w:numPr>
          <w:ilvl w:val="0"/>
          <w:numId w:val="54"/>
        </w:numPr>
        <w:tabs>
          <w:tab w:val="left" w:pos="284"/>
        </w:tabs>
        <w:ind w:left="0" w:firstLine="0"/>
      </w:pPr>
      <w:bookmarkStart w:id="12" w:name="_Toc92977203"/>
      <w:r w:rsidRPr="00473050">
        <w:t>Admissibilité et documents</w:t>
      </w:r>
      <w:bookmarkEnd w:id="12"/>
    </w:p>
    <w:p w14:paraId="1E55A5E3" w14:textId="4F37B5A9" w:rsidR="00C41E84" w:rsidRPr="00473050" w:rsidRDefault="000A7529" w:rsidP="00C41E84">
      <w:pPr>
        <w:pStyle w:val="Text1"/>
        <w:tabs>
          <w:tab w:val="clear" w:pos="2160"/>
        </w:tabs>
        <w:ind w:left="0"/>
        <w:rPr>
          <w:rFonts w:cs="Arial"/>
          <w:iCs/>
        </w:rPr>
      </w:pPr>
      <w:r w:rsidRPr="00473050">
        <w:t xml:space="preserve">Les propositions doivent être soumises avant la </w:t>
      </w:r>
      <w:r w:rsidRPr="00473050">
        <w:rPr>
          <w:b/>
          <w:bCs/>
        </w:rPr>
        <w:t>date de clôture de l’appel</w:t>
      </w:r>
      <w:r w:rsidRPr="00473050">
        <w:t xml:space="preserve"> </w:t>
      </w:r>
      <w:r w:rsidRPr="00473050">
        <w:rPr>
          <w:i/>
          <w:iCs/>
        </w:rPr>
        <w:t>(voir la section 4 Calendrier)</w:t>
      </w:r>
      <w:r w:rsidRPr="00473050">
        <w:t>.</w:t>
      </w:r>
    </w:p>
    <w:p w14:paraId="56C9BCF2" w14:textId="4FB9E7DD" w:rsidR="00C41E84" w:rsidRPr="00473050" w:rsidRDefault="000A7529" w:rsidP="00C41E84">
      <w:pPr>
        <w:rPr>
          <w:rFonts w:cs="Arial"/>
        </w:rPr>
      </w:pPr>
      <w:r w:rsidRPr="00473050">
        <w:t xml:space="preserve">Les propositions doivent être soumises </w:t>
      </w:r>
      <w:r w:rsidRPr="00473050">
        <w:rPr>
          <w:b/>
          <w:bCs/>
        </w:rPr>
        <w:t>par voie électronique</w:t>
      </w:r>
      <w:r w:rsidRPr="00473050">
        <w:t xml:space="preserve"> via le système de soumission électronique du portail «Funding &amp; Tenders» (accessible via la page thématique dans la section </w:t>
      </w:r>
      <w:hyperlink r:id="rId30" w:history="1">
        <w:r w:rsidRPr="00473050">
          <w:rPr>
            <w:rStyle w:val="Hyperlink"/>
          </w:rPr>
          <w:t>Search Funding &amp; Tenders</w:t>
        </w:r>
      </w:hyperlink>
      <w:r w:rsidRPr="00473050">
        <w:t>). Les soumissions en version papier ne sont PAS possibles.</w:t>
      </w:r>
    </w:p>
    <w:p w14:paraId="146274B2" w14:textId="31716E89" w:rsidR="004A47F3" w:rsidRPr="00473050" w:rsidRDefault="000A7529" w:rsidP="004A47F3">
      <w:pPr>
        <w:pStyle w:val="Text1"/>
        <w:tabs>
          <w:tab w:val="clear" w:pos="2160"/>
        </w:tabs>
        <w:ind w:left="0"/>
        <w:rPr>
          <w:rFonts w:cs="Arial"/>
          <w:iCs/>
        </w:rPr>
      </w:pPr>
      <w:r w:rsidRPr="00473050">
        <w:t xml:space="preserve">Les propositions (y compris les annexes et les pièces justificatives) doivent être soumises au moyen des formulaires fournis </w:t>
      </w:r>
      <w:r w:rsidRPr="00473050">
        <w:rPr>
          <w:i/>
          <w:iCs/>
        </w:rPr>
        <w:t>dans</w:t>
      </w:r>
      <w:r w:rsidRPr="00473050">
        <w:t xml:space="preserve"> le système de soumission (</w:t>
      </w:r>
      <w:r w:rsidRPr="00473050">
        <w:rPr>
          <w:noProof/>
          <w:lang w:val="en-IE" w:eastAsia="en-IE"/>
        </w:rPr>
        <w:drawing>
          <wp:inline distT="0" distB="0" distL="0" distR="0" wp14:anchorId="53E97A52" wp14:editId="1DC5343B">
            <wp:extent cx="187960" cy="187960"/>
            <wp:effectExtent l="0" t="0" r="0" b="0"/>
            <wp:docPr id="4" name="Picture 1418683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8683680"/>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473050">
        <w:t xml:space="preserve"> PAS les documents disponibles sur la page thématique — ils ne sont fournis qu’à titre d’information).</w:t>
      </w:r>
    </w:p>
    <w:p w14:paraId="2EA1C106" w14:textId="77777777" w:rsidR="00615B82" w:rsidRPr="00473050" w:rsidRDefault="00615B82" w:rsidP="00615B82">
      <w:pPr>
        <w:pStyle w:val="Body"/>
      </w:pPr>
      <w:r w:rsidRPr="00473050">
        <w:t xml:space="preserve">Les propositions doivent être </w:t>
      </w:r>
      <w:r w:rsidRPr="00473050">
        <w:rPr>
          <w:b/>
          <w:bCs/>
        </w:rPr>
        <w:t>complètes</w:t>
      </w:r>
      <w:r w:rsidRPr="00473050">
        <w:t xml:space="preserve"> et contenir toutes les informations demandées ainsi que les annexes et les pièces justificatives requises: </w:t>
      </w:r>
    </w:p>
    <w:p w14:paraId="0E76C2A6" w14:textId="77777777" w:rsidR="00615B82" w:rsidRPr="00473050" w:rsidRDefault="00615B82" w:rsidP="008B1F42">
      <w:pPr>
        <w:pStyle w:val="ListParagraph"/>
        <w:numPr>
          <w:ilvl w:val="0"/>
          <w:numId w:val="42"/>
        </w:numPr>
        <w:autoSpaceDE w:val="0"/>
        <w:autoSpaceDN w:val="0"/>
        <w:adjustRightInd w:val="0"/>
        <w:spacing w:after="200"/>
        <w:contextualSpacing w:val="0"/>
        <w:jc w:val="both"/>
        <w:rPr>
          <w:rFonts w:eastAsia="SimSun"/>
          <w:sz w:val="20"/>
          <w:szCs w:val="20"/>
        </w:rPr>
      </w:pPr>
      <w:r w:rsidRPr="00473050">
        <w:rPr>
          <w:sz w:val="20"/>
          <w:szCs w:val="20"/>
        </w:rPr>
        <w:t xml:space="preserve">la partie A du formulaire de candidature – contient des informations administratives sur les participants (futur coordinateur, bénéficiaires et entités affiliées) et le budget récapitulatif du projet </w:t>
      </w:r>
      <w:r w:rsidRPr="00473050">
        <w:rPr>
          <w:i/>
          <w:sz w:val="20"/>
          <w:szCs w:val="20"/>
        </w:rPr>
        <w:t>(à remplir directement en ligne)</w:t>
      </w:r>
      <w:r w:rsidRPr="00473050">
        <w:rPr>
          <w:sz w:val="20"/>
          <w:szCs w:val="20"/>
        </w:rPr>
        <w:t>;</w:t>
      </w:r>
    </w:p>
    <w:p w14:paraId="1DD9CE56" w14:textId="32209A5E" w:rsidR="00F255C8" w:rsidRPr="00473050" w:rsidRDefault="00F255C8" w:rsidP="008B1F42">
      <w:pPr>
        <w:pStyle w:val="ListParagraph"/>
        <w:numPr>
          <w:ilvl w:val="0"/>
          <w:numId w:val="42"/>
        </w:numPr>
        <w:autoSpaceDE w:val="0"/>
        <w:autoSpaceDN w:val="0"/>
        <w:adjustRightInd w:val="0"/>
        <w:spacing w:after="200"/>
        <w:contextualSpacing w:val="0"/>
        <w:jc w:val="both"/>
        <w:rPr>
          <w:rFonts w:eastAsia="SimSun"/>
          <w:sz w:val="20"/>
          <w:szCs w:val="20"/>
        </w:rPr>
      </w:pPr>
      <w:r w:rsidRPr="00473050">
        <w:rPr>
          <w:sz w:val="20"/>
          <w:szCs w:val="20"/>
        </w:rPr>
        <w:t>la partie B du formulaire de candidature – contient la description technique du projet (</w:t>
      </w:r>
      <w:r w:rsidRPr="00473050">
        <w:rPr>
          <w:i/>
          <w:sz w:val="20"/>
          <w:szCs w:val="20"/>
        </w:rPr>
        <w:t>à télécharger à partir du système de soumission du portail, complétée, puis assemblée et de nouveau téléchargée</w:t>
      </w:r>
      <w:r w:rsidRPr="00473050">
        <w:rPr>
          <w:sz w:val="20"/>
          <w:szCs w:val="20"/>
        </w:rPr>
        <w:t>);</w:t>
      </w:r>
    </w:p>
    <w:p w14:paraId="513E2D49" w14:textId="29EB43E2" w:rsidR="00615B82" w:rsidRPr="00473050" w:rsidRDefault="00615B82" w:rsidP="008B1F42">
      <w:pPr>
        <w:pStyle w:val="ListParagraph"/>
        <w:numPr>
          <w:ilvl w:val="0"/>
          <w:numId w:val="42"/>
        </w:numPr>
        <w:autoSpaceDE w:val="0"/>
        <w:autoSpaceDN w:val="0"/>
        <w:adjustRightInd w:val="0"/>
        <w:snapToGrid w:val="0"/>
        <w:spacing w:after="200"/>
        <w:ind w:left="714" w:hanging="357"/>
        <w:contextualSpacing w:val="0"/>
        <w:jc w:val="both"/>
        <w:rPr>
          <w:rFonts w:eastAsia="SimSun"/>
          <w:sz w:val="20"/>
          <w:szCs w:val="20"/>
        </w:rPr>
      </w:pPr>
      <w:r w:rsidRPr="00473050">
        <w:rPr>
          <w:sz w:val="20"/>
          <w:szCs w:val="20"/>
        </w:rPr>
        <w:t xml:space="preserve">la partie C </w:t>
      </w:r>
      <w:r w:rsidRPr="00473050">
        <w:rPr>
          <w:i/>
          <w:iCs/>
          <w:sz w:val="20"/>
          <w:szCs w:val="20"/>
        </w:rPr>
        <w:t>(à remplir directement en ligne)</w:t>
      </w:r>
      <w:r w:rsidRPr="00473050">
        <w:rPr>
          <w:sz w:val="20"/>
          <w:szCs w:val="20"/>
        </w:rPr>
        <w:t xml:space="preserve"> – contient des données supplémentaires sur le projet, y compris les indicateurs obligatoires;</w:t>
      </w:r>
    </w:p>
    <w:p w14:paraId="595C2D66" w14:textId="17D26FBA" w:rsidR="00615B82" w:rsidRPr="00473050" w:rsidRDefault="00615B82" w:rsidP="008B1F42">
      <w:pPr>
        <w:pStyle w:val="ListParagraph"/>
        <w:numPr>
          <w:ilvl w:val="0"/>
          <w:numId w:val="42"/>
        </w:numPr>
        <w:autoSpaceDE w:val="0"/>
        <w:autoSpaceDN w:val="0"/>
        <w:adjustRightInd w:val="0"/>
        <w:snapToGrid w:val="0"/>
        <w:spacing w:after="200"/>
        <w:contextualSpacing w:val="0"/>
        <w:jc w:val="both"/>
        <w:rPr>
          <w:sz w:val="20"/>
          <w:szCs w:val="20"/>
        </w:rPr>
      </w:pPr>
      <w:r w:rsidRPr="00473050">
        <w:rPr>
          <w:b/>
          <w:bCs/>
          <w:sz w:val="20"/>
          <w:szCs w:val="20"/>
        </w:rPr>
        <w:t>les annexes obligatoires et pièces justificatives</w:t>
      </w:r>
      <w:r w:rsidRPr="00473050">
        <w:rPr>
          <w:sz w:val="20"/>
          <w:szCs w:val="20"/>
        </w:rPr>
        <w:t xml:space="preserve"> </w:t>
      </w:r>
      <w:r w:rsidRPr="00473050">
        <w:rPr>
          <w:i/>
          <w:sz w:val="20"/>
          <w:szCs w:val="20"/>
        </w:rPr>
        <w:t>(à télécharger)</w:t>
      </w:r>
      <w:r w:rsidRPr="00473050">
        <w:rPr>
          <w:sz w:val="20"/>
          <w:szCs w:val="20"/>
        </w:rPr>
        <w:t>:</w:t>
      </w:r>
    </w:p>
    <w:p w14:paraId="6BC6A974" w14:textId="24D51A6E" w:rsidR="00615B82" w:rsidRPr="00473050" w:rsidRDefault="005E363C" w:rsidP="008B1F42">
      <w:pPr>
        <w:pStyle w:val="Default"/>
        <w:numPr>
          <w:ilvl w:val="1"/>
          <w:numId w:val="42"/>
        </w:numPr>
        <w:spacing w:after="120"/>
        <w:jc w:val="both"/>
        <w:rPr>
          <w:rFonts w:ascii="Verdana" w:hAnsi="Verdana" w:cs="Arial"/>
          <w:i/>
          <w:color w:val="auto"/>
          <w:sz w:val="20"/>
          <w:szCs w:val="20"/>
        </w:rPr>
      </w:pPr>
      <w:r w:rsidRPr="00473050">
        <w:rPr>
          <w:rFonts w:ascii="Verdana" w:hAnsi="Verdana"/>
          <w:sz w:val="20"/>
          <w:szCs w:val="20"/>
        </w:rPr>
        <w:lastRenderedPageBreak/>
        <w:t xml:space="preserve">tableau budgétaire détaillé: </w:t>
      </w:r>
      <w:r w:rsidRPr="00473050">
        <w:rPr>
          <w:rFonts w:ascii="Verdana" w:hAnsi="Verdana"/>
          <w:i/>
          <w:iCs/>
          <w:sz w:val="20"/>
          <w:szCs w:val="20"/>
        </w:rPr>
        <w:t>sans objet</w:t>
      </w:r>
      <w:r w:rsidRPr="00473050">
        <w:rPr>
          <w:rFonts w:ascii="Verdana" w:hAnsi="Verdana"/>
          <w:sz w:val="20"/>
          <w:szCs w:val="20"/>
        </w:rPr>
        <w:t>;</w:t>
      </w:r>
    </w:p>
    <w:p w14:paraId="0BB50662" w14:textId="4785DDDB" w:rsidR="00615B82" w:rsidRPr="00473050" w:rsidRDefault="00615B82" w:rsidP="008B1F42">
      <w:pPr>
        <w:pStyle w:val="Default"/>
        <w:numPr>
          <w:ilvl w:val="1"/>
          <w:numId w:val="42"/>
        </w:numPr>
        <w:spacing w:after="120"/>
        <w:jc w:val="both"/>
        <w:rPr>
          <w:rFonts w:ascii="Verdana" w:hAnsi="Verdana" w:cs="Arial"/>
          <w:color w:val="auto"/>
          <w:sz w:val="20"/>
          <w:szCs w:val="20"/>
        </w:rPr>
      </w:pPr>
      <w:r w:rsidRPr="00473050">
        <w:rPr>
          <w:rFonts w:ascii="Verdana" w:hAnsi="Verdana"/>
          <w:color w:val="auto"/>
          <w:sz w:val="20"/>
          <w:szCs w:val="20"/>
        </w:rPr>
        <w:t xml:space="preserve">CV de l’équipe de base du projet: </w:t>
      </w:r>
      <w:r w:rsidRPr="00473050">
        <w:rPr>
          <w:rFonts w:ascii="Verdana" w:hAnsi="Verdana"/>
          <w:i/>
          <w:iCs/>
          <w:color w:val="auto"/>
          <w:sz w:val="20"/>
          <w:szCs w:val="20"/>
        </w:rPr>
        <w:t>sans objet</w:t>
      </w:r>
      <w:r w:rsidRPr="00473050">
        <w:rPr>
          <w:rFonts w:ascii="Verdana" w:hAnsi="Verdana"/>
          <w:color w:val="auto"/>
          <w:sz w:val="20"/>
          <w:szCs w:val="20"/>
        </w:rPr>
        <w:t>;</w:t>
      </w:r>
    </w:p>
    <w:p w14:paraId="0DB52E74" w14:textId="77777777" w:rsidR="0062273B" w:rsidRPr="00473050" w:rsidRDefault="009F0186" w:rsidP="000579AF">
      <w:pPr>
        <w:pStyle w:val="Default"/>
        <w:numPr>
          <w:ilvl w:val="1"/>
          <w:numId w:val="42"/>
        </w:numPr>
        <w:spacing w:after="120"/>
        <w:jc w:val="both"/>
        <w:rPr>
          <w:rFonts w:ascii="Verdana" w:hAnsi="Verdana" w:cs="Arial"/>
          <w:color w:val="auto"/>
          <w:sz w:val="20"/>
          <w:szCs w:val="20"/>
        </w:rPr>
      </w:pPr>
      <w:r w:rsidRPr="00473050">
        <w:rPr>
          <w:rFonts w:ascii="Verdana" w:hAnsi="Verdana"/>
          <w:color w:val="auto"/>
          <w:sz w:val="20"/>
          <w:szCs w:val="20"/>
        </w:rPr>
        <w:t xml:space="preserve">rapports d’activité de l’année écoulée: </w:t>
      </w:r>
      <w:r w:rsidRPr="00473050">
        <w:rPr>
          <w:rFonts w:ascii="Verdana" w:hAnsi="Verdana"/>
          <w:i/>
          <w:iCs/>
          <w:color w:val="auto"/>
          <w:sz w:val="20"/>
          <w:szCs w:val="20"/>
        </w:rPr>
        <w:t>sans objet</w:t>
      </w:r>
      <w:r w:rsidRPr="00473050">
        <w:rPr>
          <w:rFonts w:ascii="Verdana" w:hAnsi="Verdana"/>
          <w:color w:val="auto"/>
          <w:sz w:val="20"/>
          <w:szCs w:val="20"/>
        </w:rPr>
        <w:t>;</w:t>
      </w:r>
    </w:p>
    <w:p w14:paraId="14276D93" w14:textId="5EFB3A3D" w:rsidR="0046713C" w:rsidRPr="00473050" w:rsidRDefault="0046713C" w:rsidP="000579AF">
      <w:pPr>
        <w:pStyle w:val="Default"/>
        <w:numPr>
          <w:ilvl w:val="1"/>
          <w:numId w:val="42"/>
        </w:numPr>
        <w:spacing w:after="120"/>
        <w:jc w:val="both"/>
        <w:rPr>
          <w:rFonts w:ascii="Verdana" w:hAnsi="Verdana" w:cs="Arial"/>
          <w:color w:val="auto"/>
          <w:sz w:val="20"/>
          <w:szCs w:val="20"/>
        </w:rPr>
      </w:pPr>
      <w:r w:rsidRPr="00473050">
        <w:rPr>
          <w:rFonts w:ascii="Verdana" w:hAnsi="Verdana"/>
          <w:color w:val="auto"/>
          <w:sz w:val="20"/>
          <w:szCs w:val="20"/>
        </w:rPr>
        <w:t xml:space="preserve">liste des projets antérieurs (projets clés des 4 dernières années) </w:t>
      </w:r>
      <w:r w:rsidRPr="00473050">
        <w:rPr>
          <w:rFonts w:ascii="Verdana" w:hAnsi="Verdana"/>
          <w:i/>
          <w:color w:val="auto"/>
          <w:sz w:val="20"/>
          <w:szCs w:val="20"/>
        </w:rPr>
        <w:t>(modèle disponible dans la partie B)</w:t>
      </w:r>
      <w:r w:rsidRPr="00473050">
        <w:rPr>
          <w:rFonts w:ascii="Verdana" w:hAnsi="Verdana"/>
          <w:color w:val="auto"/>
          <w:sz w:val="20"/>
          <w:szCs w:val="20"/>
        </w:rPr>
        <w:t>;</w:t>
      </w:r>
    </w:p>
    <w:p w14:paraId="38848BCB" w14:textId="2A00E154" w:rsidR="00BF64FB" w:rsidRPr="00473050" w:rsidRDefault="00BF64FB" w:rsidP="008B1F42">
      <w:pPr>
        <w:pStyle w:val="ListParagraph"/>
        <w:numPr>
          <w:ilvl w:val="1"/>
          <w:numId w:val="42"/>
        </w:numPr>
        <w:spacing w:after="200"/>
        <w:jc w:val="both"/>
        <w:rPr>
          <w:sz w:val="20"/>
          <w:szCs w:val="20"/>
        </w:rPr>
      </w:pPr>
      <w:r w:rsidRPr="00473050">
        <w:rPr>
          <w:sz w:val="20"/>
          <w:szCs w:val="20"/>
        </w:rPr>
        <w:t xml:space="preserve">pour les participants qui exercent des activités impliquant des enfants: leur politique de protection infantile couvrant les quatre domaines décrits dans les </w:t>
      </w:r>
      <w:hyperlink r:id="rId32" w:history="1">
        <w:r w:rsidRPr="00473050">
          <w:rPr>
            <w:rStyle w:val="Hyperlink"/>
            <w:sz w:val="20"/>
            <w:szCs w:val="20"/>
          </w:rPr>
          <w:t>normes de protection infantile de Keeping Children Safe</w:t>
        </w:r>
      </w:hyperlink>
      <w:r w:rsidRPr="00473050">
        <w:t>;</w:t>
      </w:r>
    </w:p>
    <w:p w14:paraId="296D7873" w14:textId="6CB2F708" w:rsidR="00C51A9B" w:rsidRPr="00473050" w:rsidRDefault="00C51A9B" w:rsidP="008B1F42">
      <w:pPr>
        <w:pStyle w:val="Default"/>
        <w:numPr>
          <w:ilvl w:val="1"/>
          <w:numId w:val="42"/>
        </w:numPr>
        <w:spacing w:after="200"/>
        <w:rPr>
          <w:rFonts w:ascii="Verdana" w:hAnsi="Verdana" w:cs="Arial"/>
          <w:color w:val="auto"/>
          <w:sz w:val="20"/>
          <w:szCs w:val="20"/>
        </w:rPr>
      </w:pPr>
      <w:r w:rsidRPr="00473050">
        <w:rPr>
          <w:rFonts w:ascii="Verdana" w:hAnsi="Verdana"/>
          <w:color w:val="auto"/>
          <w:sz w:val="20"/>
          <w:szCs w:val="20"/>
        </w:rPr>
        <w:t>calculateur de montant forfaitaire;</w:t>
      </w:r>
    </w:p>
    <w:p w14:paraId="45541BAB" w14:textId="711029D4" w:rsidR="00615B82" w:rsidRPr="00473050" w:rsidRDefault="00683BCF" w:rsidP="00683BCF">
      <w:pPr>
        <w:pStyle w:val="Default"/>
        <w:numPr>
          <w:ilvl w:val="1"/>
          <w:numId w:val="51"/>
        </w:numPr>
        <w:spacing w:after="200"/>
        <w:jc w:val="both"/>
        <w:rPr>
          <w:rFonts w:ascii="Verdana" w:eastAsia="Calibri" w:hAnsi="Verdana" w:cs="Calibri"/>
          <w:color w:val="auto"/>
          <w:sz w:val="20"/>
          <w:szCs w:val="20"/>
        </w:rPr>
      </w:pPr>
      <w:r w:rsidRPr="00473050">
        <w:rPr>
          <w:rFonts w:ascii="Verdana" w:hAnsi="Verdana"/>
          <w:color w:val="auto"/>
          <w:sz w:val="20"/>
          <w:szCs w:val="20"/>
        </w:rPr>
        <w:t>une lettre de soutien signée par la municipalité (applicable aux candidats et aux partenaires de la catégorie «Organisation à but non lucratif représentant les autorités locales»).</w:t>
      </w:r>
    </w:p>
    <w:p w14:paraId="2F01E376" w14:textId="2EF943E2" w:rsidR="00510B7E" w:rsidRPr="00473050" w:rsidRDefault="00510B7E" w:rsidP="00831954">
      <w:pPr>
        <w:spacing w:after="120"/>
        <w:rPr>
          <w:rFonts w:cs="Arial"/>
        </w:rPr>
      </w:pPr>
      <w:r w:rsidRPr="00473050">
        <w:t xml:space="preserve">Lors de la soumission d’une proposition, vous devrez confirmer que vous disposez du </w:t>
      </w:r>
      <w:r w:rsidRPr="00473050">
        <w:rPr>
          <w:b/>
          <w:bCs/>
        </w:rPr>
        <w:t>mandat pour agir</w:t>
      </w:r>
      <w:r w:rsidRPr="00473050">
        <w:t xml:space="preserve"> pour tous les candidats. En outre, vous devrez confirmer que les informations contenues dans la candidature sont exactes et complètes et que les participants satisfont aux conditions requises pour bénéficier d’un financement de l’UE (en particulier, l’éligibilité, la capacité financière et opérationnelle, l’exclusion, etc.). Avant de signer la convention de subvention, chaque bénéficiaire et entité affiliée devra le confirmer de nouveau en signant une déclaration sur l’honneur. Les propositions qui ne bénéficient pas d’un soutien total seront rejetées.</w:t>
      </w:r>
    </w:p>
    <w:p w14:paraId="767FE960" w14:textId="3E689F5D" w:rsidR="00C41E84" w:rsidRPr="00473050" w:rsidRDefault="00D37706" w:rsidP="00C41E84">
      <w:pPr>
        <w:pStyle w:val="Text1"/>
        <w:tabs>
          <w:tab w:val="clear" w:pos="2160"/>
        </w:tabs>
        <w:ind w:left="0"/>
        <w:rPr>
          <w:rFonts w:cs="Arial"/>
          <w:iCs/>
        </w:rPr>
      </w:pPr>
      <w:r w:rsidRPr="00473050">
        <w:t xml:space="preserve">Votre candidature doit être </w:t>
      </w:r>
      <w:r w:rsidRPr="00473050">
        <w:rPr>
          <w:b/>
          <w:iCs/>
        </w:rPr>
        <w:t>lisible, accessible et imprimable.</w:t>
      </w:r>
    </w:p>
    <w:p w14:paraId="7BB5113A" w14:textId="29ADC151" w:rsidR="00D37706" w:rsidRPr="00473050" w:rsidRDefault="00D37706" w:rsidP="42BB08A3">
      <w:pPr>
        <w:pStyle w:val="Text1"/>
        <w:tabs>
          <w:tab w:val="clear" w:pos="2160"/>
        </w:tabs>
        <w:ind w:left="0"/>
        <w:rPr>
          <w:rFonts w:cs="Arial"/>
        </w:rPr>
      </w:pPr>
      <w:r w:rsidRPr="00473050">
        <w:t xml:space="preserve">Les propositions sont limitées à </w:t>
      </w:r>
      <w:r w:rsidRPr="00473050">
        <w:rPr>
          <w:b/>
        </w:rPr>
        <w:t>40 pages pour le thème Jumelage de villes</w:t>
      </w:r>
      <w:r w:rsidRPr="00473050">
        <w:t xml:space="preserve"> (partie B) et à </w:t>
      </w:r>
      <w:r w:rsidRPr="00473050">
        <w:rPr>
          <w:b/>
          <w:bCs/>
        </w:rPr>
        <w:t>70 pages pour le thème Réseaux de villes</w:t>
      </w:r>
      <w:r w:rsidRPr="00473050">
        <w:t xml:space="preserve"> (partie B). Les évaluateurs ne prendront pas en considération les pages supplémentaires.</w:t>
      </w:r>
    </w:p>
    <w:p w14:paraId="709B3081" w14:textId="77777777" w:rsidR="00510B7E" w:rsidRPr="00473050" w:rsidRDefault="00510B7E" w:rsidP="00510B7E">
      <w:r w:rsidRPr="00473050">
        <w:t>D’autres documents pourront vous être demandés ultérieurement (</w:t>
      </w:r>
      <w:r w:rsidRPr="00473050">
        <w:rPr>
          <w:i/>
        </w:rPr>
        <w:t>pour la validation de l’entité juridique, le contrôle de la capacité financière, la validation du compte bancaire, etc.</w:t>
      </w:r>
      <w:r w:rsidRPr="00473050">
        <w:t>).</w:t>
      </w:r>
    </w:p>
    <w:p w14:paraId="0CF762E6" w14:textId="7ED11766" w:rsidR="00510B7E" w:rsidRPr="00473050" w:rsidRDefault="005A3754" w:rsidP="00510B7E">
      <w:pPr>
        <w:rPr>
          <w:szCs w:val="21"/>
        </w:rPr>
      </w:pPr>
      <w:r w:rsidRPr="00473050">
        <w:rPr>
          <w:noProof/>
          <w:lang w:val="en-IE" w:eastAsia="en-IE"/>
        </w:rPr>
        <w:drawing>
          <wp:inline distT="0" distB="0" distL="0" distR="0" wp14:anchorId="3F067661" wp14:editId="12A41E51">
            <wp:extent cx="187960" cy="187960"/>
            <wp:effectExtent l="0" t="0" r="0" b="0"/>
            <wp:docPr id="5" name="Picture 787288596"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7288596" name="Picture 787288596" title="Title: Title: Title: https://lh5.googleusercontent.com/-n5VVWXljoCs/T8X1egaB-BI/AAAAAAAAC1I/fLBP4VIzxQM/s16/infoIcon_blue.png"/>
                    <pic:cNvPicPr/>
                  </pic:nvPicPr>
                  <pic:blipFill>
                    <a:blip r:embed="rId33">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473050">
        <w:t xml:space="preserve"> Pour plus d’informations sur le processus de soumission (y compris les aspects informatiques), veuillez consulter le </w:t>
      </w:r>
      <w:hyperlink r:id="rId34">
        <w:r w:rsidRPr="00473050">
          <w:rPr>
            <w:rStyle w:val="Hyperlink"/>
          </w:rPr>
          <w:t>manuel en ligne</w:t>
        </w:r>
      </w:hyperlink>
      <w:r w:rsidRPr="00473050">
        <w:rPr>
          <w:rStyle w:val="Hyperlink"/>
          <w:color w:val="auto"/>
          <w:u w:val="none"/>
        </w:rPr>
        <w:t>.</w:t>
      </w:r>
    </w:p>
    <w:p w14:paraId="0B8E5F40" w14:textId="0D29000C" w:rsidR="00B612F2" w:rsidRPr="00473050" w:rsidRDefault="00B612F2" w:rsidP="000579AF">
      <w:pPr>
        <w:pStyle w:val="Heading1"/>
        <w:numPr>
          <w:ilvl w:val="0"/>
          <w:numId w:val="54"/>
        </w:numPr>
        <w:tabs>
          <w:tab w:val="left" w:pos="284"/>
        </w:tabs>
        <w:ind w:left="0" w:firstLine="0"/>
      </w:pPr>
      <w:bookmarkStart w:id="13" w:name="_Toc92977204"/>
      <w:r w:rsidRPr="00473050">
        <w:t>Éligibilité</w:t>
      </w:r>
      <w:bookmarkEnd w:id="13"/>
      <w:r w:rsidRPr="00473050">
        <w:t xml:space="preserve"> </w:t>
      </w:r>
    </w:p>
    <w:p w14:paraId="4EF2E3B8" w14:textId="77777777" w:rsidR="00B57534" w:rsidRPr="00473050" w:rsidRDefault="00736C6F" w:rsidP="00FC6FD4">
      <w:pPr>
        <w:pStyle w:val="Heading3"/>
      </w:pPr>
      <w:bookmarkStart w:id="14" w:name="_Toc92977205"/>
      <w:r w:rsidRPr="00473050">
        <w:t>Participants éligibles (pays éligibles)</w:t>
      </w:r>
      <w:bookmarkEnd w:id="14"/>
    </w:p>
    <w:p w14:paraId="5716E987" w14:textId="39C30B39" w:rsidR="00D11251" w:rsidRPr="00473050" w:rsidRDefault="00D11251" w:rsidP="00D11251">
      <w:pPr>
        <w:pStyle w:val="Text1"/>
        <w:tabs>
          <w:tab w:val="clear" w:pos="2160"/>
        </w:tabs>
        <w:spacing w:after="120"/>
        <w:ind w:left="0"/>
        <w:rPr>
          <w:rFonts w:cs="Arial"/>
        </w:rPr>
      </w:pPr>
      <w:r w:rsidRPr="00473050">
        <w:t>Pour être éligibles, les candidats (bénéficiaires et entités affiliées) doivent:</w:t>
      </w:r>
    </w:p>
    <w:p w14:paraId="2509B829" w14:textId="78B5B051" w:rsidR="00D11251" w:rsidRPr="00473050" w:rsidRDefault="00D9492C" w:rsidP="008B1F42">
      <w:pPr>
        <w:widowControl w:val="0"/>
        <w:numPr>
          <w:ilvl w:val="0"/>
          <w:numId w:val="36"/>
        </w:numPr>
        <w:spacing w:after="120"/>
        <w:ind w:left="709"/>
        <w:rPr>
          <w:rFonts w:cs="Arial"/>
        </w:rPr>
      </w:pPr>
      <w:r w:rsidRPr="00473050">
        <w:t xml:space="preserve">être des personnes morales (organismes publics ou privés); </w:t>
      </w:r>
    </w:p>
    <w:p w14:paraId="49FDD5D5" w14:textId="77777777" w:rsidR="00D11251" w:rsidRPr="00473050" w:rsidRDefault="00D11251" w:rsidP="008B1F42">
      <w:pPr>
        <w:widowControl w:val="0"/>
        <w:numPr>
          <w:ilvl w:val="0"/>
          <w:numId w:val="36"/>
        </w:numPr>
        <w:spacing w:after="120"/>
        <w:ind w:left="709"/>
        <w:jc w:val="left"/>
        <w:rPr>
          <w:rFonts w:cs="Arial"/>
        </w:rPr>
      </w:pPr>
      <w:r w:rsidRPr="00473050">
        <w:t xml:space="preserve">avoir leur siège dans l’un des pays éligibles, à savoir: </w:t>
      </w:r>
    </w:p>
    <w:p w14:paraId="0BDBB030" w14:textId="1328DBCC" w:rsidR="00D11251" w:rsidRPr="00473050" w:rsidRDefault="00D11251" w:rsidP="008B1F42">
      <w:pPr>
        <w:widowControl w:val="0"/>
        <w:numPr>
          <w:ilvl w:val="0"/>
          <w:numId w:val="37"/>
        </w:numPr>
        <w:spacing w:after="120"/>
        <w:ind w:left="1276"/>
        <w:jc w:val="left"/>
        <w:rPr>
          <w:rFonts w:cs="Arial"/>
        </w:rPr>
      </w:pPr>
      <w:r w:rsidRPr="00473050">
        <w:t>les États membres de l’UE [y compris les pays et territoires d’outre-mer (PTOM)];</w:t>
      </w:r>
    </w:p>
    <w:p w14:paraId="346FD509" w14:textId="0BF8D141" w:rsidR="00D11251" w:rsidRPr="00473050" w:rsidRDefault="00D11251" w:rsidP="008B1F42">
      <w:pPr>
        <w:widowControl w:val="0"/>
        <w:numPr>
          <w:ilvl w:val="0"/>
          <w:numId w:val="37"/>
        </w:numPr>
        <w:spacing w:after="120"/>
        <w:ind w:left="1276"/>
        <w:jc w:val="left"/>
        <w:rPr>
          <w:rFonts w:cs="Arial"/>
        </w:rPr>
      </w:pPr>
      <w:r w:rsidRPr="00473050">
        <w:t>les pays tiers:</w:t>
      </w:r>
    </w:p>
    <w:p w14:paraId="414C90BD" w14:textId="367B93A0" w:rsidR="004F0F5C" w:rsidRPr="00473050" w:rsidRDefault="004F0F5C" w:rsidP="008B1F42">
      <w:pPr>
        <w:pStyle w:val="Text1"/>
        <w:numPr>
          <w:ilvl w:val="0"/>
          <w:numId w:val="38"/>
        </w:numPr>
        <w:tabs>
          <w:tab w:val="clear" w:pos="2160"/>
        </w:tabs>
        <w:spacing w:after="120"/>
        <w:ind w:left="1701"/>
        <w:rPr>
          <w:rFonts w:cs="Arial"/>
        </w:rPr>
      </w:pPr>
      <w:r w:rsidRPr="00473050">
        <w:t>les pays associés au programme CERV ou les pays négociant actuellement des accords d’association et pour lesquels l’accord entre en vigueur avant la signature de la convention de subvention (</w:t>
      </w:r>
      <w:hyperlink r:id="rId35" w:history="1">
        <w:r w:rsidRPr="00473050">
          <w:rPr>
            <w:rStyle w:val="Hyperlink"/>
          </w:rPr>
          <w:t>liste des pays participants</w:t>
        </w:r>
      </w:hyperlink>
      <w:r w:rsidRPr="00473050">
        <w:t>);</w:t>
      </w:r>
    </w:p>
    <w:p w14:paraId="511297B8" w14:textId="3133FE23" w:rsidR="006F58BD" w:rsidRPr="00473050" w:rsidRDefault="00D11251" w:rsidP="008B1F42">
      <w:pPr>
        <w:widowControl w:val="0"/>
        <w:numPr>
          <w:ilvl w:val="0"/>
          <w:numId w:val="36"/>
        </w:numPr>
        <w:spacing w:after="120"/>
        <w:ind w:left="709" w:right="227" w:hanging="357"/>
        <w:jc w:val="left"/>
        <w:rPr>
          <w:rFonts w:cs="Arial"/>
        </w:rPr>
      </w:pPr>
      <w:r w:rsidRPr="00473050">
        <w:t>autres conditions d’éligibilité:</w:t>
      </w:r>
    </w:p>
    <w:p w14:paraId="3403588B" w14:textId="671BC073" w:rsidR="00E85E35" w:rsidRPr="00473050" w:rsidRDefault="00E85E35" w:rsidP="0062273B">
      <w:pPr>
        <w:widowControl w:val="0"/>
        <w:ind w:firstLine="720"/>
        <w:rPr>
          <w:b/>
          <w:bCs/>
        </w:rPr>
      </w:pPr>
      <w:r w:rsidRPr="00473050">
        <w:rPr>
          <w:b/>
          <w:color w:val="A50021"/>
        </w:rPr>
        <w:t>CERV-2022-CITIZENS-TOWN-TT – Jumelage de villes:</w:t>
      </w:r>
      <w:r w:rsidRPr="00473050">
        <w:rPr>
          <w:b/>
          <w:bCs/>
        </w:rPr>
        <w:t xml:space="preserve"> </w:t>
      </w:r>
    </w:p>
    <w:p w14:paraId="33CEAF57" w14:textId="6E0BD8D2" w:rsidR="007303E9" w:rsidRPr="00473050" w:rsidRDefault="000159B8" w:rsidP="00B41972">
      <w:pPr>
        <w:widowControl w:val="0"/>
        <w:numPr>
          <w:ilvl w:val="1"/>
          <w:numId w:val="36"/>
        </w:numPr>
        <w:spacing w:after="120"/>
        <w:ind w:left="1418" w:hanging="416"/>
        <w:jc w:val="left"/>
        <w:rPr>
          <w:rFonts w:cs="Arial"/>
        </w:rPr>
      </w:pPr>
      <w:r w:rsidRPr="00473050">
        <w:lastRenderedPageBreak/>
        <w:t>pour les candidats: être des organismes publics ou des organisations à but non lucratif: villes/municipalités et/ou autres niveaux d’autorités locales ou leurs comités de jumelage ou autres organisations à but non lucratif représentant les autorités locales;</w:t>
      </w:r>
    </w:p>
    <w:p w14:paraId="6386E76B" w14:textId="10829B1A" w:rsidR="000159B8" w:rsidRPr="00473050" w:rsidRDefault="000159B8" w:rsidP="00E85E35">
      <w:pPr>
        <w:widowControl w:val="0"/>
        <w:numPr>
          <w:ilvl w:val="1"/>
          <w:numId w:val="36"/>
        </w:numPr>
        <w:spacing w:after="120"/>
        <w:ind w:left="1418" w:hanging="416"/>
        <w:jc w:val="left"/>
        <w:rPr>
          <w:rFonts w:cs="Arial"/>
        </w:rPr>
      </w:pPr>
      <w:r w:rsidRPr="00473050">
        <w:t>le projet doit associer des municipalités d’au moins deux pays éligibles, dont au moins un est un État membre de l’UE;</w:t>
      </w:r>
    </w:p>
    <w:p w14:paraId="69F32FFD" w14:textId="5AE10145" w:rsidR="000159B8" w:rsidRPr="00473050" w:rsidRDefault="000159B8" w:rsidP="000159B8">
      <w:pPr>
        <w:widowControl w:val="0"/>
        <w:numPr>
          <w:ilvl w:val="1"/>
          <w:numId w:val="36"/>
        </w:numPr>
        <w:spacing w:after="120"/>
        <w:ind w:left="1418" w:hanging="416"/>
        <w:jc w:val="left"/>
        <w:rPr>
          <w:rFonts w:eastAsia="Verdana" w:cs="Verdana"/>
        </w:rPr>
      </w:pPr>
      <w:r w:rsidRPr="00473050">
        <w:t>les activités doivent se dérouler dans l’un des pays éligibles participant au projet;</w:t>
      </w:r>
    </w:p>
    <w:p w14:paraId="611776F1" w14:textId="5F534056" w:rsidR="00942BB9" w:rsidRPr="00473050" w:rsidRDefault="00942BB9" w:rsidP="000159B8">
      <w:pPr>
        <w:widowControl w:val="0"/>
        <w:numPr>
          <w:ilvl w:val="1"/>
          <w:numId w:val="36"/>
        </w:numPr>
        <w:spacing w:after="120"/>
        <w:ind w:left="1418" w:hanging="416"/>
        <w:jc w:val="left"/>
        <w:rPr>
          <w:rFonts w:eastAsia="Verdana" w:cs="Verdana"/>
        </w:rPr>
      </w:pPr>
      <w:r w:rsidRPr="00473050">
        <w:t>les événements de jumelage de villes doivent faire intervenir au moins 50 participants directs, dont au moins 25 «participants invités»</w:t>
      </w:r>
      <w:r w:rsidR="00CC2315" w:rsidRPr="00473050">
        <w:rPr>
          <w:rStyle w:val="FootnoteReference"/>
          <w:rFonts w:eastAsia="Verdana" w:cs="Verdana"/>
        </w:rPr>
        <w:footnoteReference w:id="12"/>
      </w:r>
      <w:r w:rsidRPr="00473050">
        <w:t xml:space="preserve">. </w:t>
      </w:r>
    </w:p>
    <w:p w14:paraId="7A8FF669" w14:textId="6A62825D" w:rsidR="00E85E35" w:rsidRPr="00473050" w:rsidRDefault="00E85E35" w:rsidP="0062273B">
      <w:pPr>
        <w:widowControl w:val="0"/>
        <w:ind w:firstLine="720"/>
        <w:rPr>
          <w:b/>
          <w:color w:val="A50021"/>
        </w:rPr>
      </w:pPr>
      <w:r w:rsidRPr="00473050">
        <w:rPr>
          <w:b/>
          <w:color w:val="A50021"/>
        </w:rPr>
        <w:t>CERV-2022-CITIZENS-TOWN-NT – Réseaux de villes</w:t>
      </w:r>
    </w:p>
    <w:p w14:paraId="7034CCF5" w14:textId="383FF38D" w:rsidR="000159B8" w:rsidRPr="00473050" w:rsidRDefault="000159B8" w:rsidP="000159B8">
      <w:pPr>
        <w:widowControl w:val="0"/>
        <w:numPr>
          <w:ilvl w:val="1"/>
          <w:numId w:val="36"/>
        </w:numPr>
        <w:spacing w:after="120"/>
        <w:ind w:left="1418" w:hanging="416"/>
        <w:jc w:val="left"/>
        <w:rPr>
          <w:rFonts w:cs="Arial"/>
        </w:rPr>
      </w:pPr>
      <w:r w:rsidRPr="00473050">
        <w:t>pour les candidats</w:t>
      </w:r>
      <w:r w:rsidRPr="00473050">
        <w:rPr>
          <w:rStyle w:val="FootnoteReference"/>
          <w:rFonts w:cs="Arial"/>
        </w:rPr>
        <w:footnoteReference w:id="13"/>
      </w:r>
      <w:r w:rsidRPr="00473050">
        <w:t xml:space="preserve"> et les partenaires: être des organismes publics ou des organisations à but non lucratif: villes/municipalités et/ou autres niveaux d’autorités locales ou leurs comités de jumelage ou autres organisations à but non lucratif représentant les autorités locales;</w:t>
      </w:r>
    </w:p>
    <w:p w14:paraId="07E9E7B6" w14:textId="4658A64A" w:rsidR="000159B8" w:rsidRPr="00473050" w:rsidRDefault="000159B8" w:rsidP="000159B8">
      <w:pPr>
        <w:widowControl w:val="0"/>
        <w:numPr>
          <w:ilvl w:val="1"/>
          <w:numId w:val="36"/>
        </w:numPr>
        <w:spacing w:after="120"/>
        <w:ind w:left="1418" w:right="227" w:hanging="142"/>
        <w:jc w:val="left"/>
        <w:rPr>
          <w:rFonts w:cs="Arial"/>
        </w:rPr>
      </w:pPr>
      <w:r w:rsidRPr="00473050">
        <w:t>le projet doit associer des municipalités d’au moins cinq pays éligibles, dont au moins trois États membres de l’UE;</w:t>
      </w:r>
    </w:p>
    <w:p w14:paraId="7F71F908" w14:textId="79ED681A" w:rsidR="000159B8" w:rsidRPr="00473050" w:rsidRDefault="000159B8" w:rsidP="000159B8">
      <w:pPr>
        <w:widowControl w:val="0"/>
        <w:numPr>
          <w:ilvl w:val="1"/>
          <w:numId w:val="36"/>
        </w:numPr>
        <w:spacing w:after="120"/>
        <w:ind w:left="1418" w:right="227" w:hanging="142"/>
        <w:jc w:val="left"/>
      </w:pPr>
      <w:r w:rsidRPr="00473050">
        <w:t>les activités doivent avoir lieu dans au moins deux pays éligibles participant au programme.</w:t>
      </w:r>
    </w:p>
    <w:p w14:paraId="690454F4" w14:textId="3DDB266F" w:rsidR="00D11251" w:rsidRPr="00473050" w:rsidRDefault="00EF14AD" w:rsidP="00D11251">
      <w:pPr>
        <w:rPr>
          <w:rFonts w:cs="Arial"/>
        </w:rPr>
      </w:pPr>
      <w:r w:rsidRPr="00473050">
        <w:t xml:space="preserve">Les bénéficiaires et les entités affiliées doivent s’inscrire au </w:t>
      </w:r>
      <w:hyperlink r:id="rId36" w:history="1">
        <w:r w:rsidRPr="00473050">
          <w:rPr>
            <w:rStyle w:val="Hyperlink"/>
          </w:rPr>
          <w:t>registre des participants</w:t>
        </w:r>
      </w:hyperlink>
      <w:r w:rsidRPr="00473050">
        <w:t xml:space="preserve"> – avant de soumettre la proposition – et devront faire l’objet d’une validation par le Service central de validation (Validation de la REA). Aux fins de cette validation, il leur sera demandé de télécharger des documents attestant de leur statut juridique et de leur origine.</w:t>
      </w:r>
    </w:p>
    <w:p w14:paraId="663BF90B" w14:textId="77777777" w:rsidR="00D11251" w:rsidRPr="00473050" w:rsidRDefault="00D11251" w:rsidP="00D11251">
      <w:pPr>
        <w:rPr>
          <w:iCs/>
        </w:rPr>
      </w:pPr>
      <w:r w:rsidRPr="00473050">
        <w:t xml:space="preserve">D’autres entités peuvent participer à d’autres rôles du consortium, notamment en tant que partenaires associés, sous-traitants, tiers apportant des contributions en nature, etc. </w:t>
      </w:r>
      <w:r w:rsidRPr="00473050">
        <w:rPr>
          <w:i/>
          <w:iCs/>
        </w:rPr>
        <w:t>(voir section 13)</w:t>
      </w:r>
      <w:r w:rsidRPr="00473050">
        <w:t>.</w:t>
      </w:r>
    </w:p>
    <w:p w14:paraId="4C122898" w14:textId="77777777" w:rsidR="00D11251" w:rsidRPr="00473050" w:rsidRDefault="00D11251" w:rsidP="00D11251">
      <w:pPr>
        <w:rPr>
          <w:i/>
          <w:color w:val="A50021"/>
          <w:highlight w:val="yellow"/>
        </w:rPr>
      </w:pPr>
      <w:r w:rsidRPr="00473050">
        <w:rPr>
          <w:i/>
          <w:color w:val="A50021"/>
        </w:rPr>
        <w:t>Cas particuliers</w:t>
      </w:r>
      <w:r w:rsidRPr="00473050">
        <w:rPr>
          <w:i/>
          <w:color w:val="A50021"/>
          <w:highlight w:val="yellow"/>
        </w:rPr>
        <w:t xml:space="preserve"> </w:t>
      </w:r>
    </w:p>
    <w:p w14:paraId="7C0C81EC" w14:textId="3519175F" w:rsidR="00D11251" w:rsidRPr="00473050" w:rsidRDefault="00D11251" w:rsidP="00D11251">
      <w:pPr>
        <w:rPr>
          <w:rFonts w:cs="Arial"/>
        </w:rPr>
      </w:pPr>
      <w:r w:rsidRPr="00473050">
        <w:t>Personnes physiques — Les personnes physiques ne sont PAS éligibles (à l’exception des indépendants, c’est-à-dire les entreprises individuelles qui ne possèdent pas de personnalité juridique distincte de celle de la personne physique).</w:t>
      </w:r>
    </w:p>
    <w:p w14:paraId="06E140DC" w14:textId="5B93CEEF" w:rsidR="00D11251" w:rsidRPr="00473050" w:rsidRDefault="00D51B6C" w:rsidP="00D11251">
      <w:pPr>
        <w:rPr>
          <w:rFonts w:cs="Arial"/>
        </w:rPr>
      </w:pPr>
      <w:r w:rsidRPr="00473050">
        <w:t>Organisations internationales – les organisations internationales sont éligibles. Les règles relatives aux pays éligibles ne leur sont pas applicables.</w:t>
      </w:r>
    </w:p>
    <w:p w14:paraId="45271331" w14:textId="77777777" w:rsidR="00D11251" w:rsidRPr="00473050" w:rsidRDefault="00D11251" w:rsidP="00D11251">
      <w:pPr>
        <w:rPr>
          <w:rFonts w:cs="Arial"/>
          <w:iCs/>
        </w:rPr>
      </w:pPr>
      <w:r w:rsidRPr="00473050">
        <w:t>Entités dépourvues de personnalité juridique — les entités qui n’ont pas la personnalité juridique en vertu de leur droit national peuvent participer à titre exceptionnel, à condition que leurs représentants aient la capacité de prendre des engagements juridiques en leur nom et offrent des garanties de protection des intérêts financiers de l’UE équivalentes à celles offertes par les personnes morales</w:t>
      </w:r>
      <w:r w:rsidRPr="00473050">
        <w:rPr>
          <w:rStyle w:val="FootnoteReference"/>
          <w:rFonts w:cs="Arial"/>
          <w:iCs/>
        </w:rPr>
        <w:footnoteReference w:id="14"/>
      </w:r>
      <w:r w:rsidRPr="00473050">
        <w:t>.</w:t>
      </w:r>
    </w:p>
    <w:p w14:paraId="42989BB3" w14:textId="77777777" w:rsidR="00D11251" w:rsidRPr="00473050" w:rsidRDefault="00D11251" w:rsidP="00D11251">
      <w:pPr>
        <w:rPr>
          <w:rFonts w:eastAsia="Verdana" w:cs="Verdana"/>
        </w:rPr>
      </w:pPr>
      <w:r w:rsidRPr="00473050">
        <w:t>Organes de l’UE – les organes de l’UE (à l’exception du Centre commun de recherche de la Commission européenne) ne peuvent PAS faire partie du consortium.</w:t>
      </w:r>
    </w:p>
    <w:p w14:paraId="73A5993C" w14:textId="5CAF4A75" w:rsidR="005056C4" w:rsidRPr="00473050" w:rsidRDefault="6C7DCFD5" w:rsidP="42BB08A3">
      <w:pPr>
        <w:rPr>
          <w:rFonts w:cs="Arial"/>
        </w:rPr>
      </w:pPr>
      <w:r w:rsidRPr="00473050">
        <w:t xml:space="preserve">Associations et groupements d’intérêt — Les entités composées de membres peuvent participer en tant que «bénéficiaires uniques» ou «bénéficiaires dépourvus de </w:t>
      </w:r>
      <w:r w:rsidRPr="00473050">
        <w:lastRenderedPageBreak/>
        <w:t>personnalité juridique»</w:t>
      </w:r>
      <w:r w:rsidR="00D11251" w:rsidRPr="00473050">
        <w:rPr>
          <w:rStyle w:val="FootnoteReference"/>
        </w:rPr>
        <w:footnoteReference w:id="15"/>
      </w:r>
      <w:r w:rsidRPr="00473050">
        <w:t xml:space="preserve">. </w:t>
      </w:r>
      <w:r w:rsidRPr="00473050">
        <w:rPr>
          <w:noProof/>
          <w:color w:val="7F7F7F"/>
          <w:sz w:val="18"/>
          <w:szCs w:val="21"/>
          <w:lang w:val="en-IE" w:eastAsia="en-IE"/>
        </w:rPr>
        <w:drawing>
          <wp:inline distT="0" distB="0" distL="0" distR="0" wp14:anchorId="75F831DD" wp14:editId="5DD55874">
            <wp:extent cx="187960" cy="187960"/>
            <wp:effectExtent l="0" t="0" r="0" b="0"/>
            <wp:docPr id="6" name="Picture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473050">
        <w:rPr>
          <w:color w:val="7F7F7F"/>
          <w:sz w:val="18"/>
          <w:szCs w:val="18"/>
        </w:rPr>
        <w:t xml:space="preserve"> </w:t>
      </w:r>
      <w:r w:rsidRPr="00473050">
        <w:t xml:space="preserve">Veuillez noter que si l’action est mise en œuvre par les membres, ceux-ci doivent également participer (soit en tant que bénéficiaires, soit en tant qu’entités affiliées, faute de quoi leurs coûts ne seront PAS éligibles). </w:t>
      </w:r>
    </w:p>
    <w:p w14:paraId="367E29D4" w14:textId="50768096" w:rsidR="00DC3A61" w:rsidRPr="00473050" w:rsidRDefault="00DC3A61" w:rsidP="00202AF1">
      <w:pPr>
        <w:pStyle w:val="NormalWeb"/>
        <w:spacing w:before="0" w:beforeAutospacing="0" w:after="200" w:afterAutospacing="0"/>
        <w:jc w:val="both"/>
        <w:rPr>
          <w:rFonts w:ascii="Verdana" w:hAnsi="Verdana"/>
          <w:color w:val="000000"/>
          <w:sz w:val="20"/>
          <w:szCs w:val="20"/>
        </w:rPr>
      </w:pPr>
      <w:r w:rsidRPr="00473050">
        <w:rPr>
          <w:rFonts w:ascii="Verdana" w:hAnsi="Verdana"/>
          <w:color w:val="000000"/>
          <w:sz w:val="20"/>
          <w:szCs w:val="20"/>
        </w:rPr>
        <w:t xml:space="preserve">Points de contact du programme – sont éligibles en tant que coordinateurs ou bénéficiaires dans les appels ouverts, s’ils ont des procédures pour séparer les fonctions de gestion de projet et d’information et s’ils sont en mesure de démontrer la séparation des coûts (c’est-à-dire que les subventions de leur projet ne couvrent pas des coûts qui sont couverts par leur autre subvention). Cela exige ce qui suit: </w:t>
      </w:r>
    </w:p>
    <w:p w14:paraId="21178116" w14:textId="4EF7788A" w:rsidR="00DC3A61" w:rsidRPr="00473050" w:rsidRDefault="00DC3A61" w:rsidP="008B1F42">
      <w:pPr>
        <w:numPr>
          <w:ilvl w:val="0"/>
          <w:numId w:val="45"/>
        </w:numPr>
        <w:rPr>
          <w:color w:val="000000"/>
        </w:rPr>
      </w:pPr>
      <w:r w:rsidRPr="00473050">
        <w:rPr>
          <w:color w:val="000000"/>
        </w:rPr>
        <w:t xml:space="preserve">l’utilisation d’une comptabilité analytique qui permet une gestion comptable avec des clés de répartition des coûts et des codes de comptabilité analytique ET l’application de ces clés et codes pour identifier et séparer les coûts (c’est-à-dire les affecter à l’une ou l’autre des deux subventions); </w:t>
      </w:r>
    </w:p>
    <w:p w14:paraId="1DBFDF05" w14:textId="5BA07C46" w:rsidR="00DC3A61" w:rsidRPr="00473050" w:rsidRDefault="00DC3A61" w:rsidP="008B1F42">
      <w:pPr>
        <w:numPr>
          <w:ilvl w:val="0"/>
          <w:numId w:val="45"/>
        </w:numPr>
        <w:rPr>
          <w:color w:val="000000"/>
        </w:rPr>
      </w:pPr>
      <w:r w:rsidRPr="00473050">
        <w:rPr>
          <w:color w:val="000000"/>
        </w:rPr>
        <w:t xml:space="preserve">l’enregistrement de tous les coûts réels encourus pour les activités couvertes par les deux subventions (y compris les coûts indirects); </w:t>
      </w:r>
    </w:p>
    <w:p w14:paraId="08082F37" w14:textId="6D2FEB8E" w:rsidR="00832213" w:rsidRPr="00473050" w:rsidRDefault="00DC3A61" w:rsidP="008B1F42">
      <w:pPr>
        <w:numPr>
          <w:ilvl w:val="0"/>
          <w:numId w:val="45"/>
        </w:numPr>
        <w:rPr>
          <w:rFonts w:cs="Arial"/>
        </w:rPr>
      </w:pPr>
      <w:r w:rsidRPr="00473050">
        <w:rPr>
          <w:color w:val="000000"/>
        </w:rPr>
        <w:t>la répartition des coûts de façon à obtenir un résultat équitable, objectif et réaliste.</w:t>
      </w:r>
    </w:p>
    <w:p w14:paraId="63646EA9" w14:textId="75D8A1BB" w:rsidR="00F556B0" w:rsidRPr="00473050" w:rsidRDefault="00F556B0" w:rsidP="00202AF1">
      <w:pPr>
        <w:rPr>
          <w:iCs/>
        </w:rPr>
      </w:pPr>
      <w:r w:rsidRPr="00473050">
        <w:t xml:space="preserve">Pays négociant actuellement des accords d’association – les bénéficiaires des pays menant actuellement des négociations </w:t>
      </w:r>
      <w:r w:rsidRPr="00473050">
        <w:rPr>
          <w:i/>
          <w:iCs/>
        </w:rPr>
        <w:t>(voir ci-dessus)</w:t>
      </w:r>
      <w:r w:rsidRPr="00473050">
        <w:t xml:space="preserve"> peuvent participer à l’appel et peuvent signer des accords de subvention si les négociations sont conclues avant la signature de la subvention (avec effet rétroactif, si l’accord le prévoit).</w:t>
      </w:r>
    </w:p>
    <w:p w14:paraId="6FC8312B" w14:textId="0B69DDC5" w:rsidR="000F4465" w:rsidRPr="00473050" w:rsidRDefault="00FE2BCA" w:rsidP="00D11251">
      <w:pPr>
        <w:pStyle w:val="Text1"/>
        <w:tabs>
          <w:tab w:val="clear" w:pos="2160"/>
        </w:tabs>
        <w:spacing w:after="120"/>
        <w:ind w:left="0"/>
      </w:pPr>
      <w:r w:rsidRPr="00473050">
        <w:t xml:space="preserve">Mesures restrictives de l’UE — des règles spéciales s’appliquent à certaines entités [par exemple, les entités faisant l’objet de </w:t>
      </w:r>
      <w:hyperlink r:id="rId38" w:history="1">
        <w:r w:rsidRPr="00473050">
          <w:rPr>
            <w:rStyle w:val="Hyperlink"/>
            <w:i/>
          </w:rPr>
          <w:t>mesures restrictives de l’UE</w:t>
        </w:r>
      </w:hyperlink>
      <w:r w:rsidRPr="00473050">
        <w:rPr>
          <w:i/>
        </w:rPr>
        <w:t xml:space="preserve"> en vertu de l’article 29 du traité sur l’Union européenne (TUE) et de l’article 215 du traité sur le fonctionnement de l’UE (TFUE)</w:t>
      </w:r>
      <w:r w:rsidRPr="00473050">
        <w:rPr>
          <w:rFonts w:eastAsia="Arial Unicode MS" w:cs="Arial"/>
          <w:i/>
          <w:vertAlign w:val="superscript"/>
          <w:lang w:eastAsia="en-GB"/>
        </w:rPr>
        <w:footnoteReference w:id="16"/>
      </w:r>
      <w:r w:rsidRPr="00473050">
        <w:rPr>
          <w:i/>
        </w:rPr>
        <w:t xml:space="preserve"> et les entités couvertes par les lignes directrices de la Commission nº </w:t>
      </w:r>
      <w:hyperlink r:id="rId39" w:history="1">
        <w:r w:rsidRPr="00473050">
          <w:rPr>
            <w:rStyle w:val="Hyperlink"/>
            <w:i/>
          </w:rPr>
          <w:t>2013/C 205/05</w:t>
        </w:r>
      </w:hyperlink>
      <w:r w:rsidRPr="00473050">
        <w:rPr>
          <w:rStyle w:val="FootnoteReference"/>
          <w:rFonts w:cs="Arial"/>
          <w:i/>
        </w:rPr>
        <w:footnoteReference w:id="17"/>
      </w:r>
      <w:r w:rsidRPr="00473050">
        <w:rPr>
          <w:i/>
        </w:rPr>
        <w:t>]</w:t>
      </w:r>
      <w:r w:rsidRPr="00473050">
        <w:t>. Ces entités ne sont pas autorisées à participer à quelque titre que ce soit, y compris en tant que bénéficiaires, entités affiliées, partenaires associés, sous-traitants ou bénéficiaires d’un soutien financier à des tiers (le cas échéant).</w:t>
      </w:r>
    </w:p>
    <w:p w14:paraId="718A4FB8" w14:textId="776D82DD" w:rsidR="00736C6F" w:rsidRPr="00473050" w:rsidRDefault="005A3754" w:rsidP="00736C6F">
      <w:pPr>
        <w:autoSpaceDE w:val="0"/>
        <w:autoSpaceDN w:val="0"/>
        <w:adjustRightInd w:val="0"/>
        <w:rPr>
          <w:rFonts w:cs="Verdana"/>
        </w:rPr>
      </w:pPr>
      <w:r w:rsidRPr="00473050">
        <w:rPr>
          <w:noProof/>
          <w:lang w:val="en-IE" w:eastAsia="en-IE"/>
        </w:rPr>
        <w:drawing>
          <wp:inline distT="0" distB="0" distL="0" distR="0" wp14:anchorId="4D9DE831" wp14:editId="2CF3293B">
            <wp:extent cx="187960" cy="187960"/>
            <wp:effectExtent l="0" t="0" r="0" b="0"/>
            <wp:docPr id="7" name="Picture 217534909"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534909" name="Picture 217534909" title="Title: Title: Title: https://lh5.googleusercontent.com/-n5VVWXljoCs/T8X1egaB-BI/AAAAAAAAC1I/fLBP4VIzxQM/s16/infoIcon_blue.png"/>
                    <pic:cNvPicPr/>
                  </pic:nvPicPr>
                  <pic:blipFill>
                    <a:blip r:embed="rId33">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473050">
        <w:t xml:space="preserve">Pour de plus amples informations, </w:t>
      </w:r>
      <w:r w:rsidRPr="00473050">
        <w:rPr>
          <w:i/>
          <w:iCs/>
        </w:rPr>
        <w:t xml:space="preserve">voir les </w:t>
      </w:r>
      <w:hyperlink r:id="rId40">
        <w:r w:rsidRPr="00473050">
          <w:rPr>
            <w:rStyle w:val="Hyperlink"/>
            <w:i/>
            <w:iCs/>
          </w:rPr>
          <w:t>règles relatives à la validation des entités juridiques, à la désignation du représentant de l’entité juridique et à l’évaluation de la capacité financière</w:t>
        </w:r>
      </w:hyperlink>
      <w:r w:rsidRPr="00473050">
        <w:t xml:space="preserve">. </w:t>
      </w:r>
    </w:p>
    <w:p w14:paraId="1DD70A2C" w14:textId="78969716" w:rsidR="00027143" w:rsidRPr="00473050" w:rsidRDefault="00736C6F" w:rsidP="00CC2315">
      <w:pPr>
        <w:pStyle w:val="Heading3"/>
      </w:pPr>
      <w:bookmarkStart w:id="15" w:name="_Toc92977206"/>
      <w:r w:rsidRPr="00473050">
        <w:t>Composition du consortium</w:t>
      </w:r>
      <w:bookmarkEnd w:id="15"/>
    </w:p>
    <w:p w14:paraId="667D29A2" w14:textId="1ADD61B2" w:rsidR="007903BC" w:rsidRPr="00473050" w:rsidRDefault="007903BC" w:rsidP="007903BC">
      <w:pPr>
        <w:widowControl w:val="0"/>
        <w:rPr>
          <w:b/>
          <w:bCs/>
        </w:rPr>
      </w:pPr>
      <w:r w:rsidRPr="00473050">
        <w:rPr>
          <w:b/>
          <w:color w:val="A50021"/>
        </w:rPr>
        <w:t>CERV-2022-CITIZENS-TOWN-TT – Jumelage de villes:</w:t>
      </w:r>
      <w:r w:rsidRPr="00473050">
        <w:rPr>
          <w:b/>
          <w:bCs/>
        </w:rPr>
        <w:t xml:space="preserve"> </w:t>
      </w:r>
    </w:p>
    <w:p w14:paraId="1CC7CA67" w14:textId="27B50492" w:rsidR="007903BC" w:rsidRPr="00473050" w:rsidRDefault="007903BC" w:rsidP="007903BC">
      <w:pPr>
        <w:widowControl w:val="0"/>
        <w:rPr>
          <w:i/>
          <w:iCs/>
        </w:rPr>
      </w:pPr>
      <w:r w:rsidRPr="00473050">
        <w:t>seules les propositions émanant de candidats individuels sont autorisées.</w:t>
      </w:r>
    </w:p>
    <w:p w14:paraId="37AC9AD9" w14:textId="64A403D2" w:rsidR="007903BC" w:rsidRPr="00473050" w:rsidRDefault="007903BC" w:rsidP="007903BC">
      <w:pPr>
        <w:pStyle w:val="Text3"/>
        <w:tabs>
          <w:tab w:val="left" w:pos="567"/>
        </w:tabs>
        <w:ind w:left="0"/>
        <w:rPr>
          <w:rFonts w:eastAsia="Verdana" w:cs="Verdana"/>
        </w:rPr>
      </w:pPr>
      <w:r w:rsidRPr="00473050">
        <w:t>Les propositions de jumelage de villes doivent associer des municipalités d’au moins deux pays éligibles, dont au moins un est un État membre de l’UE.</w:t>
      </w:r>
    </w:p>
    <w:p w14:paraId="5B216039" w14:textId="203107A8" w:rsidR="007903BC" w:rsidRPr="00473050" w:rsidRDefault="007903BC" w:rsidP="007903BC">
      <w:pPr>
        <w:widowControl w:val="0"/>
        <w:rPr>
          <w:b/>
          <w:color w:val="A50021"/>
        </w:rPr>
      </w:pPr>
      <w:r w:rsidRPr="00473050">
        <w:rPr>
          <w:b/>
          <w:color w:val="A50021"/>
        </w:rPr>
        <w:t>CERV-2022-CITIZENS-TOWN-NT – Réseaux de villes</w:t>
      </w:r>
    </w:p>
    <w:p w14:paraId="2A754E5D" w14:textId="17B8FF9F" w:rsidR="007903BC" w:rsidRPr="00473050" w:rsidRDefault="007903BC" w:rsidP="007903BC">
      <w:pPr>
        <w:widowControl w:val="0"/>
      </w:pPr>
      <w:r w:rsidRPr="00473050">
        <w:t xml:space="preserve">Les propositions doivent être soumises par un consortium composé d’au moins cinq candidats (bénéficiaires; pas d’entités affiliées), qui remplit les conditions </w:t>
      </w:r>
      <w:r w:rsidRPr="00473050">
        <w:lastRenderedPageBreak/>
        <w:t xml:space="preserve">suivantes: </w:t>
      </w:r>
    </w:p>
    <w:p w14:paraId="683D723D" w14:textId="1473FE2C" w:rsidR="007903BC" w:rsidRPr="00473050" w:rsidRDefault="007903BC" w:rsidP="007903BC">
      <w:pPr>
        <w:numPr>
          <w:ilvl w:val="0"/>
          <w:numId w:val="53"/>
        </w:numPr>
        <w:ind w:left="360"/>
      </w:pPr>
      <w:r w:rsidRPr="00473050">
        <w:t>les entités sont des municipalités d’au moins cinq pays éligibles, dont au moins trois États membres de l’UE.</w:t>
      </w:r>
    </w:p>
    <w:p w14:paraId="4E8B42AB" w14:textId="77777777" w:rsidR="00656CD7" w:rsidRPr="00473050" w:rsidRDefault="00736C6F" w:rsidP="00510B7E">
      <w:pPr>
        <w:pStyle w:val="Heading3"/>
      </w:pPr>
      <w:bookmarkStart w:id="16" w:name="_Toc92977207"/>
      <w:r w:rsidRPr="00473050">
        <w:t>Activités éligibles</w:t>
      </w:r>
      <w:bookmarkEnd w:id="16"/>
    </w:p>
    <w:p w14:paraId="5C9A0D56" w14:textId="6D5E2AD2" w:rsidR="000159B8" w:rsidRPr="00473050" w:rsidRDefault="00656CD7" w:rsidP="00656CD7">
      <w:r w:rsidRPr="00473050">
        <w:t>Les activités éligibles sont celles définies à la section 2 ci-dessus.</w:t>
      </w:r>
    </w:p>
    <w:p w14:paraId="4DCC9648" w14:textId="77777777" w:rsidR="00656CD7" w:rsidRPr="00473050" w:rsidRDefault="00267836" w:rsidP="00656CD7">
      <w:r w:rsidRPr="00473050">
        <w:t>Les projets devraient tenir compte des résultats des projets soutenus par d’autres programmes de financement de l’UE. Les complémentarités doivent être décrites dans les propositions de projet (partie B du formulaire de candidature).</w:t>
      </w:r>
    </w:p>
    <w:p w14:paraId="3CAE18EE" w14:textId="77777777" w:rsidR="00C96229" w:rsidRPr="00473050" w:rsidRDefault="00C96229" w:rsidP="00656CD7">
      <w:r w:rsidRPr="00473050">
        <w:t xml:space="preserve">Les projets doivent respecter les intérêts et priorités politiques de l’UE </w:t>
      </w:r>
      <w:r w:rsidRPr="00473050">
        <w:rPr>
          <w:i/>
          <w:iCs/>
        </w:rPr>
        <w:t>(tels que l’environnement, la politique sociale, la sécurité, la politique industrielle et la politique commerciale, etc.)</w:t>
      </w:r>
      <w:r w:rsidRPr="00473050">
        <w:t>.</w:t>
      </w:r>
    </w:p>
    <w:p w14:paraId="23359E9F" w14:textId="69E0A675" w:rsidR="00557219" w:rsidRPr="00473050" w:rsidRDefault="004A47F3" w:rsidP="0075170E">
      <w:pPr>
        <w:rPr>
          <w:highlight w:val="yellow"/>
        </w:rPr>
      </w:pPr>
      <w:r w:rsidRPr="00473050">
        <w:t>Le soutien financier à des tiers n’est pas autorisé.</w:t>
      </w:r>
    </w:p>
    <w:p w14:paraId="4ED03ED8" w14:textId="7C17FD62" w:rsidR="00942BB9" w:rsidRPr="00473050" w:rsidRDefault="00E81CEB" w:rsidP="00942BB9">
      <w:pPr>
        <w:pStyle w:val="Text3"/>
        <w:tabs>
          <w:tab w:val="clear" w:pos="2160"/>
          <w:tab w:val="left" w:pos="567"/>
        </w:tabs>
        <w:ind w:left="0"/>
        <w:rPr>
          <w:b/>
          <w:color w:val="A50021"/>
        </w:rPr>
      </w:pPr>
      <w:r w:rsidRPr="00473050">
        <w:rPr>
          <w:b/>
          <w:color w:val="A50021"/>
        </w:rPr>
        <w:t>CERV-2022-CITIZENS-TOWN-TT – Jumelage de villes:</w:t>
      </w:r>
    </w:p>
    <w:p w14:paraId="2607B279" w14:textId="77777777" w:rsidR="00942BB9" w:rsidRPr="00473050" w:rsidRDefault="00942BB9" w:rsidP="00942BB9">
      <w:pPr>
        <w:pStyle w:val="Text3"/>
        <w:tabs>
          <w:tab w:val="clear" w:pos="2160"/>
          <w:tab w:val="left" w:pos="567"/>
        </w:tabs>
        <w:ind w:left="0"/>
        <w:rPr>
          <w:rFonts w:eastAsia="Verdana" w:cs="Verdana"/>
        </w:rPr>
      </w:pPr>
      <w:r w:rsidRPr="00473050">
        <w:t>Les événements de jumelage de villes doivent faire intervenir au moins 50 participants directs, dont au moins 25 «participants invités». Les «participants invités» sont des délégations en visite venues des pays éligibles partenaires du projet, à l’exception du pays accueillant l’événement de jumelage.</w:t>
      </w:r>
    </w:p>
    <w:p w14:paraId="09E75F68" w14:textId="77777777" w:rsidR="00500DB3" w:rsidRPr="00473050" w:rsidRDefault="00330493" w:rsidP="00510B7E">
      <w:pPr>
        <w:pStyle w:val="Heading3"/>
      </w:pPr>
      <w:bookmarkStart w:id="17" w:name="_Toc92977208"/>
      <w:r w:rsidRPr="00473050">
        <w:t>Situation géographique (pays cibles)</w:t>
      </w:r>
      <w:bookmarkEnd w:id="17"/>
    </w:p>
    <w:p w14:paraId="0C43BD80" w14:textId="6FE81E62" w:rsidR="00C76084" w:rsidRPr="00473050" w:rsidRDefault="00C76084" w:rsidP="00C76084">
      <w:r w:rsidRPr="00473050">
        <w:t>Les propositions doivent porter sur des activités qui se déroulent dans les pays éligibles (</w:t>
      </w:r>
      <w:r w:rsidRPr="00473050">
        <w:rPr>
          <w:i/>
        </w:rPr>
        <w:t>voir ci-dessus</w:t>
      </w:r>
      <w:r w:rsidRPr="00473050">
        <w:t>).</w:t>
      </w:r>
    </w:p>
    <w:p w14:paraId="2B7201A8" w14:textId="071CD026" w:rsidR="0075170E" w:rsidRPr="00473050" w:rsidRDefault="0075170E" w:rsidP="0075170E">
      <w:pPr>
        <w:pStyle w:val="Text3"/>
        <w:tabs>
          <w:tab w:val="left" w:pos="567"/>
        </w:tabs>
        <w:ind w:left="0"/>
        <w:rPr>
          <w:b/>
          <w:color w:val="A50021"/>
        </w:rPr>
      </w:pPr>
      <w:r w:rsidRPr="00473050">
        <w:rPr>
          <w:b/>
          <w:color w:val="A50021"/>
        </w:rPr>
        <w:t>CERV-2022-CITIZENS-TOWN-TT – Jumelage de villes</w:t>
      </w:r>
    </w:p>
    <w:p w14:paraId="4FB65ED9" w14:textId="729AC7F7" w:rsidR="0075170E" w:rsidRPr="00473050" w:rsidRDefault="0075170E" w:rsidP="0075170E">
      <w:pPr>
        <w:pStyle w:val="Text3"/>
        <w:tabs>
          <w:tab w:val="left" w:pos="567"/>
        </w:tabs>
        <w:ind w:left="0"/>
        <w:rPr>
          <w:rFonts w:eastAsia="Verdana" w:cs="Verdana"/>
        </w:rPr>
      </w:pPr>
      <w:r w:rsidRPr="00473050">
        <w:t>Les activités doivent se dérouler dans l’un des pays éligibles participant au projet.</w:t>
      </w:r>
    </w:p>
    <w:p w14:paraId="22619C5A" w14:textId="1782A5E2" w:rsidR="0075170E" w:rsidRPr="00473050" w:rsidRDefault="0075170E" w:rsidP="0075170E">
      <w:pPr>
        <w:pStyle w:val="Text3"/>
        <w:tabs>
          <w:tab w:val="left" w:pos="567"/>
        </w:tabs>
        <w:ind w:left="0"/>
        <w:rPr>
          <w:b/>
          <w:color w:val="A50021"/>
        </w:rPr>
      </w:pPr>
      <w:r w:rsidRPr="00473050">
        <w:rPr>
          <w:b/>
          <w:color w:val="A50021"/>
        </w:rPr>
        <w:t>CERV-2022-CITIZENS-TOWN-NT – Réseaux de villes</w:t>
      </w:r>
    </w:p>
    <w:p w14:paraId="15B7E34B" w14:textId="77777777" w:rsidR="0075170E" w:rsidRPr="00473050" w:rsidRDefault="0075170E" w:rsidP="0075170E">
      <w:r w:rsidRPr="00473050">
        <w:t>Les activités doivent avoir lieu dans au moins deux pays éligibles participant au programme.</w:t>
      </w:r>
    </w:p>
    <w:p w14:paraId="5ED1FBB4" w14:textId="5B3FEB91" w:rsidR="0075170E" w:rsidRPr="00473050" w:rsidRDefault="00312A94" w:rsidP="00CC2315">
      <w:pPr>
        <w:pStyle w:val="Heading3"/>
      </w:pPr>
      <w:bookmarkStart w:id="18" w:name="_Toc92977209"/>
      <w:r w:rsidRPr="00473050">
        <w:t>Durée</w:t>
      </w:r>
      <w:bookmarkEnd w:id="18"/>
    </w:p>
    <w:p w14:paraId="2932A4E8" w14:textId="57A7E390" w:rsidR="0075170E" w:rsidRPr="00473050" w:rsidRDefault="0075170E" w:rsidP="0075170E">
      <w:pPr>
        <w:pStyle w:val="Text3"/>
        <w:tabs>
          <w:tab w:val="left" w:pos="567"/>
        </w:tabs>
        <w:ind w:left="0"/>
        <w:rPr>
          <w:b/>
          <w:color w:val="A50021"/>
        </w:rPr>
      </w:pPr>
      <w:r w:rsidRPr="00473050">
        <w:rPr>
          <w:b/>
          <w:color w:val="A50021"/>
        </w:rPr>
        <w:t>CERV-2022-CITIZENS-TOWN-TT – Jumelage de villes</w:t>
      </w:r>
    </w:p>
    <w:p w14:paraId="16ED1FD7" w14:textId="77777777" w:rsidR="0075170E" w:rsidRPr="00473050" w:rsidRDefault="0075170E" w:rsidP="0075170E">
      <w:r w:rsidRPr="00473050">
        <w:t>La durée des projets devrait normalement être de 12 mois maximum (les prolongations sont possibles, pour des raisons dûment justifiées et au moyen d’un avenant).</w:t>
      </w:r>
    </w:p>
    <w:p w14:paraId="21EB407E" w14:textId="02DDA381" w:rsidR="0075170E" w:rsidRPr="00473050" w:rsidRDefault="0075170E" w:rsidP="0075170E">
      <w:pPr>
        <w:pStyle w:val="Text3"/>
        <w:tabs>
          <w:tab w:val="left" w:pos="567"/>
        </w:tabs>
        <w:ind w:left="0"/>
        <w:rPr>
          <w:b/>
          <w:color w:val="A50021"/>
        </w:rPr>
      </w:pPr>
      <w:r w:rsidRPr="00473050">
        <w:rPr>
          <w:b/>
          <w:color w:val="A50021"/>
        </w:rPr>
        <w:t xml:space="preserve">CERV-2022-CITIZENS-TOWN-NT – Réseaux de villes </w:t>
      </w:r>
    </w:p>
    <w:p w14:paraId="5915DCE4" w14:textId="705101FA" w:rsidR="0075170E" w:rsidRPr="00473050" w:rsidRDefault="00D37706" w:rsidP="0075170E">
      <w:r w:rsidRPr="00473050">
        <w:t>La durée des projets devrait normalement être de 12 à 24 mois (les prolongations sont possibles, pour des raisons dûment justifiées et au moyen d’un avenant).</w:t>
      </w:r>
    </w:p>
    <w:p w14:paraId="6E47F135" w14:textId="56E7A647" w:rsidR="007926FA" w:rsidRPr="00473050" w:rsidRDefault="007926FA" w:rsidP="00510B7E">
      <w:pPr>
        <w:pStyle w:val="Heading3"/>
      </w:pPr>
      <w:bookmarkStart w:id="19" w:name="_Toc92977210"/>
      <w:r w:rsidRPr="00473050">
        <w:t>Éthique et valeurs de l’UE</w:t>
      </w:r>
      <w:bookmarkEnd w:id="19"/>
    </w:p>
    <w:p w14:paraId="58FD832D" w14:textId="77777777" w:rsidR="007926FA" w:rsidRPr="00473050" w:rsidRDefault="007926FA" w:rsidP="007926FA">
      <w:pPr>
        <w:pStyle w:val="Text3"/>
        <w:ind w:left="0"/>
        <w:rPr>
          <w:rFonts w:eastAsia="Calibri"/>
          <w:color w:val="000000"/>
        </w:rPr>
      </w:pPr>
      <w:r w:rsidRPr="00473050">
        <w:t>Les projets doivent respecter:</w:t>
      </w:r>
    </w:p>
    <w:p w14:paraId="109E382E" w14:textId="1126BB4E" w:rsidR="00B703B7" w:rsidRPr="00473050" w:rsidRDefault="009E08C3" w:rsidP="008B1F42">
      <w:pPr>
        <w:numPr>
          <w:ilvl w:val="0"/>
          <w:numId w:val="33"/>
        </w:numPr>
        <w:spacing w:after="120"/>
        <w:ind w:left="709"/>
        <w:jc w:val="left"/>
      </w:pPr>
      <w:r w:rsidRPr="00473050">
        <w:t xml:space="preserve">les normes éthiques les plus élevées; </w:t>
      </w:r>
    </w:p>
    <w:p w14:paraId="20DE0698" w14:textId="52F85922" w:rsidR="00B703B7" w:rsidRPr="00473050" w:rsidRDefault="00B703B7" w:rsidP="008B1F42">
      <w:pPr>
        <w:numPr>
          <w:ilvl w:val="0"/>
          <w:numId w:val="33"/>
        </w:numPr>
        <w:spacing w:after="120"/>
        <w:ind w:left="709"/>
        <w:jc w:val="left"/>
        <w:rPr>
          <w:sz w:val="24"/>
          <w:szCs w:val="24"/>
        </w:rPr>
      </w:pPr>
      <w:r w:rsidRPr="00473050">
        <w:tab/>
        <w:t xml:space="preserve">les valeurs de l’UE reposant sur l’article 2 du traité sur l’Union européenne et l’article 21 de la Charte des droits fondamentaux de l’UE; et </w:t>
      </w:r>
    </w:p>
    <w:p w14:paraId="00AFAC72" w14:textId="3F42503F" w:rsidR="00B703B7" w:rsidRPr="00473050" w:rsidRDefault="00B703B7" w:rsidP="008B1F42">
      <w:pPr>
        <w:numPr>
          <w:ilvl w:val="0"/>
          <w:numId w:val="33"/>
        </w:numPr>
        <w:ind w:left="709" w:hanging="357"/>
        <w:jc w:val="left"/>
        <w:rPr>
          <w:rFonts w:ascii="Calibri" w:eastAsia="Calibri" w:hAnsi="Calibri" w:cs="Calibri"/>
        </w:rPr>
      </w:pPr>
      <w:r w:rsidRPr="00473050">
        <w:lastRenderedPageBreak/>
        <w:t>les autres lois européennes, internationales et nationales applicables, [y compris le règlement général sur la protection des données (UE) </w:t>
      </w:r>
      <w:hyperlink r:id="rId41" w:history="1">
        <w:r w:rsidRPr="00473050">
          <w:rPr>
            <w:rStyle w:val="Hyperlink"/>
          </w:rPr>
          <w:t>2016/679</w:t>
        </w:r>
      </w:hyperlink>
      <w:r w:rsidRPr="00473050">
        <w:t>].</w:t>
      </w:r>
    </w:p>
    <w:p w14:paraId="4377E80A" w14:textId="361D91A1" w:rsidR="00E95AAC" w:rsidRPr="00473050" w:rsidRDefault="00E95AAC" w:rsidP="42BB08A3">
      <w:pPr>
        <w:widowControl w:val="0"/>
        <w:rPr>
          <w:rFonts w:eastAsia="Calibri"/>
          <w:color w:val="000000"/>
        </w:rPr>
      </w:pPr>
      <w:r w:rsidRPr="00473050">
        <w:rPr>
          <w:color w:val="000000"/>
        </w:rPr>
        <w:t xml:space="preserve">Les projets doivent s’attacher à promouvoir l’intégration de l’égalité entre les hommes et les femmes et de la non-discrimination conformément à la </w:t>
      </w:r>
      <w:hyperlink r:id="rId42" w:history="1">
        <w:r w:rsidRPr="00473050">
          <w:rPr>
            <w:rStyle w:val="Hyperlink"/>
          </w:rPr>
          <w:t>boîte à outils pour l’intégration de la dimension de genre</w:t>
        </w:r>
      </w:hyperlink>
      <w:r w:rsidRPr="00473050">
        <w:rPr>
          <w:color w:val="000000"/>
        </w:rPr>
        <w:t xml:space="preserve">. </w:t>
      </w:r>
      <w:r w:rsidRPr="00473050">
        <w:t xml:space="preserve">Les activités du projet devraient contribuer à l’autonomisation des femmes et des hommes, en toute égalité et dans toute leur diversité, en veillant à ce qu’ils réalisent pleinement leur potentiel et jouissent des mêmes droits </w:t>
      </w:r>
      <w:r w:rsidRPr="00473050">
        <w:rPr>
          <w:i/>
          <w:iCs/>
        </w:rPr>
        <w:t>(voir</w:t>
      </w:r>
      <w:r w:rsidRPr="00473050">
        <w:t xml:space="preserve"> </w:t>
      </w:r>
      <w:hyperlink r:id="rId43" w:anchor=":~:text=Non-discrimination%20mainstreaming%20is%20about%20%E2%80%98placing%20equality%20considerations%20at,the%20EU-%20wide%20network%20of%20specialised%20equality%20bodies%29." w:history="1">
        <w:r w:rsidRPr="00473050">
          <w:rPr>
            <w:rStyle w:val="Hyperlink"/>
            <w:i/>
            <w:iCs/>
          </w:rPr>
          <w:t>Non-discrimination mainstreaming instruments, case studies and ways forward</w:t>
        </w:r>
      </w:hyperlink>
      <w:r w:rsidRPr="00473050">
        <w:rPr>
          <w:i/>
          <w:iCs/>
          <w:color w:val="000000"/>
        </w:rPr>
        <w:t>)</w:t>
      </w:r>
      <w:r w:rsidRPr="00473050">
        <w:rPr>
          <w:color w:val="000000"/>
        </w:rPr>
        <w:t xml:space="preserve"> (Intégration de la non-discrimination – instruments, études de cas et suggestions pour l’avenir). Elles devraient également viser à réduire les niveaux de discrimination à l’encontre de certains groupes (notamment ceux exposés à la discrimination multiple) et à améliorer les résultats en matière d’égalité pour les individus</w:t>
      </w:r>
      <w:r w:rsidRPr="00473050">
        <w:rPr>
          <w:rStyle w:val="FootnoteReference"/>
          <w:rFonts w:eastAsia="Calibri"/>
          <w:color w:val="000000"/>
          <w:lang w:val="en-IE" w:eastAsia="en-GB"/>
        </w:rPr>
        <w:footnoteReference w:id="18"/>
      </w:r>
      <w:r w:rsidRPr="00473050">
        <w:rPr>
          <w:color w:val="000000"/>
        </w:rPr>
        <w:t xml:space="preserve">. Les propositions devraient intégrer les considérations liées au genre et à la non-discrimination et cibler une représentation paritaire au sein des équipes et les activités du projet. Il est également important que les données individuelles collectées par les bénéficiaires soient ventilées par sexe </w:t>
      </w:r>
      <w:r w:rsidRPr="00473050">
        <w:rPr>
          <w:i/>
          <w:iCs/>
          <w:color w:val="000000"/>
        </w:rPr>
        <w:t>(</w:t>
      </w:r>
      <w:hyperlink r:id="rId44" w:history="1">
        <w:r w:rsidRPr="00473050">
          <w:rPr>
            <w:rStyle w:val="Hyperlink"/>
            <w:i/>
            <w:iCs/>
          </w:rPr>
          <w:t>données désagrégées par sexe</w:t>
        </w:r>
      </w:hyperlink>
      <w:r w:rsidRPr="00473050">
        <w:rPr>
          <w:i/>
          <w:iCs/>
          <w:color w:val="000000"/>
        </w:rPr>
        <w:t>)</w:t>
      </w:r>
      <w:r w:rsidRPr="00473050">
        <w:rPr>
          <w:color w:val="000000"/>
        </w:rPr>
        <w:t xml:space="preserve">, par handicap ou par âge lorsque cela est possible. </w:t>
      </w:r>
    </w:p>
    <w:p w14:paraId="28266E90" w14:textId="10C9CFF0" w:rsidR="00E95AAC" w:rsidRPr="00473050" w:rsidRDefault="00E95AAC" w:rsidP="42BB08A3">
      <w:pPr>
        <w:widowControl w:val="0"/>
        <w:rPr>
          <w:rFonts w:eastAsia="Calibri"/>
          <w:color w:val="000000"/>
        </w:rPr>
      </w:pPr>
      <w:r w:rsidRPr="00473050">
        <w:t>Les candidats doivent montrer dans leur candidature qu’ils respectent les principes éthiques ainsi que les valeurs de l’UE fondées sur l’article 2 du traité sur l’Union européenne et l’article 21 de la Charte des droits fondamentaux de l’UE.</w:t>
      </w:r>
      <w:r w:rsidRPr="00473050">
        <w:rPr>
          <w:color w:val="000000"/>
        </w:rPr>
        <w:t xml:space="preserve"> </w:t>
      </w:r>
    </w:p>
    <w:p w14:paraId="293AE190" w14:textId="27689D5D" w:rsidR="008C58B6" w:rsidRPr="00473050" w:rsidRDefault="008C58B6" w:rsidP="42BB08A3">
      <w:pPr>
        <w:widowControl w:val="0"/>
        <w:rPr>
          <w:rFonts w:eastAsia="Calibri"/>
          <w:color w:val="000000"/>
        </w:rPr>
      </w:pPr>
      <w:r w:rsidRPr="00473050">
        <w:t xml:space="preserve">Les participants qui exercent des activités impliquant des enfants doivent en outre disposer d’une politique de protection infantile couvrant les quatre domaines décrits dans </w:t>
      </w:r>
      <w:hyperlink r:id="rId45" w:history="1">
        <w:r w:rsidRPr="00473050">
          <w:rPr>
            <w:rStyle w:val="Hyperlink"/>
          </w:rPr>
          <w:t>Les normes de protection infantile de Keeping Children Safe</w:t>
        </w:r>
      </w:hyperlink>
      <w:r w:rsidRPr="00473050">
        <w:rPr>
          <w:rStyle w:val="Hyperlink"/>
          <w:color w:val="auto"/>
          <w:u w:val="none"/>
        </w:rPr>
        <w:t>.</w:t>
      </w:r>
      <w:r w:rsidRPr="00473050">
        <w:t xml:space="preserve"> Cette politique doit être disponible en ligne et transparente pour toutes les personnes qui sont en contact avec l’organisation. Elle doit comprendre des informations claires sur le recrutement du personnel (y compris les stagiaires et les bénévoles) et inclure des vérifications des antécédents (contrôle). Elle doit également prévoir des procédures et des règles claires pour le personnel, notamment des règles de signalement, et une formation continue.</w:t>
      </w:r>
    </w:p>
    <w:p w14:paraId="53A471EE" w14:textId="683081E0" w:rsidR="00656CD7" w:rsidRPr="00473050" w:rsidRDefault="007926FA" w:rsidP="000579AF">
      <w:pPr>
        <w:pStyle w:val="Heading1"/>
        <w:numPr>
          <w:ilvl w:val="0"/>
          <w:numId w:val="54"/>
        </w:numPr>
        <w:tabs>
          <w:tab w:val="left" w:pos="284"/>
        </w:tabs>
        <w:ind w:left="0" w:firstLine="0"/>
      </w:pPr>
      <w:bookmarkStart w:id="20" w:name="_Toc92977211"/>
      <w:r w:rsidRPr="00473050">
        <w:t>Capacité financière et opérationnelle et exclusion</w:t>
      </w:r>
      <w:bookmarkEnd w:id="20"/>
    </w:p>
    <w:p w14:paraId="66B3A3A8" w14:textId="77777777" w:rsidR="006E2A2A" w:rsidRPr="00473050" w:rsidRDefault="006E2A2A" w:rsidP="00510B7E">
      <w:pPr>
        <w:pStyle w:val="Heading3"/>
      </w:pPr>
      <w:bookmarkStart w:id="21" w:name="_Toc92977212"/>
      <w:r w:rsidRPr="00473050">
        <w:t>Capacité financière</w:t>
      </w:r>
      <w:bookmarkEnd w:id="21"/>
    </w:p>
    <w:p w14:paraId="149A48F6" w14:textId="77777777" w:rsidR="006E2A2A" w:rsidRPr="00473050" w:rsidRDefault="00C3565C" w:rsidP="006E2A2A">
      <w:pPr>
        <w:autoSpaceDE w:val="0"/>
        <w:autoSpaceDN w:val="0"/>
        <w:adjustRightInd w:val="0"/>
        <w:rPr>
          <w:rFonts w:cs="Verdana"/>
        </w:rPr>
      </w:pPr>
      <w:r w:rsidRPr="00473050">
        <w:t xml:space="preserve">Les candidats doivent disposer de </w:t>
      </w:r>
      <w:r w:rsidRPr="00473050">
        <w:rPr>
          <w:b/>
          <w:bCs/>
        </w:rPr>
        <w:t>ressources stables et suffisantes</w:t>
      </w:r>
      <w:r w:rsidRPr="00473050">
        <w:t xml:space="preserve"> pour mener à bien les projets et apporter leur contribution. Les organisations participant à plusieurs projets doivent disposer d’une capacité suffisante pour mettre en œuvre l’ensemble de ces projets.</w:t>
      </w:r>
    </w:p>
    <w:p w14:paraId="7DEDD28A" w14:textId="7369C463" w:rsidR="006E2A2A" w:rsidRPr="00473050" w:rsidRDefault="006E2A2A" w:rsidP="006E2A2A">
      <w:pPr>
        <w:autoSpaceDE w:val="0"/>
        <w:autoSpaceDN w:val="0"/>
        <w:adjustRightInd w:val="0"/>
        <w:rPr>
          <w:rFonts w:cs="Verdana"/>
        </w:rPr>
      </w:pPr>
      <w:r w:rsidRPr="00473050">
        <w:rPr>
          <w:color w:val="000000"/>
        </w:rPr>
        <w:t xml:space="preserve">La vérification de la capacité financière sera effectuée sur la base des documents qu’il vous sera demandé de télécharger dans le </w:t>
      </w:r>
      <w:hyperlink r:id="rId46" w:history="1">
        <w:r w:rsidRPr="00473050">
          <w:rPr>
            <w:rStyle w:val="Hyperlink"/>
          </w:rPr>
          <w:t>registre des participants</w:t>
        </w:r>
      </w:hyperlink>
      <w:r w:rsidRPr="00473050">
        <w:rPr>
          <w:color w:val="000000"/>
        </w:rPr>
        <w:t xml:space="preserve"> lors de la préparation de la subvention </w:t>
      </w:r>
      <w:r w:rsidRPr="00473050">
        <w:rPr>
          <w:i/>
          <w:iCs/>
          <w:color w:val="000000"/>
        </w:rPr>
        <w:t xml:space="preserve">(par exemple, </w:t>
      </w:r>
      <w:r w:rsidRPr="00473050">
        <w:rPr>
          <w:i/>
          <w:iCs/>
        </w:rPr>
        <w:t>compte de pertes et profits et bilan, plan d’affaires, rapport d’audit établi par un auditeur externe agréé, certifiant les comptes du dernier exercice clôturé, etc.)</w:t>
      </w:r>
      <w:r w:rsidRPr="00473050">
        <w:t>. L’analyse se fondera sur des indicateurs financiers neutres, mais tiendra également compte d’autres aspects, tels que la dépendance à l’égard du financement de l’UE et le déficit et les recettes des années précédentes.</w:t>
      </w:r>
    </w:p>
    <w:p w14:paraId="27B2FBC9" w14:textId="77777777" w:rsidR="006E2A2A" w:rsidRPr="00473050" w:rsidRDefault="00736C6F" w:rsidP="006E2A2A">
      <w:pPr>
        <w:autoSpaceDE w:val="0"/>
        <w:autoSpaceDN w:val="0"/>
        <w:adjustRightInd w:val="0"/>
        <w:spacing w:after="120"/>
        <w:rPr>
          <w:rFonts w:cs="Verdana"/>
        </w:rPr>
      </w:pPr>
      <w:r w:rsidRPr="00473050">
        <w:t xml:space="preserve">Le contrôle sera normalement effectué pour tous les bénéficiaires, sauf: </w:t>
      </w:r>
    </w:p>
    <w:p w14:paraId="1872070B" w14:textId="6F724904" w:rsidR="006E2A2A" w:rsidRPr="00473050" w:rsidRDefault="006E2A2A" w:rsidP="008B1F42">
      <w:pPr>
        <w:widowControl w:val="0"/>
        <w:numPr>
          <w:ilvl w:val="0"/>
          <w:numId w:val="34"/>
        </w:numPr>
        <w:spacing w:after="120"/>
        <w:ind w:left="709"/>
        <w:jc w:val="left"/>
        <w:rPr>
          <w:rFonts w:cs="Verdana"/>
        </w:rPr>
      </w:pPr>
      <w:r w:rsidRPr="00473050">
        <w:t>les organismes publics (entités créées en tant qu’organismes publics en vertu du droit national, y compris les autorités locales, régionales ou nationales) ou les organisations internationales;</w:t>
      </w:r>
    </w:p>
    <w:p w14:paraId="6984ED3C" w14:textId="77777777" w:rsidR="006E2A2A" w:rsidRPr="00473050" w:rsidRDefault="006E2A2A" w:rsidP="008B1F42">
      <w:pPr>
        <w:widowControl w:val="0"/>
        <w:numPr>
          <w:ilvl w:val="0"/>
          <w:numId w:val="34"/>
        </w:numPr>
        <w:ind w:left="709" w:hanging="357"/>
        <w:rPr>
          <w:rFonts w:cs="Verdana"/>
        </w:rPr>
      </w:pPr>
      <w:r w:rsidRPr="00473050">
        <w:t>si le montant de la subvention individuelle demandée n’excède pas 60 000 EUR.</w:t>
      </w:r>
    </w:p>
    <w:p w14:paraId="2B8E1880" w14:textId="77777777" w:rsidR="008D31F6" w:rsidRPr="00473050" w:rsidRDefault="008D31F6" w:rsidP="008D31F6">
      <w:pPr>
        <w:autoSpaceDE w:val="0"/>
        <w:autoSpaceDN w:val="0"/>
        <w:adjustRightInd w:val="0"/>
        <w:rPr>
          <w:rFonts w:cs="Verdana"/>
        </w:rPr>
      </w:pPr>
      <w:r w:rsidRPr="00473050">
        <w:lastRenderedPageBreak/>
        <w:t>Si nécessaire, il peut également être effectué pour les entités affiliées.</w:t>
      </w:r>
    </w:p>
    <w:p w14:paraId="054EAA17" w14:textId="77777777" w:rsidR="006E2A2A" w:rsidRPr="00473050" w:rsidRDefault="006E2A2A" w:rsidP="006E2A2A">
      <w:pPr>
        <w:autoSpaceDE w:val="0"/>
        <w:autoSpaceDN w:val="0"/>
        <w:adjustRightInd w:val="0"/>
        <w:spacing w:after="120"/>
        <w:rPr>
          <w:rFonts w:cs="Verdana"/>
        </w:rPr>
      </w:pPr>
      <w:r w:rsidRPr="00473050">
        <w:t>Si nous estimons que votre capacité financière n’est pas satisfaisante, nous pourrions vous demander:</w:t>
      </w:r>
    </w:p>
    <w:p w14:paraId="35DFE1B0" w14:textId="77777777" w:rsidR="006E2A2A" w:rsidRPr="00473050" w:rsidRDefault="006E2A2A" w:rsidP="008B1F42">
      <w:pPr>
        <w:widowControl w:val="0"/>
        <w:numPr>
          <w:ilvl w:val="0"/>
          <w:numId w:val="35"/>
        </w:numPr>
        <w:spacing w:after="120"/>
        <w:jc w:val="left"/>
        <w:rPr>
          <w:rFonts w:cs="Verdana"/>
        </w:rPr>
      </w:pPr>
      <w:r w:rsidRPr="00473050">
        <w:t>des informations complémentaires;</w:t>
      </w:r>
    </w:p>
    <w:p w14:paraId="68E1F2A7" w14:textId="77777777" w:rsidR="006E2A2A" w:rsidRPr="00473050" w:rsidRDefault="006E2A2A" w:rsidP="008B1F42">
      <w:pPr>
        <w:widowControl w:val="0"/>
        <w:numPr>
          <w:ilvl w:val="0"/>
          <w:numId w:val="35"/>
        </w:numPr>
        <w:spacing w:after="120"/>
        <w:jc w:val="left"/>
        <w:rPr>
          <w:rFonts w:cs="Verdana"/>
        </w:rPr>
      </w:pPr>
      <w:r w:rsidRPr="00473050">
        <w:t xml:space="preserve">un régime renforcé de responsabilité financière, c’est-à-dire une responsabilité conjointe et solidaire pour tous les bénéficiaires ou une responsabilité conjointe et solidaire des entités affiliées </w:t>
      </w:r>
      <w:r w:rsidRPr="00473050">
        <w:rPr>
          <w:i/>
        </w:rPr>
        <w:t>(voir la section 10 ci-dessous);</w:t>
      </w:r>
    </w:p>
    <w:p w14:paraId="3F26E914" w14:textId="77777777" w:rsidR="006E2A2A" w:rsidRPr="00473050" w:rsidRDefault="006E2A2A" w:rsidP="008B1F42">
      <w:pPr>
        <w:widowControl w:val="0"/>
        <w:numPr>
          <w:ilvl w:val="0"/>
          <w:numId w:val="35"/>
        </w:numPr>
        <w:spacing w:after="120"/>
        <w:jc w:val="left"/>
        <w:rPr>
          <w:rFonts w:cs="Verdana"/>
        </w:rPr>
      </w:pPr>
      <w:r w:rsidRPr="00473050">
        <w:t xml:space="preserve">un préfinancement versé par tranches; </w:t>
      </w:r>
    </w:p>
    <w:p w14:paraId="52C87A22" w14:textId="77777777" w:rsidR="006E2A2A" w:rsidRPr="00473050" w:rsidRDefault="006E2A2A" w:rsidP="008B1F42">
      <w:pPr>
        <w:widowControl w:val="0"/>
        <w:numPr>
          <w:ilvl w:val="0"/>
          <w:numId w:val="35"/>
        </w:numPr>
        <w:spacing w:after="120"/>
        <w:jc w:val="left"/>
        <w:rPr>
          <w:rFonts w:cs="Verdana"/>
        </w:rPr>
      </w:pPr>
      <w:r w:rsidRPr="00473050">
        <w:t xml:space="preserve">(une ou plusieurs) garanties de préfinancement </w:t>
      </w:r>
      <w:r w:rsidRPr="00473050">
        <w:rPr>
          <w:i/>
          <w:iCs/>
        </w:rPr>
        <w:t>(voir la section 10 ci-dessous)</w:t>
      </w:r>
      <w:r w:rsidRPr="00473050">
        <w:t>;</w:t>
      </w:r>
    </w:p>
    <w:p w14:paraId="70024A55" w14:textId="77777777" w:rsidR="006E2A2A" w:rsidRPr="00473050" w:rsidRDefault="006E2A2A" w:rsidP="006526A5">
      <w:pPr>
        <w:autoSpaceDE w:val="0"/>
        <w:autoSpaceDN w:val="0"/>
        <w:adjustRightInd w:val="0"/>
        <w:spacing w:after="120"/>
        <w:ind w:left="360"/>
        <w:rPr>
          <w:rFonts w:cs="Verdana"/>
        </w:rPr>
      </w:pPr>
      <w:r w:rsidRPr="00473050">
        <w:t>ou</w:t>
      </w:r>
    </w:p>
    <w:p w14:paraId="22EA92DF" w14:textId="77777777" w:rsidR="006E2A2A" w:rsidRPr="00473050" w:rsidRDefault="00F82473" w:rsidP="008B1F42">
      <w:pPr>
        <w:widowControl w:val="0"/>
        <w:numPr>
          <w:ilvl w:val="0"/>
          <w:numId w:val="35"/>
        </w:numPr>
        <w:spacing w:after="120"/>
        <w:jc w:val="left"/>
        <w:rPr>
          <w:rFonts w:cs="Verdana"/>
        </w:rPr>
      </w:pPr>
      <w:r w:rsidRPr="00473050">
        <w:t>ne proposer aucun préfinancement;</w:t>
      </w:r>
    </w:p>
    <w:p w14:paraId="1C112F62" w14:textId="77777777" w:rsidR="004872A5" w:rsidRPr="00473050" w:rsidRDefault="00F82473" w:rsidP="008B1F42">
      <w:pPr>
        <w:widowControl w:val="0"/>
        <w:numPr>
          <w:ilvl w:val="0"/>
          <w:numId w:val="35"/>
        </w:numPr>
        <w:ind w:left="714" w:hanging="357"/>
        <w:jc w:val="left"/>
        <w:rPr>
          <w:rFonts w:cs="Verdana"/>
        </w:rPr>
      </w:pPr>
      <w:r w:rsidRPr="00473050">
        <w:t>demander que vous soyez remplacé ou, au besoin, rejeter l’intégralité de la proposition.</w:t>
      </w:r>
    </w:p>
    <w:p w14:paraId="51C2ADF5" w14:textId="3B9FEE5F" w:rsidR="004872A5" w:rsidRPr="00473050" w:rsidRDefault="005A3754" w:rsidP="004872A5">
      <w:pPr>
        <w:autoSpaceDE w:val="0"/>
        <w:autoSpaceDN w:val="0"/>
        <w:adjustRightInd w:val="0"/>
        <w:rPr>
          <w:rFonts w:cs="Verdana"/>
        </w:rPr>
      </w:pPr>
      <w:r w:rsidRPr="00473050">
        <w:rPr>
          <w:noProof/>
          <w:lang w:val="en-IE" w:eastAsia="en-IE"/>
        </w:rPr>
        <w:drawing>
          <wp:inline distT="0" distB="0" distL="0" distR="0" wp14:anchorId="3DE171D9" wp14:editId="51BBA326">
            <wp:extent cx="187960" cy="187960"/>
            <wp:effectExtent l="0" t="0" r="0" b="0"/>
            <wp:docPr id="8" name="Picture 670183101"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183101" name="Picture 670183101" title="Title: Title: Title: https://lh5.googleusercontent.com/-n5VVWXljoCs/T8X1egaB-BI/AAAAAAAAC1I/fLBP4VIzxQM/s16/infoIcon_blue.png"/>
                    <pic:cNvPicPr/>
                  </pic:nvPicPr>
                  <pic:blipFill>
                    <a:blip r:embed="rId33">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473050">
        <w:t xml:space="preserve">Pour de plus amples informations, </w:t>
      </w:r>
      <w:r w:rsidRPr="00473050">
        <w:rPr>
          <w:i/>
          <w:iCs/>
        </w:rPr>
        <w:t xml:space="preserve">voir les </w:t>
      </w:r>
      <w:hyperlink r:id="rId47">
        <w:r w:rsidRPr="00473050">
          <w:rPr>
            <w:rStyle w:val="Hyperlink"/>
            <w:i/>
            <w:iCs/>
          </w:rPr>
          <w:t>règles relatives à la validation des entités juridiques, à la désignation du représentant de l’entité juridique et à l’évaluation de la capacité financière</w:t>
        </w:r>
      </w:hyperlink>
      <w:r w:rsidRPr="00473050">
        <w:t xml:space="preserve">. </w:t>
      </w:r>
    </w:p>
    <w:p w14:paraId="3ACB9AAA" w14:textId="77777777" w:rsidR="006E2A2A" w:rsidRPr="00473050" w:rsidRDefault="006E2A2A" w:rsidP="00510B7E">
      <w:pPr>
        <w:pStyle w:val="Heading3"/>
      </w:pPr>
      <w:bookmarkStart w:id="22" w:name="_Toc92977213"/>
      <w:r w:rsidRPr="00473050">
        <w:t>Capacité opérationnelle</w:t>
      </w:r>
      <w:bookmarkEnd w:id="22"/>
    </w:p>
    <w:p w14:paraId="2FF93796" w14:textId="77777777" w:rsidR="006E2A2A" w:rsidRPr="00473050" w:rsidRDefault="00C3565C" w:rsidP="006E2A2A">
      <w:pPr>
        <w:pStyle w:val="Text3"/>
        <w:ind w:left="0"/>
      </w:pPr>
      <w:r w:rsidRPr="00473050">
        <w:t xml:space="preserve">Les candidats doivent disposer du </w:t>
      </w:r>
      <w:r w:rsidRPr="00473050">
        <w:rPr>
          <w:b/>
          <w:bCs/>
        </w:rPr>
        <w:t>savoir-faire, des qualifications</w:t>
      </w:r>
      <w:r w:rsidRPr="00473050">
        <w:t xml:space="preserve"> et des </w:t>
      </w:r>
      <w:r w:rsidRPr="00473050">
        <w:rPr>
          <w:b/>
          <w:bCs/>
        </w:rPr>
        <w:t>ressources</w:t>
      </w:r>
      <w:r w:rsidRPr="00473050">
        <w:t xml:space="preserve"> nécessaires pour mettre en œuvre avec succès les projets et apporter leur contribution (notamment une expérience suffisante dans des projets de taille et de nature comparables). </w:t>
      </w:r>
    </w:p>
    <w:p w14:paraId="2201BC88" w14:textId="782EDE19" w:rsidR="00ED6A73" w:rsidRPr="00473050" w:rsidRDefault="00B63826" w:rsidP="00B63826">
      <w:pPr>
        <w:pStyle w:val="Text3"/>
        <w:ind w:left="0"/>
      </w:pPr>
      <w:r w:rsidRPr="00473050">
        <w:t xml:space="preserve">Cette capacité sera évaluée conjointement avec le critère d’attribution «Qualité» sur la base des compétences et de l’expérience des candidats et de leurs équipes de projet, y compris les ressources opérationnelles (humaines, techniques et autres) ou, exceptionnellement, des mesures proposées pour l’obtenir avant le début de la mise en œuvre des tâches. </w:t>
      </w:r>
    </w:p>
    <w:p w14:paraId="4FA70017" w14:textId="4406A1FB" w:rsidR="00B63826" w:rsidRPr="00473050" w:rsidRDefault="00B63826" w:rsidP="00B63826">
      <w:pPr>
        <w:pStyle w:val="Text3"/>
        <w:ind w:left="0"/>
        <w:rPr>
          <w:iCs/>
        </w:rPr>
      </w:pPr>
      <w:r w:rsidRPr="00473050">
        <w:t xml:space="preserve">Si l’évaluation du critère d’attribution est positive, les candidats sont considérés comme disposant d’une capacité opérationnelle suffisante. </w:t>
      </w:r>
    </w:p>
    <w:p w14:paraId="100BC74F" w14:textId="210545B4" w:rsidR="006E2A2A" w:rsidRPr="00473050" w:rsidRDefault="006E2A2A" w:rsidP="006E2A2A">
      <w:pPr>
        <w:pStyle w:val="Text3"/>
        <w:spacing w:after="120"/>
        <w:ind w:left="0"/>
        <w:rPr>
          <w:iCs/>
        </w:rPr>
      </w:pPr>
      <w:r w:rsidRPr="00473050">
        <w:t>Les candidats devront démontrer leur capacité en fournissant les informations suivantes:</w:t>
      </w:r>
    </w:p>
    <w:p w14:paraId="2EE9C956" w14:textId="77777777" w:rsidR="006E2A2A" w:rsidRPr="00473050" w:rsidRDefault="006E2A2A" w:rsidP="008B1F42">
      <w:pPr>
        <w:widowControl w:val="0"/>
        <w:numPr>
          <w:ilvl w:val="0"/>
          <w:numId w:val="39"/>
        </w:numPr>
        <w:spacing w:after="120"/>
        <w:ind w:left="709"/>
        <w:rPr>
          <w:iCs/>
        </w:rPr>
      </w:pPr>
      <w:r w:rsidRPr="00473050">
        <w:t>les profils généraux (qualifications et expérience) du personnel responsable de la gestion et de la mise en œuvre du projet,</w:t>
      </w:r>
    </w:p>
    <w:p w14:paraId="59DDC574" w14:textId="11BA162A" w:rsidR="006E2A2A" w:rsidRPr="00473050" w:rsidRDefault="003D41B5" w:rsidP="008B1F42">
      <w:pPr>
        <w:widowControl w:val="0"/>
        <w:numPr>
          <w:ilvl w:val="0"/>
          <w:numId w:val="39"/>
        </w:numPr>
        <w:spacing w:after="120"/>
        <w:ind w:left="709"/>
        <w:jc w:val="left"/>
        <w:rPr>
          <w:iCs/>
        </w:rPr>
      </w:pPr>
      <w:r w:rsidRPr="00473050">
        <w:t>la description des participants au consortium (s’il y a lieu),</w:t>
      </w:r>
    </w:p>
    <w:p w14:paraId="636FD13C" w14:textId="34E49CF9" w:rsidR="0091480A" w:rsidRPr="00473050" w:rsidRDefault="009F0186" w:rsidP="008B1F42">
      <w:pPr>
        <w:widowControl w:val="0"/>
        <w:numPr>
          <w:ilvl w:val="0"/>
          <w:numId w:val="39"/>
        </w:numPr>
        <w:spacing w:after="120"/>
        <w:ind w:left="709"/>
        <w:jc w:val="left"/>
        <w:rPr>
          <w:iCs/>
        </w:rPr>
      </w:pPr>
      <w:r w:rsidRPr="00473050">
        <w:t>la liste des projets antérieurs (projets clés des 4 dernières années).</w:t>
      </w:r>
    </w:p>
    <w:p w14:paraId="4146F9AB" w14:textId="77777777" w:rsidR="00500DB3" w:rsidRPr="00473050" w:rsidRDefault="00FD4F03" w:rsidP="006E2A2A">
      <w:pPr>
        <w:pStyle w:val="Text3"/>
        <w:ind w:left="0"/>
        <w:rPr>
          <w:iCs/>
        </w:rPr>
      </w:pPr>
      <w:r w:rsidRPr="00473050">
        <w:t>Des pièces justificatives supplémentaires peuvent être demandées, si nécessaire, pour confirmer la capacité opérationnelle de tout candidat.</w:t>
      </w:r>
    </w:p>
    <w:p w14:paraId="5AE4F088" w14:textId="4829F045" w:rsidR="006E2A2A" w:rsidRPr="00473050" w:rsidRDefault="006E2A2A" w:rsidP="006E2A2A">
      <w:pPr>
        <w:pStyle w:val="Text3"/>
        <w:ind w:left="0"/>
        <w:rPr>
          <w:iCs/>
        </w:rPr>
      </w:pPr>
      <w:r w:rsidRPr="00473050">
        <w:t xml:space="preserve">Les organismes publics, les organisations des États membres et les organisations internationales ne sont pas soumis à la vérification des capacités opérationnelles. </w:t>
      </w:r>
    </w:p>
    <w:p w14:paraId="66520A48" w14:textId="77777777" w:rsidR="00276AD7" w:rsidRPr="00473050" w:rsidRDefault="00267836" w:rsidP="00510B7E">
      <w:pPr>
        <w:pStyle w:val="Heading3"/>
      </w:pPr>
      <w:bookmarkStart w:id="23" w:name="_Toc92977214"/>
      <w:r w:rsidRPr="00473050">
        <w:t>Exclusion</w:t>
      </w:r>
      <w:bookmarkEnd w:id="23"/>
    </w:p>
    <w:p w14:paraId="746153C7" w14:textId="77777777" w:rsidR="00267836" w:rsidRPr="00473050" w:rsidRDefault="0030065F" w:rsidP="002B5DFF">
      <w:pPr>
        <w:pStyle w:val="Text1"/>
        <w:spacing w:after="120"/>
        <w:ind w:left="0"/>
        <w:rPr>
          <w:rFonts w:eastAsia="Calibri"/>
        </w:rPr>
      </w:pPr>
      <w:r w:rsidRPr="00473050">
        <w:lastRenderedPageBreak/>
        <w:t xml:space="preserve">Les candidats qui font l’objet d’une </w:t>
      </w:r>
      <w:r w:rsidRPr="00473050">
        <w:rPr>
          <w:b/>
          <w:bCs/>
        </w:rPr>
        <w:t>décision d’exclusion prise par l’UE</w:t>
      </w:r>
      <w:r w:rsidRPr="00473050">
        <w:t xml:space="preserve"> ou qui se trouvent dans l’une des </w:t>
      </w:r>
      <w:r w:rsidRPr="00473050">
        <w:rPr>
          <w:b/>
          <w:bCs/>
        </w:rPr>
        <w:t>situations d’exclusion</w:t>
      </w:r>
      <w:r w:rsidRPr="00473050">
        <w:t xml:space="preserve"> suivantes qui les empêchent de recevoir un financement de l’UE ne peuvent PAS participer</w:t>
      </w:r>
      <w:r w:rsidR="005124D8" w:rsidRPr="00473050">
        <w:rPr>
          <w:rFonts w:eastAsia="SimSun"/>
          <w:vertAlign w:val="superscript"/>
        </w:rPr>
        <w:footnoteReference w:id="19"/>
      </w:r>
      <w:r w:rsidRPr="00473050">
        <w:t>:</w:t>
      </w:r>
    </w:p>
    <w:p w14:paraId="7DBEE11E" w14:textId="77777777" w:rsidR="00267836" w:rsidRPr="00473050" w:rsidRDefault="00267836" w:rsidP="00584316">
      <w:pPr>
        <w:numPr>
          <w:ilvl w:val="3"/>
          <w:numId w:val="19"/>
        </w:numPr>
        <w:snapToGrid w:val="0"/>
        <w:spacing w:after="120"/>
        <w:ind w:left="709"/>
        <w:rPr>
          <w:rFonts w:eastAsia="Calibri"/>
        </w:rPr>
      </w:pPr>
      <w:r w:rsidRPr="00473050">
        <w:t>faillite, liquidation, règlement judiciaire, concordat préventif, cessation d’activité ou autres procédures similaires (y compris les procédures pour les personnes ayant une responsabilité illimitée pour les dettes du candidat);</w:t>
      </w:r>
    </w:p>
    <w:p w14:paraId="1ECF36A2" w14:textId="77777777" w:rsidR="00267836" w:rsidRPr="00473050" w:rsidRDefault="00267836" w:rsidP="00584316">
      <w:pPr>
        <w:numPr>
          <w:ilvl w:val="2"/>
          <w:numId w:val="20"/>
        </w:numPr>
        <w:snapToGrid w:val="0"/>
        <w:spacing w:after="120"/>
        <w:ind w:left="709"/>
        <w:rPr>
          <w:rFonts w:eastAsia="Calibri"/>
        </w:rPr>
      </w:pPr>
      <w:r w:rsidRPr="00473050">
        <w:t>violation des obligations en matière de sécurité sociale ou de fiscalité (y compris si elle est le fait de personnes ayant une responsabilité illimitée pour les dettes du candidat);</w:t>
      </w:r>
    </w:p>
    <w:p w14:paraId="0E6FACB6" w14:textId="32F9B49C" w:rsidR="00267836" w:rsidRPr="00473050" w:rsidRDefault="00267836" w:rsidP="00584316">
      <w:pPr>
        <w:numPr>
          <w:ilvl w:val="2"/>
          <w:numId w:val="20"/>
        </w:numPr>
        <w:snapToGrid w:val="0"/>
        <w:spacing w:after="120"/>
        <w:ind w:left="709"/>
        <w:rPr>
          <w:rFonts w:eastAsia="Calibri"/>
        </w:rPr>
      </w:pPr>
      <w:r w:rsidRPr="00473050">
        <w:t>faute grave en matière professionnelle</w:t>
      </w:r>
      <w:r w:rsidRPr="00473050">
        <w:rPr>
          <w:rFonts w:eastAsia="Calibri"/>
          <w:vertAlign w:val="superscript"/>
          <w:lang w:eastAsia="zh-CN"/>
        </w:rPr>
        <w:footnoteReference w:id="20"/>
      </w:r>
      <w:r w:rsidRPr="00473050">
        <w:t xml:space="preserve"> (y compris si elle est le fait de personnes ayant un pouvoir de représentation, de décision ou de contrôle, de bénéficiaires effectifs ou de personnes physiques qui sont essentielles pour l’octroi/l’exécution de la subvention); </w:t>
      </w:r>
    </w:p>
    <w:p w14:paraId="0465AD17" w14:textId="74F042D4" w:rsidR="00267836" w:rsidRPr="00473050" w:rsidRDefault="00FE58D1" w:rsidP="00584316">
      <w:pPr>
        <w:numPr>
          <w:ilvl w:val="2"/>
          <w:numId w:val="20"/>
        </w:numPr>
        <w:snapToGrid w:val="0"/>
        <w:spacing w:after="120"/>
        <w:ind w:left="709"/>
        <w:rPr>
          <w:rFonts w:eastAsia="Calibri"/>
        </w:rPr>
      </w:pPr>
      <w:r w:rsidRPr="00473050">
        <w:t>fraude, corruption, liens avec une organisation criminelle, blanchiment d’argent, infractions liées au terrorisme (y compris le financement du terrorisme, le travail des enfants ou la traite des êtres humains (y compris s’ils sont le fait de personnes ayant un pouvoir de représentation, de décision ou de contrôle, de bénéficiaires effectifs ou de personnes physiques qui sont essentielles pour l’octroi/l’exécution de la subvention).</w:t>
      </w:r>
    </w:p>
    <w:p w14:paraId="4BAE0C78" w14:textId="1064C024" w:rsidR="00267836" w:rsidRPr="00473050" w:rsidRDefault="00267836" w:rsidP="00584316">
      <w:pPr>
        <w:numPr>
          <w:ilvl w:val="1"/>
          <w:numId w:val="19"/>
        </w:numPr>
        <w:snapToGrid w:val="0"/>
        <w:spacing w:after="120"/>
        <w:ind w:left="709" w:hanging="357"/>
        <w:rPr>
          <w:rFonts w:eastAsia="Calibri"/>
        </w:rPr>
      </w:pPr>
      <w:r w:rsidRPr="00473050">
        <w:t>lacunes importantes en ce qui concerne le respect des principales obligations liées à un marché public, un prix, un contrat d’expert, ou similaire (y compris si elles sont le fait de personnes ayant un pouvoir de représentation, de décision ou de contrôle, de bénéficiaires effectifs ou de personnes physiques qui sont essentielles pour l’octroi/l’exécution de la subvention);</w:t>
      </w:r>
    </w:p>
    <w:p w14:paraId="6F212B83" w14:textId="01887547" w:rsidR="00E94DFF" w:rsidRPr="00473050" w:rsidRDefault="00267836" w:rsidP="00584316">
      <w:pPr>
        <w:numPr>
          <w:ilvl w:val="1"/>
          <w:numId w:val="19"/>
        </w:numPr>
        <w:snapToGrid w:val="0"/>
        <w:ind w:left="709" w:hanging="357"/>
        <w:rPr>
          <w:rFonts w:eastAsia="Calibri"/>
        </w:rPr>
      </w:pPr>
      <w:r w:rsidRPr="00473050">
        <w:t>irrégularité au sens de l’article 1</w:t>
      </w:r>
      <w:r w:rsidRPr="00473050">
        <w:rPr>
          <w:vertAlign w:val="superscript"/>
        </w:rPr>
        <w:t>er</w:t>
      </w:r>
      <w:r w:rsidRPr="00473050">
        <w:t>, paragraphe 2, du règlement nº </w:t>
      </w:r>
      <w:hyperlink r:id="rId48" w:history="1">
        <w:r w:rsidRPr="00473050">
          <w:rPr>
            <w:rStyle w:val="Hyperlink"/>
          </w:rPr>
          <w:t>2988/95</w:t>
        </w:r>
      </w:hyperlink>
      <w:r w:rsidRPr="00473050">
        <w:t xml:space="preserve"> (y compris si elles sont le fait de personnes ayant un pouvoir de représentation, de décision ou de contrôle, de bénéficiaires effectifs ou de personnes physiques qui sont essentielles pour l’octroi/l’exécution de la subvention);</w:t>
      </w:r>
    </w:p>
    <w:p w14:paraId="668F2B36" w14:textId="65F190E1" w:rsidR="00276AD7" w:rsidRPr="00473050" w:rsidRDefault="00E94DFF" w:rsidP="00584316">
      <w:pPr>
        <w:numPr>
          <w:ilvl w:val="1"/>
          <w:numId w:val="19"/>
        </w:numPr>
        <w:snapToGrid w:val="0"/>
        <w:ind w:left="709" w:hanging="357"/>
        <w:rPr>
          <w:rFonts w:eastAsia="Calibri"/>
        </w:rPr>
      </w:pPr>
      <w:r w:rsidRPr="00473050">
        <w:t>constitution dans une autre juridiction dans l’intention de se soustraire à des obligations fiscales, sociales ou autres engagements juridiques dans le pays d’origine ou constitution d’une autre entité à cette fin (y compris si elles sont le fait de personnes ayant un pouvoir de représentation, de décision ou de contrôle, de bénéficiaires effectifs ou de personnes physiques qui sont essentielles pour l’octroi/l’exécution de la subvention).</w:t>
      </w:r>
    </w:p>
    <w:p w14:paraId="1D79A2BE" w14:textId="77777777" w:rsidR="000844D0" w:rsidRPr="00473050" w:rsidRDefault="000844D0" w:rsidP="00F81E91">
      <w:pPr>
        <w:snapToGrid w:val="0"/>
      </w:pPr>
      <w:r w:rsidRPr="00473050">
        <w:t>Les candidats essuieront également un refus s’il s’avère, au cours de la procédure d’octroi de la subvention, qu’ils</w:t>
      </w:r>
      <w:r w:rsidR="00C9027A" w:rsidRPr="00473050">
        <w:rPr>
          <w:rStyle w:val="FootnoteReference"/>
          <w:rFonts w:eastAsia="Calibri"/>
          <w:lang w:eastAsia="zh-CN"/>
        </w:rPr>
        <w:footnoteReference w:id="21"/>
      </w:r>
      <w:r w:rsidRPr="00473050">
        <w:t xml:space="preserve">: </w:t>
      </w:r>
    </w:p>
    <w:p w14:paraId="6555470F" w14:textId="77777777" w:rsidR="000844D0" w:rsidRPr="00473050" w:rsidRDefault="00B7081A" w:rsidP="00584316">
      <w:pPr>
        <w:pStyle w:val="Default"/>
        <w:numPr>
          <w:ilvl w:val="0"/>
          <w:numId w:val="21"/>
        </w:numPr>
        <w:spacing w:after="200"/>
        <w:jc w:val="both"/>
        <w:rPr>
          <w:rFonts w:ascii="Verdana" w:hAnsi="Verdana"/>
          <w:sz w:val="20"/>
          <w:szCs w:val="20"/>
        </w:rPr>
      </w:pPr>
      <w:r w:rsidRPr="00473050">
        <w:rPr>
          <w:rFonts w:ascii="Verdana" w:hAnsi="Verdana"/>
          <w:sz w:val="20"/>
          <w:szCs w:val="20"/>
        </w:rPr>
        <w:t xml:space="preserve">au cours de la procédure d’attribution, ont présenté de fausses déclarations en ce qui concerne les informations exigées pour participer à la procédure ou n’ont pas communiqué ces informations; </w:t>
      </w:r>
    </w:p>
    <w:p w14:paraId="1393E75D" w14:textId="77777777" w:rsidR="00C93C87" w:rsidRPr="00473050" w:rsidRDefault="00B7081A" w:rsidP="00584316">
      <w:pPr>
        <w:pStyle w:val="Default"/>
        <w:numPr>
          <w:ilvl w:val="0"/>
          <w:numId w:val="21"/>
        </w:numPr>
        <w:spacing w:after="200"/>
        <w:jc w:val="both"/>
        <w:rPr>
          <w:rFonts w:ascii="Verdana" w:hAnsi="Verdana"/>
          <w:sz w:val="20"/>
          <w:szCs w:val="20"/>
        </w:rPr>
      </w:pPr>
      <w:r w:rsidRPr="00473050">
        <w:rPr>
          <w:rFonts w:ascii="Verdana" w:hAnsi="Verdana"/>
          <w:sz w:val="20"/>
          <w:szCs w:val="20"/>
        </w:rPr>
        <w:t>ont participé par le passé à la préparation de l’appel et cela entraîne une distorsion de concurrence qui ne peut être corrigée autrement (conflit d’intérêts).</w:t>
      </w:r>
    </w:p>
    <w:p w14:paraId="52FA627E" w14:textId="6564E345" w:rsidR="0076737E" w:rsidRPr="00473050" w:rsidRDefault="00510B7E" w:rsidP="000579AF">
      <w:pPr>
        <w:pStyle w:val="Heading1"/>
        <w:numPr>
          <w:ilvl w:val="0"/>
          <w:numId w:val="54"/>
        </w:numPr>
        <w:tabs>
          <w:tab w:val="left" w:pos="284"/>
        </w:tabs>
        <w:ind w:left="0" w:firstLine="0"/>
      </w:pPr>
      <w:bookmarkStart w:id="24" w:name="_Toc92977215"/>
      <w:r w:rsidRPr="00473050">
        <w:t>Procédure d’évaluation et d’attribution</w:t>
      </w:r>
      <w:bookmarkEnd w:id="24"/>
    </w:p>
    <w:p w14:paraId="4AEDF33E" w14:textId="2A21C125" w:rsidR="001A2CE3" w:rsidRPr="00473050" w:rsidRDefault="001E6C28" w:rsidP="001A2CE3">
      <w:r w:rsidRPr="00473050">
        <w:lastRenderedPageBreak/>
        <w:t xml:space="preserve">Les propositions devront suivre la </w:t>
      </w:r>
      <w:r w:rsidRPr="00473050">
        <w:rPr>
          <w:b/>
          <w:bCs/>
        </w:rPr>
        <w:t>procédure standard de soumission et d’évaluation</w:t>
      </w:r>
      <w:r w:rsidRPr="00473050">
        <w:t xml:space="preserve"> (soumission en une étape + évaluation en une étape). </w:t>
      </w:r>
    </w:p>
    <w:p w14:paraId="1D076F53" w14:textId="1FE6714E" w:rsidR="00BD67F7" w:rsidRPr="00473050" w:rsidRDefault="00593F0C" w:rsidP="0015357F">
      <w:r w:rsidRPr="00473050">
        <w:t xml:space="preserve">Un </w:t>
      </w:r>
      <w:r w:rsidRPr="00473050">
        <w:rPr>
          <w:b/>
        </w:rPr>
        <w:t>comité d’évaluation</w:t>
      </w:r>
      <w:r w:rsidRPr="00473050">
        <w:t xml:space="preserve"> (assisté d’experts externes indépendants) évaluera toutes les demandes. Les propositions seront d’abord contrôlées sous l’angle des exigences formelles (admissibilité et éligibilité, </w:t>
      </w:r>
      <w:r w:rsidRPr="00473050">
        <w:rPr>
          <w:i/>
          <w:iCs/>
        </w:rPr>
        <w:t>voir sections 5 et 6</w:t>
      </w:r>
      <w:r w:rsidRPr="00473050">
        <w:t xml:space="preserve">). Les propositions jugées admissibles et éligibles seront évaluées (pour chaque thème) sur le plan de la capacité opérationnelle et des critères d’attribution </w:t>
      </w:r>
      <w:r w:rsidRPr="00473050">
        <w:rPr>
          <w:i/>
        </w:rPr>
        <w:t>(voir sections 7 et 9)</w:t>
      </w:r>
      <w:r w:rsidRPr="00473050">
        <w:t xml:space="preserve"> puis classées en fonction de leurs notes.</w:t>
      </w:r>
    </w:p>
    <w:p w14:paraId="4BC27C4D" w14:textId="77777777" w:rsidR="00BE09D3" w:rsidRPr="00473050" w:rsidRDefault="00500DB3" w:rsidP="00211623">
      <w:pPr>
        <w:autoSpaceDE w:val="0"/>
        <w:autoSpaceDN w:val="0"/>
        <w:adjustRightInd w:val="0"/>
        <w:rPr>
          <w:rFonts w:cs="Arial"/>
        </w:rPr>
      </w:pPr>
      <w:r w:rsidRPr="00473050">
        <w:t xml:space="preserve">Pour les propositions ayant obtenu la même note (au sein d’un même thème ou d’une enveloppe budgétaire), un </w:t>
      </w:r>
      <w:r w:rsidRPr="00473050">
        <w:rPr>
          <w:b/>
          <w:bCs/>
        </w:rPr>
        <w:t>ordre de priorité</w:t>
      </w:r>
      <w:r w:rsidRPr="00473050">
        <w:t xml:space="preserve"> sera établi selon l’approche suivante: </w:t>
      </w:r>
    </w:p>
    <w:p w14:paraId="7F276C70" w14:textId="4CF76B9F" w:rsidR="00500DB3" w:rsidRPr="00473050" w:rsidRDefault="00BE09D3" w:rsidP="00BD5FB0">
      <w:pPr>
        <w:autoSpaceDE w:val="0"/>
        <w:autoSpaceDN w:val="0"/>
        <w:adjustRightInd w:val="0"/>
        <w:ind w:left="284"/>
        <w:rPr>
          <w:rFonts w:cs="Arial"/>
        </w:rPr>
      </w:pPr>
      <w:r w:rsidRPr="00473050">
        <w:t xml:space="preserve">successivement pour chaque groupe de propositions ex æquo, en commençant par le groupe ayant obtenu les meilleures notes et en poursuivant par ordre décroissant: </w:t>
      </w:r>
    </w:p>
    <w:p w14:paraId="63274A2E" w14:textId="3280FD8A" w:rsidR="00500DB3" w:rsidRPr="00473050" w:rsidRDefault="00500DB3" w:rsidP="00584316">
      <w:pPr>
        <w:numPr>
          <w:ilvl w:val="0"/>
          <w:numId w:val="30"/>
        </w:numPr>
        <w:autoSpaceDE w:val="0"/>
        <w:autoSpaceDN w:val="0"/>
        <w:adjustRightInd w:val="0"/>
        <w:ind w:left="714" w:hanging="357"/>
        <w:rPr>
          <w:rFonts w:cs="Arial"/>
        </w:rPr>
      </w:pPr>
      <w:r w:rsidRPr="00473050">
        <w:t xml:space="preserve">Les propositions ex æquo dans un même thème seront classées par ordre de priorité en fonction des notes attribuées au critère «Pertinence». Lorsque ces notes sont égales, la priorité sera fondée sur leurs notes au critère «Qualité». Lorsque ces notes sont égales, la priorité sera fondée sur leurs notes au critère «Incidence». </w:t>
      </w:r>
    </w:p>
    <w:p w14:paraId="309BB099" w14:textId="0A549492" w:rsidR="00A53E20" w:rsidRPr="00473050" w:rsidRDefault="00510B7E" w:rsidP="00A32077">
      <w:pPr>
        <w:shd w:val="clear" w:color="auto" w:fill="FFFFFF"/>
      </w:pPr>
      <w:r w:rsidRPr="00473050">
        <w:t>Les candidats de toutes les propositions seront informés du résultat de l’évaluation (</w:t>
      </w:r>
      <w:r w:rsidRPr="00473050">
        <w:rPr>
          <w:b/>
          <w:bCs/>
        </w:rPr>
        <w:t>lettre de résultat de l’évaluation</w:t>
      </w:r>
      <w:r w:rsidRPr="00473050">
        <w:t xml:space="preserve">). Si leurs propositions ont été retenues, les candidats seront invités à passer à la préparation de la demande de subvention; les propositions non retenues seront placées sur la liste de réserve ou rejetées. </w:t>
      </w:r>
    </w:p>
    <w:p w14:paraId="300D5057" w14:textId="45043F45" w:rsidR="006004D2" w:rsidRPr="00473050" w:rsidRDefault="005A3754" w:rsidP="006004D2">
      <w:pPr>
        <w:ind w:right="-31"/>
      </w:pPr>
      <w:r w:rsidRPr="00473050">
        <w:rPr>
          <w:noProof/>
          <w:lang w:val="en-IE" w:eastAsia="en-IE"/>
        </w:rPr>
        <w:drawing>
          <wp:inline distT="0" distB="0" distL="0" distR="0" wp14:anchorId="0CD967B4" wp14:editId="6D17CC44">
            <wp:extent cx="187960" cy="187960"/>
            <wp:effectExtent l="0" t="0" r="0" b="0"/>
            <wp:docPr id="9" name="Picture 548798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8798370"/>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473050">
        <w:t xml:space="preserve"> Un engagement de financement/une invitation à préparer la demande de subvention ne constitue PAS un engagement formel de financement. Nous devrons encore procéder à différentes vérifications juridiques avant d’attribuer la subvention: </w:t>
      </w:r>
      <w:r w:rsidRPr="00473050">
        <w:rPr>
          <w:i/>
          <w:iCs/>
        </w:rPr>
        <w:t>validation de l’entité légale, capacité financière, contrôle d’exclusion, etc</w:t>
      </w:r>
      <w:r w:rsidRPr="00473050">
        <w:t>.</w:t>
      </w:r>
    </w:p>
    <w:p w14:paraId="3A6DC8C6" w14:textId="25AE1349" w:rsidR="002B5DFF" w:rsidRPr="00473050" w:rsidRDefault="002B5DFF" w:rsidP="002B5DFF">
      <w:pPr>
        <w:ind w:right="-31"/>
      </w:pPr>
      <w:r w:rsidRPr="00473050">
        <w:t xml:space="preserve">La </w:t>
      </w:r>
      <w:r w:rsidRPr="00473050">
        <w:rPr>
          <w:b/>
        </w:rPr>
        <w:t>préparation de la demande de subvention</w:t>
      </w:r>
      <w:r w:rsidRPr="00473050">
        <w:t xml:space="preserve"> impliquera un dialogue qui aura pour but d’affiner les aspects techniques ou financiers du projet et pourrait exiger des informations complémentaires de votre part. Elle pourra également inclure des adaptations de la proposition visant à répondre aux recommandations du comité d’évaluation ou à d’autres préoccupations. La conformité constituera une condition préalable à la signature de la subvention.</w:t>
      </w:r>
    </w:p>
    <w:p w14:paraId="20BC1964" w14:textId="6B07D232" w:rsidR="006004D2" w:rsidRPr="00473050" w:rsidRDefault="006004D2" w:rsidP="002B5DFF">
      <w:pPr>
        <w:ind w:right="-31"/>
      </w:pPr>
      <w:r w:rsidRPr="00473050">
        <w:t xml:space="preserve">Si vous estimez que la procédure d’évaluation est entachée d’irrégularité, vous pouvez introduire une </w:t>
      </w:r>
      <w:r w:rsidRPr="00473050">
        <w:rPr>
          <w:b/>
        </w:rPr>
        <w:t>réclamation</w:t>
      </w:r>
      <w:r w:rsidRPr="00473050">
        <w:t xml:space="preserve"> (en respectant les délais et les procédures définis dans la lettre du résultat de l’évaluation). Veuillez noter que les notifications qui n’ont pas été ouvertes dans les 10 jours suivant leur envoi sont considérées comme ayant été consultées et que les dates limites seront décomptées à partir de l’ouverture/la consultation </w:t>
      </w:r>
      <w:r w:rsidRPr="00473050">
        <w:rPr>
          <w:i/>
        </w:rPr>
        <w:t xml:space="preserve">(voir aussi les </w:t>
      </w:r>
      <w:hyperlink r:id="rId49" w:history="1">
        <w:r w:rsidRPr="00473050">
          <w:rPr>
            <w:rStyle w:val="Hyperlink"/>
            <w:i/>
          </w:rPr>
          <w:t>Conditions générales du portail «Funding &amp; Tenders»</w:t>
        </w:r>
      </w:hyperlink>
      <w:r w:rsidRPr="00473050">
        <w:rPr>
          <w:i/>
        </w:rPr>
        <w:t>)</w:t>
      </w:r>
      <w:r w:rsidRPr="00473050">
        <w:t>. Veuillez également noter que pour les réclamations introduites par voie électronique, des limitations de caractères peuvent s’appliquer.</w:t>
      </w:r>
    </w:p>
    <w:p w14:paraId="6B26D36A" w14:textId="263DE822" w:rsidR="00417F25" w:rsidRPr="00473050" w:rsidRDefault="00417F25" w:rsidP="000579AF">
      <w:pPr>
        <w:pStyle w:val="Heading1"/>
        <w:numPr>
          <w:ilvl w:val="0"/>
          <w:numId w:val="54"/>
        </w:numPr>
        <w:tabs>
          <w:tab w:val="left" w:pos="284"/>
        </w:tabs>
        <w:ind w:left="0" w:firstLine="0"/>
      </w:pPr>
      <w:bookmarkStart w:id="25" w:name="_Toc92977216"/>
      <w:r w:rsidRPr="00473050">
        <w:t>Critères d’attribution</w:t>
      </w:r>
      <w:bookmarkEnd w:id="25"/>
    </w:p>
    <w:p w14:paraId="71E5D15E" w14:textId="6A12DD70" w:rsidR="00417F25" w:rsidRPr="00473050" w:rsidRDefault="00510B7E" w:rsidP="00417F25">
      <w:pPr>
        <w:pStyle w:val="Text1"/>
        <w:ind w:left="0"/>
        <w:rPr>
          <w:rFonts w:cs="Arial"/>
        </w:rPr>
      </w:pPr>
      <w:r w:rsidRPr="00473050">
        <w:t xml:space="preserve">Les </w:t>
      </w:r>
      <w:r w:rsidRPr="00473050">
        <w:rPr>
          <w:b/>
        </w:rPr>
        <w:t>critères d’attribution</w:t>
      </w:r>
      <w:r w:rsidRPr="00473050">
        <w:t xml:space="preserve"> du présent appel sont les suivants:</w:t>
      </w:r>
    </w:p>
    <w:p w14:paraId="75369EF4" w14:textId="1A7F2DAF" w:rsidR="00C3341E" w:rsidRPr="00473050" w:rsidRDefault="00C3341E" w:rsidP="42BB08A3">
      <w:pPr>
        <w:numPr>
          <w:ilvl w:val="0"/>
          <w:numId w:val="22"/>
        </w:numPr>
        <w:spacing w:line="259" w:lineRule="auto"/>
        <w:ind w:left="720"/>
        <w:rPr>
          <w:rFonts w:cs="Arial"/>
        </w:rPr>
      </w:pPr>
      <w:r w:rsidRPr="00473050">
        <w:rPr>
          <w:b/>
          <w:bCs/>
          <w:color w:val="A50021"/>
        </w:rPr>
        <w:t>Pertinence:</w:t>
      </w:r>
      <w:r w:rsidRPr="00473050">
        <w:t xml:space="preserve"> mesure dans laquelle la proposition correspond aux priorités et aux objectifs de l’appel; besoins clairement définis et solide évaluation des besoins; groupe cible clairement défini, avec une prise en compte appropriée de la perspective de genre; contribution au contexte stratégique et législatif de l’UE; dimension européenne/transnationale; impact/intérêt pour un certain nombre de pays (pays de l’UE ou pays tiers éligibles); possibilité d’utiliser les résultats </w:t>
      </w:r>
      <w:r w:rsidRPr="00473050">
        <w:lastRenderedPageBreak/>
        <w:t xml:space="preserve">dans d’autres pays; potentiel de développement de la confiance mutuelle/coopération transfrontalière. </w:t>
      </w:r>
      <w:r w:rsidRPr="00473050">
        <w:rPr>
          <w:color w:val="4AA55B"/>
          <w:sz w:val="19"/>
          <w:szCs w:val="19"/>
        </w:rPr>
        <w:t>(40 points)</w:t>
      </w:r>
    </w:p>
    <w:p w14:paraId="0B54B54E" w14:textId="5C3C8A79" w:rsidR="0036370D" w:rsidRPr="00473050" w:rsidRDefault="00C3341E" w:rsidP="42BB08A3">
      <w:pPr>
        <w:numPr>
          <w:ilvl w:val="0"/>
          <w:numId w:val="22"/>
        </w:numPr>
        <w:ind w:left="720"/>
        <w:rPr>
          <w:rFonts w:cs="Arial"/>
        </w:rPr>
      </w:pPr>
      <w:r w:rsidRPr="00473050">
        <w:rPr>
          <w:b/>
          <w:bCs/>
          <w:color w:val="A50021"/>
        </w:rPr>
        <w:t>Qualité:</w:t>
      </w:r>
      <w:r w:rsidRPr="00473050">
        <w:t xml:space="preserve"> clarté et cohérence du projet; liens logiques entre les problèmes et les besoins recensés et les solutions trouvées (concept de cadre logique); méthodologie de mise en œuvre du projet avec une prise en compte appropriée de la perspective de genre; (organisation du travail, calendrier, allocation des ressources et répartition des tâches entre les partenaires, risques et gestion des risques, suivi et évaluation); prise en compte des questions éthiques; faisabilité du projet dans le délai proposé. </w:t>
      </w:r>
      <w:r w:rsidRPr="00473050">
        <w:rPr>
          <w:color w:val="4AA55B"/>
          <w:sz w:val="19"/>
          <w:szCs w:val="19"/>
        </w:rPr>
        <w:t>(40 points)</w:t>
      </w:r>
    </w:p>
    <w:p w14:paraId="245A3914" w14:textId="174240EB" w:rsidR="00417F25" w:rsidRPr="00473050" w:rsidRDefault="00C3341E" w:rsidP="42BB08A3">
      <w:pPr>
        <w:numPr>
          <w:ilvl w:val="0"/>
          <w:numId w:val="22"/>
        </w:numPr>
        <w:ind w:left="720"/>
        <w:rPr>
          <w:rFonts w:cs="Arial"/>
        </w:rPr>
      </w:pPr>
      <w:r w:rsidRPr="00473050">
        <w:rPr>
          <w:b/>
          <w:bCs/>
          <w:color w:val="A50021"/>
        </w:rPr>
        <w:t>Incidence:</w:t>
      </w:r>
      <w:r w:rsidRPr="00473050">
        <w:rPr>
          <w:color w:val="A50021"/>
        </w:rPr>
        <w:t xml:space="preserve"> </w:t>
      </w:r>
      <w:r w:rsidRPr="00473050">
        <w:t xml:space="preserve">ambition et impact à long terme des résultats sur les groupes cibles/le grand public; stratégie de diffusion appropriée pour assurer la durabilité et l’impact à long terme; possibilité d’un effet multiplicateur positif; durabilité des résultats après la fin du financement de l’UE. </w:t>
      </w:r>
      <w:r w:rsidRPr="00473050">
        <w:rPr>
          <w:color w:val="4AA55B"/>
          <w:sz w:val="19"/>
          <w:szCs w:val="19"/>
        </w:rPr>
        <w:t>(20 points)</w:t>
      </w:r>
    </w:p>
    <w:tbl>
      <w:tblPr>
        <w:tblpPr w:leftFromText="180" w:rightFromText="180" w:vertAnchor="text" w:tblpX="358"/>
        <w:tblW w:w="853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0" w:type="dxa"/>
          <w:right w:w="0" w:type="dxa"/>
        </w:tblCellMar>
        <w:tblLook w:val="04A0" w:firstRow="1" w:lastRow="0" w:firstColumn="1" w:lastColumn="0" w:noHBand="0" w:noVBand="1"/>
      </w:tblPr>
      <w:tblGrid>
        <w:gridCol w:w="5980"/>
        <w:gridCol w:w="1251"/>
        <w:gridCol w:w="1308"/>
      </w:tblGrid>
      <w:tr w:rsidR="00417F25" w:rsidRPr="00473050" w14:paraId="40C13E7F"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4C7228" w14:textId="77777777" w:rsidR="00417F25" w:rsidRPr="00473050" w:rsidRDefault="00417F25" w:rsidP="00417F25">
            <w:pPr>
              <w:spacing w:before="120" w:after="120"/>
              <w:rPr>
                <w:rFonts w:cs="Arial"/>
                <w:color w:val="595959"/>
                <w:sz w:val="16"/>
                <w:szCs w:val="16"/>
              </w:rPr>
            </w:pPr>
            <w:r w:rsidRPr="00473050">
              <w:rPr>
                <w:b/>
                <w:bCs/>
                <w:color w:val="000000"/>
                <w:sz w:val="16"/>
                <w:szCs w:val="16"/>
              </w:rPr>
              <w:t>Critères d’attribution</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73C443B7" w14:textId="77777777" w:rsidR="00417F25" w:rsidRPr="00473050" w:rsidRDefault="00417F25" w:rsidP="7EABDF9A">
            <w:pPr>
              <w:spacing w:before="120" w:after="120"/>
              <w:jc w:val="center"/>
              <w:rPr>
                <w:rFonts w:cs="Arial"/>
                <w:b/>
                <w:bCs/>
                <w:color w:val="595959"/>
                <w:sz w:val="16"/>
                <w:szCs w:val="16"/>
              </w:rPr>
            </w:pPr>
            <w:r w:rsidRPr="00473050">
              <w:rPr>
                <w:b/>
                <w:bCs/>
                <w:color w:val="000000"/>
                <w:sz w:val="16"/>
                <w:szCs w:val="16"/>
              </w:rPr>
              <w:t>Note minimale requise</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B66C5DB" w14:textId="77777777" w:rsidR="00417F25" w:rsidRPr="00473050" w:rsidRDefault="00417F25" w:rsidP="00417F25">
            <w:pPr>
              <w:spacing w:before="120" w:after="120"/>
              <w:jc w:val="center"/>
              <w:rPr>
                <w:rFonts w:cs="Arial"/>
                <w:b/>
                <w:bCs/>
                <w:color w:val="595959"/>
                <w:sz w:val="16"/>
              </w:rPr>
            </w:pPr>
            <w:r w:rsidRPr="00473050">
              <w:rPr>
                <w:b/>
                <w:bCs/>
                <w:color w:val="595959"/>
                <w:sz w:val="16"/>
              </w:rPr>
              <w:t>Note maximale</w:t>
            </w:r>
          </w:p>
        </w:tc>
      </w:tr>
      <w:tr w:rsidR="00417F25" w:rsidRPr="00473050" w14:paraId="46BB364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5087631B" w14:textId="77777777" w:rsidR="00417F25" w:rsidRPr="00473050" w:rsidRDefault="00417F25" w:rsidP="00417F25">
            <w:pPr>
              <w:spacing w:before="120" w:after="120"/>
              <w:rPr>
                <w:rFonts w:cs="Arial"/>
                <w:color w:val="595959"/>
                <w:sz w:val="16"/>
              </w:rPr>
            </w:pPr>
            <w:r w:rsidRPr="00473050">
              <w:rPr>
                <w:color w:val="595959"/>
                <w:sz w:val="16"/>
              </w:rPr>
              <w:t xml:space="preserve">Pertinence </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4F1DBE5" w14:textId="2917FB44" w:rsidR="00417F25" w:rsidRPr="00473050" w:rsidRDefault="77501A39" w:rsidP="006F137B">
            <w:pPr>
              <w:spacing w:before="120" w:after="120"/>
              <w:jc w:val="center"/>
              <w:rPr>
                <w:rFonts w:cs="Arial"/>
                <w:color w:val="595959"/>
                <w:sz w:val="16"/>
                <w:szCs w:val="16"/>
              </w:rPr>
            </w:pPr>
            <w:r w:rsidRPr="00473050">
              <w:rPr>
                <w:color w:val="595959"/>
                <w:sz w:val="16"/>
                <w:szCs w:val="16"/>
              </w:rPr>
              <w:t>25</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D8DDF44" w14:textId="10FBECA7" w:rsidR="00417F25" w:rsidRPr="00473050" w:rsidRDefault="7A1506A9" w:rsidP="006F137B">
            <w:pPr>
              <w:spacing w:before="120" w:after="120" w:line="259" w:lineRule="auto"/>
              <w:jc w:val="center"/>
              <w:rPr>
                <w:sz w:val="16"/>
                <w:szCs w:val="16"/>
              </w:rPr>
            </w:pPr>
            <w:r w:rsidRPr="00473050">
              <w:rPr>
                <w:color w:val="000000"/>
                <w:sz w:val="16"/>
                <w:szCs w:val="16"/>
              </w:rPr>
              <w:t>40</w:t>
            </w:r>
          </w:p>
        </w:tc>
      </w:tr>
      <w:tr w:rsidR="00417F25" w:rsidRPr="00473050" w14:paraId="3973431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71F18E4" w14:textId="77777777" w:rsidR="00417F25" w:rsidRPr="00473050" w:rsidRDefault="00417F25" w:rsidP="00417F25">
            <w:pPr>
              <w:spacing w:before="120" w:after="120"/>
              <w:rPr>
                <w:rFonts w:cs="Arial"/>
                <w:color w:val="595959"/>
                <w:sz w:val="16"/>
                <w:vertAlign w:val="superscript"/>
              </w:rPr>
            </w:pPr>
            <w:r w:rsidRPr="00473050">
              <w:rPr>
                <w:color w:val="595959"/>
                <w:sz w:val="16"/>
              </w:rPr>
              <w:t>Qualité – Conception et mise en œuvre du projet</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F0AB268" w14:textId="46CF4D50" w:rsidR="00417F25" w:rsidRPr="00473050" w:rsidRDefault="001411B2" w:rsidP="42BB08A3">
            <w:pPr>
              <w:spacing w:before="120" w:after="120"/>
              <w:jc w:val="center"/>
              <w:rPr>
                <w:rFonts w:cs="Arial"/>
                <w:color w:val="595959"/>
                <w:sz w:val="16"/>
                <w:szCs w:val="16"/>
              </w:rPr>
            </w:pPr>
            <w:r w:rsidRPr="00473050">
              <w:rPr>
                <w:color w:val="000000"/>
                <w:sz w:val="16"/>
                <w:szCs w:val="16"/>
              </w:rPr>
              <w:t>S/O</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86AEF82" w14:textId="36F0E958" w:rsidR="00417F25" w:rsidRPr="00473050" w:rsidRDefault="5A0A8866" w:rsidP="00142C5E">
            <w:pPr>
              <w:spacing w:before="120" w:after="120" w:line="259" w:lineRule="auto"/>
              <w:jc w:val="center"/>
              <w:rPr>
                <w:sz w:val="16"/>
                <w:szCs w:val="16"/>
              </w:rPr>
            </w:pPr>
            <w:r w:rsidRPr="00473050">
              <w:rPr>
                <w:color w:val="595959"/>
                <w:sz w:val="16"/>
                <w:szCs w:val="16"/>
              </w:rPr>
              <w:t>40</w:t>
            </w:r>
          </w:p>
        </w:tc>
      </w:tr>
      <w:tr w:rsidR="00417F25" w:rsidRPr="00473050" w14:paraId="57E68FC8"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15E2972A" w14:textId="77777777" w:rsidR="00417F25" w:rsidRPr="00473050" w:rsidRDefault="00417F25" w:rsidP="00417F25">
            <w:pPr>
              <w:spacing w:before="120" w:after="120"/>
              <w:rPr>
                <w:rFonts w:cs="Arial"/>
                <w:color w:val="595959"/>
                <w:sz w:val="16"/>
              </w:rPr>
            </w:pPr>
            <w:r w:rsidRPr="00473050">
              <w:rPr>
                <w:color w:val="595959"/>
                <w:sz w:val="16"/>
              </w:rPr>
              <w:t>Incidence</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30CDE1C1" w14:textId="639251E3" w:rsidR="00417F25" w:rsidRPr="00473050" w:rsidRDefault="001411B2" w:rsidP="42BB08A3">
            <w:pPr>
              <w:spacing w:before="120" w:after="120"/>
              <w:jc w:val="center"/>
              <w:rPr>
                <w:rFonts w:cs="Arial"/>
                <w:color w:val="595959"/>
                <w:sz w:val="16"/>
                <w:szCs w:val="16"/>
              </w:rPr>
            </w:pPr>
            <w:r w:rsidRPr="00473050">
              <w:rPr>
                <w:color w:val="000000"/>
                <w:sz w:val="16"/>
                <w:szCs w:val="16"/>
              </w:rPr>
              <w:t>S/O</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55A6521" w14:textId="70DB36AF" w:rsidR="00417F25" w:rsidRPr="00473050" w:rsidRDefault="1689B5CD" w:rsidP="00142C5E">
            <w:pPr>
              <w:spacing w:before="120" w:after="120" w:line="259" w:lineRule="auto"/>
              <w:jc w:val="center"/>
              <w:rPr>
                <w:sz w:val="16"/>
                <w:szCs w:val="16"/>
              </w:rPr>
            </w:pPr>
            <w:r w:rsidRPr="00473050">
              <w:rPr>
                <w:color w:val="595959"/>
                <w:sz w:val="16"/>
                <w:szCs w:val="16"/>
              </w:rPr>
              <w:t>20</w:t>
            </w:r>
          </w:p>
        </w:tc>
      </w:tr>
      <w:tr w:rsidR="00417F25" w:rsidRPr="00473050" w14:paraId="112E5C23"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326E1F8" w14:textId="77777777" w:rsidR="00417F25" w:rsidRPr="00473050" w:rsidRDefault="00417F25" w:rsidP="00417F25">
            <w:pPr>
              <w:spacing w:before="120" w:after="120"/>
              <w:rPr>
                <w:rFonts w:cs="Arial"/>
                <w:color w:val="595959"/>
                <w:sz w:val="16"/>
              </w:rPr>
            </w:pPr>
            <w:r w:rsidRPr="00473050">
              <w:rPr>
                <w:b/>
                <w:bCs/>
                <w:color w:val="595959"/>
                <w:sz w:val="16"/>
              </w:rPr>
              <w:t>Notes globales (minimales) requises</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5B7B9AA" w14:textId="77777777" w:rsidR="00417F25" w:rsidRPr="00473050" w:rsidRDefault="00417F25" w:rsidP="00417F25">
            <w:pPr>
              <w:spacing w:before="120" w:after="120"/>
              <w:jc w:val="center"/>
              <w:rPr>
                <w:rFonts w:cs="Arial"/>
                <w:color w:val="595959"/>
                <w:sz w:val="16"/>
                <w:szCs w:val="16"/>
              </w:rPr>
            </w:pPr>
            <w:r w:rsidRPr="00473050">
              <w:rPr>
                <w:b/>
                <w:bCs/>
                <w:color w:val="000000"/>
                <w:sz w:val="16"/>
                <w:szCs w:val="16"/>
                <w:lang w:eastAsia="en-GB"/>
              </w:rPr>
              <w:t>70</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5A8F0B" w14:textId="77777777" w:rsidR="00417F25" w:rsidRPr="00473050" w:rsidRDefault="00417F25" w:rsidP="00417F25">
            <w:pPr>
              <w:spacing w:before="120" w:after="120"/>
              <w:jc w:val="center"/>
              <w:rPr>
                <w:rFonts w:cs="Arial"/>
                <w:b/>
                <w:bCs/>
                <w:color w:val="595959"/>
                <w:sz w:val="16"/>
              </w:rPr>
            </w:pPr>
            <w:r w:rsidRPr="00473050">
              <w:rPr>
                <w:b/>
                <w:bCs/>
                <w:color w:val="595959"/>
                <w:sz w:val="16"/>
              </w:rPr>
              <w:t>100</w:t>
            </w:r>
          </w:p>
        </w:tc>
      </w:tr>
    </w:tbl>
    <w:p w14:paraId="3A91549A" w14:textId="77777777" w:rsidR="00417F25" w:rsidRPr="00473050" w:rsidRDefault="00417F25" w:rsidP="00417F25">
      <w:pPr>
        <w:pStyle w:val="Text1"/>
        <w:ind w:left="0"/>
        <w:rPr>
          <w:rFonts w:cs="Arial"/>
          <w:lang w:eastAsia="en-GB"/>
        </w:rPr>
      </w:pPr>
    </w:p>
    <w:p w14:paraId="74676006" w14:textId="77777777" w:rsidR="00417F25" w:rsidRPr="00473050" w:rsidRDefault="00417F25" w:rsidP="00417F25">
      <w:pPr>
        <w:pStyle w:val="Text1"/>
        <w:ind w:left="0"/>
        <w:rPr>
          <w:rFonts w:cs="Arial"/>
        </w:rPr>
      </w:pPr>
      <w:r w:rsidRPr="00473050">
        <w:t>Maximum de points: 100 points.</w:t>
      </w:r>
    </w:p>
    <w:p w14:paraId="54D540AD" w14:textId="25B25F2B" w:rsidR="00417F25" w:rsidRPr="00473050" w:rsidRDefault="00417F25" w:rsidP="42BB08A3">
      <w:pPr>
        <w:pStyle w:val="Text1"/>
        <w:ind w:left="0"/>
        <w:rPr>
          <w:rFonts w:cs="Arial"/>
        </w:rPr>
      </w:pPr>
      <w:r w:rsidRPr="00473050">
        <w:t>Seuil individuel pour le critère «Pertinence »: 25/40 points.</w:t>
      </w:r>
    </w:p>
    <w:p w14:paraId="088F1A3D" w14:textId="77777777" w:rsidR="00417F25" w:rsidRPr="00473050" w:rsidRDefault="00417F25" w:rsidP="00417F25">
      <w:pPr>
        <w:pStyle w:val="Text1"/>
        <w:ind w:left="0"/>
        <w:rPr>
          <w:rFonts w:cs="Arial"/>
        </w:rPr>
      </w:pPr>
      <w:r w:rsidRPr="00473050">
        <w:t xml:space="preserve">Seuil global: 70 points. </w:t>
      </w:r>
    </w:p>
    <w:p w14:paraId="743867A2" w14:textId="5FB32EC7" w:rsidR="00417F25" w:rsidRPr="00473050" w:rsidRDefault="000A7529" w:rsidP="42BB08A3">
      <w:pPr>
        <w:pStyle w:val="Text1"/>
        <w:ind w:left="0"/>
        <w:rPr>
          <w:rFonts w:cs="Arial"/>
        </w:rPr>
      </w:pPr>
      <w:r w:rsidRPr="00473050">
        <w:t xml:space="preserve">Les propositions qui dépassent le seuil individuel pour le critère «Pertinence» ET le seuil global seront prises en considération pour un financement, dans les limites du budget disponible pour l’appel. Les autres propositions seront rejetées. </w:t>
      </w:r>
    </w:p>
    <w:p w14:paraId="32ECB61A" w14:textId="407D4955" w:rsidR="00276AD7" w:rsidRPr="00473050" w:rsidRDefault="00276AD7" w:rsidP="000579AF">
      <w:pPr>
        <w:pStyle w:val="Heading1"/>
        <w:numPr>
          <w:ilvl w:val="0"/>
          <w:numId w:val="54"/>
        </w:numPr>
        <w:tabs>
          <w:tab w:val="left" w:pos="426"/>
        </w:tabs>
        <w:ind w:left="0" w:firstLine="0"/>
      </w:pPr>
      <w:bookmarkStart w:id="26" w:name="_Toc92977217"/>
      <w:r w:rsidRPr="00473050">
        <w:t>Structure juridique et financière des conventions de subvention</w:t>
      </w:r>
      <w:bookmarkEnd w:id="26"/>
    </w:p>
    <w:p w14:paraId="3E12CDD9" w14:textId="77777777" w:rsidR="00F468B9" w:rsidRPr="00473050" w:rsidRDefault="00510B7E" w:rsidP="00F468B9">
      <w:r w:rsidRPr="00473050">
        <w:t xml:space="preserve">Si vous réussissez l’évaluation, vous serez alors invité à préparer une demande de subvention pour votre projet, et donc à préparer la convention de subvention avec le chargé de projet de l’UE. </w:t>
      </w:r>
    </w:p>
    <w:p w14:paraId="726FE5D4" w14:textId="77777777" w:rsidR="00A55E10" w:rsidRPr="00473050" w:rsidRDefault="009A4762" w:rsidP="00F468B9">
      <w:r w:rsidRPr="00473050">
        <w:t xml:space="preserve">Cette convention de subvention fixera le cadre de votre subvention et précisera ses modalités et conditions, en ce qui concerne notamment les éléments livrables, les rapports et les paiements. </w:t>
      </w:r>
    </w:p>
    <w:p w14:paraId="49D0FAB7" w14:textId="2617CB37" w:rsidR="00F468B9" w:rsidRPr="00473050" w:rsidRDefault="004E3F9E" w:rsidP="00F468B9">
      <w:r w:rsidRPr="00473050">
        <w:t xml:space="preserve">Le modèle de convention de subvention qui sera utilisé (ainsi que tous les autres modèles et documents d’orientation pertinents) sont disponibles dans les </w:t>
      </w:r>
      <w:hyperlink r:id="rId50" w:history="1">
        <w:r w:rsidRPr="00473050">
          <w:rPr>
            <w:rStyle w:val="Hyperlink"/>
          </w:rPr>
          <w:t>documents de référence du portail</w:t>
        </w:r>
      </w:hyperlink>
      <w:r w:rsidRPr="00473050">
        <w:t>.</w:t>
      </w:r>
    </w:p>
    <w:p w14:paraId="712F0C54" w14:textId="77777777" w:rsidR="00F468B9" w:rsidRPr="00473050" w:rsidRDefault="00EF5018" w:rsidP="00510B7E">
      <w:pPr>
        <w:pStyle w:val="Heading3"/>
      </w:pPr>
      <w:bookmarkStart w:id="27" w:name="_Toc92977218"/>
      <w:r w:rsidRPr="00473050">
        <w:t>Date de lancement et durée du projet</w:t>
      </w:r>
      <w:bookmarkEnd w:id="27"/>
      <w:r w:rsidRPr="00473050">
        <w:t xml:space="preserve"> </w:t>
      </w:r>
    </w:p>
    <w:p w14:paraId="34F8E827" w14:textId="193AA9A8" w:rsidR="00EF5018" w:rsidRPr="00473050" w:rsidRDefault="00EF5018" w:rsidP="00EF5018">
      <w:r w:rsidRPr="00473050">
        <w:t xml:space="preserve">La date de lancement et la durée du projet seront déterminées dans la convention de subvention </w:t>
      </w:r>
      <w:r w:rsidRPr="00473050">
        <w:rPr>
          <w:i/>
          <w:iCs/>
        </w:rPr>
        <w:t>(fiche de données, point 1)</w:t>
      </w:r>
      <w:r w:rsidRPr="00473050">
        <w:t xml:space="preserve">. Normalement, la date de lancement sera postérieure à la signature de la subvention. Une application rétroactive peut être </w:t>
      </w:r>
      <w:r w:rsidRPr="00473050">
        <w:lastRenderedPageBreak/>
        <w:t>accordée à titre exceptionnel pour des raisons dûment justifiées, mais jamais avant la date de soumission de la proposition.</w:t>
      </w:r>
    </w:p>
    <w:p w14:paraId="15D66063" w14:textId="51D1D632" w:rsidR="00CB07A3" w:rsidRPr="00473050" w:rsidRDefault="00CB07A3" w:rsidP="00EF5018">
      <w:pPr>
        <w:rPr>
          <w:rFonts w:cs="Arial"/>
        </w:rPr>
      </w:pPr>
      <w:r w:rsidRPr="00473050">
        <w:t xml:space="preserve">Durée du projet: </w:t>
      </w:r>
    </w:p>
    <w:p w14:paraId="2429D9A2" w14:textId="7FD8DB37" w:rsidR="00273AA8" w:rsidRPr="00473050" w:rsidRDefault="00273AA8" w:rsidP="00273AA8">
      <w:pPr>
        <w:rPr>
          <w:rFonts w:cs="Arial"/>
        </w:rPr>
      </w:pPr>
      <w:r w:rsidRPr="00473050">
        <w:rPr>
          <w:color w:val="A50021"/>
        </w:rPr>
        <w:t>CERV-2022-CITIZENS-TOWN-TT – Jumelage de villes:</w:t>
      </w:r>
      <w:r w:rsidRPr="00473050">
        <w:t xml:space="preserve"> jusqu’à 12 mois</w:t>
      </w:r>
    </w:p>
    <w:p w14:paraId="748ED34C" w14:textId="21136B02" w:rsidR="00273AA8" w:rsidRPr="00473050" w:rsidRDefault="00273AA8" w:rsidP="00273AA8">
      <w:pPr>
        <w:rPr>
          <w:rFonts w:cs="Arial"/>
        </w:rPr>
      </w:pPr>
      <w:r w:rsidRPr="00473050">
        <w:rPr>
          <w:color w:val="A50021"/>
        </w:rPr>
        <w:t>CERV-2022-CITIZENS-TOWN-NT – Réseaux de villes:</w:t>
      </w:r>
      <w:r w:rsidRPr="00473050">
        <w:t xml:space="preserve"> entre 12 et 24 mois. </w:t>
      </w:r>
    </w:p>
    <w:p w14:paraId="264CF456" w14:textId="407B2FF3" w:rsidR="00273AA8" w:rsidRPr="00473050" w:rsidRDefault="00273AA8" w:rsidP="00273AA8">
      <w:pPr>
        <w:rPr>
          <w:rFonts w:cs="Arial"/>
        </w:rPr>
      </w:pPr>
      <w:r w:rsidRPr="00473050">
        <w:t>(Les prorogations ne seront possibles qu’à titre exceptionnel, pour des raisons dûment justifiées et au moyen d’un avenant).</w:t>
      </w:r>
    </w:p>
    <w:p w14:paraId="77CA20A6" w14:textId="77777777" w:rsidR="002D1390" w:rsidRPr="00473050" w:rsidRDefault="002D1390" w:rsidP="00510B7E">
      <w:pPr>
        <w:pStyle w:val="Heading3"/>
      </w:pPr>
      <w:bookmarkStart w:id="28" w:name="_Toc92977219"/>
      <w:r w:rsidRPr="00473050">
        <w:t>Étapes et livrables</w:t>
      </w:r>
      <w:bookmarkEnd w:id="28"/>
    </w:p>
    <w:p w14:paraId="2053727F" w14:textId="77777777" w:rsidR="002D1390" w:rsidRPr="00473050" w:rsidRDefault="002D1390" w:rsidP="002D1390">
      <w:pPr>
        <w:rPr>
          <w:rFonts w:cs="Arial"/>
        </w:rPr>
      </w:pPr>
      <w:r w:rsidRPr="00473050">
        <w:t>Les étapes et les éléments livrables de chaque projet seront gérés par l’intermédiaire du système de gestion des subventions du portail et seront repris à l’annexe 1 de la convention de subvention.</w:t>
      </w:r>
    </w:p>
    <w:p w14:paraId="14B285DB" w14:textId="77777777" w:rsidR="00F468B9" w:rsidRPr="00473050" w:rsidRDefault="00D20E76" w:rsidP="00510B7E">
      <w:pPr>
        <w:pStyle w:val="Heading3"/>
      </w:pPr>
      <w:bookmarkStart w:id="29" w:name="_Toc92977220"/>
      <w:r w:rsidRPr="00473050">
        <w:t>Formulaire de subvention, taux de financement et montant maximal de la subvention</w:t>
      </w:r>
      <w:bookmarkEnd w:id="29"/>
    </w:p>
    <w:p w14:paraId="1FC5D80F" w14:textId="77777777" w:rsidR="00F243C2" w:rsidRPr="00473050" w:rsidRDefault="002D1390" w:rsidP="009C7F6F">
      <w:r w:rsidRPr="00473050">
        <w:t xml:space="preserve">Les paramètres de la subvention </w:t>
      </w:r>
      <w:r w:rsidRPr="00473050">
        <w:rPr>
          <w:i/>
        </w:rPr>
        <w:t>(montant maximal de la subvention, taux de financement, total des coûts éligibles, etc.)</w:t>
      </w:r>
      <w:r w:rsidRPr="00473050">
        <w:t xml:space="preserve"> seront énoncés dans la convention de subvention </w:t>
      </w:r>
      <w:r w:rsidRPr="00473050">
        <w:rPr>
          <w:i/>
        </w:rPr>
        <w:t>(fiche de données, point 3 et article 5)</w:t>
      </w:r>
      <w:r w:rsidRPr="00473050">
        <w:t>.</w:t>
      </w:r>
    </w:p>
    <w:p w14:paraId="6D2C45B2" w14:textId="73D0FA7A" w:rsidR="00273AA8" w:rsidRPr="00473050" w:rsidRDefault="00CB07A3" w:rsidP="009C7F6F">
      <w:r w:rsidRPr="00473050">
        <w:t xml:space="preserve">Budget du projet (montant maximal de la subvention): </w:t>
      </w:r>
    </w:p>
    <w:p w14:paraId="7C5032A3" w14:textId="32B40F6F" w:rsidR="00273AA8" w:rsidRPr="00473050" w:rsidRDefault="00273AA8" w:rsidP="00273AA8">
      <w:r w:rsidRPr="00473050">
        <w:rPr>
          <w:b/>
          <w:bCs/>
          <w:color w:val="A50021"/>
        </w:rPr>
        <w:t>CERV-2022-CITIZENS-TOWN-TT – Jumelage de villes</w:t>
      </w:r>
      <w:r w:rsidRPr="00473050">
        <w:t>: 30 000 EUR par projet.</w:t>
      </w:r>
    </w:p>
    <w:p w14:paraId="2BB38450" w14:textId="044F40F5" w:rsidR="00273AA8" w:rsidRPr="00473050" w:rsidRDefault="00E81CEB" w:rsidP="00273AA8">
      <w:pPr>
        <w:rPr>
          <w:b/>
          <w:color w:val="A50021"/>
        </w:rPr>
      </w:pPr>
      <w:r w:rsidRPr="00473050">
        <w:rPr>
          <w:b/>
          <w:bCs/>
          <w:color w:val="A50021"/>
        </w:rPr>
        <w:t>CERV-2022-CITIZENS-TOWN-NT – Réseaux de villes</w:t>
      </w:r>
      <w:r w:rsidRPr="00473050">
        <w:t xml:space="preserve">: aucune limite. </w:t>
      </w:r>
    </w:p>
    <w:p w14:paraId="03FE8574" w14:textId="5AC33A9A" w:rsidR="009C7F6F" w:rsidRPr="00473050" w:rsidRDefault="009C7F6F" w:rsidP="009C7F6F">
      <w:r w:rsidRPr="00473050">
        <w:t>La subvention allouée peut être inférieure au montant demandé.</w:t>
      </w:r>
      <w:r w:rsidRPr="00473050">
        <w:rPr>
          <w:highlight w:val="yellow"/>
        </w:rPr>
        <w:t xml:space="preserve"> </w:t>
      </w:r>
    </w:p>
    <w:p w14:paraId="032903FC" w14:textId="762E8A78" w:rsidR="009C7F6F" w:rsidRPr="00473050" w:rsidRDefault="002D1390" w:rsidP="00EF5018">
      <w:r w:rsidRPr="00473050">
        <w:t>La subvention sera de type forfaitaire. Cela signifie qu’elle remboursera un montant fixe, basé sur un forfait ou un financement non lié aux coûts. Le montant sera établi par l’autorité qui accorde la subvention sur la base des montants variables qu’elle aura préalablement fixés et des estimations indiquées par les bénéficiaires dans le budget de leur projet.</w:t>
      </w:r>
    </w:p>
    <w:p w14:paraId="23ACF302" w14:textId="77777777" w:rsidR="00C35FDF" w:rsidRPr="00473050" w:rsidRDefault="002D1390" w:rsidP="00510B7E">
      <w:pPr>
        <w:pStyle w:val="Heading3"/>
      </w:pPr>
      <w:bookmarkStart w:id="30" w:name="_Toc92977221"/>
      <w:r w:rsidRPr="00473050">
        <w:t>Catégories budgétaires et règles d’éligibilité des coûts</w:t>
      </w:r>
      <w:bookmarkEnd w:id="30"/>
    </w:p>
    <w:p w14:paraId="0D9CC84A" w14:textId="222E6896" w:rsidR="00965369" w:rsidRPr="00473050" w:rsidRDefault="00965369" w:rsidP="00C35FDF">
      <w:pPr>
        <w:rPr>
          <w:szCs w:val="21"/>
        </w:rPr>
      </w:pPr>
      <w:r w:rsidRPr="00473050">
        <w:t xml:space="preserve">Les catégories budgétaires et les règles d’éligibilité des coûts sont établies dans la convention de subvention </w:t>
      </w:r>
      <w:r w:rsidRPr="00473050">
        <w:rPr>
          <w:i/>
          <w:szCs w:val="21"/>
        </w:rPr>
        <w:t>(fiche de données, point 3, article 6 et annexe 2)</w:t>
      </w:r>
      <w:r w:rsidRPr="00473050">
        <w:t>.</w:t>
      </w:r>
    </w:p>
    <w:p w14:paraId="09C2A6BD" w14:textId="77777777" w:rsidR="00E85C9D" w:rsidRPr="00473050" w:rsidRDefault="00E85C9D" w:rsidP="00E85C9D">
      <w:pPr>
        <w:spacing w:after="120"/>
        <w:rPr>
          <w:i/>
        </w:rPr>
      </w:pPr>
      <w:r w:rsidRPr="00473050">
        <w:rPr>
          <w:i/>
        </w:rPr>
        <w:t>Catégories budgétaires pour le présent appel:</w:t>
      </w:r>
    </w:p>
    <w:p w14:paraId="5AA85092" w14:textId="5699AD8F" w:rsidR="00273AA8" w:rsidRPr="00473050" w:rsidRDefault="00E85C9D" w:rsidP="00273AA8">
      <w:pPr>
        <w:widowControl w:val="0"/>
        <w:numPr>
          <w:ilvl w:val="0"/>
          <w:numId w:val="31"/>
        </w:numPr>
        <w:ind w:left="709" w:hanging="357"/>
        <w:jc w:val="left"/>
        <w:rPr>
          <w:b/>
        </w:rPr>
      </w:pPr>
      <w:r w:rsidRPr="00473050">
        <w:rPr>
          <w:b/>
        </w:rPr>
        <w:t>Contributions forfaitaires</w:t>
      </w:r>
      <w:r w:rsidR="00D77F61" w:rsidRPr="00473050">
        <w:rPr>
          <w:rStyle w:val="FootnoteReference"/>
          <w:b/>
        </w:rPr>
        <w:footnoteReference w:id="22"/>
      </w:r>
    </w:p>
    <w:p w14:paraId="1DFE5A16" w14:textId="4F08AA43" w:rsidR="00273AA8" w:rsidRPr="00473050" w:rsidRDefault="00273AA8" w:rsidP="00273AA8">
      <w:pPr>
        <w:spacing w:after="120"/>
        <w:rPr>
          <w:b/>
          <w:bCs/>
          <w:color w:val="A50021"/>
        </w:rPr>
      </w:pPr>
      <w:r w:rsidRPr="00473050">
        <w:rPr>
          <w:b/>
          <w:bCs/>
          <w:color w:val="A50021"/>
        </w:rPr>
        <w:t>CERV-2022-CITIZENS-TOWN-TT – Jumelage de villes</w:t>
      </w:r>
    </w:p>
    <w:p w14:paraId="41D2CC4B" w14:textId="306D1EAA" w:rsidR="00273AA8" w:rsidRPr="00473050" w:rsidRDefault="00273AA8" w:rsidP="00273AA8">
      <w:pPr>
        <w:spacing w:after="120"/>
        <w:rPr>
          <w:rFonts w:eastAsia="Verdana" w:cs="Verdana"/>
          <w:iCs/>
        </w:rPr>
      </w:pPr>
      <w:r w:rsidRPr="00473050">
        <w:t>Le calcul du montant forfaitaire est basé sur un paramètre: le nombre de participants internationaux (ou «invités») (nombre de participants en visite venus des pays éligibles partenaires du projet, à l’exception du pays accueillant l’événement de jumelage).</w:t>
      </w:r>
    </w:p>
    <w:p w14:paraId="0241D98C" w14:textId="5F268440" w:rsidR="00273AA8" w:rsidRPr="00473050" w:rsidRDefault="00273AA8" w:rsidP="00273AA8">
      <w:pPr>
        <w:spacing w:after="120"/>
      </w:pPr>
      <w:r w:rsidRPr="00473050">
        <w:t>Un événement correspond à un module de travail dans le formulaire de demande.</w:t>
      </w:r>
      <w:r w:rsidR="007D41B0">
        <w:t xml:space="preserve"> </w:t>
      </w:r>
    </w:p>
    <w:p w14:paraId="653E3972" w14:textId="6BAB671D" w:rsidR="00273AA8" w:rsidRPr="00473050" w:rsidRDefault="00273AA8" w:rsidP="00273AA8">
      <w:pPr>
        <w:widowControl w:val="0"/>
        <w:jc w:val="left"/>
      </w:pPr>
      <w:r w:rsidRPr="00473050">
        <w:t>1 module de travail = 1 événement = une ou plusieurs activités</w:t>
      </w:r>
      <w:r w:rsidR="007D41B0">
        <w:t xml:space="preserve"> </w:t>
      </w:r>
    </w:p>
    <w:p w14:paraId="4EF42BF7" w14:textId="56AB1036" w:rsidR="00273AA8" w:rsidRPr="00473050" w:rsidRDefault="00273AA8" w:rsidP="00273AA8">
      <w:pPr>
        <w:spacing w:after="120"/>
        <w:rPr>
          <w:rFonts w:eastAsia="Verdana" w:cs="Verdana"/>
          <w:iCs/>
        </w:rPr>
      </w:pPr>
      <w:r w:rsidRPr="00473050">
        <w:rPr>
          <w:b/>
          <w:bCs/>
          <w:color w:val="A50021"/>
        </w:rPr>
        <w:t>CERV-2022-CITIZENS-TOWN-NT – Réseaux de villes</w:t>
      </w:r>
    </w:p>
    <w:p w14:paraId="084790F4" w14:textId="77777777" w:rsidR="00273AA8" w:rsidRPr="00473050" w:rsidRDefault="00273AA8" w:rsidP="00273AA8">
      <w:pPr>
        <w:spacing w:after="120"/>
      </w:pPr>
      <w:r w:rsidRPr="00473050">
        <w:lastRenderedPageBreak/>
        <w:t>Le calcul du montant forfaitaire est basé sur deux paramètres: le nombre de participants directs et le nombre de pays éligibles par événement (in situ ou en ligne).</w:t>
      </w:r>
    </w:p>
    <w:p w14:paraId="3C909B89" w14:textId="77777777" w:rsidR="00273AA8" w:rsidRPr="00473050" w:rsidRDefault="00273AA8" w:rsidP="00273AA8">
      <w:pPr>
        <w:spacing w:after="120"/>
      </w:pPr>
      <w:r w:rsidRPr="00473050">
        <w:t xml:space="preserve">Un événement se déroule dans un laps de temps défini et peut inclure différents types d’activités (conférences, ateliers, formations, séminaires, débats, webinaires, expositions, projections/réalisations de films, campagnes, publications, enquêtes, recherches, flashmobs, etc.) </w:t>
      </w:r>
    </w:p>
    <w:p w14:paraId="12ABA7C5" w14:textId="704D6507" w:rsidR="00273AA8" w:rsidRPr="00473050" w:rsidRDefault="00273AA8" w:rsidP="00273AA8">
      <w:pPr>
        <w:spacing w:after="120"/>
      </w:pPr>
      <w:r w:rsidRPr="00473050">
        <w:t>Un événement correspond à un module de travail dans le formulaire de demande.</w:t>
      </w:r>
      <w:r w:rsidR="007D41B0">
        <w:t xml:space="preserve"> </w:t>
      </w:r>
    </w:p>
    <w:p w14:paraId="757C1A00" w14:textId="30A3373C" w:rsidR="00273AA8" w:rsidRPr="00473050" w:rsidRDefault="00273AA8" w:rsidP="00273AA8">
      <w:pPr>
        <w:widowControl w:val="0"/>
        <w:jc w:val="left"/>
      </w:pPr>
      <w:r w:rsidRPr="00473050">
        <w:t>1 module de travail = 1 événement = une ou plusieurs activités</w:t>
      </w:r>
      <w:r w:rsidR="007D41B0">
        <w:t xml:space="preserve"> </w:t>
      </w:r>
    </w:p>
    <w:p w14:paraId="14EC2EA5" w14:textId="14E12378" w:rsidR="00741682" w:rsidRPr="00473050" w:rsidRDefault="00F243C2" w:rsidP="00510B7E">
      <w:pPr>
        <w:pStyle w:val="Heading3"/>
      </w:pPr>
      <w:bookmarkStart w:id="31" w:name="_Toc92977222"/>
      <w:r w:rsidRPr="00473050">
        <w:t>Modalités de remise des rapports et de paiement</w:t>
      </w:r>
      <w:bookmarkEnd w:id="31"/>
      <w:r w:rsidRPr="00473050">
        <w:t xml:space="preserve"> </w:t>
      </w:r>
    </w:p>
    <w:p w14:paraId="43C62C09" w14:textId="0BF1CA1B" w:rsidR="00F243C2" w:rsidRPr="00473050" w:rsidRDefault="00F243C2" w:rsidP="00741682">
      <w:pPr>
        <w:pStyle w:val="Text2"/>
        <w:ind w:left="0"/>
        <w:rPr>
          <w:rFonts w:cs="Arial"/>
        </w:rPr>
      </w:pPr>
      <w:r w:rsidRPr="00473050">
        <w:t xml:space="preserve">Les modalités de remise des rapports et de paiement sont établies dans la convention de subvention </w:t>
      </w:r>
      <w:r w:rsidRPr="00473050">
        <w:rPr>
          <w:i/>
        </w:rPr>
        <w:t>(fiche de données, point 4 et articles 21 et 22)</w:t>
      </w:r>
      <w:r w:rsidRPr="00473050">
        <w:t>.</w:t>
      </w:r>
    </w:p>
    <w:p w14:paraId="03D37E60" w14:textId="6DF5E4B5" w:rsidR="00273AA8" w:rsidRPr="00473050" w:rsidRDefault="00273AA8" w:rsidP="00273AA8">
      <w:pPr>
        <w:spacing w:after="120"/>
        <w:rPr>
          <w:b/>
          <w:bCs/>
          <w:color w:val="A50021"/>
        </w:rPr>
      </w:pPr>
      <w:r w:rsidRPr="00473050">
        <w:rPr>
          <w:b/>
          <w:bCs/>
          <w:color w:val="A50021"/>
        </w:rPr>
        <w:t>CERV-2022-CITIZENS-TOWN-TT – Jumelage de villes</w:t>
      </w:r>
    </w:p>
    <w:p w14:paraId="63A3CB57" w14:textId="77777777" w:rsidR="00273AA8" w:rsidRPr="00473050" w:rsidRDefault="00273AA8" w:rsidP="00273AA8">
      <w:pPr>
        <w:pStyle w:val="Text2"/>
        <w:ind w:left="0"/>
      </w:pPr>
      <w:r w:rsidRPr="00473050">
        <w:t>Après la signature de la subvention, vous ne recevrez aucun préfinancement.</w:t>
      </w:r>
    </w:p>
    <w:p w14:paraId="1DBCB7BA" w14:textId="77777777" w:rsidR="00273AA8" w:rsidRPr="00473050" w:rsidRDefault="00273AA8" w:rsidP="00273AA8">
      <w:r w:rsidRPr="00473050">
        <w:t>Paiement du solde: au terme du projet, nous calculerons le montant final de votre subvention. Si le total des paiements antérieurs est supérieur au montant final de la subvention, nous vous demanderons (à votre coordinateur) de rembourser la différence (recouvrement).</w:t>
      </w:r>
    </w:p>
    <w:p w14:paraId="6BE11C5B" w14:textId="5E8F163B" w:rsidR="00273AA8" w:rsidRPr="00473050" w:rsidRDefault="00273AA8" w:rsidP="00273AA8">
      <w:pPr>
        <w:spacing w:after="120"/>
        <w:rPr>
          <w:b/>
          <w:bCs/>
          <w:color w:val="A50021"/>
        </w:rPr>
      </w:pPr>
      <w:r w:rsidRPr="00473050">
        <w:rPr>
          <w:b/>
          <w:bCs/>
          <w:color w:val="A50021"/>
        </w:rPr>
        <w:t xml:space="preserve">CERV-2022-CITIZENS-TOWN-NT – Réseaux de villes </w:t>
      </w:r>
    </w:p>
    <w:p w14:paraId="55E312F9" w14:textId="696F180F" w:rsidR="00273AA8" w:rsidRPr="00473050" w:rsidRDefault="00273AA8" w:rsidP="00273AA8">
      <w:pPr>
        <w:widowControl w:val="0"/>
        <w:rPr>
          <w:rFonts w:cs="Arial"/>
        </w:rPr>
      </w:pPr>
      <w:r w:rsidRPr="00473050">
        <w:t xml:space="preserve">Une fois la subvention signée, vous recevrez normalement un </w:t>
      </w:r>
      <w:r w:rsidRPr="00473050">
        <w:rPr>
          <w:b/>
          <w:bCs/>
        </w:rPr>
        <w:t>préfinancement</w:t>
      </w:r>
      <w:r w:rsidRPr="00473050">
        <w:t xml:space="preserve"> pour commencer à travailler sur le projet (versement équivalant normalement à </w:t>
      </w:r>
      <w:r w:rsidRPr="00473050">
        <w:rPr>
          <w:b/>
          <w:bCs/>
        </w:rPr>
        <w:t>60 %</w:t>
      </w:r>
      <w:r w:rsidRPr="00473050">
        <w:t xml:space="preserve"> du montant maximal de la subvention; exceptionnellement inférieur ou pas de préfinancement). Le préfinancement sera versé 30 jours après l’entrée en vigueur/la garantie financière (le cas échéant), la date la plus tardive étant retenue.</w:t>
      </w:r>
    </w:p>
    <w:p w14:paraId="6177614D" w14:textId="40FBA4EA" w:rsidR="00741682" w:rsidRPr="00473050" w:rsidRDefault="00AE5C30" w:rsidP="00741682">
      <w:pPr>
        <w:pStyle w:val="Text2"/>
        <w:ind w:left="0"/>
        <w:rPr>
          <w:rFonts w:cs="Arial"/>
        </w:rPr>
      </w:pPr>
      <w:r w:rsidRPr="00473050">
        <w:rPr>
          <w:b/>
        </w:rPr>
        <w:t>Paiement du solde</w:t>
      </w:r>
      <w:r w:rsidRPr="00473050">
        <w:t>: Au terme du projet, nous calculerons le montant final de votre subvention. Si le total des paiements antérieurs est supérieur au montant final de la subvention, nous vous demanderons (à votre coordinateur) de rembourser la différence (recouvrement).</w:t>
      </w:r>
    </w:p>
    <w:p w14:paraId="3BDCBF75" w14:textId="77777777" w:rsidR="00B21F85" w:rsidRPr="00473050" w:rsidRDefault="00B21F85" w:rsidP="00741682">
      <w:pPr>
        <w:pStyle w:val="Text2"/>
        <w:ind w:left="0"/>
      </w:pPr>
      <w:r w:rsidRPr="00473050">
        <w:t>Tous les paiements seront exécutés à l’attention du coordinateur.</w:t>
      </w:r>
    </w:p>
    <w:p w14:paraId="7FE7E033" w14:textId="5C5DBFEB" w:rsidR="00A82A58" w:rsidRPr="00473050" w:rsidRDefault="005A3754" w:rsidP="00A82A58">
      <w:pPr>
        <w:pStyle w:val="Text2"/>
        <w:ind w:left="0"/>
      </w:pPr>
      <w:r w:rsidRPr="00473050">
        <w:rPr>
          <w:noProof/>
          <w:lang w:val="en-IE" w:eastAsia="en-IE"/>
        </w:rPr>
        <w:drawing>
          <wp:inline distT="0" distB="0" distL="0" distR="0" wp14:anchorId="4AE7EFB5" wp14:editId="6394BE84">
            <wp:extent cx="187960" cy="18796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473050">
        <w:t xml:space="preserve"> Veuillez noter que les paiements seront automatiquement réduits si l’un des membres de votre consortium a des dettes impayées envers l’UE (autorité d’octroi ou autres organes de l’UE). Ces dettes seront compensées par nous, conformément aux conditions énoncées dans la convention de subvention </w:t>
      </w:r>
      <w:r w:rsidRPr="00473050">
        <w:rPr>
          <w:i/>
        </w:rPr>
        <w:t>(voir article 22)</w:t>
      </w:r>
      <w:r w:rsidRPr="00473050">
        <w:t>.</w:t>
      </w:r>
    </w:p>
    <w:p w14:paraId="1EA9C858" w14:textId="1424599E" w:rsidR="000C6DE8" w:rsidRPr="00473050" w:rsidRDefault="000C6DE8" w:rsidP="00A82A58">
      <w:pPr>
        <w:pStyle w:val="Text2"/>
        <w:ind w:left="0"/>
        <w:rPr>
          <w:rFonts w:cs="Arial"/>
        </w:rPr>
      </w:pPr>
      <w:r w:rsidRPr="00473050">
        <w:t xml:space="preserve">Veuillez noter que vous êtes responsable de la tenue de registres de tous les travaux effectués. </w:t>
      </w:r>
    </w:p>
    <w:p w14:paraId="6F7B0297" w14:textId="77777777" w:rsidR="00C038C5" w:rsidRPr="00473050" w:rsidRDefault="00C038C5" w:rsidP="00C038C5">
      <w:pPr>
        <w:pStyle w:val="Heading3"/>
      </w:pPr>
      <w:bookmarkStart w:id="32" w:name="_Toc92977223"/>
      <w:r w:rsidRPr="00473050">
        <w:t>Garanties de préfinancement</w:t>
      </w:r>
      <w:bookmarkEnd w:id="32"/>
      <w:r w:rsidRPr="00473050">
        <w:t xml:space="preserve"> </w:t>
      </w:r>
    </w:p>
    <w:p w14:paraId="5D1F5E81" w14:textId="77777777" w:rsidR="00C038C5" w:rsidRPr="00473050" w:rsidRDefault="00C038C5" w:rsidP="00C038C5">
      <w:pPr>
        <w:pStyle w:val="Text2"/>
        <w:ind w:left="0"/>
      </w:pPr>
      <w:r w:rsidRPr="00473050">
        <w:t xml:space="preserve">Si une garantie de préfinancement est exigée, elle sera définie dans la convention de subvention </w:t>
      </w:r>
      <w:r w:rsidRPr="00473050">
        <w:rPr>
          <w:i/>
        </w:rPr>
        <w:t>(fiche de données, point 4)</w:t>
      </w:r>
      <w:r w:rsidRPr="00473050">
        <w:t>. Le montant sera fixé à l’occasion de la préparation de la demande de subvention et sera normalement égal ou inférieur au préfinancement de votre subvention.</w:t>
      </w:r>
    </w:p>
    <w:p w14:paraId="17795A40" w14:textId="77777777" w:rsidR="00C038C5" w:rsidRPr="00473050" w:rsidRDefault="00C038C5" w:rsidP="00C038C5">
      <w:pPr>
        <w:pStyle w:val="Text2"/>
        <w:ind w:left="0"/>
      </w:pPr>
      <w:r w:rsidRPr="00473050">
        <w:t xml:space="preserve">La garantie doit être libellée en euros et émise par un organisme bancaire/financier agréé établi dans un État membre de l’UE. Si vous êtes établi dans un pays non membre de l’UE et que vous souhaitez fournir une garantie auprès d’une banque ou d’un établissement financier de votre pays, veuillez nous contacter (ce qui peut être accepté </w:t>
      </w:r>
      <w:r w:rsidRPr="00473050">
        <w:lastRenderedPageBreak/>
        <w:t>à titre exceptionnel, si cette banque ou cet établissement financier offre une garantie équivalente).</w:t>
      </w:r>
    </w:p>
    <w:p w14:paraId="2588057F" w14:textId="77777777" w:rsidR="00C038C5" w:rsidRPr="00473050" w:rsidRDefault="00C038C5" w:rsidP="00C038C5">
      <w:pPr>
        <w:pStyle w:val="Text2"/>
        <w:ind w:left="0"/>
      </w:pPr>
      <w:r w:rsidRPr="00473050">
        <w:t>Les montants bloqués sur des comptes bancaires ne seront PAS acceptés comme garanties financières.</w:t>
      </w:r>
    </w:p>
    <w:p w14:paraId="6E478E1C" w14:textId="77777777" w:rsidR="00C038C5" w:rsidRPr="00473050" w:rsidRDefault="00C038C5" w:rsidP="00C038C5">
      <w:pPr>
        <w:pStyle w:val="Text2"/>
        <w:ind w:left="0"/>
      </w:pPr>
      <w:r w:rsidRPr="00473050">
        <w:t xml:space="preserve">Les garanties de préfinancement ne sont PAS formellement associées à des membres individuels du consortium, ce qui signifie que vous êtes libre de choisir la manière d’apporter le montant de la garantie </w:t>
      </w:r>
      <w:r w:rsidRPr="00473050">
        <w:rPr>
          <w:i/>
        </w:rPr>
        <w:t>(par un ou plusieurs bénéficiaires, pour le montant global ou plusieurs garanties pour des montants partiels, par le bénéficiaire concerné ou par un autre bénéficiaire, etc.)</w:t>
      </w:r>
      <w:r w:rsidRPr="00473050">
        <w:t>. Il est toutefois important que le montant demandé soit couvert et que la ou les garanties nous soient envoyées dans les temps pour effectuer le préfinancement (copie scannée via le portail ET copie originale par voie postale).</w:t>
      </w:r>
    </w:p>
    <w:p w14:paraId="5675231B" w14:textId="77777777" w:rsidR="00C038C5" w:rsidRPr="00473050" w:rsidRDefault="00C038C5" w:rsidP="00C038C5">
      <w:pPr>
        <w:pStyle w:val="Text2"/>
        <w:ind w:left="0"/>
      </w:pPr>
      <w:r w:rsidRPr="00473050">
        <w:t>Dans le cas où nous en convenons ensemble, la garantie bancaire peut être remplacée par une garantie d’un tiers.</w:t>
      </w:r>
    </w:p>
    <w:p w14:paraId="66D0A676" w14:textId="77777777" w:rsidR="00C038C5" w:rsidRPr="00473050" w:rsidRDefault="00C038C5" w:rsidP="00C038C5">
      <w:pPr>
        <w:pStyle w:val="Text2"/>
        <w:ind w:left="0"/>
      </w:pPr>
      <w:r w:rsidRPr="00473050">
        <w:t>La garantie sera libérée à la fin de la subvention, conformément aux conditions énoncées dans la convention de subvention.</w:t>
      </w:r>
    </w:p>
    <w:p w14:paraId="6D8EED08" w14:textId="77777777" w:rsidR="00EE2BCF" w:rsidRPr="00473050" w:rsidRDefault="00EE2BCF" w:rsidP="00510B7E">
      <w:pPr>
        <w:pStyle w:val="Heading3"/>
      </w:pPr>
      <w:bookmarkStart w:id="33" w:name="_Toc92977224"/>
      <w:r w:rsidRPr="00473050">
        <w:t>Certificats</w:t>
      </w:r>
      <w:bookmarkEnd w:id="33"/>
    </w:p>
    <w:p w14:paraId="1F2848E4" w14:textId="48031B10" w:rsidR="005224A7" w:rsidRPr="00473050" w:rsidRDefault="005224A7" w:rsidP="00D16BC1">
      <w:pPr>
        <w:spacing w:after="120"/>
        <w:rPr>
          <w:highlight w:val="yellow"/>
        </w:rPr>
      </w:pPr>
      <w:r w:rsidRPr="00473050">
        <w:t xml:space="preserve">En fonction du type d’action, du montant de la subvention et du type de bénéficiaires, il peut vous être demandé de soumettre différents certificats. Les types, les calendriers et les seuils de chaque certificat sont fixés dans la convention de subvention </w:t>
      </w:r>
      <w:r w:rsidRPr="00473050">
        <w:rPr>
          <w:i/>
        </w:rPr>
        <w:t>(fiche de données, point 4 et article 24)</w:t>
      </w:r>
      <w:r w:rsidRPr="00473050">
        <w:t>.</w:t>
      </w:r>
    </w:p>
    <w:p w14:paraId="67810567" w14:textId="77777777" w:rsidR="007C1E0D" w:rsidRPr="00473050" w:rsidRDefault="007C1E0D" w:rsidP="00510B7E">
      <w:pPr>
        <w:pStyle w:val="Heading3"/>
      </w:pPr>
      <w:bookmarkStart w:id="34" w:name="_Toc92977225"/>
      <w:r w:rsidRPr="00473050">
        <w:t>Régime de responsabilité pour les recouvrements</w:t>
      </w:r>
      <w:bookmarkEnd w:id="34"/>
    </w:p>
    <w:p w14:paraId="5BB9318F" w14:textId="77777777" w:rsidR="002D1390" w:rsidRPr="00473050" w:rsidRDefault="007C1E0D" w:rsidP="0015357F">
      <w:pPr>
        <w:widowControl w:val="0"/>
        <w:spacing w:after="120"/>
        <w:rPr>
          <w:i/>
        </w:rPr>
      </w:pPr>
      <w:r w:rsidRPr="00473050">
        <w:t xml:space="preserve">Le régime de responsabilité pour les recouvrements sera défini dans la convention de subvention </w:t>
      </w:r>
      <w:r w:rsidRPr="00473050">
        <w:rPr>
          <w:i/>
        </w:rPr>
        <w:t>(fiche de données, point 4.4 et article 22).</w:t>
      </w:r>
    </w:p>
    <w:p w14:paraId="6AAF1F6D" w14:textId="78BE0A71" w:rsidR="007C1E0D" w:rsidRPr="00473050" w:rsidRDefault="00196064" w:rsidP="0015357F">
      <w:pPr>
        <w:widowControl w:val="0"/>
        <w:spacing w:after="120"/>
      </w:pPr>
      <w:r w:rsidRPr="00473050">
        <w:t>Pour les bénéficiaires, il s’agira de l’un des régimes suivants:</w:t>
      </w:r>
    </w:p>
    <w:p w14:paraId="4A08B607" w14:textId="681030C6" w:rsidR="00965369" w:rsidRPr="00473050" w:rsidRDefault="00965369" w:rsidP="00584316">
      <w:pPr>
        <w:widowControl w:val="0"/>
        <w:numPr>
          <w:ilvl w:val="0"/>
          <w:numId w:val="31"/>
        </w:numPr>
        <w:spacing w:after="120"/>
        <w:ind w:left="709"/>
        <w:jc w:val="left"/>
        <w:rPr>
          <w:rFonts w:eastAsia="Calibri" w:cs="Arial"/>
        </w:rPr>
      </w:pPr>
      <w:r w:rsidRPr="00473050">
        <w:t>responsabilité conjointe et</w:t>
      </w:r>
      <w:r w:rsidR="007D41B0">
        <w:t xml:space="preserve"> </w:t>
      </w:r>
      <w:r w:rsidRPr="00473050">
        <w:t xml:space="preserve">solidaire limitée avec plafonds individuels: </w:t>
      </w:r>
      <w:r w:rsidRPr="00473050">
        <w:rPr>
          <w:i/>
        </w:rPr>
        <w:t>chaque bénéficiaire jusqu’à concurrence du montant maximal de la subvention</w:t>
      </w:r>
    </w:p>
    <w:p w14:paraId="22A8F057" w14:textId="77777777" w:rsidR="007C1E0D" w:rsidRPr="00473050" w:rsidRDefault="007C1E0D" w:rsidP="00584316">
      <w:pPr>
        <w:widowControl w:val="0"/>
        <w:numPr>
          <w:ilvl w:val="0"/>
          <w:numId w:val="31"/>
        </w:numPr>
        <w:spacing w:after="120"/>
        <w:ind w:left="709"/>
        <w:jc w:val="left"/>
        <w:rPr>
          <w:bCs/>
        </w:rPr>
      </w:pPr>
      <w:r w:rsidRPr="00473050">
        <w:t xml:space="preserve">responsabilité solidaire inconditionnelle: </w:t>
      </w:r>
      <w:r w:rsidRPr="00473050">
        <w:rPr>
          <w:i/>
          <w:szCs w:val="18"/>
        </w:rPr>
        <w:t>chaque bénéficiaire dans la limite du montant maximal de la subvention pour l’action</w:t>
      </w:r>
      <w:r w:rsidRPr="00473050">
        <w:t xml:space="preserve"> </w:t>
      </w:r>
    </w:p>
    <w:p w14:paraId="46190429" w14:textId="77777777" w:rsidR="00E85905" w:rsidRPr="00473050" w:rsidRDefault="00E85905" w:rsidP="00E85905">
      <w:pPr>
        <w:widowControl w:val="0"/>
        <w:spacing w:after="120"/>
        <w:ind w:left="435"/>
        <w:rPr>
          <w:bCs/>
        </w:rPr>
      </w:pPr>
      <w:r w:rsidRPr="00473050">
        <w:t>ou</w:t>
      </w:r>
    </w:p>
    <w:p w14:paraId="48C16878" w14:textId="2DA3851E" w:rsidR="007C1E0D" w:rsidRPr="00473050" w:rsidRDefault="007C1E0D" w:rsidP="00584316">
      <w:pPr>
        <w:widowControl w:val="0"/>
        <w:numPr>
          <w:ilvl w:val="0"/>
          <w:numId w:val="31"/>
        </w:numPr>
        <w:spacing w:after="120"/>
        <w:ind w:left="709"/>
        <w:jc w:val="left"/>
        <w:rPr>
          <w:bCs/>
        </w:rPr>
      </w:pPr>
      <w:r w:rsidRPr="00473050">
        <w:t xml:space="preserve">responsabilité financière individuelle: </w:t>
      </w:r>
      <w:r w:rsidRPr="00473050">
        <w:rPr>
          <w:i/>
          <w:szCs w:val="18"/>
        </w:rPr>
        <w:t>chaque bénéficiaire n’est responsable que de ses propres dettes</w:t>
      </w:r>
      <w:r w:rsidRPr="00473050">
        <w:t xml:space="preserve">. </w:t>
      </w:r>
    </w:p>
    <w:p w14:paraId="3ED199B0" w14:textId="77777777" w:rsidR="00196064" w:rsidRPr="00473050" w:rsidRDefault="00196064" w:rsidP="00196064">
      <w:pPr>
        <w:widowControl w:val="0"/>
        <w:rPr>
          <w:bCs/>
        </w:rPr>
      </w:pPr>
      <w:r w:rsidRPr="00473050">
        <w:t>En outre, l’autorité qui accorde la subvention peut exiger une responsabilité conjointe et solidaire des entités affiliées (avec leur bénéficiaire).</w:t>
      </w:r>
    </w:p>
    <w:p w14:paraId="0A01C377" w14:textId="77777777" w:rsidR="002D1390" w:rsidRPr="00473050" w:rsidRDefault="002D1390" w:rsidP="00510B7E">
      <w:pPr>
        <w:pStyle w:val="Heading3"/>
      </w:pPr>
      <w:bookmarkStart w:id="35" w:name="_Toc92977226"/>
      <w:r w:rsidRPr="00473050">
        <w:t>Dispositions relatives à la mise en œuvre du projet</w:t>
      </w:r>
      <w:bookmarkEnd w:id="35"/>
    </w:p>
    <w:p w14:paraId="41C36EDF" w14:textId="77777777" w:rsidR="00C36932" w:rsidRPr="00473050" w:rsidRDefault="00C36932" w:rsidP="00C36932">
      <w:pPr>
        <w:widowControl w:val="0"/>
        <w:rPr>
          <w:bCs/>
          <w:i/>
        </w:rPr>
      </w:pPr>
      <w:r w:rsidRPr="00473050">
        <w:t xml:space="preserve">Règles de DPI: </w:t>
      </w:r>
      <w:r w:rsidRPr="00473050">
        <w:rPr>
          <w:bCs/>
          <w:i/>
        </w:rPr>
        <w:t>voir le Modèle de convention de subvention</w:t>
      </w:r>
      <w:r w:rsidRPr="00473050">
        <w:t xml:space="preserve"> (article 16 et annexe 5):</w:t>
      </w:r>
    </w:p>
    <w:p w14:paraId="255EA0A4" w14:textId="769E98BA" w:rsidR="00C36932" w:rsidRPr="00473050" w:rsidRDefault="00C36932" w:rsidP="008C3D9D">
      <w:pPr>
        <w:widowControl w:val="0"/>
        <w:numPr>
          <w:ilvl w:val="0"/>
          <w:numId w:val="31"/>
        </w:numPr>
        <w:ind w:left="709"/>
        <w:jc w:val="left"/>
        <w:rPr>
          <w:bCs/>
        </w:rPr>
      </w:pPr>
      <w:r w:rsidRPr="00473050">
        <w:t>droits d’utilisation sur les résultats: oui</w:t>
      </w:r>
    </w:p>
    <w:p w14:paraId="1203D3C9" w14:textId="77777777" w:rsidR="00C36932" w:rsidRPr="00473050" w:rsidRDefault="00C36932" w:rsidP="008C3D9D">
      <w:pPr>
        <w:widowControl w:val="0"/>
        <w:rPr>
          <w:bCs/>
          <w:i/>
        </w:rPr>
      </w:pPr>
      <w:r w:rsidRPr="00473050">
        <w:t xml:space="preserve">Communication, diffusion et visibilité du financement: </w:t>
      </w:r>
      <w:r w:rsidRPr="00473050">
        <w:rPr>
          <w:bCs/>
          <w:i/>
        </w:rPr>
        <w:t>voir le Modèle de convention de subvention (article 17 et annexe 5):</w:t>
      </w:r>
    </w:p>
    <w:p w14:paraId="3B53DB48" w14:textId="3BE8BC8F" w:rsidR="006C2D98" w:rsidRPr="00473050" w:rsidRDefault="006C2D98" w:rsidP="008C3D9D">
      <w:pPr>
        <w:widowControl w:val="0"/>
        <w:numPr>
          <w:ilvl w:val="0"/>
          <w:numId w:val="31"/>
        </w:numPr>
        <w:ind w:left="709" w:hanging="357"/>
        <w:jc w:val="left"/>
        <w:rPr>
          <w:bCs/>
          <w:i/>
        </w:rPr>
      </w:pPr>
      <w:r w:rsidRPr="00473050">
        <w:t>activités complémentaires de communication et de diffusion: oui</w:t>
      </w:r>
    </w:p>
    <w:p w14:paraId="79092A73" w14:textId="77777777" w:rsidR="00E752E3" w:rsidRPr="00473050" w:rsidRDefault="00E752E3" w:rsidP="00510B7E">
      <w:pPr>
        <w:pStyle w:val="Heading3"/>
      </w:pPr>
      <w:bookmarkStart w:id="36" w:name="_Toc92977227"/>
      <w:r w:rsidRPr="00473050">
        <w:t>Autres particularités</w:t>
      </w:r>
      <w:bookmarkEnd w:id="36"/>
      <w:r w:rsidRPr="00473050">
        <w:t xml:space="preserve"> </w:t>
      </w:r>
    </w:p>
    <w:p w14:paraId="6FAE6CF8" w14:textId="3320AC1C" w:rsidR="006C2D98" w:rsidRPr="00473050" w:rsidRDefault="006C2D98" w:rsidP="006C2D98">
      <w:pPr>
        <w:widowControl w:val="0"/>
        <w:rPr>
          <w:bCs/>
        </w:rPr>
      </w:pPr>
      <w:r w:rsidRPr="00473050">
        <w:lastRenderedPageBreak/>
        <w:t>S/O</w:t>
      </w:r>
    </w:p>
    <w:p w14:paraId="550096E5" w14:textId="77777777" w:rsidR="00E752E3" w:rsidRPr="00473050" w:rsidRDefault="00E752E3" w:rsidP="00510B7E">
      <w:pPr>
        <w:pStyle w:val="Heading3"/>
      </w:pPr>
      <w:bookmarkStart w:id="37" w:name="_Toc92977228"/>
      <w:r w:rsidRPr="00473050">
        <w:t>Non-conformité et rupture de contrat</w:t>
      </w:r>
      <w:bookmarkEnd w:id="37"/>
    </w:p>
    <w:p w14:paraId="12A9A690" w14:textId="77777777" w:rsidR="00E85C9D" w:rsidRPr="00473050" w:rsidRDefault="00E752E3" w:rsidP="00E85C9D">
      <w:pPr>
        <w:widowControl w:val="0"/>
        <w:rPr>
          <w:bCs/>
        </w:rPr>
      </w:pPr>
      <w:r w:rsidRPr="00473050">
        <w:t>La convention de subvention (chapitre 5) énonce les mesures à prendre en cas de rupture de contrat (et d’autres questions relatives à la non-conformité).</w:t>
      </w:r>
    </w:p>
    <w:p w14:paraId="11678DD9" w14:textId="79DBD684" w:rsidR="00E752E3" w:rsidRPr="00473050" w:rsidRDefault="005A3754" w:rsidP="00E752E3">
      <w:pPr>
        <w:autoSpaceDE w:val="0"/>
        <w:autoSpaceDN w:val="0"/>
        <w:adjustRightInd w:val="0"/>
        <w:rPr>
          <w:rFonts w:cs="Verdana"/>
        </w:rPr>
      </w:pPr>
      <w:r w:rsidRPr="00473050">
        <w:rPr>
          <w:noProof/>
          <w:lang w:val="en-IE" w:eastAsia="en-IE"/>
        </w:rPr>
        <w:drawing>
          <wp:inline distT="0" distB="0" distL="0" distR="0" wp14:anchorId="4DC826B7" wp14:editId="67CF715E">
            <wp:extent cx="187960" cy="187960"/>
            <wp:effectExtent l="0" t="0" r="0" b="0"/>
            <wp:docPr id="11" name="Picture 926709888"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6709888" name="Picture 926709888" title="Title: Title: Title: https://lh5.googleusercontent.com/-n5VVWXljoCs/T8X1egaB-BI/AAAAAAAAC1I/fLBP4VIzxQM/s16/infoIcon_blue.png"/>
                    <pic:cNvPicPr/>
                  </pic:nvPicPr>
                  <pic:blipFill>
                    <a:blip r:embed="rId33">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473050">
        <w:t xml:space="preserve">Pour de plus amples informations, </w:t>
      </w:r>
      <w:r w:rsidRPr="00473050">
        <w:rPr>
          <w:i/>
          <w:iCs/>
        </w:rPr>
        <w:t>voir </w:t>
      </w:r>
      <w:hyperlink r:id="rId51">
        <w:r w:rsidRPr="00473050">
          <w:rPr>
            <w:rStyle w:val="Hyperlink"/>
            <w:i/>
            <w:iCs/>
          </w:rPr>
          <w:t>l’AGA – convention de subvention annotée</w:t>
        </w:r>
      </w:hyperlink>
      <w:r w:rsidRPr="00473050">
        <w:t xml:space="preserve">. </w:t>
      </w:r>
    </w:p>
    <w:p w14:paraId="52D0B17F" w14:textId="3C52329B" w:rsidR="00774448" w:rsidRPr="00473050" w:rsidRDefault="00774448" w:rsidP="000579AF">
      <w:pPr>
        <w:pStyle w:val="Heading1"/>
        <w:numPr>
          <w:ilvl w:val="0"/>
          <w:numId w:val="54"/>
        </w:numPr>
        <w:tabs>
          <w:tab w:val="left" w:pos="426"/>
        </w:tabs>
        <w:ind w:left="0" w:firstLine="0"/>
      </w:pPr>
      <w:bookmarkStart w:id="38" w:name="_Toc92977229"/>
      <w:r w:rsidRPr="00473050">
        <w:t>Comment présenter la candidature?</w:t>
      </w:r>
      <w:bookmarkEnd w:id="38"/>
    </w:p>
    <w:p w14:paraId="761BA98F" w14:textId="77777777" w:rsidR="00A82A58" w:rsidRPr="00473050" w:rsidRDefault="00A82A58" w:rsidP="00A82A58">
      <w:pPr>
        <w:widowControl w:val="0"/>
      </w:pPr>
      <w:r w:rsidRPr="00473050">
        <w:t xml:space="preserve">Toutes les propositions doivent être soumises directement en ligne via le système de soumission électronique du portail «Funding &amp; Tenders». Les candidatures au format papier ne sont PAS acceptées. </w:t>
      </w:r>
    </w:p>
    <w:p w14:paraId="1E44B7CE" w14:textId="77777777" w:rsidR="00A82A58" w:rsidRPr="00473050" w:rsidRDefault="00A82A58" w:rsidP="00A82A58">
      <w:r w:rsidRPr="00473050">
        <w:t xml:space="preserve">La soumission est une </w:t>
      </w:r>
      <w:r w:rsidRPr="00473050">
        <w:rPr>
          <w:b/>
          <w:bCs/>
        </w:rPr>
        <w:t>procédure en 2 étapes</w:t>
      </w:r>
      <w:r w:rsidRPr="00473050">
        <w:t xml:space="preserve">: </w:t>
      </w:r>
    </w:p>
    <w:p w14:paraId="4D4C2031" w14:textId="4DCA710F" w:rsidR="00A82A58" w:rsidRPr="00473050" w:rsidRDefault="00A82A58" w:rsidP="00965369">
      <w:pPr>
        <w:pStyle w:val="ListParagraph"/>
        <w:numPr>
          <w:ilvl w:val="1"/>
          <w:numId w:val="56"/>
        </w:numPr>
        <w:tabs>
          <w:tab w:val="left" w:pos="284"/>
        </w:tabs>
        <w:spacing w:after="200"/>
        <w:ind w:left="0" w:firstLine="0"/>
        <w:contextualSpacing w:val="0"/>
        <w:rPr>
          <w:sz w:val="20"/>
          <w:szCs w:val="20"/>
        </w:rPr>
      </w:pPr>
      <w:r w:rsidRPr="00473050">
        <w:rPr>
          <w:b/>
          <w:sz w:val="20"/>
          <w:szCs w:val="20"/>
        </w:rPr>
        <w:t>créer un compte utilisateur et enregistrer votre organisation</w:t>
      </w:r>
      <w:r w:rsidRPr="00473050">
        <w:rPr>
          <w:sz w:val="20"/>
          <w:szCs w:val="20"/>
        </w:rPr>
        <w:t xml:space="preserve"> </w:t>
      </w:r>
    </w:p>
    <w:p w14:paraId="7C7BE724" w14:textId="01C1887B" w:rsidR="00A82A58" w:rsidRPr="00473050" w:rsidRDefault="00A82A58" w:rsidP="00965369">
      <w:r w:rsidRPr="00473050">
        <w:t xml:space="preserve">Pour utiliser le système de soumission (le seul moyen de faire une demande), tous les participants doivent </w:t>
      </w:r>
      <w:hyperlink r:id="rId52" w:history="1">
        <w:r w:rsidRPr="00473050">
          <w:rPr>
            <w:color w:val="0088CC"/>
            <w:u w:val="single"/>
          </w:rPr>
          <w:t>créer un compte utilisateur EU Login</w:t>
        </w:r>
      </w:hyperlink>
      <w:r w:rsidRPr="00473050">
        <w:t>.</w:t>
      </w:r>
    </w:p>
    <w:p w14:paraId="385F4D22" w14:textId="789D9A57" w:rsidR="00A82A58" w:rsidRPr="00473050" w:rsidRDefault="00A82A58" w:rsidP="00A82A58">
      <w:r w:rsidRPr="00473050">
        <w:t xml:space="preserve">Lorsque votre compte EU Login est créé, vous pouvez </w:t>
      </w:r>
      <w:hyperlink r:id="rId53" w:history="1">
        <w:r w:rsidRPr="00473050">
          <w:rPr>
            <w:color w:val="0088CC"/>
            <w:u w:val="single"/>
          </w:rPr>
          <w:t>enregistrer votre organisation</w:t>
        </w:r>
      </w:hyperlink>
      <w:r w:rsidRPr="00473050">
        <w:t xml:space="preserve"> dans le registre des participants. Une fois votre organisation enregistrée, vous recevrez un code d’identification du participant (PIC) à 9 chiffres.</w:t>
      </w:r>
    </w:p>
    <w:p w14:paraId="3B1EF156" w14:textId="467F6BCD" w:rsidR="00A82A58" w:rsidRPr="00473050" w:rsidRDefault="00A82A58" w:rsidP="00965369">
      <w:pPr>
        <w:pStyle w:val="ListParagraph"/>
        <w:numPr>
          <w:ilvl w:val="1"/>
          <w:numId w:val="56"/>
        </w:numPr>
        <w:tabs>
          <w:tab w:val="left" w:pos="284"/>
        </w:tabs>
        <w:spacing w:after="200"/>
        <w:ind w:left="0" w:firstLine="0"/>
        <w:contextualSpacing w:val="0"/>
        <w:rPr>
          <w:sz w:val="20"/>
          <w:szCs w:val="20"/>
        </w:rPr>
      </w:pPr>
      <w:r w:rsidRPr="00473050">
        <w:rPr>
          <w:b/>
          <w:sz w:val="20"/>
          <w:szCs w:val="20"/>
        </w:rPr>
        <w:t>soumettre la proposition</w:t>
      </w:r>
    </w:p>
    <w:p w14:paraId="2D1D3DDF" w14:textId="5136FCA2" w:rsidR="00A82A58" w:rsidRPr="00473050" w:rsidRDefault="00A82A58" w:rsidP="00A82A58">
      <w:pPr>
        <w:tabs>
          <w:tab w:val="left" w:pos="142"/>
        </w:tabs>
      </w:pPr>
      <w:r w:rsidRPr="00473050">
        <w:t xml:space="preserve">Accédez au système de soumission électronique via la page thématique du site web de la Commission européenne dans la section </w:t>
      </w:r>
      <w:hyperlink r:id="rId54" w:history="1">
        <w:r w:rsidRPr="00473050">
          <w:rPr>
            <w:rStyle w:val="Hyperlink"/>
          </w:rPr>
          <w:t>Search Funding &amp; Tenders</w:t>
        </w:r>
      </w:hyperlink>
      <w:r w:rsidRPr="00473050">
        <w:t xml:space="preserve"> (Recherche de financements et d’appels d’offres) (ou, pour les appels envoyés par une invitation à soumettre une proposition, via le lien fourni dans la lettre d’invitation).</w:t>
      </w:r>
    </w:p>
    <w:p w14:paraId="55DB4E61" w14:textId="04712426" w:rsidR="00A82A58" w:rsidRPr="00473050" w:rsidRDefault="00A82A58" w:rsidP="00A82A58">
      <w:r w:rsidRPr="00473050">
        <w:t xml:space="preserve">Soumettez votre proposition en 4 parties, comme suit: </w:t>
      </w:r>
    </w:p>
    <w:p w14:paraId="595ACC2F" w14:textId="77777777" w:rsidR="00A82A58" w:rsidRPr="00473050" w:rsidRDefault="00A82A58" w:rsidP="00A82A58">
      <w:pPr>
        <w:numPr>
          <w:ilvl w:val="0"/>
          <w:numId w:val="20"/>
        </w:numPr>
        <w:tabs>
          <w:tab w:val="num" w:pos="765"/>
        </w:tabs>
        <w:ind w:left="765"/>
      </w:pPr>
      <w:r w:rsidRPr="00473050">
        <w:t>La partie A contient des informations administratives sur les organismes candidats (futur coordonnateur, bénéficiaires, entités affiliées et partenaires associés) et sur le budget récapitulatif de la proposition. Remplissez-la directement en ligne;</w:t>
      </w:r>
    </w:p>
    <w:p w14:paraId="0B5804F7" w14:textId="77777777" w:rsidR="00A82A58" w:rsidRPr="00473050" w:rsidRDefault="00A82A58" w:rsidP="00A82A58">
      <w:pPr>
        <w:numPr>
          <w:ilvl w:val="0"/>
          <w:numId w:val="20"/>
        </w:numPr>
        <w:tabs>
          <w:tab w:val="num" w:pos="765"/>
        </w:tabs>
        <w:ind w:left="765"/>
      </w:pPr>
      <w:r w:rsidRPr="00473050">
        <w:t>La partie B (description de l’action) couvre le contenu technique de la proposition. Téléchargez le modèle Word obligatoire à partir du système de soumission, remplissez-le et téléchargez-le au format de fichier PDF;</w:t>
      </w:r>
    </w:p>
    <w:p w14:paraId="4AC31BB2" w14:textId="303BF488" w:rsidR="00A82A58" w:rsidRPr="00473050" w:rsidRDefault="00A82A58" w:rsidP="00A82A58">
      <w:pPr>
        <w:numPr>
          <w:ilvl w:val="0"/>
          <w:numId w:val="20"/>
        </w:numPr>
        <w:tabs>
          <w:tab w:val="num" w:pos="765"/>
        </w:tabs>
        <w:ind w:left="765"/>
      </w:pPr>
      <w:r w:rsidRPr="00473050">
        <w:t>La partie C contenant des données supplémentaires sur le projet. À remplir directement en ligne;</w:t>
      </w:r>
    </w:p>
    <w:p w14:paraId="3A0A5CB2" w14:textId="77777777" w:rsidR="00A82A58" w:rsidRPr="00473050" w:rsidRDefault="00A82A58" w:rsidP="00A82A58">
      <w:pPr>
        <w:numPr>
          <w:ilvl w:val="0"/>
          <w:numId w:val="20"/>
        </w:numPr>
        <w:tabs>
          <w:tab w:val="num" w:pos="765"/>
        </w:tabs>
        <w:ind w:left="765"/>
      </w:pPr>
      <w:r w:rsidRPr="00473050">
        <w:t>Les annexes (</w:t>
      </w:r>
      <w:r w:rsidRPr="00473050">
        <w:rPr>
          <w:i/>
        </w:rPr>
        <w:t>voir section 5</w:t>
      </w:r>
      <w:r w:rsidRPr="00473050">
        <w:t xml:space="preserve">). Téléchargez-les au format de fichier PDF (en une fois ou en plusieurs fois selon les créneaux). Un téléchargement de fichier Excel est parfois possible selon le type de fichier. </w:t>
      </w:r>
    </w:p>
    <w:p w14:paraId="3A92FB1F" w14:textId="77777777" w:rsidR="00A82A58" w:rsidRPr="00473050" w:rsidRDefault="00A82A58" w:rsidP="00A82A58">
      <w:r w:rsidRPr="00473050">
        <w:t xml:space="preserve">La proposition doit respecter la </w:t>
      </w:r>
      <w:r w:rsidRPr="00473050">
        <w:rPr>
          <w:b/>
        </w:rPr>
        <w:t>limite de pages</w:t>
      </w:r>
      <w:r w:rsidRPr="00473050">
        <w:t xml:space="preserve"> (</w:t>
      </w:r>
      <w:r w:rsidRPr="00473050">
        <w:rPr>
          <w:i/>
        </w:rPr>
        <w:t>voir section 5</w:t>
      </w:r>
      <w:r w:rsidRPr="00473050">
        <w:t xml:space="preserve">); les pages excédentaires ne seront pas prises en considération. </w:t>
      </w:r>
    </w:p>
    <w:p w14:paraId="20D3A891" w14:textId="3BD2430A" w:rsidR="00774448" w:rsidRPr="00473050" w:rsidRDefault="00774448" w:rsidP="00A82A58">
      <w:r w:rsidRPr="00473050">
        <w:t xml:space="preserve">Les documents doivent être téléchargés dans la </w:t>
      </w:r>
      <w:r w:rsidRPr="00473050">
        <w:rPr>
          <w:b/>
        </w:rPr>
        <w:t>bonne catégorie</w:t>
      </w:r>
      <w:r w:rsidRPr="00473050">
        <w:t xml:space="preserve"> dans le système de soumission, sinon la proposition pourrait être considérée comme incomplète et donc non admissible.</w:t>
      </w:r>
    </w:p>
    <w:p w14:paraId="72F683C9" w14:textId="77777777" w:rsidR="00774448" w:rsidRPr="00473050" w:rsidRDefault="00774448" w:rsidP="00774448">
      <w:r w:rsidRPr="00473050">
        <w:lastRenderedPageBreak/>
        <w:t xml:space="preserve">La proposition doit être soumise </w:t>
      </w:r>
      <w:r w:rsidRPr="00473050">
        <w:rPr>
          <w:b/>
          <w:bCs/>
        </w:rPr>
        <w:t>avant la date limite de dépôt fixée dans l’appel</w:t>
      </w:r>
      <w:r w:rsidRPr="00473050">
        <w:t xml:space="preserve"> (</w:t>
      </w:r>
      <w:r w:rsidRPr="00473050">
        <w:rPr>
          <w:i/>
          <w:iCs/>
        </w:rPr>
        <w:t>voir section 4</w:t>
      </w:r>
      <w:r w:rsidRPr="00473050">
        <w:t xml:space="preserve">). Après cette date, le système sera fermé et les propositions ne pourront plus être soumises. </w:t>
      </w:r>
    </w:p>
    <w:p w14:paraId="762AB04D" w14:textId="4586BB87" w:rsidR="00774448" w:rsidRPr="00473050" w:rsidRDefault="00774448" w:rsidP="00774448">
      <w:r w:rsidRPr="00473050">
        <w:t xml:space="preserve">Une fois la proposition soumise, vous recevrez un </w:t>
      </w:r>
      <w:r w:rsidRPr="00473050">
        <w:rPr>
          <w:b/>
        </w:rPr>
        <w:t>courriel de confirmation</w:t>
      </w:r>
      <w:r w:rsidRPr="00473050">
        <w:t xml:space="preserve"> (avec la date et l’heure de votre demande). La non-réception d’un courriel de confirmation signifie que votre proposition n’a PAS été soumise. Si vous pensez que cela est dû à un défaut du système de soumission, vous devez immédiatement déposer une réclamation via le </w:t>
      </w:r>
      <w:hyperlink r:id="rId55" w:history="1">
        <w:r w:rsidRPr="00473050">
          <w:rPr>
            <w:color w:val="0088CC"/>
            <w:u w:val="single"/>
          </w:rPr>
          <w:t>formulaire en ligne du service d’assistance informatique</w:t>
        </w:r>
      </w:hyperlink>
      <w:r w:rsidRPr="00473050">
        <w:t>, en expliquant les circonstances et en joignant une copie de la proposition (et, si possible, des captures d’écran pour montrer ce qui s’est produit).</w:t>
      </w:r>
    </w:p>
    <w:p w14:paraId="5EBA6498" w14:textId="5CD4FA5D" w:rsidR="00774448" w:rsidRPr="00473050" w:rsidRDefault="00774448" w:rsidP="00774448">
      <w:r w:rsidRPr="00473050">
        <w:t xml:space="preserve">Les détails sur les processus et les procédures sont décrits dans le </w:t>
      </w:r>
      <w:hyperlink r:id="rId56" w:history="1">
        <w:r w:rsidRPr="00473050">
          <w:rPr>
            <w:rStyle w:val="Hyperlink"/>
          </w:rPr>
          <w:t>manuel en ligne</w:t>
        </w:r>
      </w:hyperlink>
      <w:r w:rsidRPr="00473050">
        <w:t>. Le manuel en ligne contient également les liens vers les FAQ et des instructions détaillées concernant le système d’échange électronique du portail.</w:t>
      </w:r>
    </w:p>
    <w:p w14:paraId="2FB20757" w14:textId="11484925" w:rsidR="002D1390" w:rsidRPr="00473050" w:rsidRDefault="002D1390" w:rsidP="000579AF">
      <w:pPr>
        <w:pStyle w:val="Heading1"/>
        <w:numPr>
          <w:ilvl w:val="0"/>
          <w:numId w:val="54"/>
        </w:numPr>
        <w:tabs>
          <w:tab w:val="left" w:pos="426"/>
        </w:tabs>
        <w:ind w:left="0" w:firstLine="0"/>
      </w:pPr>
      <w:bookmarkStart w:id="39" w:name="_Toc92977230"/>
      <w:r w:rsidRPr="00473050">
        <w:t>Aide</w:t>
      </w:r>
      <w:bookmarkEnd w:id="39"/>
    </w:p>
    <w:p w14:paraId="5BD07290" w14:textId="77777777" w:rsidR="00B870D7" w:rsidRPr="00473050" w:rsidRDefault="00B870D7" w:rsidP="00B870D7">
      <w:pPr>
        <w:spacing w:after="120"/>
        <w:rPr>
          <w:szCs w:val="21"/>
        </w:rPr>
      </w:pPr>
      <w:r w:rsidRPr="00473050">
        <w:t xml:space="preserve">Autant que faire se peut, </w:t>
      </w:r>
      <w:r w:rsidRPr="00473050">
        <w:rPr>
          <w:b/>
          <w:i/>
          <w:szCs w:val="21"/>
        </w:rPr>
        <w:t>essayez de trouver les réponses à vos questions par vous-même</w:t>
      </w:r>
      <w:r w:rsidRPr="00473050">
        <w:t>, que ce soit dans ce document ou dans les autres documents (nos ressources pour traiter les demandes directes sont limitées):</w:t>
      </w:r>
    </w:p>
    <w:p w14:paraId="66C7F5F9" w14:textId="7195B732" w:rsidR="00B870D7" w:rsidRPr="00473050" w:rsidRDefault="0055296F" w:rsidP="00584316">
      <w:pPr>
        <w:widowControl w:val="0"/>
        <w:numPr>
          <w:ilvl w:val="0"/>
          <w:numId w:val="31"/>
        </w:numPr>
        <w:spacing w:after="120"/>
        <w:ind w:left="709"/>
        <w:jc w:val="left"/>
        <w:rPr>
          <w:szCs w:val="21"/>
        </w:rPr>
      </w:pPr>
      <w:hyperlink r:id="rId57" w:history="1">
        <w:r w:rsidR="00D9124D" w:rsidRPr="00473050">
          <w:rPr>
            <w:rStyle w:val="Hyperlink"/>
          </w:rPr>
          <w:t>manuel en ligne</w:t>
        </w:r>
      </w:hyperlink>
      <w:r w:rsidR="00D9124D" w:rsidRPr="00473050">
        <w:t xml:space="preserve"> </w:t>
      </w:r>
    </w:p>
    <w:p w14:paraId="20342E5F" w14:textId="77777777" w:rsidR="00B870D7" w:rsidRPr="00473050" w:rsidRDefault="00B870D7" w:rsidP="00584316">
      <w:pPr>
        <w:widowControl w:val="0"/>
        <w:numPr>
          <w:ilvl w:val="0"/>
          <w:numId w:val="31"/>
        </w:numPr>
        <w:spacing w:after="120"/>
        <w:ind w:left="709"/>
        <w:jc w:val="left"/>
        <w:rPr>
          <w:szCs w:val="21"/>
          <w:u w:val="single"/>
        </w:rPr>
      </w:pPr>
      <w:r w:rsidRPr="00473050">
        <w:t>FAQ sur la page thématique (pour les questions spécifiques à l’appel dans les appels ouverts; sans objet pour les actions faisant l’objet d’une invitation)</w:t>
      </w:r>
    </w:p>
    <w:p w14:paraId="15BC9D11" w14:textId="17A1EB35" w:rsidR="00B870D7" w:rsidRPr="00473050" w:rsidRDefault="0055296F" w:rsidP="00584316">
      <w:pPr>
        <w:widowControl w:val="0"/>
        <w:numPr>
          <w:ilvl w:val="0"/>
          <w:numId w:val="31"/>
        </w:numPr>
        <w:ind w:left="709" w:hanging="357"/>
        <w:jc w:val="left"/>
        <w:rPr>
          <w:szCs w:val="21"/>
          <w:u w:val="single"/>
        </w:rPr>
      </w:pPr>
      <w:hyperlink r:id="rId58" w:history="1">
        <w:r w:rsidR="00D9124D" w:rsidRPr="00473050">
          <w:rPr>
            <w:rStyle w:val="Hyperlink"/>
          </w:rPr>
          <w:t>questions fréquemment posées sur le portail</w:t>
        </w:r>
      </w:hyperlink>
      <w:r w:rsidR="00D9124D" w:rsidRPr="00473050">
        <w:t xml:space="preserve"> (questions générales).</w:t>
      </w:r>
    </w:p>
    <w:p w14:paraId="7FE24C65" w14:textId="77777777" w:rsidR="00A53E20" w:rsidRPr="00473050" w:rsidRDefault="00A53E20" w:rsidP="00A53E20">
      <w:pPr>
        <w:rPr>
          <w:color w:val="000000"/>
          <w:szCs w:val="21"/>
        </w:rPr>
      </w:pPr>
      <w:r w:rsidRPr="00473050">
        <w:rPr>
          <w:color w:val="000000"/>
          <w:szCs w:val="21"/>
        </w:rPr>
        <w:t>Veuillez également consulter régulièrement la page thématique car nous y publierons des mises à jour relatives de l’appel. (Pour les invitations, nous vous contacterons directement en cas de mise à jour d’un appel).</w:t>
      </w:r>
    </w:p>
    <w:p w14:paraId="2799B9E0" w14:textId="77777777" w:rsidR="00A53E20" w:rsidRPr="00473050" w:rsidRDefault="00A53E20" w:rsidP="00A53E20">
      <w:pPr>
        <w:widowControl w:val="0"/>
        <w:rPr>
          <w:i/>
        </w:rPr>
      </w:pPr>
      <w:r w:rsidRPr="00473050">
        <w:rPr>
          <w:i/>
        </w:rPr>
        <w:t>Contact</w:t>
      </w:r>
    </w:p>
    <w:p w14:paraId="4F7C9187" w14:textId="39C9156A" w:rsidR="00A53E20" w:rsidRPr="00473050" w:rsidRDefault="00A53E20" w:rsidP="00A53E20">
      <w:pPr>
        <w:pStyle w:val="Default"/>
        <w:spacing w:after="120"/>
        <w:jc w:val="both"/>
        <w:rPr>
          <w:rFonts w:ascii="Verdana" w:hAnsi="Verdana" w:cs="Arial"/>
          <w:color w:val="auto"/>
          <w:sz w:val="20"/>
          <w:szCs w:val="20"/>
        </w:rPr>
      </w:pPr>
      <w:r w:rsidRPr="00473050">
        <w:rPr>
          <w:rFonts w:ascii="Verdana" w:hAnsi="Verdana"/>
          <w:color w:val="auto"/>
          <w:sz w:val="20"/>
          <w:szCs w:val="20"/>
        </w:rPr>
        <w:t xml:space="preserve">Pour toute question spécifique sur le système de soumission du portail, veuillez contacter le </w:t>
      </w:r>
      <w:hyperlink r:id="rId59" w:history="1">
        <w:r w:rsidRPr="00473050">
          <w:rPr>
            <w:rStyle w:val="Hyperlink"/>
            <w:rFonts w:ascii="Verdana" w:hAnsi="Verdana"/>
            <w:sz w:val="20"/>
            <w:szCs w:val="20"/>
          </w:rPr>
          <w:t>service d’assistance informatique</w:t>
        </w:r>
      </w:hyperlink>
      <w:r w:rsidRPr="00473050">
        <w:rPr>
          <w:rFonts w:ascii="Verdana" w:hAnsi="Verdana"/>
          <w:color w:val="auto"/>
          <w:sz w:val="20"/>
          <w:szCs w:val="20"/>
        </w:rPr>
        <w:t>.</w:t>
      </w:r>
    </w:p>
    <w:p w14:paraId="0208E6F8" w14:textId="77777777" w:rsidR="007654F8" w:rsidRPr="00473050" w:rsidRDefault="00A53E20" w:rsidP="007654F8">
      <w:pPr>
        <w:pStyle w:val="Text1"/>
        <w:spacing w:after="120"/>
        <w:ind w:left="0"/>
        <w:rPr>
          <w:rFonts w:cs="Arial"/>
        </w:rPr>
      </w:pPr>
      <w:r w:rsidRPr="00473050">
        <w:t xml:space="preserve">Les questions qui ne sont pas d’ordre informatique devront être adressées à l’adresse de courriel suivante: </w:t>
      </w:r>
    </w:p>
    <w:p w14:paraId="78E7C8FF" w14:textId="72475015" w:rsidR="00CD6C4F" w:rsidRPr="00473050" w:rsidRDefault="0055296F" w:rsidP="007654F8">
      <w:pPr>
        <w:pStyle w:val="Text1"/>
        <w:spacing w:after="120"/>
        <w:ind w:left="0"/>
        <w:rPr>
          <w:rFonts w:cs="Arial"/>
        </w:rPr>
      </w:pPr>
      <w:hyperlink r:id="rId60" w:history="1">
        <w:r w:rsidR="00D9124D" w:rsidRPr="00473050">
          <w:rPr>
            <w:rStyle w:val="Hyperlink"/>
            <w:color w:val="FF0000"/>
          </w:rPr>
          <w:t>EACEA-CERV@ec.europa.eu</w:t>
        </w:r>
      </w:hyperlink>
      <w:r w:rsidR="00D9124D" w:rsidRPr="00473050">
        <w:t xml:space="preserve">. </w:t>
      </w:r>
    </w:p>
    <w:p w14:paraId="5BAEED01" w14:textId="77777777" w:rsidR="00A53E20" w:rsidRPr="00473050" w:rsidRDefault="00A53E20" w:rsidP="00CD6C4F">
      <w:pPr>
        <w:pStyle w:val="Text1"/>
        <w:spacing w:after="120"/>
        <w:ind w:left="0"/>
        <w:rPr>
          <w:rFonts w:cs="Arial"/>
        </w:rPr>
      </w:pPr>
      <w:r w:rsidRPr="00473050">
        <w:t xml:space="preserve">Veuillez mentionner clairement la référence de l’appel ainsi que le thème sur lequel porte votre question </w:t>
      </w:r>
      <w:r w:rsidRPr="00473050">
        <w:rPr>
          <w:i/>
        </w:rPr>
        <w:t>(voir la page de couverture)</w:t>
      </w:r>
      <w:r w:rsidRPr="00473050">
        <w:t>.</w:t>
      </w:r>
    </w:p>
    <w:p w14:paraId="60C73839" w14:textId="77777777" w:rsidR="00376DCA" w:rsidRPr="00473050" w:rsidRDefault="00376DCA" w:rsidP="007C37E2"/>
    <w:p w14:paraId="55C4BC05" w14:textId="7DB55A38" w:rsidR="008D7360" w:rsidRDefault="00376DCA" w:rsidP="000579AF">
      <w:pPr>
        <w:pStyle w:val="Heading1"/>
        <w:numPr>
          <w:ilvl w:val="0"/>
          <w:numId w:val="54"/>
        </w:numPr>
        <w:tabs>
          <w:tab w:val="left" w:pos="426"/>
        </w:tabs>
        <w:ind w:left="0" w:firstLine="0"/>
      </w:pPr>
      <w:r w:rsidRPr="00473050">
        <w:br w:type="page"/>
      </w:r>
      <w:bookmarkStart w:id="40" w:name="_Toc92977231"/>
      <w:r w:rsidRPr="00473050">
        <w:lastRenderedPageBreak/>
        <w:t>Important</w:t>
      </w:r>
      <w:bookmarkEnd w:id="40"/>
    </w:p>
    <w:tbl>
      <w:tblPr>
        <w:tblStyle w:val="TableGrid"/>
        <w:tblW w:w="0" w:type="auto"/>
        <w:tblInd w:w="-5" w:type="dxa"/>
        <w:tblLook w:val="04A0" w:firstRow="1" w:lastRow="0" w:firstColumn="1" w:lastColumn="0" w:noHBand="0" w:noVBand="1"/>
      </w:tblPr>
      <w:tblGrid>
        <w:gridCol w:w="8647"/>
      </w:tblGrid>
      <w:tr w:rsidR="00473050" w14:paraId="2501936D" w14:textId="77777777" w:rsidTr="00473050">
        <w:tc>
          <w:tcPr>
            <w:tcW w:w="8647" w:type="dxa"/>
            <w:tcBorders>
              <w:top w:val="single" w:sz="4" w:space="0" w:color="BFBFBF"/>
              <w:left w:val="single" w:sz="4" w:space="0" w:color="BFBFBF"/>
              <w:bottom w:val="single" w:sz="4" w:space="0" w:color="BFBFBF"/>
              <w:right w:val="single" w:sz="4" w:space="0" w:color="BFBFBF"/>
            </w:tcBorders>
            <w:shd w:val="clear" w:color="auto" w:fill="F2F2F2"/>
          </w:tcPr>
          <w:p w14:paraId="296BA289" w14:textId="77777777" w:rsidR="00473050" w:rsidRPr="00473050" w:rsidRDefault="00473050" w:rsidP="00473050">
            <w:pPr>
              <w:pStyle w:val="Text1"/>
              <w:spacing w:before="120" w:after="120"/>
              <w:ind w:left="0"/>
              <w:rPr>
                <w:rFonts w:cs="Arial"/>
                <w:color w:val="595959"/>
                <w:sz w:val="16"/>
                <w:szCs w:val="18"/>
              </w:rPr>
            </w:pPr>
            <w:r w:rsidRPr="00473050">
              <w:rPr>
                <w:b/>
                <w:noProof/>
                <w:color w:val="7F7F7F"/>
                <w:sz w:val="18"/>
                <w:szCs w:val="21"/>
                <w:lang w:val="en-IE" w:eastAsia="en-IE"/>
              </w:rPr>
              <w:drawing>
                <wp:inline distT="0" distB="0" distL="0" distR="0" wp14:anchorId="2E08664C" wp14:editId="13493B6B">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473050">
              <w:rPr>
                <w:sz w:val="18"/>
                <w:szCs w:val="18"/>
              </w:rPr>
              <w:t xml:space="preserve"> </w:t>
            </w:r>
            <w:r w:rsidRPr="00473050">
              <w:rPr>
                <w:b/>
                <w:color w:val="595959"/>
                <w:sz w:val="18"/>
                <w:szCs w:val="18"/>
              </w:rPr>
              <w:t xml:space="preserve">REMARQUES IMPORTANTES </w:t>
            </w:r>
          </w:p>
          <w:p w14:paraId="21471DF0" w14:textId="77777777" w:rsidR="00473050" w:rsidRPr="00473050" w:rsidRDefault="00473050" w:rsidP="00473050">
            <w:pPr>
              <w:numPr>
                <w:ilvl w:val="0"/>
                <w:numId w:val="25"/>
              </w:numPr>
              <w:spacing w:after="120"/>
              <w:ind w:left="567" w:right="79" w:hanging="447"/>
              <w:rPr>
                <w:color w:val="595959"/>
                <w:sz w:val="18"/>
                <w:szCs w:val="18"/>
              </w:rPr>
            </w:pPr>
            <w:r w:rsidRPr="00473050">
              <w:rPr>
                <w:b/>
                <w:color w:val="595959"/>
                <w:sz w:val="18"/>
                <w:szCs w:val="18"/>
              </w:rPr>
              <w:t>N’attendez pas le dernier moment</w:t>
            </w:r>
            <w:r w:rsidRPr="00473050">
              <w:rPr>
                <w:color w:val="595959"/>
                <w:sz w:val="18"/>
                <w:szCs w:val="18"/>
              </w:rPr>
              <w:t xml:space="preserve">: remplissez votre demande suffisamment longtemps avant la date limite pour éviter tout </w:t>
            </w:r>
            <w:r w:rsidRPr="00473050">
              <w:rPr>
                <w:b/>
                <w:color w:val="595959"/>
                <w:sz w:val="18"/>
                <w:szCs w:val="18"/>
              </w:rPr>
              <w:t>problème technique</w:t>
            </w:r>
            <w:r w:rsidRPr="00473050">
              <w:rPr>
                <w:color w:val="595959"/>
                <w:sz w:val="18"/>
                <w:szCs w:val="18"/>
              </w:rPr>
              <w:t xml:space="preserve"> de dernière minute. Les problèmes dus aux soumissions de dernière minute </w:t>
            </w:r>
            <w:r w:rsidRPr="00473050">
              <w:rPr>
                <w:i/>
                <w:color w:val="595959"/>
                <w:sz w:val="18"/>
                <w:szCs w:val="18"/>
              </w:rPr>
              <w:t>(par exemple, saturation, etc.)</w:t>
            </w:r>
            <w:r w:rsidRPr="00473050">
              <w:rPr>
                <w:color w:val="595959"/>
                <w:sz w:val="18"/>
                <w:szCs w:val="18"/>
              </w:rPr>
              <w:t xml:space="preserve"> seront entièrement à vos risques. Les dates de clôture de l’appel NE peuvent PAS être prolongées.</w:t>
            </w:r>
          </w:p>
          <w:p w14:paraId="4054548F" w14:textId="77777777" w:rsidR="00473050" w:rsidRPr="00473050" w:rsidRDefault="00473050" w:rsidP="00473050">
            <w:pPr>
              <w:numPr>
                <w:ilvl w:val="0"/>
                <w:numId w:val="25"/>
              </w:numPr>
              <w:ind w:left="567" w:right="79" w:hanging="447"/>
              <w:rPr>
                <w:color w:val="595959"/>
                <w:sz w:val="18"/>
                <w:szCs w:val="18"/>
              </w:rPr>
            </w:pPr>
            <w:r w:rsidRPr="00473050">
              <w:rPr>
                <w:b/>
                <w:color w:val="595959"/>
                <w:sz w:val="18"/>
                <w:szCs w:val="18"/>
              </w:rPr>
              <w:t xml:space="preserve">Consultez </w:t>
            </w:r>
            <w:r w:rsidRPr="00473050">
              <w:rPr>
                <w:color w:val="595959"/>
                <w:sz w:val="18"/>
                <w:szCs w:val="18"/>
              </w:rPr>
              <w:t>régulièrement la page thématique du portail. Nous y publierons des mises à jour et des informations supplémentaires sur l’appel (mises à jour de l’appel et du thème).</w:t>
            </w:r>
          </w:p>
          <w:p w14:paraId="7E3CB9A7" w14:textId="77777777" w:rsidR="00473050" w:rsidRPr="00473050" w:rsidRDefault="00473050" w:rsidP="00473050">
            <w:pPr>
              <w:numPr>
                <w:ilvl w:val="0"/>
                <w:numId w:val="25"/>
              </w:numPr>
              <w:ind w:left="567" w:right="79" w:hanging="447"/>
              <w:rPr>
                <w:rFonts w:cs="Arial"/>
                <w:color w:val="595959"/>
                <w:sz w:val="18"/>
                <w:szCs w:val="18"/>
              </w:rPr>
            </w:pPr>
            <w:r w:rsidRPr="00473050">
              <w:rPr>
                <w:color w:val="595959"/>
                <w:sz w:val="18"/>
                <w:szCs w:val="18"/>
              </w:rPr>
              <w:t xml:space="preserve">Système d’échange électronique du portail des financements et appels d’offres: en soumettant la demande, tous les participants </w:t>
            </w:r>
            <w:r w:rsidRPr="00473050">
              <w:rPr>
                <w:b/>
                <w:color w:val="595959"/>
                <w:sz w:val="18"/>
                <w:szCs w:val="18"/>
              </w:rPr>
              <w:t>acceptent</w:t>
            </w:r>
            <w:r w:rsidRPr="00473050">
              <w:rPr>
                <w:color w:val="595959"/>
                <w:sz w:val="18"/>
                <w:szCs w:val="18"/>
              </w:rPr>
              <w:t xml:space="preserve"> d’utiliser le système d’échange électronique conformément aux</w:t>
            </w:r>
            <w:r w:rsidRPr="00473050">
              <w:rPr>
                <w:sz w:val="18"/>
                <w:szCs w:val="18"/>
              </w:rPr>
              <w:t xml:space="preserve"> </w:t>
            </w:r>
            <w:hyperlink r:id="rId61" w:history="1">
              <w:r w:rsidRPr="00473050">
                <w:rPr>
                  <w:rStyle w:val="Hyperlink"/>
                  <w:sz w:val="18"/>
                  <w:szCs w:val="18"/>
                </w:rPr>
                <w:t>Conditions générales du portail</w:t>
              </w:r>
            </w:hyperlink>
            <w:r w:rsidRPr="00473050">
              <w:rPr>
                <w:color w:val="7F7F7F"/>
                <w:sz w:val="18"/>
                <w:szCs w:val="18"/>
              </w:rPr>
              <w:t>.</w:t>
            </w:r>
          </w:p>
          <w:p w14:paraId="7AAB3559" w14:textId="77777777" w:rsidR="00473050" w:rsidRPr="00473050" w:rsidRDefault="00473050" w:rsidP="00473050">
            <w:pPr>
              <w:numPr>
                <w:ilvl w:val="0"/>
                <w:numId w:val="25"/>
              </w:numPr>
              <w:ind w:left="567" w:right="79" w:hanging="447"/>
              <w:rPr>
                <w:rFonts w:cs="Arial"/>
                <w:color w:val="595959"/>
                <w:sz w:val="18"/>
                <w:szCs w:val="18"/>
              </w:rPr>
            </w:pPr>
            <w:r w:rsidRPr="00473050">
              <w:rPr>
                <w:b/>
                <w:color w:val="595959"/>
                <w:sz w:val="18"/>
                <w:szCs w:val="18"/>
              </w:rPr>
              <w:t>Inscription:</w:t>
            </w:r>
            <w:r w:rsidRPr="00473050">
              <w:rPr>
                <w:color w:val="595959"/>
                <w:sz w:val="18"/>
                <w:szCs w:val="18"/>
              </w:rPr>
              <w:t xml:space="preserve"> avant de soumettre la demande, tous les bénéficiaires et entités affiliées doivent être inscrits dans le </w:t>
            </w:r>
            <w:hyperlink r:id="rId62" w:history="1">
              <w:r w:rsidRPr="00473050">
                <w:rPr>
                  <w:rStyle w:val="Hyperlink"/>
                  <w:sz w:val="18"/>
                  <w:szCs w:val="18"/>
                </w:rPr>
                <w:t>registre des participants</w:t>
              </w:r>
            </w:hyperlink>
            <w:r w:rsidRPr="00473050">
              <w:rPr>
                <w:color w:val="595959"/>
                <w:sz w:val="18"/>
                <w:szCs w:val="18"/>
              </w:rPr>
              <w:t>. Le code d’identification du participant (PIC) (un par participant) est obligatoire pour le formulaire de demande.</w:t>
            </w:r>
          </w:p>
          <w:p w14:paraId="152A96F0" w14:textId="77777777" w:rsidR="00473050" w:rsidRPr="00473050" w:rsidRDefault="00473050" w:rsidP="00473050">
            <w:pPr>
              <w:numPr>
                <w:ilvl w:val="0"/>
                <w:numId w:val="25"/>
              </w:numPr>
              <w:spacing w:after="120"/>
              <w:ind w:left="567" w:right="79" w:hanging="445"/>
              <w:rPr>
                <w:rFonts w:cs="Arial"/>
                <w:iCs/>
                <w:color w:val="595959"/>
                <w:sz w:val="18"/>
                <w:szCs w:val="18"/>
              </w:rPr>
            </w:pPr>
            <w:r w:rsidRPr="00473050">
              <w:rPr>
                <w:b/>
                <w:iCs/>
                <w:color w:val="595959"/>
                <w:sz w:val="18"/>
                <w:szCs w:val="18"/>
              </w:rPr>
              <w:t>Rôles du consortium:</w:t>
            </w:r>
            <w:r w:rsidRPr="00473050">
              <w:rPr>
                <w:iCs/>
                <w:color w:val="595959"/>
                <w:sz w:val="18"/>
                <w:szCs w:val="18"/>
              </w:rPr>
              <w:t xml:space="preserve"> lors de la création de votre consortium, réfléchissez aux organisations qui vous aident à atteindre les objectifs et à résoudre les problèmes.</w:t>
            </w:r>
          </w:p>
          <w:p w14:paraId="1DED358E" w14:textId="77777777" w:rsidR="00473050" w:rsidRPr="00473050" w:rsidRDefault="00473050" w:rsidP="00473050">
            <w:pPr>
              <w:spacing w:after="120"/>
              <w:ind w:left="567" w:right="79"/>
              <w:rPr>
                <w:rFonts w:eastAsia="Calibri"/>
                <w:sz w:val="18"/>
                <w:szCs w:val="18"/>
              </w:rPr>
            </w:pPr>
            <w:r w:rsidRPr="00473050">
              <w:rPr>
                <w:color w:val="595959"/>
                <w:sz w:val="18"/>
                <w:szCs w:val="18"/>
              </w:rPr>
              <w:t xml:space="preserve">Les rôles devront être attribués en fonction du niveau de participation au projet. Les principaux participants devront participer en tant que </w:t>
            </w:r>
            <w:r w:rsidRPr="00473050">
              <w:rPr>
                <w:b/>
                <w:color w:val="595959"/>
                <w:sz w:val="18"/>
                <w:szCs w:val="18"/>
              </w:rPr>
              <w:t>bénéficiaires</w:t>
            </w:r>
            <w:r w:rsidRPr="00473050">
              <w:rPr>
                <w:color w:val="595959"/>
                <w:sz w:val="18"/>
                <w:szCs w:val="18"/>
              </w:rPr>
              <w:t xml:space="preserve"> ou </w:t>
            </w:r>
            <w:r w:rsidRPr="00473050">
              <w:rPr>
                <w:b/>
                <w:color w:val="595959"/>
                <w:sz w:val="18"/>
                <w:szCs w:val="18"/>
              </w:rPr>
              <w:t>entités affiliées</w:t>
            </w:r>
            <w:r w:rsidRPr="00473050">
              <w:rPr>
                <w:color w:val="595959"/>
                <w:sz w:val="18"/>
                <w:szCs w:val="18"/>
              </w:rPr>
              <w:t xml:space="preserve">; les autres entités peuvent participer en qualité de partenaires associés, sous-traitants ou tiers apportant des contributions en nature. Les </w:t>
            </w:r>
            <w:r w:rsidRPr="00473050">
              <w:rPr>
                <w:b/>
                <w:color w:val="595959"/>
                <w:sz w:val="18"/>
                <w:szCs w:val="18"/>
              </w:rPr>
              <w:t>partenaires associés</w:t>
            </w:r>
            <w:r w:rsidRPr="00473050">
              <w:rPr>
                <w:color w:val="595959"/>
                <w:sz w:val="18"/>
                <w:szCs w:val="18"/>
              </w:rPr>
              <w:t xml:space="preserve"> et les tiers apportant des contributions en nature devront supporter leurs propres coûts (ils ne deviendront pas des bénéficiaires officiels des financements octroyés par l’UE). La </w:t>
            </w:r>
            <w:r w:rsidRPr="00473050">
              <w:rPr>
                <w:b/>
                <w:color w:val="595959"/>
                <w:sz w:val="18"/>
                <w:szCs w:val="18"/>
              </w:rPr>
              <w:t>sous-traitance</w:t>
            </w:r>
            <w:r w:rsidRPr="00473050">
              <w:rPr>
                <w:color w:val="595959"/>
                <w:sz w:val="18"/>
                <w:szCs w:val="18"/>
              </w:rPr>
              <w:t xml:space="preserve"> doit normalement constituer une partie limitée du projet et être effectuée par des tiers (et non par l’un des bénéficiaires/l’une des entités affiliées). Le recours à la sous-traitance pour un montant supérieur à 30 % du total des coûts éligibles doit être justifié dans la candidature.</w:t>
            </w:r>
          </w:p>
          <w:p w14:paraId="302C3D30" w14:textId="77777777" w:rsidR="00473050" w:rsidRPr="00473050" w:rsidRDefault="00473050" w:rsidP="00473050">
            <w:pPr>
              <w:numPr>
                <w:ilvl w:val="0"/>
                <w:numId w:val="25"/>
              </w:numPr>
              <w:ind w:left="567" w:right="78" w:hanging="445"/>
              <w:rPr>
                <w:rFonts w:cs="Arial"/>
                <w:iCs/>
                <w:color w:val="595959"/>
                <w:sz w:val="18"/>
                <w:szCs w:val="18"/>
              </w:rPr>
            </w:pPr>
            <w:r w:rsidRPr="00473050">
              <w:rPr>
                <w:b/>
                <w:color w:val="595959"/>
                <w:sz w:val="18"/>
                <w:szCs w:val="18"/>
              </w:rPr>
              <w:t>Coordinateur</w:t>
            </w:r>
            <w:r w:rsidRPr="00473050">
              <w:rPr>
                <w:color w:val="595959"/>
                <w:sz w:val="18"/>
                <w:szCs w:val="18"/>
              </w:rPr>
              <w:t>: dans le cadre de subventions multibénéficiaires, les bénéficiaires participent en tant que consortium (groupe de bénéficiaires). Ils devront choisir un coordinateur qui assurera la gestion et la coordination du projet et représentera le consortium auprès de l’autorité qui accorde la subvention. Dans le cas des subventions monobénéficiaires, le bénéficiaire unique sera automatiquement coordinateur.</w:t>
            </w:r>
          </w:p>
          <w:p w14:paraId="2C34218C" w14:textId="77777777" w:rsidR="00473050" w:rsidRPr="00473050" w:rsidRDefault="00473050" w:rsidP="00473050">
            <w:pPr>
              <w:numPr>
                <w:ilvl w:val="0"/>
                <w:numId w:val="25"/>
              </w:numPr>
              <w:ind w:left="567" w:right="78" w:hanging="445"/>
              <w:rPr>
                <w:rFonts w:eastAsia="Verdana" w:cs="Verdana"/>
                <w:color w:val="595959"/>
                <w:sz w:val="18"/>
                <w:szCs w:val="18"/>
              </w:rPr>
            </w:pPr>
            <w:r w:rsidRPr="00473050">
              <w:rPr>
                <w:b/>
                <w:color w:val="595959"/>
                <w:sz w:val="18"/>
                <w:szCs w:val="18"/>
              </w:rPr>
              <w:t>Entités affiliées:</w:t>
            </w:r>
            <w:r w:rsidRPr="00473050">
              <w:rPr>
                <w:color w:val="595959"/>
                <w:sz w:val="18"/>
                <w:szCs w:val="18"/>
              </w:rPr>
              <w:t xml:space="preserve"> les candidats peuvent participer avec des entités affiliées (c’est-à-dire des entités liées à un bénéficiaire qui participent à l’action avec des droits et obligations similaires à ceux des bénéficiaires, mais qui ne signent pas la convention de subvention et ne deviennent donc pas eux-mêmes des bénéficiaires). Ils recevront une partie de la subvention et doivent donc remplir toutes les conditions de l’appel et être validés (tout comme les bénéficiaires); mais ils ne sont pas pris en considération dans les critères minimaux d’éligibilité pour la composition du consortium (le cas échéant).</w:t>
            </w:r>
          </w:p>
          <w:p w14:paraId="66F7B9CB" w14:textId="77777777" w:rsidR="00473050" w:rsidRPr="00473050" w:rsidRDefault="00473050" w:rsidP="00473050">
            <w:pPr>
              <w:numPr>
                <w:ilvl w:val="0"/>
                <w:numId w:val="25"/>
              </w:numPr>
              <w:ind w:left="567" w:right="78" w:hanging="445"/>
              <w:rPr>
                <w:rFonts w:eastAsia="Verdana" w:cs="Verdana"/>
                <w:color w:val="595959"/>
                <w:sz w:val="18"/>
                <w:szCs w:val="18"/>
              </w:rPr>
            </w:pPr>
            <w:r w:rsidRPr="00473050">
              <w:rPr>
                <w:b/>
                <w:color w:val="595959"/>
                <w:sz w:val="18"/>
                <w:szCs w:val="18"/>
              </w:rPr>
              <w:t>Partenaires associés:</w:t>
            </w:r>
            <w:r w:rsidRPr="00473050">
              <w:rPr>
                <w:color w:val="595959"/>
                <w:sz w:val="18"/>
                <w:szCs w:val="18"/>
              </w:rPr>
              <w:t xml:space="preserve"> les demandeurs peuvent participer avec des partenaires associés (c’est-à-dire des organisations partenaires qui participent à l’action mais n’ont pas le droit d’obtenir une subvention). Ils participent sans financement et n’ont donc pas besoin d’être validés.</w:t>
            </w:r>
          </w:p>
          <w:p w14:paraId="489F9AF4" w14:textId="77777777" w:rsidR="00473050" w:rsidRPr="00473050" w:rsidRDefault="00473050" w:rsidP="00473050">
            <w:pPr>
              <w:numPr>
                <w:ilvl w:val="0"/>
                <w:numId w:val="25"/>
              </w:numPr>
              <w:ind w:left="567" w:right="79" w:hanging="445"/>
              <w:rPr>
                <w:rFonts w:cs="Arial"/>
                <w:color w:val="595959"/>
                <w:sz w:val="18"/>
                <w:szCs w:val="18"/>
              </w:rPr>
            </w:pPr>
            <w:r w:rsidRPr="00473050">
              <w:rPr>
                <w:b/>
                <w:color w:val="595959"/>
                <w:sz w:val="18"/>
                <w:szCs w:val="18"/>
              </w:rPr>
              <w:t>Accord de consortium:</w:t>
            </w:r>
            <w:r w:rsidRPr="00473050">
              <w:rPr>
                <w:color w:val="595959"/>
                <w:sz w:val="18"/>
                <w:szCs w:val="18"/>
              </w:rPr>
              <w:t xml:space="preserve"> pour des raisons pratiques et juridiques, il est recommandé de mettre en place des dispositions internes qui vous permettent de faire face à des circonstances exceptionnelles ou imprévues (dans tous les cas, même si elles ne sont pas obligatoires en vertu de la convention de subvention). L’accord de consortium vous offre également la possibilité de redistribuer la subvention selon les principes et paramètres internes à votre propre consortium (par exemple, un bénéficiaire peut réattribuer sa subvention à un autre bénéficiaire). L’accord de consortium vous permet </w:t>
            </w:r>
            <w:r w:rsidRPr="00473050">
              <w:rPr>
                <w:color w:val="595959"/>
                <w:sz w:val="18"/>
                <w:szCs w:val="18"/>
              </w:rPr>
              <w:lastRenderedPageBreak/>
              <w:t>donc d’adapter la subvention de l’UE aux besoins de votre consortium et peut également vous aider à vous protéger en cas de litige.</w:t>
            </w:r>
          </w:p>
          <w:p w14:paraId="19307BDD" w14:textId="77777777" w:rsidR="00473050" w:rsidRPr="00473050" w:rsidRDefault="00473050" w:rsidP="00473050">
            <w:pPr>
              <w:numPr>
                <w:ilvl w:val="0"/>
                <w:numId w:val="25"/>
              </w:numPr>
              <w:ind w:left="567" w:right="78" w:hanging="445"/>
              <w:rPr>
                <w:color w:val="595959"/>
                <w:sz w:val="18"/>
                <w:szCs w:val="18"/>
              </w:rPr>
            </w:pPr>
            <w:r w:rsidRPr="00473050">
              <w:rPr>
                <w:b/>
                <w:color w:val="595959"/>
                <w:sz w:val="18"/>
                <w:szCs w:val="18"/>
              </w:rPr>
              <w:t>Budget du projet équilibré:</w:t>
            </w:r>
            <w:r w:rsidRPr="00473050">
              <w:rPr>
                <w:color w:val="595959"/>
                <w:sz w:val="18"/>
                <w:szCs w:val="18"/>
              </w:rPr>
              <w:t xml:space="preserve"> les demandes de subvention doivent garantir un budget du projet équilibré ainsi que d’autres ressources suffisantes pour mettre en œuvre le projet avec succès</w:t>
            </w:r>
            <w:r w:rsidRPr="00473050">
              <w:rPr>
                <w:i/>
                <w:color w:val="595959"/>
                <w:sz w:val="18"/>
                <w:szCs w:val="18"/>
              </w:rPr>
              <w:t xml:space="preserve"> (par exemple, contributions propres, revenus générés par l’action, contributions financières de tiers, etc.)</w:t>
            </w:r>
            <w:r w:rsidRPr="00473050">
              <w:rPr>
                <w:color w:val="595959"/>
                <w:sz w:val="18"/>
                <w:szCs w:val="18"/>
              </w:rPr>
              <w:t xml:space="preserve">. Vous pourriez être invité à réduire vos estimations de coûts s’ils sont inéligibles (y compris excessifs). </w:t>
            </w:r>
          </w:p>
          <w:p w14:paraId="740C9104" w14:textId="77777777" w:rsidR="00473050" w:rsidRPr="00473050" w:rsidRDefault="00473050" w:rsidP="00473050">
            <w:pPr>
              <w:numPr>
                <w:ilvl w:val="0"/>
                <w:numId w:val="25"/>
              </w:numPr>
              <w:ind w:left="567" w:right="78" w:hanging="445"/>
              <w:rPr>
                <w:color w:val="595959"/>
                <w:sz w:val="18"/>
                <w:szCs w:val="18"/>
              </w:rPr>
            </w:pPr>
            <w:r w:rsidRPr="00473050">
              <w:rPr>
                <w:b/>
                <w:color w:val="595959"/>
                <w:sz w:val="18"/>
                <w:szCs w:val="18"/>
              </w:rPr>
              <w:t>Règle de non-profit:</w:t>
            </w:r>
            <w:r w:rsidRPr="00473050">
              <w:rPr>
                <w:color w:val="595959"/>
                <w:sz w:val="18"/>
                <w:szCs w:val="18"/>
              </w:rPr>
              <w:t xml:space="preserve"> les subventions ne peuvent PAS générer de profit (c’est-à-dire un excédent de revenus + subvention de l’UE supérieure aux coûts). Nous contrôlerons ce point au terme du projet. </w:t>
            </w:r>
          </w:p>
          <w:p w14:paraId="21244E73" w14:textId="77777777" w:rsidR="00473050" w:rsidRPr="00473050" w:rsidRDefault="00473050" w:rsidP="00473050">
            <w:pPr>
              <w:numPr>
                <w:ilvl w:val="0"/>
                <w:numId w:val="25"/>
              </w:numPr>
              <w:ind w:left="567" w:right="79" w:hanging="445"/>
              <w:rPr>
                <w:color w:val="595959"/>
                <w:sz w:val="18"/>
                <w:szCs w:val="18"/>
              </w:rPr>
            </w:pPr>
            <w:r w:rsidRPr="00473050">
              <w:rPr>
                <w:b/>
                <w:color w:val="595959"/>
                <w:sz w:val="18"/>
                <w:szCs w:val="18"/>
              </w:rPr>
              <w:t>Absence de double financement:</w:t>
            </w:r>
            <w:r w:rsidRPr="00473050">
              <w:rPr>
                <w:color w:val="595959"/>
                <w:sz w:val="18"/>
                <w:szCs w:val="18"/>
              </w:rPr>
              <w:t xml:space="preserve"> il est strictement interdit de percevoir un double financement provenant du budget de l’UE (sauf dans le cadre des actions «Synergy» de l’UE). En dehors de ces actions «Synergy», une action ne peut recevoir qu’UNE SEULE subvention financée sur le budget de l’UE et les éléments de coûts ne peuvent en AUCUN cas être déclarés pour deux actions différentes de l’UE.</w:t>
            </w:r>
          </w:p>
          <w:p w14:paraId="08E25F55" w14:textId="77777777" w:rsidR="00473050" w:rsidRPr="00473050" w:rsidRDefault="00473050" w:rsidP="00473050">
            <w:pPr>
              <w:numPr>
                <w:ilvl w:val="0"/>
                <w:numId w:val="25"/>
              </w:numPr>
              <w:ind w:left="567" w:right="78" w:hanging="445"/>
              <w:rPr>
                <w:rFonts w:eastAsia="Verdana" w:cs="Verdana"/>
                <w:color w:val="595959"/>
                <w:sz w:val="18"/>
                <w:szCs w:val="18"/>
              </w:rPr>
            </w:pPr>
            <w:r w:rsidRPr="00473050">
              <w:rPr>
                <w:b/>
                <w:color w:val="595959"/>
                <w:sz w:val="18"/>
                <w:szCs w:val="18"/>
              </w:rPr>
              <w:t>Projets achevés/en cours:</w:t>
            </w:r>
            <w:r w:rsidRPr="00473050">
              <w:rPr>
                <w:color w:val="595959"/>
                <w:sz w:val="18"/>
                <w:szCs w:val="18"/>
              </w:rPr>
              <w:t xml:space="preserve"> les propositions de projets qui sont déjà achevés seront rejetées; les propositions de projets déjà lancés seront évaluées au cas par cas (dans ce cas, aucun coût ne peut être remboursé pour des activités qui se sont déroulées avant la date de lancement du projet/la soumission de la proposition).</w:t>
            </w:r>
          </w:p>
          <w:p w14:paraId="6F6FF347" w14:textId="77777777" w:rsidR="00473050" w:rsidRPr="00473050" w:rsidRDefault="00473050" w:rsidP="00473050">
            <w:pPr>
              <w:numPr>
                <w:ilvl w:val="0"/>
                <w:numId w:val="25"/>
              </w:numPr>
              <w:ind w:left="567" w:right="79" w:hanging="445"/>
              <w:rPr>
                <w:color w:val="595959"/>
                <w:sz w:val="18"/>
                <w:szCs w:val="18"/>
              </w:rPr>
            </w:pPr>
            <w:r w:rsidRPr="00473050">
              <w:rPr>
                <w:b/>
                <w:bCs/>
                <w:color w:val="595959"/>
                <w:sz w:val="18"/>
                <w:szCs w:val="18"/>
              </w:rPr>
              <w:t>Combinaison avec des subventions de fonctionnement de l’UE</w:t>
            </w:r>
            <w:r w:rsidRPr="00473050">
              <w:rPr>
                <w:b/>
                <w:color w:val="595959"/>
                <w:sz w:val="18"/>
                <w:szCs w:val="18"/>
              </w:rPr>
              <w:t xml:space="preserve">: </w:t>
            </w:r>
            <w:r w:rsidRPr="00473050">
              <w:rPr>
                <w:color w:val="595959"/>
                <w:sz w:val="18"/>
                <w:szCs w:val="18"/>
              </w:rPr>
              <w:t xml:space="preserve">la combinaison avec des subventions de fonctionnement de l’UE est possible si le projet reste en dehors du programme de travail relatif aux subventions de fonctionnement et si vous veillez à ce que les éléments de coûts soient clairement séparés dans votre comptabilité et à ce qu’ils ne soient PAS déclarés deux fois </w:t>
            </w:r>
            <w:r w:rsidRPr="00473050">
              <w:rPr>
                <w:i/>
                <w:color w:val="595959"/>
                <w:sz w:val="18"/>
                <w:szCs w:val="18"/>
              </w:rPr>
              <w:t xml:space="preserve">(voir </w:t>
            </w:r>
            <w:hyperlink r:id="rId63" w:history="1">
              <w:r w:rsidRPr="00473050">
                <w:rPr>
                  <w:rStyle w:val="Hyperlink"/>
                  <w:i/>
                  <w:sz w:val="18"/>
                  <w:szCs w:val="18"/>
                </w:rPr>
                <w:t>AGA — Modèle de convention de subvention annoté, article 6.2.E</w:t>
              </w:r>
            </w:hyperlink>
            <w:r w:rsidRPr="00473050">
              <w:rPr>
                <w:i/>
                <w:color w:val="595959"/>
                <w:sz w:val="18"/>
                <w:szCs w:val="18"/>
              </w:rPr>
              <w:t>).</w:t>
            </w:r>
            <w:r w:rsidRPr="00473050">
              <w:rPr>
                <w:color w:val="4AA55B"/>
                <w:sz w:val="18"/>
                <w:szCs w:val="18"/>
                <w:highlight w:val="yellow"/>
              </w:rPr>
              <w:t xml:space="preserve"> </w:t>
            </w:r>
          </w:p>
          <w:p w14:paraId="34D4DBDC" w14:textId="77777777" w:rsidR="00473050" w:rsidRPr="00473050" w:rsidRDefault="00473050" w:rsidP="00473050">
            <w:pPr>
              <w:numPr>
                <w:ilvl w:val="0"/>
                <w:numId w:val="25"/>
              </w:numPr>
              <w:ind w:left="567" w:right="79" w:hanging="445"/>
              <w:rPr>
                <w:color w:val="595959"/>
                <w:sz w:val="18"/>
                <w:szCs w:val="18"/>
              </w:rPr>
            </w:pPr>
            <w:r w:rsidRPr="00473050">
              <w:rPr>
                <w:b/>
                <w:color w:val="595959"/>
                <w:sz w:val="18"/>
                <w:szCs w:val="18"/>
              </w:rPr>
              <w:t>Propositions multiples:</w:t>
            </w:r>
            <w:r w:rsidRPr="00473050">
              <w:rPr>
                <w:color w:val="595959"/>
                <w:sz w:val="18"/>
                <w:szCs w:val="18"/>
              </w:rPr>
              <w:t xml:space="preserve"> les candidats peuvent soumettre plus d’une proposition pour </w:t>
            </w:r>
            <w:r w:rsidRPr="00473050">
              <w:rPr>
                <w:i/>
                <w:color w:val="595959"/>
                <w:sz w:val="18"/>
                <w:szCs w:val="18"/>
              </w:rPr>
              <w:t>différents</w:t>
            </w:r>
            <w:r w:rsidRPr="00473050">
              <w:rPr>
                <w:color w:val="595959"/>
                <w:sz w:val="18"/>
                <w:szCs w:val="18"/>
              </w:rPr>
              <w:t xml:space="preserve"> projets dans le cadre d’un même appel (et bénéficier d’un financement pour ces propositions).</w:t>
            </w:r>
          </w:p>
          <w:p w14:paraId="65036481" w14:textId="77777777" w:rsidR="00473050" w:rsidRPr="00473050" w:rsidRDefault="00473050" w:rsidP="00473050">
            <w:pPr>
              <w:spacing w:after="120"/>
              <w:ind w:left="567" w:right="79"/>
              <w:rPr>
                <w:color w:val="595959"/>
                <w:sz w:val="18"/>
                <w:szCs w:val="18"/>
              </w:rPr>
            </w:pPr>
            <w:r w:rsidRPr="00473050">
              <w:rPr>
                <w:color w:val="595959"/>
                <w:sz w:val="18"/>
                <w:szCs w:val="18"/>
              </w:rPr>
              <w:t>Les organisations peuvent participer à plusieurs propositions.</w:t>
            </w:r>
          </w:p>
          <w:p w14:paraId="4E33A40B" w14:textId="77777777" w:rsidR="00473050" w:rsidRPr="00473050" w:rsidRDefault="00473050" w:rsidP="00473050">
            <w:pPr>
              <w:ind w:left="567" w:right="79"/>
              <w:rPr>
                <w:color w:val="595959"/>
                <w:sz w:val="18"/>
                <w:szCs w:val="18"/>
              </w:rPr>
            </w:pPr>
            <w:r w:rsidRPr="00473050">
              <w:rPr>
                <w:color w:val="595959"/>
                <w:sz w:val="18"/>
                <w:szCs w:val="18"/>
              </w:rPr>
              <w:t xml:space="preserve">MAIS: en présence de plusieurs propositions pour des projets très </w:t>
            </w:r>
            <w:r w:rsidRPr="00473050">
              <w:rPr>
                <w:i/>
                <w:color w:val="595959"/>
                <w:sz w:val="18"/>
                <w:szCs w:val="18"/>
              </w:rPr>
              <w:t>similaires</w:t>
            </w:r>
            <w:r w:rsidRPr="00473050">
              <w:rPr>
                <w:color w:val="595959"/>
                <w:sz w:val="18"/>
                <w:szCs w:val="18"/>
              </w:rPr>
              <w:t>, une seule demande sera acceptée et évaluée; les candidats seront invités à en choisir une et à retirer la ou les autres (sous peine qu’elles soient toutes rejetées).</w:t>
            </w:r>
          </w:p>
          <w:p w14:paraId="2E292B84" w14:textId="77777777" w:rsidR="00473050" w:rsidRPr="00473050" w:rsidRDefault="00473050" w:rsidP="00473050">
            <w:pPr>
              <w:numPr>
                <w:ilvl w:val="0"/>
                <w:numId w:val="25"/>
              </w:numPr>
              <w:ind w:left="567" w:right="79" w:hanging="445"/>
              <w:rPr>
                <w:rFonts w:cs="Arial"/>
                <w:b/>
                <w:iCs/>
                <w:color w:val="595959"/>
                <w:sz w:val="18"/>
                <w:szCs w:val="18"/>
              </w:rPr>
            </w:pPr>
            <w:r w:rsidRPr="00473050">
              <w:rPr>
                <w:b/>
                <w:bCs/>
                <w:color w:val="595959"/>
                <w:sz w:val="18"/>
              </w:rPr>
              <w:t>Nouvelle soumission:</w:t>
            </w:r>
            <w:r w:rsidRPr="00473050">
              <w:rPr>
                <w:color w:val="595959"/>
                <w:sz w:val="18"/>
              </w:rPr>
              <w:t xml:space="preserve"> les propositions peuvent être modifiées et soumises de nouveau jusqu’à la date limite de soumission.</w:t>
            </w:r>
          </w:p>
          <w:p w14:paraId="7C77218B" w14:textId="77777777" w:rsidR="00473050" w:rsidRPr="00473050" w:rsidRDefault="00473050" w:rsidP="00473050">
            <w:pPr>
              <w:numPr>
                <w:ilvl w:val="0"/>
                <w:numId w:val="25"/>
              </w:numPr>
              <w:spacing w:after="120"/>
              <w:ind w:left="567" w:right="79" w:hanging="447"/>
              <w:rPr>
                <w:b/>
                <w:bCs/>
                <w:noProof/>
                <w:sz w:val="18"/>
                <w:szCs w:val="18"/>
              </w:rPr>
            </w:pPr>
            <w:r w:rsidRPr="00473050">
              <w:rPr>
                <w:b/>
                <w:color w:val="595959"/>
                <w:sz w:val="18"/>
                <w:szCs w:val="18"/>
              </w:rPr>
              <w:t>Rejet:</w:t>
            </w:r>
            <w:r w:rsidRPr="00473050">
              <w:rPr>
                <w:color w:val="595959"/>
                <w:sz w:val="18"/>
                <w:szCs w:val="18"/>
              </w:rPr>
              <w:t xml:space="preserve"> en soumettant la demande, tous les candidats acceptent les conditions de l’appel énoncées dans le présent document d’appel (et les documents auxquels il se réfère). Les propositions qui ne satisfont pas toutes les conditions de l’appel seront </w:t>
            </w:r>
            <w:r w:rsidRPr="00473050">
              <w:rPr>
                <w:b/>
                <w:color w:val="595959"/>
                <w:sz w:val="18"/>
                <w:szCs w:val="18"/>
              </w:rPr>
              <w:t>rejetées</w:t>
            </w:r>
            <w:r w:rsidRPr="00473050">
              <w:rPr>
                <w:color w:val="595959"/>
                <w:sz w:val="18"/>
                <w:szCs w:val="18"/>
              </w:rPr>
              <w:t>. Cela vaut également pour les candidats: Tous les candidats doivent remplir les critères; si l’un d’entre eux ne les remplit pas, il doit être remplacé sous peine que toute la proposition soit rejetée.</w:t>
            </w:r>
          </w:p>
          <w:p w14:paraId="014ED35A" w14:textId="77777777" w:rsidR="00473050" w:rsidRPr="00473050" w:rsidRDefault="00473050" w:rsidP="00473050">
            <w:pPr>
              <w:numPr>
                <w:ilvl w:val="0"/>
                <w:numId w:val="25"/>
              </w:numPr>
              <w:spacing w:after="120"/>
              <w:ind w:left="567" w:right="79" w:hanging="447"/>
              <w:rPr>
                <w:color w:val="595959"/>
                <w:sz w:val="18"/>
                <w:szCs w:val="18"/>
              </w:rPr>
            </w:pPr>
            <w:r w:rsidRPr="00473050">
              <w:rPr>
                <w:b/>
                <w:color w:val="595959"/>
                <w:sz w:val="18"/>
                <w:szCs w:val="18"/>
              </w:rPr>
              <w:t>Annulation</w:t>
            </w:r>
            <w:r w:rsidRPr="00473050">
              <w:rPr>
                <w:color w:val="595959"/>
                <w:sz w:val="18"/>
                <w:szCs w:val="18"/>
              </w:rPr>
              <w:t>: certaines circonstances peuvent exiger l’annulation de l’appel. Si tel est le cas, vous en serez informé au moyen d’un appel téléphonique ou d’une mise à jour du thème. Veuillez noter que les annulations ne donnent pas droit à indemnisation.</w:t>
            </w:r>
          </w:p>
          <w:p w14:paraId="480ECEEE" w14:textId="449C9FE1" w:rsidR="00473050" w:rsidRPr="00473050" w:rsidRDefault="00473050" w:rsidP="00473050">
            <w:pPr>
              <w:numPr>
                <w:ilvl w:val="0"/>
                <w:numId w:val="25"/>
              </w:numPr>
              <w:ind w:left="567" w:right="79" w:hanging="445"/>
              <w:rPr>
                <w:color w:val="595959"/>
                <w:sz w:val="18"/>
                <w:szCs w:val="18"/>
              </w:rPr>
            </w:pPr>
            <w:r w:rsidRPr="00473050">
              <w:rPr>
                <w:b/>
                <w:color w:val="595959"/>
                <w:sz w:val="18"/>
                <w:szCs w:val="18"/>
              </w:rPr>
              <w:t xml:space="preserve">Langue: </w:t>
            </w:r>
            <w:r w:rsidRPr="00473050">
              <w:rPr>
                <w:color w:val="595959"/>
                <w:sz w:val="18"/>
                <w:szCs w:val="18"/>
              </w:rPr>
              <w:t>vous pouvez soumettre votre proposition dans n’importe quelle langue officielle de l’UE (le résumé du projet doit cependant toujours être en anglais).</w:t>
            </w:r>
            <w:r w:rsidR="007D41B0">
              <w:rPr>
                <w:color w:val="595959"/>
                <w:sz w:val="18"/>
                <w:szCs w:val="18"/>
              </w:rPr>
              <w:t xml:space="preserve"> </w:t>
            </w:r>
            <w:r w:rsidRPr="00473050">
              <w:rPr>
                <w:color w:val="595959"/>
                <w:sz w:val="18"/>
                <w:szCs w:val="18"/>
              </w:rPr>
              <w:t xml:space="preserve">Pour des raisons d’efficacité, nous vous conseillons vivement d’utiliser l’anglais dans l’ensemble de la demande. Si vous avez besoin de la documentation relative à l’appel dans une autre langue officielle de l’UE, veuillez en faire la demande dans les 10 jours suivant la publication de l’appel (pour les coordonnées, </w:t>
            </w:r>
            <w:r w:rsidRPr="00473050">
              <w:rPr>
                <w:i/>
                <w:color w:val="595959"/>
                <w:sz w:val="18"/>
                <w:szCs w:val="18"/>
              </w:rPr>
              <w:t>voir section 12</w:t>
            </w:r>
            <w:r w:rsidRPr="00473050">
              <w:rPr>
                <w:color w:val="595959"/>
                <w:sz w:val="18"/>
                <w:szCs w:val="18"/>
              </w:rPr>
              <w:t>).</w:t>
            </w:r>
          </w:p>
          <w:p w14:paraId="7DC90CEB" w14:textId="77777777" w:rsidR="00473050" w:rsidRDefault="00473050" w:rsidP="00473050">
            <w:pPr>
              <w:pStyle w:val="Text1"/>
              <w:ind w:left="0"/>
            </w:pPr>
          </w:p>
        </w:tc>
      </w:tr>
    </w:tbl>
    <w:p w14:paraId="31532156" w14:textId="77777777" w:rsidR="00473050" w:rsidRPr="00473050" w:rsidRDefault="00473050" w:rsidP="00473050">
      <w:pPr>
        <w:pStyle w:val="Text1"/>
      </w:pPr>
    </w:p>
    <w:p w14:paraId="4A580B9B" w14:textId="5D79C5A8" w:rsidR="00E02E47" w:rsidRPr="00473050" w:rsidRDefault="00E02E47" w:rsidP="00DC47B2">
      <w:pPr>
        <w:widowControl w:val="0"/>
        <w:ind w:right="366"/>
        <w:rPr>
          <w:rFonts w:cs="Arial"/>
        </w:rPr>
      </w:pPr>
      <w:r w:rsidRPr="00473050">
        <w:rPr>
          <w:noProof/>
          <w:lang w:val="en-IE" w:eastAsia="en-IE"/>
        </w:rPr>
        <w:lastRenderedPageBreak/>
        <mc:AlternateContent>
          <mc:Choice Requires="wps">
            <w:drawing>
              <wp:inline distT="0" distB="0" distL="0" distR="0" wp14:anchorId="23A0AE0D" wp14:editId="22924F56">
                <wp:extent cx="5473065" cy="3676650"/>
                <wp:effectExtent l="0" t="0" r="13335" b="19050"/>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3676650"/>
                        </a:xfrm>
                        <a:prstGeom prst="rect">
                          <a:avLst/>
                        </a:prstGeom>
                        <a:solidFill>
                          <a:srgbClr val="F2F2F2"/>
                        </a:solidFill>
                        <a:ln w="19050">
                          <a:solidFill>
                            <a:srgbClr val="BFBFBF"/>
                          </a:solidFill>
                          <a:miter lim="800000"/>
                          <a:headEnd/>
                          <a:tailEnd/>
                        </a:ln>
                      </wps:spPr>
                      <wps:txbx>
                        <w:txbxContent>
                          <w:p w14:paraId="70A0E3AE" w14:textId="2BEBB96C" w:rsidR="00473050" w:rsidRPr="00473050" w:rsidRDefault="00473050" w:rsidP="00E02E47">
                            <w:pPr>
                              <w:numPr>
                                <w:ilvl w:val="0"/>
                                <w:numId w:val="26"/>
                              </w:numPr>
                              <w:spacing w:after="120"/>
                              <w:ind w:left="567" w:right="79" w:hanging="425"/>
                              <w:rPr>
                                <w:color w:val="595959"/>
                                <w:sz w:val="18"/>
                                <w:szCs w:val="18"/>
                              </w:rPr>
                            </w:pPr>
                            <w:r w:rsidRPr="00473050">
                              <w:rPr>
                                <w:b/>
                                <w:color w:val="595959"/>
                                <w:sz w:val="18"/>
                                <w:szCs w:val="18"/>
                              </w:rPr>
                              <w:t>Transparence:</w:t>
                            </w:r>
                            <w:r w:rsidRPr="00473050">
                              <w:rPr>
                                <w:color w:val="595959"/>
                                <w:sz w:val="18"/>
                                <w:szCs w:val="18"/>
                              </w:rPr>
                              <w:t xml:space="preserve"> conformément à l’article 38 du </w:t>
                            </w:r>
                            <w:hyperlink r:id="rId64" w:history="1">
                              <w:r w:rsidRPr="00473050">
                                <w:rPr>
                                  <w:color w:val="0088CC"/>
                                  <w:sz w:val="18"/>
                                  <w:szCs w:val="24"/>
                                  <w:u w:val="single"/>
                                </w:rPr>
                                <w:t>règlement financier de l’UE</w:t>
                              </w:r>
                            </w:hyperlink>
                            <w:r w:rsidRPr="00473050">
                              <w:rPr>
                                <w:color w:val="595959"/>
                                <w:sz w:val="18"/>
                                <w:szCs w:val="18"/>
                              </w:rPr>
                              <w:t xml:space="preserve">, les informations sur les subventions octroyées par l’UE sont publiées chaque année sur le </w:t>
                            </w:r>
                            <w:hyperlink r:id="rId65" w:history="1">
                              <w:r w:rsidRPr="00473050">
                                <w:rPr>
                                  <w:rStyle w:val="Hyperlink"/>
                                  <w:sz w:val="18"/>
                                  <w:szCs w:val="18"/>
                                </w:rPr>
                                <w:t>site web Europa</w:t>
                              </w:r>
                            </w:hyperlink>
                            <w:r w:rsidRPr="00473050">
                              <w:rPr>
                                <w:color w:val="595959"/>
                                <w:sz w:val="18"/>
                                <w:szCs w:val="18"/>
                              </w:rPr>
                              <w:t>.</w:t>
                            </w:r>
                          </w:p>
                          <w:p w14:paraId="65E9D009" w14:textId="77777777" w:rsidR="00473050" w:rsidRPr="00473050" w:rsidRDefault="00473050" w:rsidP="00E02E47">
                            <w:pPr>
                              <w:spacing w:after="60"/>
                              <w:ind w:left="567" w:right="79"/>
                              <w:rPr>
                                <w:color w:val="595959"/>
                                <w:sz w:val="18"/>
                                <w:szCs w:val="18"/>
                              </w:rPr>
                            </w:pPr>
                            <w:r w:rsidRPr="00473050">
                              <w:rPr>
                                <w:color w:val="595959"/>
                                <w:sz w:val="18"/>
                                <w:szCs w:val="18"/>
                              </w:rPr>
                              <w:t>Il s’agit notamment des informations suivantes:</w:t>
                            </w:r>
                          </w:p>
                          <w:p w14:paraId="55DEDA69" w14:textId="77777777" w:rsidR="00473050" w:rsidRPr="00473050" w:rsidRDefault="00473050" w:rsidP="00E02E47">
                            <w:pPr>
                              <w:widowControl w:val="0"/>
                              <w:numPr>
                                <w:ilvl w:val="0"/>
                                <w:numId w:val="27"/>
                              </w:numPr>
                              <w:spacing w:after="60"/>
                              <w:ind w:left="1134" w:hanging="380"/>
                              <w:jc w:val="left"/>
                              <w:rPr>
                                <w:color w:val="595959"/>
                                <w:sz w:val="18"/>
                                <w:szCs w:val="18"/>
                              </w:rPr>
                            </w:pPr>
                            <w:r w:rsidRPr="00473050">
                              <w:rPr>
                                <w:color w:val="595959"/>
                                <w:sz w:val="18"/>
                                <w:szCs w:val="18"/>
                              </w:rPr>
                              <w:t>noms du bénéficiaire,</w:t>
                            </w:r>
                          </w:p>
                          <w:p w14:paraId="616DD29F" w14:textId="77777777" w:rsidR="00473050" w:rsidRPr="00473050" w:rsidRDefault="00473050" w:rsidP="00E02E47">
                            <w:pPr>
                              <w:widowControl w:val="0"/>
                              <w:numPr>
                                <w:ilvl w:val="0"/>
                                <w:numId w:val="27"/>
                              </w:numPr>
                              <w:spacing w:after="60"/>
                              <w:ind w:left="1134" w:hanging="380"/>
                              <w:jc w:val="left"/>
                              <w:rPr>
                                <w:color w:val="595959"/>
                                <w:sz w:val="18"/>
                                <w:szCs w:val="18"/>
                              </w:rPr>
                            </w:pPr>
                            <w:r w:rsidRPr="00473050">
                              <w:rPr>
                                <w:color w:val="595959"/>
                                <w:sz w:val="18"/>
                                <w:szCs w:val="18"/>
                              </w:rPr>
                              <w:t>adresses du bénéficiaire,</w:t>
                            </w:r>
                          </w:p>
                          <w:p w14:paraId="4D360DDB" w14:textId="77777777" w:rsidR="00473050" w:rsidRPr="00473050" w:rsidRDefault="00473050" w:rsidP="00E02E47">
                            <w:pPr>
                              <w:widowControl w:val="0"/>
                              <w:numPr>
                                <w:ilvl w:val="0"/>
                                <w:numId w:val="27"/>
                              </w:numPr>
                              <w:spacing w:after="60"/>
                              <w:ind w:left="1134" w:hanging="380"/>
                              <w:jc w:val="left"/>
                              <w:rPr>
                                <w:color w:val="595959"/>
                                <w:sz w:val="18"/>
                                <w:szCs w:val="18"/>
                              </w:rPr>
                            </w:pPr>
                            <w:r w:rsidRPr="00473050">
                              <w:rPr>
                                <w:color w:val="595959"/>
                                <w:sz w:val="18"/>
                                <w:szCs w:val="18"/>
                              </w:rPr>
                              <w:t>la finalité pour laquelle la subvention a été octroyée,</w:t>
                            </w:r>
                          </w:p>
                          <w:p w14:paraId="2DBE5A35" w14:textId="77777777" w:rsidR="00473050" w:rsidRPr="00473050" w:rsidRDefault="00473050" w:rsidP="00E02E47">
                            <w:pPr>
                              <w:widowControl w:val="0"/>
                              <w:numPr>
                                <w:ilvl w:val="0"/>
                                <w:numId w:val="27"/>
                              </w:numPr>
                              <w:spacing w:after="120"/>
                              <w:ind w:left="1134" w:hanging="380"/>
                              <w:jc w:val="left"/>
                              <w:rPr>
                                <w:color w:val="595959"/>
                                <w:sz w:val="18"/>
                                <w:szCs w:val="18"/>
                              </w:rPr>
                            </w:pPr>
                            <w:r w:rsidRPr="00473050">
                              <w:rPr>
                                <w:color w:val="595959"/>
                                <w:sz w:val="18"/>
                                <w:szCs w:val="18"/>
                              </w:rPr>
                              <w:t>le montant maximal alloué.</w:t>
                            </w:r>
                          </w:p>
                          <w:p w14:paraId="7A978050" w14:textId="77777777" w:rsidR="00473050" w:rsidRPr="00473050" w:rsidRDefault="00473050" w:rsidP="00E02E47">
                            <w:pPr>
                              <w:widowControl w:val="0"/>
                              <w:ind w:left="567"/>
                              <w:rPr>
                                <w:color w:val="595959"/>
                                <w:sz w:val="18"/>
                                <w:szCs w:val="18"/>
                              </w:rPr>
                            </w:pPr>
                            <w:r w:rsidRPr="00473050">
                              <w:rPr>
                                <w:color w:val="595959"/>
                                <w:sz w:val="18"/>
                                <w:szCs w:val="18"/>
                              </w:rPr>
                              <w:t>À titre exceptionnel, il est possible de renoncer à la publication (sur demande motivée et dûment justifiée) s’il existe un risque que la divulgation mette en péril les droits et les libertés reconnus par la Charte des droits fondamentaux de l’Union européenne ou ne porte préjudice à vos intérêts commerciaux.</w:t>
                            </w:r>
                          </w:p>
                          <w:p w14:paraId="3CE68070" w14:textId="0D352CB2" w:rsidR="00473050" w:rsidRPr="00473050" w:rsidRDefault="00473050" w:rsidP="00E02E47">
                            <w:pPr>
                              <w:pStyle w:val="Default"/>
                              <w:widowControl w:val="0"/>
                              <w:numPr>
                                <w:ilvl w:val="0"/>
                                <w:numId w:val="26"/>
                              </w:numPr>
                              <w:spacing w:after="120"/>
                              <w:ind w:left="567" w:hanging="447"/>
                              <w:jc w:val="both"/>
                              <w:rPr>
                                <w:rFonts w:ascii="Verdana" w:hAnsi="Verdana"/>
                                <w:color w:val="595959"/>
                                <w:sz w:val="18"/>
                                <w:szCs w:val="18"/>
                              </w:rPr>
                            </w:pPr>
                            <w:r w:rsidRPr="00473050">
                              <w:rPr>
                                <w:rFonts w:ascii="Verdana" w:hAnsi="Verdana"/>
                                <w:b/>
                                <w:color w:val="595959"/>
                                <w:sz w:val="18"/>
                                <w:szCs w:val="18"/>
                              </w:rPr>
                              <w:t>Protection des données:</w:t>
                            </w:r>
                            <w:r w:rsidRPr="00473050">
                              <w:rPr>
                                <w:rFonts w:ascii="Verdana" w:hAnsi="Verdana"/>
                                <w:color w:val="595959"/>
                                <w:sz w:val="18"/>
                                <w:szCs w:val="18"/>
                              </w:rPr>
                              <w:t xml:space="preserve"> la soumission d’une proposition dans le cadre du présent appel implique la collecte, l’utilisation et le traitement de données à caractère personnel. Ces données seront traitées conformément au cadre juridique applicable. Elles seront traitées uniquement aux fins de l’évaluation de votre proposition, de la gestion ultérieure de votre subvention et, au besoin, du suivi, de l’évaluation et de la communication du programme. Les détails sont expliqués dans la </w:t>
                            </w:r>
                            <w:hyperlink r:id="rId66" w:history="1">
                              <w:r w:rsidRPr="00473050">
                                <w:rPr>
                                  <w:rStyle w:val="Hyperlink"/>
                                  <w:rFonts w:ascii="Verdana" w:hAnsi="Verdana"/>
                                  <w:sz w:val="18"/>
                                  <w:szCs w:val="20"/>
                                </w:rPr>
                                <w:t>déclaration de confidentialité du portail «Funding &amp; Tenders»</w:t>
                              </w:r>
                            </w:hyperlink>
                            <w:r w:rsidRPr="00473050">
                              <w:rPr>
                                <w:rFonts w:ascii="Verdana" w:hAnsi="Verdana"/>
                                <w:color w:val="595959"/>
                                <w:sz w:val="18"/>
                                <w:szCs w:val="18"/>
                              </w:rPr>
                              <w:t>.</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type id="_x0000_t202" coordsize="21600,21600" o:spt="202" path="m,l,21600r21600,l21600,xe" w14:anchorId="23A0AE0D">
                <v:stroke joinstyle="miter"/>
                <v:path gradientshapeok="t" o:connecttype="rect"/>
              </v:shapetype>
              <v:shape id="Text Box 21" style="width:430.95pt;height:289.5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strokecolor="#bfbfb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">
                <v:textbox>
                  <w:txbxContent>
                    <w:p w:rsidRPr="00473050" w:rsidR="00473050" w:rsidP="00E02E47" w:rsidRDefault="00473050" w14:paraId="70A0E3AE" w14:textId="2BEBB96C">
                      <w:pPr>
                        <w:numPr>
                          <w:ilvl w:val="0"/>
                          <w:numId w:val="26"/>
                        </w:numPr>
                        <w:spacing w:after="120"/>
                        <w:ind w:left="567" w:right="79" w:hanging="425"/>
                        <w:rPr>
                          <w:color w:val="595959"/>
                          <w:sz w:val="18"/>
                          <w:szCs w:val="18"/>
                        </w:rPr>
                      </w:pPr>
                      <w:r w:rsidRPr="00473050">
                        <w:rPr>
                          <w:b/>
                          <w:color w:val="595959"/>
                          <w:sz w:val="18"/>
                          <w:szCs w:val="18"/>
                        </w:rPr>
                        <w:t>Transparence:</w:t>
                      </w:r>
                      <w:r w:rsidRPr="00473050">
                        <w:rPr>
                          <w:color w:val="595959"/>
                          <w:sz w:val="18"/>
                          <w:szCs w:val="18"/>
                        </w:rPr>
                        <w:t xml:space="preserve"> conformément à l’article 38 du </w:t>
                      </w:r>
                      <w:hyperlink w:history="1" r:id="rId67">
                        <w:r w:rsidRPr="00473050">
                          <w:rPr>
                            <w:color w:val="0088CC"/>
                            <w:sz w:val="18"/>
                            <w:szCs w:val="24"/>
                            <w:u w:val="single"/>
                          </w:rPr>
                          <w:t>règlement financier de l’UE</w:t>
                        </w:r>
                      </w:hyperlink>
                      <w:r w:rsidRPr="00473050">
                        <w:rPr>
                          <w:color w:val="595959"/>
                          <w:sz w:val="18"/>
                          <w:szCs w:val="18"/>
                        </w:rPr>
                        <w:t xml:space="preserve">, les informations sur les subventions octroyées par l’UE sont publiées chaque année sur le </w:t>
                      </w:r>
                      <w:hyperlink w:history="1" r:id="rId68">
                        <w:r w:rsidRPr="00473050">
                          <w:rPr>
                            <w:rStyle w:val="Hyperlink"/>
                            <w:sz w:val="18"/>
                            <w:szCs w:val="18"/>
                          </w:rPr>
                          <w:t>site web Europa</w:t>
                        </w:r>
                      </w:hyperlink>
                      <w:r w:rsidRPr="00473050">
                        <w:rPr>
                          <w:color w:val="595959"/>
                          <w:sz w:val="18"/>
                          <w:szCs w:val="18"/>
                        </w:rPr>
                        <w:t>.</w:t>
                      </w:r>
                    </w:p>
                    <w:p w:rsidRPr="00473050" w:rsidR="00473050" w:rsidP="00E02E47" w:rsidRDefault="00473050" w14:paraId="65E9D009" w14:textId="77777777">
                      <w:pPr>
                        <w:spacing w:after="60"/>
                        <w:ind w:left="567" w:right="79"/>
                        <w:rPr>
                          <w:color w:val="595959"/>
                          <w:sz w:val="18"/>
                          <w:szCs w:val="18"/>
                        </w:rPr>
                      </w:pPr>
                      <w:r w:rsidRPr="00473050">
                        <w:rPr>
                          <w:color w:val="595959"/>
                          <w:sz w:val="18"/>
                          <w:szCs w:val="18"/>
                        </w:rPr>
                        <w:t>Il s’agit notamment des informations suivantes:</w:t>
                      </w:r>
                    </w:p>
                    <w:p w:rsidRPr="00473050" w:rsidR="00473050" w:rsidP="00E02E47" w:rsidRDefault="00473050" w14:paraId="55DEDA69" w14:textId="77777777">
                      <w:pPr>
                        <w:widowControl w:val="0"/>
                        <w:numPr>
                          <w:ilvl w:val="0"/>
                          <w:numId w:val="27"/>
                        </w:numPr>
                        <w:spacing w:after="60"/>
                        <w:ind w:left="1134" w:hanging="380"/>
                        <w:jc w:val="left"/>
                        <w:rPr>
                          <w:color w:val="595959"/>
                          <w:sz w:val="18"/>
                          <w:szCs w:val="18"/>
                        </w:rPr>
                      </w:pPr>
                      <w:r w:rsidRPr="00473050">
                        <w:rPr>
                          <w:color w:val="595959"/>
                          <w:sz w:val="18"/>
                          <w:szCs w:val="18"/>
                        </w:rPr>
                        <w:t>noms du bénéficiaire,</w:t>
                      </w:r>
                    </w:p>
                    <w:p w:rsidRPr="00473050" w:rsidR="00473050" w:rsidP="00E02E47" w:rsidRDefault="00473050" w14:paraId="616DD29F" w14:textId="77777777">
                      <w:pPr>
                        <w:widowControl w:val="0"/>
                        <w:numPr>
                          <w:ilvl w:val="0"/>
                          <w:numId w:val="27"/>
                        </w:numPr>
                        <w:spacing w:after="60"/>
                        <w:ind w:left="1134" w:hanging="380"/>
                        <w:jc w:val="left"/>
                        <w:rPr>
                          <w:color w:val="595959"/>
                          <w:sz w:val="18"/>
                          <w:szCs w:val="18"/>
                        </w:rPr>
                      </w:pPr>
                      <w:r w:rsidRPr="00473050">
                        <w:rPr>
                          <w:color w:val="595959"/>
                          <w:sz w:val="18"/>
                          <w:szCs w:val="18"/>
                        </w:rPr>
                        <w:t>adresses du bénéficiaire,</w:t>
                      </w:r>
                    </w:p>
                    <w:p w:rsidRPr="00473050" w:rsidR="00473050" w:rsidP="00E02E47" w:rsidRDefault="00473050" w14:paraId="4D360DDB" w14:textId="77777777">
                      <w:pPr>
                        <w:widowControl w:val="0"/>
                        <w:numPr>
                          <w:ilvl w:val="0"/>
                          <w:numId w:val="27"/>
                        </w:numPr>
                        <w:spacing w:after="60"/>
                        <w:ind w:left="1134" w:hanging="380"/>
                        <w:jc w:val="left"/>
                        <w:rPr>
                          <w:color w:val="595959"/>
                          <w:sz w:val="18"/>
                          <w:szCs w:val="18"/>
                        </w:rPr>
                      </w:pPr>
                      <w:r w:rsidRPr="00473050">
                        <w:rPr>
                          <w:color w:val="595959"/>
                          <w:sz w:val="18"/>
                          <w:szCs w:val="18"/>
                        </w:rPr>
                        <w:t>la finalité pour laquelle la subvention a été octroyée,</w:t>
                      </w:r>
                    </w:p>
                    <w:p w:rsidRPr="00473050" w:rsidR="00473050" w:rsidP="00E02E47" w:rsidRDefault="00473050" w14:paraId="2DBE5A35" w14:textId="77777777">
                      <w:pPr>
                        <w:widowControl w:val="0"/>
                        <w:numPr>
                          <w:ilvl w:val="0"/>
                          <w:numId w:val="27"/>
                        </w:numPr>
                        <w:spacing w:after="120"/>
                        <w:ind w:left="1134" w:hanging="380"/>
                        <w:jc w:val="left"/>
                        <w:rPr>
                          <w:color w:val="595959"/>
                          <w:sz w:val="18"/>
                          <w:szCs w:val="18"/>
                        </w:rPr>
                      </w:pPr>
                      <w:r w:rsidRPr="00473050">
                        <w:rPr>
                          <w:color w:val="595959"/>
                          <w:sz w:val="18"/>
                          <w:szCs w:val="18"/>
                        </w:rPr>
                        <w:t>le montant maximal alloué.</w:t>
                      </w:r>
                    </w:p>
                    <w:p w:rsidRPr="00473050" w:rsidR="00473050" w:rsidP="00E02E47" w:rsidRDefault="00473050" w14:paraId="7A978050" w14:textId="77777777">
                      <w:pPr>
                        <w:widowControl w:val="0"/>
                        <w:ind w:left="567"/>
                        <w:rPr>
                          <w:color w:val="595959"/>
                          <w:sz w:val="18"/>
                          <w:szCs w:val="18"/>
                        </w:rPr>
                      </w:pPr>
                      <w:r w:rsidRPr="00473050">
                        <w:rPr>
                          <w:color w:val="595959"/>
                          <w:sz w:val="18"/>
                          <w:szCs w:val="18"/>
                        </w:rPr>
                        <w:t>À titre exceptionnel, il est possible de renoncer à la publication (sur demande motivée et dûment justifiée) s’il existe un risque que la divulgation mette en péril les droits et les libertés reconnus par la Charte des droits fondamentaux de l’Union européenne ou ne porte préjudice à vos intérêts commerciaux.</w:t>
                      </w:r>
                    </w:p>
                    <w:p w:rsidRPr="00473050" w:rsidR="00473050" w:rsidP="00E02E47" w:rsidRDefault="00473050" w14:paraId="3CE68070" w14:textId="0D352CB2">
                      <w:pPr>
                        <w:pStyle w:val="Default"/>
                        <w:widowControl w:val="0"/>
                        <w:numPr>
                          <w:ilvl w:val="0"/>
                          <w:numId w:val="26"/>
                        </w:numPr>
                        <w:spacing w:after="120"/>
                        <w:ind w:left="567" w:hanging="447"/>
                        <w:jc w:val="both"/>
                        <w:rPr>
                          <w:rFonts w:ascii="Verdana" w:hAnsi="Verdana"/>
                          <w:color w:val="595959"/>
                          <w:sz w:val="18"/>
                          <w:szCs w:val="18"/>
                        </w:rPr>
                      </w:pPr>
                      <w:r w:rsidRPr="00473050">
                        <w:rPr>
                          <w:rFonts w:ascii="Verdana" w:hAnsi="Verdana"/>
                          <w:b/>
                          <w:color w:val="595959"/>
                          <w:sz w:val="18"/>
                          <w:szCs w:val="18"/>
                        </w:rPr>
                        <w:t>Protection des données:</w:t>
                      </w:r>
                      <w:r w:rsidRPr="00473050">
                        <w:rPr>
                          <w:rFonts w:ascii="Verdana" w:hAnsi="Verdana"/>
                          <w:color w:val="595959"/>
                          <w:sz w:val="18"/>
                          <w:szCs w:val="18"/>
                        </w:rPr>
                        <w:t xml:space="preserve"> la soumission d’une proposition dans le cadre du présent appel implique la collecte, l’utilisation et le traitement de données à caractère personnel. Ces données seront traitées conformément au cadre juridique applicable. Elles seront traitées uniquement aux fins de l’évaluation de votre proposition, de la gestion ultérieure de votre subvention et, au besoin, du suivi, de l’évaluation et de la communication du programme. Les détails sont expliqués dans la </w:t>
                      </w:r>
                      <w:hyperlink w:history="1" r:id="rId69">
                        <w:r w:rsidRPr="00473050">
                          <w:rPr>
                            <w:rStyle w:val="Hyperlink"/>
                            <w:rFonts w:ascii="Verdana" w:hAnsi="Verdana"/>
                            <w:sz w:val="18"/>
                            <w:szCs w:val="20"/>
                          </w:rPr>
                          <w:t>déclaration de confidentialité du portail «Funding &amp; Tenders»</w:t>
                        </w:r>
                      </w:hyperlink>
                      <w:r w:rsidRPr="00473050">
                        <w:rPr>
                          <w:rFonts w:ascii="Verdana" w:hAnsi="Verdana"/>
                          <w:color w:val="595959"/>
                          <w:sz w:val="18"/>
                          <w:szCs w:val="18"/>
                        </w:rPr>
                        <w:t>.</w:t>
                      </w:r>
                    </w:p>
                  </w:txbxContent>
                </v:textbox>
                <w10:anchorlock/>
              </v:shape>
            </w:pict>
          </mc:Fallback>
        </mc:AlternateContent>
      </w:r>
    </w:p>
    <w:sectPr w:rsidR="00E02E47" w:rsidRPr="00473050" w:rsidSect="00A2572D">
      <w:headerReference w:type="first" r:id="rId70"/>
      <w:pgSz w:w="11906" w:h="16838" w:code="9"/>
      <w:pgMar w:top="1560" w:right="1588" w:bottom="1276" w:left="1588" w:header="56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A63D" w14:textId="77777777" w:rsidR="00473050" w:rsidRPr="00473050" w:rsidRDefault="00473050" w:rsidP="00B02821">
      <w:pPr>
        <w:spacing w:after="0"/>
      </w:pPr>
      <w:r w:rsidRPr="00473050">
        <w:separator/>
      </w:r>
    </w:p>
  </w:endnote>
  <w:endnote w:type="continuationSeparator" w:id="0">
    <w:p w14:paraId="5E4852A8" w14:textId="77777777" w:rsidR="00473050" w:rsidRPr="00473050" w:rsidRDefault="00473050" w:rsidP="00B02821">
      <w:pPr>
        <w:spacing w:after="0"/>
      </w:pPr>
      <w:r w:rsidRPr="00473050">
        <w:continuationSeparator/>
      </w:r>
    </w:p>
  </w:endnote>
  <w:endnote w:type="continuationNotice" w:id="1">
    <w:p w14:paraId="3A4B1D9C" w14:textId="77777777" w:rsidR="00473050" w:rsidRPr="00473050" w:rsidRDefault="004730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28BCC" w14:textId="77777777" w:rsidR="00DF41C4" w:rsidRDefault="00DF4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CF89" w14:textId="32CF25F1" w:rsidR="00473050" w:rsidRPr="00473050" w:rsidRDefault="00473050" w:rsidP="009E1BA1">
    <w:pPr>
      <w:pStyle w:val="Footer"/>
      <w:ind w:right="-1"/>
      <w:jc w:val="right"/>
      <w:rPr>
        <w:rFonts w:ascii="Verdana" w:hAnsi="Verdana"/>
      </w:rPr>
    </w:pPr>
    <w:r w:rsidRPr="00473050">
      <w:rPr>
        <w:rFonts w:ascii="Verdana" w:hAnsi="Verdana"/>
      </w:rPr>
      <w:fldChar w:fldCharType="begin"/>
    </w:r>
    <w:r w:rsidRPr="00473050">
      <w:rPr>
        <w:rFonts w:ascii="Verdana" w:hAnsi="Verdana"/>
      </w:rPr>
      <w:instrText xml:space="preserve"> PAGE   \* MERGEFORMAT </w:instrText>
    </w:r>
    <w:r w:rsidRPr="00473050">
      <w:rPr>
        <w:rFonts w:ascii="Verdana" w:hAnsi="Verdana"/>
      </w:rPr>
      <w:fldChar w:fldCharType="separate"/>
    </w:r>
    <w:r w:rsidR="0055296F">
      <w:rPr>
        <w:rFonts w:ascii="Verdana" w:hAnsi="Verdana"/>
        <w:noProof/>
      </w:rPr>
      <w:t>2</w:t>
    </w:r>
    <w:r w:rsidRPr="00473050">
      <w:rPr>
        <w:rFonts w:ascii="Verdana" w:hAnsi="Verda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BD1" w14:textId="44898DC0" w:rsidR="00473050" w:rsidRPr="00473050" w:rsidRDefault="00473050" w:rsidP="00971780">
    <w:pPr>
      <w:autoSpaceDE w:val="0"/>
      <w:autoSpaceDN w:val="0"/>
      <w:adjustRightInd w:val="0"/>
      <w:spacing w:after="0"/>
    </w:pPr>
    <w:r w:rsidRPr="00473050">
      <w:rPr>
        <w:noProof/>
        <w:lang w:val="en-IE" w:eastAsia="en-IE"/>
      </w:rPr>
      <mc:AlternateContent>
        <mc:Choice Requires="wps">
          <w:drawing>
            <wp:anchor distT="0" distB="0" distL="114300" distR="114300" simplePos="0" relativeHeight="251658240" behindDoc="0" locked="0" layoutInCell="1" allowOverlap="1" wp14:anchorId="7D21EC33" wp14:editId="1E65DADA">
              <wp:simplePos x="0" y="0"/>
              <wp:positionH relativeFrom="column">
                <wp:posOffset>2272665</wp:posOffset>
              </wp:positionH>
              <wp:positionV relativeFrom="page">
                <wp:posOffset>10395585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4" style="position:absolute;margin-left:178.95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4494" stroked="f" w14:anchorId="74C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2B73" w14:textId="77777777" w:rsidR="00473050" w:rsidRPr="00473050" w:rsidRDefault="00473050" w:rsidP="00B02821">
      <w:pPr>
        <w:spacing w:after="0"/>
      </w:pPr>
      <w:r w:rsidRPr="00473050">
        <w:separator/>
      </w:r>
    </w:p>
  </w:footnote>
  <w:footnote w:type="continuationSeparator" w:id="0">
    <w:p w14:paraId="107E5550" w14:textId="77777777" w:rsidR="00473050" w:rsidRPr="00473050" w:rsidRDefault="00473050" w:rsidP="00B02821">
      <w:pPr>
        <w:spacing w:after="0"/>
      </w:pPr>
      <w:r w:rsidRPr="00473050">
        <w:continuationSeparator/>
      </w:r>
    </w:p>
  </w:footnote>
  <w:footnote w:type="continuationNotice" w:id="1">
    <w:p w14:paraId="416A5574" w14:textId="77777777" w:rsidR="00473050" w:rsidRPr="00473050" w:rsidRDefault="00473050">
      <w:pPr>
        <w:spacing w:after="0"/>
      </w:pPr>
    </w:p>
  </w:footnote>
  <w:footnote w:id="2">
    <w:p w14:paraId="1D801B00" w14:textId="279D0F77" w:rsidR="00473050" w:rsidRPr="00473050" w:rsidRDefault="00473050" w:rsidP="00924362">
      <w:pPr>
        <w:pStyle w:val="FootnoteText"/>
        <w:spacing w:after="0"/>
        <w:ind w:left="284" w:hanging="284"/>
        <w:rPr>
          <w:color w:val="000000"/>
          <w:sz w:val="16"/>
          <w:szCs w:val="16"/>
        </w:rPr>
      </w:pPr>
      <w:r w:rsidRPr="00473050">
        <w:rPr>
          <w:rStyle w:val="FootnoteReference"/>
          <w:sz w:val="16"/>
          <w:szCs w:val="16"/>
        </w:rPr>
        <w:footnoteRef/>
      </w:r>
      <w:r w:rsidRPr="00473050">
        <w:rPr>
          <w:sz w:val="16"/>
          <w:szCs w:val="16"/>
        </w:rPr>
        <w:t xml:space="preserve"> </w:t>
      </w:r>
      <w:r w:rsidRPr="00473050">
        <w:rPr>
          <w:sz w:val="16"/>
          <w:szCs w:val="16"/>
        </w:rPr>
        <w:tab/>
        <w:t>Règlement (UE) 2021/692 du Parlement européen et du Conseil du 28 avril 2021 établissant le programme «Citoyens, égalité, droits et valeurs» (JO L 156 du 5.5.2021, p. 1).</w:t>
      </w:r>
    </w:p>
  </w:footnote>
  <w:footnote w:id="3">
    <w:p w14:paraId="61A4F60E" w14:textId="3164B12C" w:rsidR="00473050" w:rsidRPr="00473050" w:rsidRDefault="00473050" w:rsidP="00924362">
      <w:pPr>
        <w:pStyle w:val="FootnoteText"/>
        <w:spacing w:after="0"/>
        <w:ind w:left="284" w:hanging="284"/>
        <w:rPr>
          <w:sz w:val="16"/>
          <w:szCs w:val="16"/>
        </w:rPr>
      </w:pPr>
      <w:r w:rsidRPr="00473050">
        <w:rPr>
          <w:rStyle w:val="FootnoteReference"/>
          <w:sz w:val="16"/>
        </w:rPr>
        <w:footnoteRef/>
      </w:r>
      <w:r w:rsidRPr="00473050">
        <w:t xml:space="preserve"> </w:t>
      </w:r>
      <w:r w:rsidRPr="00473050">
        <w:tab/>
      </w:r>
      <w:r w:rsidRPr="00473050">
        <w:rPr>
          <w:sz w:val="16"/>
          <w:szCs w:val="16"/>
        </w:rPr>
        <w:t>Décision d’exécution C(2021) 2583 final de la Commission du 19 avril 2021 concernant le financement du programme «Citoyens, égalité, droits et valeurs» et l’adoption du programme de travail pluriannuel pour 2021-2022</w:t>
      </w:r>
    </w:p>
  </w:footnote>
  <w:footnote w:id="4">
    <w:p w14:paraId="190283C3" w14:textId="11605722" w:rsidR="00473050" w:rsidRPr="00473050" w:rsidRDefault="00473050" w:rsidP="00924362">
      <w:pPr>
        <w:pStyle w:val="FootnoteText"/>
        <w:spacing w:after="0"/>
        <w:ind w:left="284" w:hanging="284"/>
        <w:rPr>
          <w:sz w:val="16"/>
          <w:szCs w:val="16"/>
        </w:rPr>
      </w:pPr>
      <w:r w:rsidRPr="00473050">
        <w:rPr>
          <w:sz w:val="16"/>
          <w:szCs w:val="16"/>
          <w:vertAlign w:val="superscript"/>
        </w:rPr>
        <w:footnoteRef/>
      </w:r>
      <w:r w:rsidRPr="00473050">
        <w:t xml:space="preserve"> </w:t>
      </w:r>
      <w:r w:rsidRPr="00473050">
        <w:tab/>
      </w:r>
      <w:r w:rsidRPr="00473050">
        <w:rPr>
          <w:sz w:val="16"/>
          <w:szCs w:val="16"/>
        </w:rPr>
        <w:t>Règlement (UE) nº 1381/2013 du Parlement européen et du Conseil du 17 décembre 2013 établissant un programme «Droits, égalité et citoyenneté» pour la période 2014-2020 (JO L 354 du 28.12.2013, p. 62)</w:t>
      </w:r>
      <w:r w:rsidRPr="00473050">
        <w:t>.</w:t>
      </w:r>
    </w:p>
  </w:footnote>
  <w:footnote w:id="5">
    <w:p w14:paraId="10858EDC" w14:textId="37FB5CA3" w:rsidR="00473050" w:rsidRPr="00473050" w:rsidRDefault="00473050" w:rsidP="00924362">
      <w:pPr>
        <w:pStyle w:val="FootnoteText"/>
        <w:spacing w:after="0"/>
        <w:ind w:left="284" w:hanging="284"/>
        <w:rPr>
          <w:sz w:val="16"/>
          <w:szCs w:val="16"/>
        </w:rPr>
      </w:pPr>
      <w:r w:rsidRPr="00473050">
        <w:rPr>
          <w:sz w:val="16"/>
          <w:szCs w:val="16"/>
          <w:vertAlign w:val="superscript"/>
        </w:rPr>
        <w:footnoteRef/>
      </w:r>
      <w:r w:rsidRPr="00473050">
        <w:rPr>
          <w:sz w:val="16"/>
          <w:szCs w:val="16"/>
        </w:rPr>
        <w:t xml:space="preserve"> </w:t>
      </w:r>
      <w:r w:rsidRPr="00473050">
        <w:rPr>
          <w:sz w:val="16"/>
          <w:szCs w:val="16"/>
          <w:vertAlign w:val="superscript"/>
        </w:rPr>
        <w:tab/>
      </w:r>
      <w:r w:rsidRPr="00473050">
        <w:rPr>
          <w:sz w:val="16"/>
          <w:szCs w:val="16"/>
        </w:rPr>
        <w:t>Règlement (UE) nº 390/2014 du Conseil du 14 avril 2014 établissant le programme «L’Europe pour les citoyens» pour la période 2014-2020 (JO L 115 du 17.4.2014, p. 3)</w:t>
      </w:r>
      <w:r w:rsidRPr="00473050">
        <w:t>.</w:t>
      </w:r>
    </w:p>
  </w:footnote>
  <w:footnote w:id="6">
    <w:p w14:paraId="6EC6382E" w14:textId="34D827E5" w:rsidR="00473050" w:rsidRPr="00473050" w:rsidRDefault="00473050" w:rsidP="00924362">
      <w:pPr>
        <w:pStyle w:val="FootnoteText"/>
        <w:spacing w:after="0"/>
        <w:ind w:left="284" w:hanging="284"/>
        <w:rPr>
          <w:sz w:val="16"/>
          <w:szCs w:val="16"/>
        </w:rPr>
      </w:pPr>
      <w:r w:rsidRPr="00473050">
        <w:rPr>
          <w:rStyle w:val="FootnoteReference"/>
          <w:sz w:val="16"/>
          <w:szCs w:val="16"/>
        </w:rPr>
        <w:footnoteRef/>
      </w:r>
      <w:r w:rsidRPr="00473050">
        <w:rPr>
          <w:sz w:val="16"/>
          <w:szCs w:val="16"/>
        </w:rPr>
        <w:t xml:space="preserve"> </w:t>
      </w:r>
      <w:r w:rsidRPr="00473050">
        <w:rPr>
          <w:sz w:val="16"/>
          <w:szCs w:val="16"/>
        </w:rPr>
        <w:tab/>
      </w:r>
      <w:hyperlink w:anchor=":~:text=The%20European%20Democracy%20Action%20Plan%20is%20designed%20to,the%20EU%20by%20promoting%20free%20and%20fair%20elections" w:history="1">
        <w:r w:rsidRPr="00473050">
          <w:rPr>
            <w:rStyle w:val="Hyperlink"/>
            <w:sz w:val="16"/>
            <w:szCs w:val="16"/>
          </w:rPr>
          <w:t>Plan d’action pour la démocratie européenne</w:t>
        </w:r>
      </w:hyperlink>
    </w:p>
  </w:footnote>
  <w:footnote w:id="7">
    <w:p w14:paraId="456627A2" w14:textId="637F562E" w:rsidR="00473050" w:rsidRPr="00473050" w:rsidRDefault="00473050" w:rsidP="00924362">
      <w:pPr>
        <w:pStyle w:val="FootnoteText"/>
        <w:spacing w:after="0"/>
        <w:ind w:left="284" w:hanging="284"/>
        <w:rPr>
          <w:sz w:val="16"/>
          <w:szCs w:val="16"/>
        </w:rPr>
      </w:pPr>
      <w:r w:rsidRPr="00473050">
        <w:rPr>
          <w:rStyle w:val="FootnoteReference"/>
          <w:sz w:val="16"/>
          <w:szCs w:val="16"/>
        </w:rPr>
        <w:footnoteRef/>
      </w:r>
      <w:r w:rsidRPr="00473050">
        <w:rPr>
          <w:sz w:val="16"/>
          <w:szCs w:val="16"/>
        </w:rPr>
        <w:t xml:space="preserve"> </w:t>
      </w:r>
      <w:r w:rsidRPr="00473050">
        <w:rPr>
          <w:sz w:val="16"/>
          <w:szCs w:val="16"/>
        </w:rPr>
        <w:tab/>
      </w:r>
      <w:hyperlink r:id="rId1" w:history="1">
        <w:r w:rsidRPr="00473050">
          <w:rPr>
            <w:rStyle w:val="Hyperlink"/>
            <w:sz w:val="16"/>
            <w:szCs w:val="16"/>
          </w:rPr>
          <w:t>Cadre stratégique de l’UE pour l’égalité, l’inclusion et la participation des Roms</w:t>
        </w:r>
      </w:hyperlink>
    </w:p>
  </w:footnote>
  <w:footnote w:id="8">
    <w:p w14:paraId="7B0B537B" w14:textId="271A0252" w:rsidR="00473050" w:rsidRPr="00473050" w:rsidRDefault="00473050" w:rsidP="00924362">
      <w:pPr>
        <w:pStyle w:val="FootnoteText"/>
        <w:spacing w:after="0"/>
        <w:ind w:left="284" w:hanging="284"/>
        <w:rPr>
          <w:sz w:val="16"/>
          <w:szCs w:val="16"/>
        </w:rPr>
      </w:pPr>
      <w:r w:rsidRPr="00473050">
        <w:rPr>
          <w:rStyle w:val="FootnoteReference"/>
          <w:sz w:val="16"/>
          <w:szCs w:val="16"/>
        </w:rPr>
        <w:footnoteRef/>
      </w:r>
      <w:r w:rsidRPr="00473050">
        <w:rPr>
          <w:sz w:val="16"/>
          <w:szCs w:val="16"/>
        </w:rPr>
        <w:t xml:space="preserve"> </w:t>
      </w:r>
      <w:r w:rsidRPr="00473050">
        <w:rPr>
          <w:sz w:val="16"/>
          <w:szCs w:val="16"/>
        </w:rPr>
        <w:tab/>
      </w:r>
      <w:hyperlink r:id="rId2" w:history="1">
        <w:r w:rsidRPr="00473050">
          <w:rPr>
            <w:rStyle w:val="Hyperlink"/>
            <w:sz w:val="16"/>
            <w:szCs w:val="16"/>
          </w:rPr>
          <w:t>Stratégie de l’UE visant à renforcer l’application de la charte des droits fondamentaux</w:t>
        </w:r>
      </w:hyperlink>
    </w:p>
  </w:footnote>
  <w:footnote w:id="9">
    <w:p w14:paraId="7C8E8985" w14:textId="2BD7D4F0" w:rsidR="00473050" w:rsidRPr="00473050" w:rsidRDefault="00473050" w:rsidP="00924362">
      <w:pPr>
        <w:pStyle w:val="FootnoteText"/>
        <w:spacing w:after="0"/>
        <w:ind w:left="284" w:hanging="284"/>
        <w:jc w:val="left"/>
        <w:rPr>
          <w:sz w:val="16"/>
          <w:szCs w:val="16"/>
        </w:rPr>
      </w:pPr>
      <w:r w:rsidRPr="00473050">
        <w:rPr>
          <w:rStyle w:val="FootnoteReference"/>
          <w:sz w:val="16"/>
          <w:szCs w:val="16"/>
        </w:rPr>
        <w:footnoteRef/>
      </w:r>
      <w:r w:rsidRPr="00473050">
        <w:rPr>
          <w:sz w:val="16"/>
          <w:szCs w:val="16"/>
        </w:rPr>
        <w:t xml:space="preserve"> </w:t>
      </w:r>
      <w:r w:rsidRPr="00473050">
        <w:rPr>
          <w:sz w:val="16"/>
          <w:szCs w:val="16"/>
        </w:rPr>
        <w:tab/>
      </w:r>
      <w:hyperlink r:id="rId3" w:history="1">
        <w:r w:rsidRPr="00473050">
          <w:rPr>
            <w:rStyle w:val="Hyperlink"/>
            <w:sz w:val="16"/>
            <w:szCs w:val="16"/>
          </w:rPr>
          <w:t>Rapport sur la citoyenneté de l’Union européenne 2020</w:t>
        </w:r>
      </w:hyperlink>
    </w:p>
  </w:footnote>
  <w:footnote w:id="10">
    <w:p w14:paraId="5A4970F1" w14:textId="097B35A7" w:rsidR="00473050" w:rsidRPr="00473050" w:rsidRDefault="00473050" w:rsidP="00732A4F">
      <w:pPr>
        <w:keepLines/>
        <w:spacing w:after="0"/>
        <w:ind w:left="284" w:hanging="284"/>
      </w:pPr>
      <w:r w:rsidRPr="00473050">
        <w:rPr>
          <w:rStyle w:val="FootnoteReference"/>
          <w:sz w:val="16"/>
          <w:szCs w:val="16"/>
        </w:rPr>
        <w:footnoteRef/>
      </w:r>
      <w:r w:rsidRPr="00473050">
        <w:rPr>
          <w:color w:val="2F5496"/>
          <w:sz w:val="16"/>
          <w:szCs w:val="16"/>
        </w:rPr>
        <w:t xml:space="preserve"> </w:t>
      </w:r>
      <w:r w:rsidRPr="00473050">
        <w:rPr>
          <w:color w:val="2F5496"/>
          <w:sz w:val="16"/>
          <w:szCs w:val="16"/>
        </w:rPr>
        <w:tab/>
      </w:r>
      <w:hyperlink r:id="rId4" w:history="1">
        <w:r w:rsidRPr="00473050">
          <w:rPr>
            <w:rStyle w:val="Hyperlink"/>
            <w:sz w:val="16"/>
            <w:szCs w:val="16"/>
          </w:rPr>
          <w:t>La conférence sur l’avenir de l’Europe</w:t>
        </w:r>
      </w:hyperlink>
      <w:r w:rsidRPr="00473050">
        <w:rPr>
          <w:sz w:val="16"/>
          <w:szCs w:val="16"/>
        </w:rPr>
        <w:t xml:space="preserve"> est un exercice axé sur les citoyens et fondé sur une approche ascendante, visant à ce que les Européens aient leur mot à dire sur ce qu’ils attendent de l’Union européenne. Elle conférera aux citoyens un rôle accru pour ce qui est de façonner les politiques et ambitions futures de l’Union, améliorant sa résilience. À cette fin, de multiples événements et débats s’inscrivant dans le cadre de la conférence seront organisés dans toute l’Union, ainsi que via une plateforme numérique multilingue interactive. Ces événements liés à la conférence, sous forme de réunions physiques ou en format virtuel, peuvent être organisés à différents niveaux, notamment européen, national, transnational et régional. La participation des citoyens à ces événements devrait viser à refléter la diversité de l’Europe. Les municipalités jumelées sont encouragées à participer à la Conférence sur l’avenir de l’Europe.</w:t>
      </w:r>
    </w:p>
  </w:footnote>
  <w:footnote w:id="11">
    <w:p w14:paraId="0F69B04E" w14:textId="1D8FFFBA" w:rsidR="00473050" w:rsidRPr="00473050" w:rsidRDefault="00473050" w:rsidP="00924362">
      <w:pPr>
        <w:pStyle w:val="FootnoteText"/>
        <w:spacing w:after="0"/>
        <w:ind w:left="284" w:hanging="284"/>
        <w:rPr>
          <w:sz w:val="16"/>
          <w:szCs w:val="16"/>
          <w:highlight w:val="green"/>
        </w:rPr>
      </w:pPr>
      <w:r w:rsidRPr="00473050">
        <w:rPr>
          <w:rStyle w:val="FootnoteReference"/>
          <w:sz w:val="16"/>
          <w:szCs w:val="16"/>
        </w:rPr>
        <w:footnoteRef/>
      </w:r>
      <w:r w:rsidRPr="00473050">
        <w:rPr>
          <w:sz w:val="16"/>
          <w:szCs w:val="16"/>
        </w:rPr>
        <w:t xml:space="preserve"> </w:t>
      </w:r>
      <w:r w:rsidRPr="00473050">
        <w:rPr>
          <w:sz w:val="16"/>
          <w:szCs w:val="16"/>
        </w:rPr>
        <w:tab/>
        <w:t xml:space="preserve">Pour plus d’informations, voir section </w:t>
      </w:r>
      <w:r w:rsidRPr="00473050">
        <w:rPr>
          <w:i/>
          <w:sz w:val="16"/>
          <w:szCs w:val="16"/>
        </w:rPr>
        <w:t>Éthique et valeurs de l’UE</w:t>
      </w:r>
    </w:p>
  </w:footnote>
  <w:footnote w:id="12">
    <w:p w14:paraId="17D7FFB5" w14:textId="79853DA1" w:rsidR="00473050" w:rsidRPr="00473050" w:rsidRDefault="00473050" w:rsidP="00924362">
      <w:pPr>
        <w:pStyle w:val="FootnoteText"/>
        <w:spacing w:after="0"/>
        <w:ind w:left="284" w:hanging="284"/>
        <w:rPr>
          <w:sz w:val="16"/>
          <w:szCs w:val="16"/>
        </w:rPr>
      </w:pPr>
      <w:r w:rsidRPr="00473050">
        <w:rPr>
          <w:rStyle w:val="FootnoteReference"/>
          <w:sz w:val="16"/>
          <w:szCs w:val="16"/>
        </w:rPr>
        <w:footnoteRef/>
      </w:r>
      <w:r w:rsidRPr="00473050">
        <w:rPr>
          <w:sz w:val="16"/>
          <w:szCs w:val="16"/>
        </w:rPr>
        <w:t xml:space="preserve"> </w:t>
      </w:r>
      <w:r w:rsidRPr="00473050">
        <w:rPr>
          <w:sz w:val="16"/>
          <w:szCs w:val="16"/>
        </w:rPr>
        <w:tab/>
        <w:t>Les «participants invités» sont des délégations en visite venues des pays éligibles partenaires du projet, à l’exception du pays accueillant l’événement de jumelage.</w:t>
      </w:r>
    </w:p>
  </w:footnote>
  <w:footnote w:id="13">
    <w:p w14:paraId="228A0A98" w14:textId="079A3B62" w:rsidR="00473050" w:rsidRPr="00473050" w:rsidRDefault="00473050" w:rsidP="00924362">
      <w:pPr>
        <w:pStyle w:val="FootnoteText"/>
        <w:spacing w:after="0"/>
        <w:ind w:left="284" w:hanging="284"/>
        <w:rPr>
          <w:sz w:val="16"/>
          <w:szCs w:val="16"/>
        </w:rPr>
      </w:pPr>
      <w:r w:rsidRPr="00473050">
        <w:rPr>
          <w:rStyle w:val="FootnoteReference"/>
          <w:sz w:val="16"/>
          <w:szCs w:val="16"/>
        </w:rPr>
        <w:footnoteRef/>
      </w:r>
      <w:r w:rsidRPr="00473050">
        <w:rPr>
          <w:sz w:val="16"/>
          <w:szCs w:val="16"/>
        </w:rPr>
        <w:t xml:space="preserve"> </w:t>
      </w:r>
      <w:r w:rsidRPr="00473050">
        <w:rPr>
          <w:sz w:val="16"/>
          <w:szCs w:val="16"/>
        </w:rPr>
        <w:tab/>
        <w:t>Le coordinateur est le candidat principal du consortium.</w:t>
      </w:r>
    </w:p>
  </w:footnote>
  <w:footnote w:id="14">
    <w:p w14:paraId="527456B7" w14:textId="292871F8" w:rsidR="00473050" w:rsidRPr="00473050" w:rsidRDefault="00473050" w:rsidP="00924362">
      <w:pPr>
        <w:pStyle w:val="FootnoteText"/>
        <w:spacing w:after="0"/>
        <w:ind w:left="284" w:hanging="284"/>
        <w:rPr>
          <w:sz w:val="16"/>
        </w:rPr>
      </w:pPr>
      <w:r w:rsidRPr="00473050">
        <w:rPr>
          <w:rStyle w:val="FootnoteReference"/>
          <w:sz w:val="16"/>
          <w:szCs w:val="16"/>
        </w:rPr>
        <w:footnoteRef/>
      </w:r>
      <w:r w:rsidRPr="00473050">
        <w:rPr>
          <w:sz w:val="16"/>
          <w:szCs w:val="16"/>
        </w:rPr>
        <w:t xml:space="preserve"> </w:t>
      </w:r>
      <w:r w:rsidRPr="00473050">
        <w:rPr>
          <w:sz w:val="16"/>
          <w:szCs w:val="16"/>
        </w:rPr>
        <w:tab/>
      </w:r>
      <w:r w:rsidRPr="00473050">
        <w:rPr>
          <w:sz w:val="16"/>
        </w:rPr>
        <w:t>Voir l’article 197, paragraphe 2, du règlement financier </w:t>
      </w:r>
      <w:hyperlink r:id="rId5" w:history="1">
        <w:r w:rsidRPr="00473050">
          <w:rPr>
            <w:bCs/>
            <w:color w:val="0088CC"/>
            <w:sz w:val="16"/>
            <w:szCs w:val="16"/>
            <w:u w:val="single"/>
          </w:rPr>
          <w:t>2018/1046</w:t>
        </w:r>
      </w:hyperlink>
      <w:r w:rsidRPr="00473050">
        <w:rPr>
          <w:sz w:val="16"/>
        </w:rPr>
        <w:t>.</w:t>
      </w:r>
    </w:p>
  </w:footnote>
  <w:footnote w:id="15">
    <w:p w14:paraId="58E63D84" w14:textId="57F4E97A" w:rsidR="00473050" w:rsidRPr="00473050" w:rsidRDefault="00473050" w:rsidP="00924362">
      <w:pPr>
        <w:pStyle w:val="FootnoteText"/>
        <w:spacing w:after="0"/>
        <w:ind w:left="284" w:hanging="284"/>
        <w:rPr>
          <w:sz w:val="16"/>
          <w:szCs w:val="16"/>
        </w:rPr>
      </w:pPr>
      <w:r w:rsidRPr="00473050">
        <w:rPr>
          <w:rStyle w:val="FootnoteReference"/>
          <w:sz w:val="16"/>
          <w:szCs w:val="16"/>
        </w:rPr>
        <w:footnoteRef/>
      </w:r>
      <w:r w:rsidRPr="00473050">
        <w:rPr>
          <w:sz w:val="16"/>
          <w:szCs w:val="16"/>
        </w:rPr>
        <w:t xml:space="preserve"> </w:t>
      </w:r>
      <w:r w:rsidRPr="00473050">
        <w:rPr>
          <w:sz w:val="16"/>
          <w:szCs w:val="16"/>
        </w:rPr>
        <w:tab/>
        <w:t>Pour les définitions, voir l’article 187, paragraphe 2, et l’article 197, paragraphe 2, point c), du règlement financier </w:t>
      </w:r>
      <w:hyperlink r:id="rId6" w:history="1">
        <w:r w:rsidRPr="00473050">
          <w:rPr>
            <w:bCs/>
            <w:color w:val="0088CC"/>
            <w:sz w:val="16"/>
            <w:szCs w:val="16"/>
            <w:u w:val="single"/>
          </w:rPr>
          <w:t>2018/1046</w:t>
        </w:r>
      </w:hyperlink>
      <w:r w:rsidR="002F268A">
        <w:rPr>
          <w:bCs/>
          <w:color w:val="0088CC"/>
          <w:sz w:val="16"/>
          <w:szCs w:val="16"/>
          <w:u w:val="single"/>
        </w:rPr>
        <w:t xml:space="preserve"> </w:t>
      </w:r>
      <w:r w:rsidRPr="002F268A">
        <w:rPr>
          <w:sz w:val="16"/>
          <w:szCs w:val="16"/>
        </w:rPr>
        <w:t>de l’UE</w:t>
      </w:r>
      <w:r w:rsidRPr="00473050">
        <w:rPr>
          <w:sz w:val="16"/>
          <w:szCs w:val="16"/>
        </w:rPr>
        <w:t>.</w:t>
      </w:r>
    </w:p>
  </w:footnote>
  <w:footnote w:id="16">
    <w:p w14:paraId="52822DD7" w14:textId="617A6F56" w:rsidR="00473050" w:rsidRPr="00473050" w:rsidRDefault="00473050" w:rsidP="000579AF">
      <w:pPr>
        <w:pStyle w:val="FootnoteText"/>
        <w:spacing w:after="0"/>
        <w:ind w:left="284" w:hanging="284"/>
      </w:pPr>
      <w:r w:rsidRPr="00473050">
        <w:rPr>
          <w:rStyle w:val="FootnoteReference"/>
          <w:sz w:val="16"/>
        </w:rPr>
        <w:footnoteRef/>
      </w:r>
      <w:r w:rsidRPr="00473050">
        <w:t xml:space="preserve"> </w:t>
      </w:r>
      <w:r w:rsidRPr="00473050">
        <w:tab/>
      </w:r>
      <w:r w:rsidRPr="00473050">
        <w:rPr>
          <w:sz w:val="16"/>
          <w:szCs w:val="16"/>
        </w:rPr>
        <w:t xml:space="preserve">Veuillez noter que le Journal officiel de l’UE contient la liste officielle et, en cas de conflit, son contenu prévaut sur celui de la </w:t>
      </w:r>
      <w:hyperlink r:id="rId7" w:history="1">
        <w:r w:rsidRPr="00473050">
          <w:rPr>
            <w:rStyle w:val="Hyperlink"/>
            <w:sz w:val="16"/>
            <w:szCs w:val="16"/>
          </w:rPr>
          <w:t>carte des sanctions de l’UE</w:t>
        </w:r>
      </w:hyperlink>
      <w:r w:rsidRPr="00473050">
        <w:rPr>
          <w:sz w:val="16"/>
          <w:szCs w:val="16"/>
        </w:rPr>
        <w:t>.</w:t>
      </w:r>
    </w:p>
  </w:footnote>
  <w:footnote w:id="17">
    <w:p w14:paraId="67257775" w14:textId="5E82687B" w:rsidR="00473050" w:rsidRPr="00473050" w:rsidRDefault="00473050" w:rsidP="000579AF">
      <w:pPr>
        <w:pStyle w:val="CM1"/>
        <w:ind w:left="284" w:hanging="284"/>
        <w:jc w:val="both"/>
        <w:rPr>
          <w:rFonts w:ascii="Verdana" w:hAnsi="Verdana"/>
          <w:sz w:val="16"/>
          <w:szCs w:val="16"/>
        </w:rPr>
      </w:pPr>
      <w:r w:rsidRPr="00473050">
        <w:rPr>
          <w:rStyle w:val="FootnoteReference"/>
          <w:rFonts w:ascii="Verdana" w:hAnsi="Verdana"/>
          <w:sz w:val="16"/>
          <w:szCs w:val="16"/>
        </w:rPr>
        <w:footnoteRef/>
      </w:r>
      <w:r w:rsidRPr="00473050">
        <w:rPr>
          <w:rFonts w:ascii="Verdana" w:hAnsi="Verdana"/>
          <w:sz w:val="16"/>
          <w:szCs w:val="16"/>
        </w:rPr>
        <w:t xml:space="preserve"> </w:t>
      </w:r>
      <w:r w:rsidRPr="00473050">
        <w:tab/>
      </w:r>
      <w:r w:rsidRPr="00473050">
        <w:rPr>
          <w:rFonts w:ascii="Verdana" w:hAnsi="Verdana"/>
          <w:sz w:val="16"/>
          <w:szCs w:val="16"/>
        </w:rPr>
        <w:t>Lignes directrices nº </w:t>
      </w:r>
      <w:hyperlink r:id="rId8" w:history="1">
        <w:r w:rsidRPr="00473050">
          <w:rPr>
            <w:rStyle w:val="Hyperlink"/>
            <w:rFonts w:ascii="Verdana" w:hAnsi="Verdana"/>
            <w:sz w:val="16"/>
            <w:szCs w:val="16"/>
          </w:rPr>
          <w:t>2013/C 205/05</w:t>
        </w:r>
      </w:hyperlink>
      <w:r w:rsidRPr="00473050">
        <w:rPr>
          <w:rFonts w:ascii="Verdana" w:hAnsi="Verdana"/>
          <w:sz w:val="16"/>
          <w:szCs w:val="16"/>
        </w:rPr>
        <w:t xml:space="preserve"> de la Commission relatives à l’éligibilité des entités israéliennes établies dans les territoires occupés par Israël depuis juin 1967 et des activités qu’elles y déploient aux subventions, prix et instruments financiers financés par l’UE à partir de 2014 (JOUE C 205 du 19.07.2013, p. 9-11). </w:t>
      </w:r>
    </w:p>
  </w:footnote>
  <w:footnote w:id="18">
    <w:p w14:paraId="2364A1FE" w14:textId="03386B0E" w:rsidR="00473050" w:rsidRPr="002F268A" w:rsidRDefault="00473050" w:rsidP="000579AF">
      <w:pPr>
        <w:pStyle w:val="CM1"/>
        <w:ind w:left="284" w:hanging="284"/>
        <w:jc w:val="both"/>
        <w:rPr>
          <w:rFonts w:ascii="Verdana" w:hAnsi="Verdana"/>
          <w:sz w:val="16"/>
          <w:szCs w:val="16"/>
          <w:lang w:val="en-IE"/>
        </w:rPr>
      </w:pPr>
      <w:r w:rsidRPr="00473050">
        <w:rPr>
          <w:rStyle w:val="FootnoteReference"/>
          <w:sz w:val="16"/>
          <w:szCs w:val="16"/>
        </w:rPr>
        <w:footnoteRef/>
      </w:r>
      <w:r w:rsidRPr="002F268A">
        <w:rPr>
          <w:sz w:val="16"/>
          <w:szCs w:val="16"/>
          <w:lang w:val="en-IE"/>
        </w:rPr>
        <w:t xml:space="preserve"> </w:t>
      </w:r>
      <w:r w:rsidRPr="002F268A">
        <w:rPr>
          <w:sz w:val="16"/>
          <w:szCs w:val="16"/>
          <w:lang w:val="en-IE"/>
        </w:rPr>
        <w:tab/>
      </w:r>
      <w:hyperlink r:id="rId9" w:anchor=":~:text=Non-discrimination%20mainstreaming%20is%20about%20%E2%80%98placing%20equality%20considerations%20at,the%20EU-%20wide%20network%20of%20specialised%20equality%20bodies%29." w:history="1">
        <w:r w:rsidRPr="002F268A">
          <w:rPr>
            <w:rStyle w:val="Hyperlink"/>
            <w:rFonts w:ascii="Verdana" w:hAnsi="Verdana"/>
            <w:sz w:val="16"/>
            <w:szCs w:val="16"/>
            <w:lang w:val="en-IE"/>
          </w:rPr>
          <w:t>Non-discrimination mainstreaming– instruments, case studies and way forwards</w:t>
        </w:r>
      </w:hyperlink>
      <w:r w:rsidRPr="002F268A">
        <w:rPr>
          <w:lang w:val="en-IE"/>
        </w:rPr>
        <w:t xml:space="preserve"> </w:t>
      </w:r>
    </w:p>
  </w:footnote>
  <w:footnote w:id="19">
    <w:p w14:paraId="39B3B430" w14:textId="266FAF89" w:rsidR="00473050" w:rsidRPr="00473050" w:rsidRDefault="00473050" w:rsidP="00163978">
      <w:pPr>
        <w:pStyle w:val="FootnoteText"/>
        <w:spacing w:after="0"/>
        <w:ind w:left="284" w:hanging="284"/>
        <w:rPr>
          <w:rStyle w:val="FootnoteReference"/>
          <w:sz w:val="16"/>
          <w:szCs w:val="16"/>
          <w:vertAlign w:val="baseline"/>
        </w:rPr>
      </w:pPr>
      <w:r w:rsidRPr="00473050">
        <w:rPr>
          <w:rStyle w:val="FootnoteReference"/>
          <w:sz w:val="16"/>
          <w:szCs w:val="16"/>
        </w:rPr>
        <w:footnoteRef/>
      </w:r>
      <w:r w:rsidRPr="00473050">
        <w:rPr>
          <w:sz w:val="16"/>
          <w:szCs w:val="16"/>
        </w:rPr>
        <w:tab/>
        <w:t>Voir les articles 136 et 141 du règlement financier </w:t>
      </w:r>
      <w:hyperlink r:id="rId10" w:history="1">
        <w:r w:rsidRPr="00473050">
          <w:rPr>
            <w:bCs/>
            <w:color w:val="0088CC"/>
            <w:sz w:val="16"/>
            <w:szCs w:val="16"/>
            <w:u w:val="single"/>
          </w:rPr>
          <w:t>2018/1046</w:t>
        </w:r>
      </w:hyperlink>
      <w:r w:rsidRPr="00473050">
        <w:rPr>
          <w:sz w:val="16"/>
          <w:szCs w:val="16"/>
        </w:rPr>
        <w:t xml:space="preserve"> de l’UE.</w:t>
      </w:r>
    </w:p>
  </w:footnote>
  <w:footnote w:id="20">
    <w:p w14:paraId="3E147AE4" w14:textId="77777777" w:rsidR="00473050" w:rsidRPr="00473050" w:rsidRDefault="00473050" w:rsidP="000579AF">
      <w:pPr>
        <w:pStyle w:val="FootnoteText"/>
        <w:spacing w:after="0"/>
        <w:ind w:left="284" w:hanging="284"/>
        <w:rPr>
          <w:sz w:val="16"/>
          <w:szCs w:val="16"/>
        </w:rPr>
      </w:pPr>
      <w:r w:rsidRPr="00473050">
        <w:rPr>
          <w:rStyle w:val="FootnoteReference"/>
          <w:sz w:val="16"/>
          <w:szCs w:val="16"/>
        </w:rPr>
        <w:footnoteRef/>
      </w:r>
      <w:r w:rsidRPr="00473050">
        <w:rPr>
          <w:sz w:val="16"/>
          <w:szCs w:val="16"/>
        </w:rPr>
        <w:tab/>
        <w:t>La faute professionnelle comprend: la violation des normes éthiques de la profession, un comportement fautif ayant une incidence sur la crédibilité professionnelle, de fausses déclarations/altérations de l’information, la participation à une entente ou autre accord faussant la concurrence, la violation des DPI, une tentative d’influencer les processus décisionnels ou d’obtenir des informations confidentielles de la part des pouvoirs publics en vue d’obtenir un avantage.</w:t>
      </w:r>
    </w:p>
  </w:footnote>
  <w:footnote w:id="21">
    <w:p w14:paraId="32BB546C" w14:textId="25ADDE22" w:rsidR="00473050" w:rsidRPr="00473050" w:rsidRDefault="00473050" w:rsidP="00C9027A">
      <w:pPr>
        <w:pStyle w:val="FootnoteText"/>
        <w:spacing w:after="0"/>
        <w:ind w:left="360" w:hanging="360"/>
        <w:rPr>
          <w:sz w:val="16"/>
          <w:szCs w:val="16"/>
        </w:rPr>
      </w:pPr>
      <w:r w:rsidRPr="00473050">
        <w:rPr>
          <w:rStyle w:val="FootnoteReference"/>
          <w:sz w:val="16"/>
          <w:szCs w:val="16"/>
        </w:rPr>
        <w:footnoteRef/>
      </w:r>
      <w:r w:rsidRPr="00473050">
        <w:rPr>
          <w:sz w:val="16"/>
          <w:szCs w:val="16"/>
        </w:rPr>
        <w:t xml:space="preserve"> </w:t>
      </w:r>
      <w:r w:rsidRPr="00473050">
        <w:rPr>
          <w:sz w:val="16"/>
          <w:szCs w:val="16"/>
        </w:rPr>
        <w:tab/>
        <w:t>Voir l’article 141 du règlement financier </w:t>
      </w:r>
      <w:hyperlink r:id="rId11" w:history="1">
        <w:r w:rsidRPr="00473050">
          <w:rPr>
            <w:bCs/>
            <w:color w:val="0088CC"/>
            <w:sz w:val="16"/>
            <w:szCs w:val="16"/>
            <w:u w:val="single"/>
          </w:rPr>
          <w:t>2018/1046</w:t>
        </w:r>
      </w:hyperlink>
      <w:r w:rsidRPr="00473050">
        <w:t xml:space="preserve"> </w:t>
      </w:r>
      <w:r w:rsidRPr="002F268A">
        <w:rPr>
          <w:sz w:val="16"/>
          <w:szCs w:val="16"/>
        </w:rPr>
        <w:t>de l’UE</w:t>
      </w:r>
      <w:r w:rsidRPr="00473050">
        <w:rPr>
          <w:sz w:val="16"/>
          <w:szCs w:val="16"/>
        </w:rPr>
        <w:t>.</w:t>
      </w:r>
    </w:p>
  </w:footnote>
  <w:footnote w:id="22">
    <w:p w14:paraId="482E0888" w14:textId="1A2F9426" w:rsidR="00473050" w:rsidRPr="00473050" w:rsidRDefault="00473050" w:rsidP="00686978">
      <w:pPr>
        <w:pStyle w:val="FootnoteText"/>
        <w:spacing w:after="0"/>
        <w:ind w:left="360" w:hanging="360"/>
        <w:rPr>
          <w:sz w:val="16"/>
          <w:szCs w:val="16"/>
        </w:rPr>
      </w:pPr>
      <w:r w:rsidRPr="00473050">
        <w:rPr>
          <w:rStyle w:val="FootnoteReference"/>
          <w:sz w:val="16"/>
        </w:rPr>
        <w:footnoteRef/>
      </w:r>
      <w:r w:rsidRPr="00473050">
        <w:t xml:space="preserve"> </w:t>
      </w:r>
      <w:r w:rsidRPr="00473050">
        <w:tab/>
      </w:r>
      <w:hyperlink r:id="rId12" w:history="1">
        <w:r w:rsidRPr="00473050">
          <w:rPr>
            <w:rStyle w:val="Hyperlink"/>
            <w:sz w:val="16"/>
            <w:szCs w:val="16"/>
          </w:rPr>
          <w:t>Décision</w:t>
        </w:r>
      </w:hyperlink>
      <w:r w:rsidRPr="00473050">
        <w:rPr>
          <w:sz w:val="16"/>
          <w:szCs w:val="16"/>
        </w:rPr>
        <w:t xml:space="preserve"> du 26 mars 2021 </w:t>
      </w:r>
      <w:r w:rsidRPr="00473050">
        <w:rPr>
          <w:iCs/>
          <w:sz w:val="16"/>
          <w:szCs w:val="16"/>
        </w:rPr>
        <w:t>autorisant le recours à des montants forfaitaires pour les actions au titre du programme «Citoyens, égalité, droits et valeurs»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974BF" w14:textId="77777777" w:rsidR="00DF41C4" w:rsidRDefault="00DF4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7FEE" w14:textId="68511716" w:rsidR="00473050" w:rsidRPr="00473050" w:rsidRDefault="00473050" w:rsidP="00322207">
    <w:pPr>
      <w:tabs>
        <w:tab w:val="center" w:pos="4536"/>
        <w:tab w:val="right" w:pos="9072"/>
      </w:tabs>
      <w:spacing w:after="0"/>
      <w:rPr>
        <w:rFonts w:eastAsia="Calibri"/>
        <w:sz w:val="16"/>
      </w:rPr>
    </w:pPr>
    <w:r w:rsidRPr="00473050">
      <w:rPr>
        <w:sz w:val="16"/>
      </w:rPr>
      <w:t>Appel: [CERV-2022-CITIZENS-TOWN] — [Jumelage de villes et Réseaux de villes]</w:t>
    </w:r>
  </w:p>
  <w:p w14:paraId="15B1C007" w14:textId="77777777" w:rsidR="00473050" w:rsidRPr="00473050" w:rsidRDefault="00473050" w:rsidP="00322207">
    <w:pPr>
      <w:tabs>
        <w:tab w:val="center" w:pos="4536"/>
        <w:tab w:val="right" w:pos="9072"/>
      </w:tabs>
      <w:spacing w:after="0" w:line="276" w:lineRule="auto"/>
      <w:rPr>
        <w:rFonts w:eastAsia="Calibri"/>
        <w:sz w:val="16"/>
      </w:rPr>
    </w:pPr>
  </w:p>
  <w:p w14:paraId="010F2120" w14:textId="205373BA" w:rsidR="00473050" w:rsidRPr="00473050" w:rsidRDefault="00473050" w:rsidP="00C90797">
    <w:pPr>
      <w:spacing w:after="0"/>
      <w:jc w:val="right"/>
      <w:rPr>
        <w:rFonts w:eastAsia="Calibri"/>
        <w:color w:val="808080"/>
        <w:sz w:val="16"/>
        <w:szCs w:val="16"/>
      </w:rPr>
    </w:pPr>
    <w:r w:rsidRPr="00473050">
      <w:rPr>
        <w:color w:val="4AA55B"/>
        <w:sz w:val="16"/>
      </w:rPr>
      <w:tab/>
    </w:r>
    <w:r w:rsidRPr="00473050">
      <w:rPr>
        <w:color w:val="7F7F7F"/>
        <w:sz w:val="16"/>
        <w:szCs w:val="16"/>
      </w:rPr>
      <w:t>Subventions de l’UE</w:t>
    </w:r>
    <w:r w:rsidRPr="00473050">
      <w:rPr>
        <w:color w:val="808080"/>
        <w:sz w:val="16"/>
        <w:szCs w:val="16"/>
      </w:rPr>
      <w:t>: Document de l’appel </w:t>
    </w:r>
    <w:r w:rsidRPr="00473050">
      <w:rPr>
        <w:color w:val="7F7F7F"/>
        <w:sz w:val="16"/>
        <w:szCs w:val="16"/>
      </w:rPr>
      <w:t>(CERV)</w:t>
    </w:r>
    <w:r w:rsidRPr="00473050">
      <w:rPr>
        <w:color w:val="808080"/>
        <w:sz w:val="16"/>
        <w:szCs w:val="16"/>
      </w:rPr>
      <w:t>: V1.0 – 16.11.2021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9273" w14:textId="5A6FCB6C" w:rsidR="00473050" w:rsidRPr="00473050" w:rsidRDefault="00473050" w:rsidP="007A412A">
    <w:pPr>
      <w:pStyle w:val="Header"/>
      <w:jc w:val="center"/>
      <w:rPr>
        <w:rFonts w:ascii="Arial" w:hAnsi="Arial"/>
        <w:color w:val="595959"/>
        <w:szCs w:val="24"/>
      </w:rPr>
    </w:pPr>
    <w:r w:rsidRPr="00473050">
      <w:rPr>
        <w:noProof/>
        <w:lang w:val="en-IE" w:eastAsia="en-IE"/>
      </w:rPr>
      <w:drawing>
        <wp:inline distT="0" distB="0" distL="0" distR="0" wp14:anchorId="4FA16163" wp14:editId="1ECA857D">
          <wp:extent cx="1922780" cy="914400"/>
          <wp:effectExtent l="0" t="0" r="0" b="0"/>
          <wp:docPr id="2" name="Picture 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EEC9" w14:textId="377CC7BB" w:rsidR="00473050" w:rsidRPr="00473050" w:rsidRDefault="00473050" w:rsidP="00771274">
    <w:pPr>
      <w:pStyle w:val="Header"/>
      <w:tabs>
        <w:tab w:val="clear" w:pos="4153"/>
        <w:tab w:val="clear" w:pos="8306"/>
        <w:tab w:val="left" w:pos="2659"/>
      </w:tabs>
      <w:spacing w:after="0"/>
    </w:pPr>
    <w:r w:rsidRPr="00473050">
      <w:tab/>
    </w:r>
    <w:r w:rsidRPr="00473050">
      <w:rPr>
        <w:noProof/>
        <w:lang w:val="en-IE" w:eastAsia="en-IE"/>
      </w:rPr>
      <w:drawing>
        <wp:inline distT="0" distB="0" distL="0" distR="0" wp14:anchorId="097AAA03" wp14:editId="590F354E">
          <wp:extent cx="1922780" cy="914400"/>
          <wp:effectExtent l="0" t="0" r="0" b="0"/>
          <wp:docPr id="14" name="Picture 1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AE6C26"/>
    <w:multiLevelType w:val="hybridMultilevel"/>
    <w:tmpl w:val="2C38E760"/>
    <w:lvl w:ilvl="0" w:tplc="D2AEE564">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36E4EC3"/>
    <w:multiLevelType w:val="hybridMultilevel"/>
    <w:tmpl w:val="8C984A6A"/>
    <w:lvl w:ilvl="0" w:tplc="2B5A9408">
      <w:start w:val="1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8F54C3"/>
    <w:multiLevelType w:val="multilevel"/>
    <w:tmpl w:val="445AC056"/>
    <w:lvl w:ilvl="0">
      <w:start w:val="1"/>
      <w:numFmt w:val="bullet"/>
      <w:pStyle w:val="ListDash3"/>
      <w:lvlText w:val="–"/>
      <w:lvlJc w:val="left"/>
      <w:pPr>
        <w:tabs>
          <w:tab w:val="num" w:pos="1723"/>
        </w:tabs>
        <w:ind w:left="172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4387"/>
    <w:multiLevelType w:val="hybridMultilevel"/>
    <w:tmpl w:val="B17EC242"/>
    <w:lvl w:ilvl="0" w:tplc="FEAA60BA">
      <w:start w:val="1"/>
      <w:numFmt w:val="bullet"/>
      <w:lvlText w:val="·"/>
      <w:lvlJc w:val="left"/>
      <w:pPr>
        <w:ind w:left="720" w:hanging="360"/>
      </w:pPr>
      <w:rPr>
        <w:rFonts w:ascii="Symbol" w:hAnsi="Symbol" w:hint="default"/>
      </w:rPr>
    </w:lvl>
    <w:lvl w:ilvl="1" w:tplc="4880BB64">
      <w:start w:val="1"/>
      <w:numFmt w:val="bullet"/>
      <w:lvlText w:val="o"/>
      <w:lvlJc w:val="left"/>
      <w:pPr>
        <w:ind w:left="1440" w:hanging="360"/>
      </w:pPr>
      <w:rPr>
        <w:rFonts w:ascii="Courier New" w:hAnsi="Courier New" w:cs="Times New Roman" w:hint="default"/>
      </w:rPr>
    </w:lvl>
    <w:lvl w:ilvl="2" w:tplc="5F68A3DA">
      <w:start w:val="1"/>
      <w:numFmt w:val="bullet"/>
      <w:lvlText w:val=""/>
      <w:lvlJc w:val="left"/>
      <w:pPr>
        <w:ind w:left="2160" w:hanging="360"/>
      </w:pPr>
      <w:rPr>
        <w:rFonts w:ascii="Wingdings" w:hAnsi="Wingdings" w:hint="default"/>
      </w:rPr>
    </w:lvl>
    <w:lvl w:ilvl="3" w:tplc="8234825C">
      <w:start w:val="1"/>
      <w:numFmt w:val="bullet"/>
      <w:lvlText w:val=""/>
      <w:lvlJc w:val="left"/>
      <w:pPr>
        <w:ind w:left="2880" w:hanging="360"/>
      </w:pPr>
      <w:rPr>
        <w:rFonts w:ascii="Symbol" w:hAnsi="Symbol" w:hint="default"/>
      </w:rPr>
    </w:lvl>
    <w:lvl w:ilvl="4" w:tplc="92E26BB8">
      <w:start w:val="1"/>
      <w:numFmt w:val="bullet"/>
      <w:lvlText w:val="o"/>
      <w:lvlJc w:val="left"/>
      <w:pPr>
        <w:ind w:left="3600" w:hanging="360"/>
      </w:pPr>
      <w:rPr>
        <w:rFonts w:ascii="Courier New" w:hAnsi="Courier New" w:cs="Times New Roman" w:hint="default"/>
      </w:rPr>
    </w:lvl>
    <w:lvl w:ilvl="5" w:tplc="C94884C8">
      <w:start w:val="1"/>
      <w:numFmt w:val="bullet"/>
      <w:lvlText w:val=""/>
      <w:lvlJc w:val="left"/>
      <w:pPr>
        <w:ind w:left="4320" w:hanging="360"/>
      </w:pPr>
      <w:rPr>
        <w:rFonts w:ascii="Wingdings" w:hAnsi="Wingdings" w:hint="default"/>
      </w:rPr>
    </w:lvl>
    <w:lvl w:ilvl="6" w:tplc="7CAC58A4">
      <w:start w:val="1"/>
      <w:numFmt w:val="bullet"/>
      <w:lvlText w:val=""/>
      <w:lvlJc w:val="left"/>
      <w:pPr>
        <w:ind w:left="5040" w:hanging="360"/>
      </w:pPr>
      <w:rPr>
        <w:rFonts w:ascii="Symbol" w:hAnsi="Symbol" w:hint="default"/>
      </w:rPr>
    </w:lvl>
    <w:lvl w:ilvl="7" w:tplc="27DA3F58">
      <w:start w:val="1"/>
      <w:numFmt w:val="bullet"/>
      <w:lvlText w:val="o"/>
      <w:lvlJc w:val="left"/>
      <w:pPr>
        <w:ind w:left="5760" w:hanging="360"/>
      </w:pPr>
      <w:rPr>
        <w:rFonts w:ascii="Courier New" w:hAnsi="Courier New" w:cs="Times New Roman" w:hint="default"/>
      </w:rPr>
    </w:lvl>
    <w:lvl w:ilvl="8" w:tplc="7AC2F7E8">
      <w:start w:val="1"/>
      <w:numFmt w:val="bullet"/>
      <w:lvlText w:val=""/>
      <w:lvlJc w:val="left"/>
      <w:pPr>
        <w:ind w:left="6480" w:hanging="360"/>
      </w:pPr>
      <w:rPr>
        <w:rFonts w:ascii="Wingdings" w:hAnsi="Wingdings" w:hint="default"/>
      </w:rPr>
    </w:lvl>
  </w:abstractNum>
  <w:abstractNum w:abstractNumId="7"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8"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2B3C"/>
    <w:multiLevelType w:val="hybridMultilevel"/>
    <w:tmpl w:val="925C5806"/>
    <w:lvl w:ilvl="0" w:tplc="5F84B092">
      <w:start w:val="1"/>
      <w:numFmt w:val="bullet"/>
      <w:lvlText w:val=""/>
      <w:lvlJc w:val="left"/>
      <w:pPr>
        <w:ind w:left="720" w:hanging="360"/>
      </w:pPr>
      <w:rPr>
        <w:rFonts w:ascii="Symbol" w:hAnsi="Symbol" w:hint="default"/>
      </w:rPr>
    </w:lvl>
    <w:lvl w:ilvl="1" w:tplc="6D7A6886">
      <w:start w:val="1"/>
      <w:numFmt w:val="bullet"/>
      <w:lvlText w:val="o"/>
      <w:lvlJc w:val="left"/>
      <w:pPr>
        <w:ind w:left="1440" w:hanging="360"/>
      </w:pPr>
      <w:rPr>
        <w:rFonts w:ascii="Courier New" w:hAnsi="Courier New" w:cs="Times New Roman" w:hint="default"/>
      </w:rPr>
    </w:lvl>
    <w:lvl w:ilvl="2" w:tplc="540CB382">
      <w:start w:val="1"/>
      <w:numFmt w:val="bullet"/>
      <w:lvlText w:val=""/>
      <w:lvlJc w:val="left"/>
      <w:pPr>
        <w:ind w:left="2160" w:hanging="360"/>
      </w:pPr>
      <w:rPr>
        <w:rFonts w:ascii="Wingdings" w:hAnsi="Wingdings" w:hint="default"/>
      </w:rPr>
    </w:lvl>
    <w:lvl w:ilvl="3" w:tplc="18F6D324">
      <w:start w:val="1"/>
      <w:numFmt w:val="bullet"/>
      <w:lvlText w:val=""/>
      <w:lvlJc w:val="left"/>
      <w:pPr>
        <w:ind w:left="2880" w:hanging="360"/>
      </w:pPr>
      <w:rPr>
        <w:rFonts w:ascii="Symbol" w:hAnsi="Symbol" w:hint="default"/>
      </w:rPr>
    </w:lvl>
    <w:lvl w:ilvl="4" w:tplc="8D4AF8BA">
      <w:start w:val="1"/>
      <w:numFmt w:val="bullet"/>
      <w:lvlText w:val="o"/>
      <w:lvlJc w:val="left"/>
      <w:pPr>
        <w:ind w:left="3600" w:hanging="360"/>
      </w:pPr>
      <w:rPr>
        <w:rFonts w:ascii="Courier New" w:hAnsi="Courier New" w:cs="Times New Roman" w:hint="default"/>
      </w:rPr>
    </w:lvl>
    <w:lvl w:ilvl="5" w:tplc="9BF6974A">
      <w:start w:val="1"/>
      <w:numFmt w:val="bullet"/>
      <w:lvlText w:val=""/>
      <w:lvlJc w:val="left"/>
      <w:pPr>
        <w:ind w:left="4320" w:hanging="360"/>
      </w:pPr>
      <w:rPr>
        <w:rFonts w:ascii="Wingdings" w:hAnsi="Wingdings" w:hint="default"/>
      </w:rPr>
    </w:lvl>
    <w:lvl w:ilvl="6" w:tplc="953457D0">
      <w:start w:val="1"/>
      <w:numFmt w:val="bullet"/>
      <w:lvlText w:val=""/>
      <w:lvlJc w:val="left"/>
      <w:pPr>
        <w:ind w:left="5040" w:hanging="360"/>
      </w:pPr>
      <w:rPr>
        <w:rFonts w:ascii="Symbol" w:hAnsi="Symbol" w:hint="default"/>
      </w:rPr>
    </w:lvl>
    <w:lvl w:ilvl="7" w:tplc="2BA84904">
      <w:start w:val="1"/>
      <w:numFmt w:val="bullet"/>
      <w:lvlText w:val="o"/>
      <w:lvlJc w:val="left"/>
      <w:pPr>
        <w:ind w:left="5760" w:hanging="360"/>
      </w:pPr>
      <w:rPr>
        <w:rFonts w:ascii="Courier New" w:hAnsi="Courier New" w:cs="Times New Roman" w:hint="default"/>
      </w:rPr>
    </w:lvl>
    <w:lvl w:ilvl="8" w:tplc="7D52480A">
      <w:start w:val="1"/>
      <w:numFmt w:val="bullet"/>
      <w:lvlText w:val=""/>
      <w:lvlJc w:val="left"/>
      <w:pPr>
        <w:ind w:left="6480" w:hanging="360"/>
      </w:pPr>
      <w:rPr>
        <w:rFonts w:ascii="Wingdings" w:hAnsi="Wingdings" w:hint="default"/>
      </w:rPr>
    </w:lvl>
  </w:abstractNum>
  <w:abstractNum w:abstractNumId="12"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3" w15:restartNumberingAfterBreak="0">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2162AA"/>
    <w:multiLevelType w:val="hybridMultilevel"/>
    <w:tmpl w:val="D4BE07C6"/>
    <w:lvl w:ilvl="0" w:tplc="BE50AD9E">
      <w:start w:val="1"/>
      <w:numFmt w:val="bullet"/>
      <w:lvlText w:val=""/>
      <w:lvlJc w:val="left"/>
      <w:pPr>
        <w:ind w:left="720" w:hanging="360"/>
      </w:pPr>
      <w:rPr>
        <w:rFonts w:ascii="Symbol" w:hAnsi="Symbol" w:hint="default"/>
        <w:sz w:val="21"/>
        <w:szCs w:val="24"/>
      </w:rPr>
    </w:lvl>
    <w:lvl w:ilvl="1" w:tplc="96AE0BB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E667A"/>
    <w:multiLevelType w:val="hybridMultilevel"/>
    <w:tmpl w:val="087A758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sz w:val="21"/>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37DD"/>
    <w:multiLevelType w:val="hybridMultilevel"/>
    <w:tmpl w:val="5C64EC24"/>
    <w:lvl w:ilvl="0" w:tplc="9294DFBC">
      <w:numFmt w:val="bullet"/>
      <w:lvlText w:val="•"/>
      <w:lvlJc w:val="left"/>
      <w:pPr>
        <w:ind w:left="1080" w:hanging="720"/>
      </w:pPr>
      <w:rPr>
        <w:rFonts w:ascii="Verdana" w:eastAsia="Times New Roman" w:hAnsi="Verdana" w:cs="Times New Roman"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646B0E"/>
    <w:multiLevelType w:val="multilevel"/>
    <w:tmpl w:val="C51C4B2C"/>
    <w:lvl w:ilvl="0">
      <w:start w:val="1"/>
      <w:numFmt w:val="bullet"/>
      <w:pStyle w:val="ListBullet3"/>
      <w:lvlText w:val=""/>
      <w:lvlJc w:val="left"/>
      <w:pPr>
        <w:tabs>
          <w:tab w:val="num" w:pos="1723"/>
        </w:tabs>
        <w:ind w:left="172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346497"/>
    <w:multiLevelType w:val="hybridMultilevel"/>
    <w:tmpl w:val="9DF6880C"/>
    <w:lvl w:ilvl="0" w:tplc="24C6155C">
      <w:start w:val="1"/>
      <w:numFmt w:val="bullet"/>
      <w:lvlText w:val=""/>
      <w:lvlJc w:val="left"/>
      <w:pPr>
        <w:ind w:left="720"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D7EE5"/>
    <w:multiLevelType w:val="hybridMultilevel"/>
    <w:tmpl w:val="5DF04E64"/>
    <w:lvl w:ilvl="0" w:tplc="BE50AD9E">
      <w:start w:val="1"/>
      <w:numFmt w:val="bullet"/>
      <w:lvlText w:val=""/>
      <w:lvlJc w:val="left"/>
      <w:pPr>
        <w:ind w:left="7023" w:hanging="360"/>
      </w:pPr>
      <w:rPr>
        <w:rFonts w:ascii="Symbol" w:hAnsi="Symbol" w:hint="default"/>
        <w:b/>
        <w:strike w:val="0"/>
        <w:dstrike w:val="0"/>
        <w:color w:val="auto"/>
        <w:sz w:val="24"/>
        <w:u w:val="none"/>
        <w:effect w:val="none"/>
      </w:rPr>
    </w:lvl>
    <w:lvl w:ilvl="1" w:tplc="44FE2B32">
      <w:start w:val="3"/>
      <w:numFmt w:val="bullet"/>
      <w:lvlText w:val="-"/>
      <w:lvlJc w:val="left"/>
      <w:pPr>
        <w:ind w:left="3381" w:hanging="360"/>
      </w:pPr>
      <w:rPr>
        <w:rFonts w:ascii="Times New Roman" w:eastAsia="Calibri" w:hAnsi="Times New Roman" w:cs="Times New Roman" w:hint="default"/>
        <w:color w:val="auto"/>
      </w:rPr>
    </w:lvl>
    <w:lvl w:ilvl="2" w:tplc="08090005">
      <w:start w:val="1"/>
      <w:numFmt w:val="bullet"/>
      <w:lvlText w:val=""/>
      <w:lvlJc w:val="left"/>
      <w:pPr>
        <w:ind w:left="4101" w:hanging="360"/>
      </w:pPr>
      <w:rPr>
        <w:rFonts w:ascii="Wingdings" w:hAnsi="Wingdings" w:hint="default"/>
      </w:rPr>
    </w:lvl>
    <w:lvl w:ilvl="3" w:tplc="0809000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4" w15:restartNumberingAfterBreak="0">
    <w:nsid w:val="3E0216B9"/>
    <w:multiLevelType w:val="multilevel"/>
    <w:tmpl w:val="49C6B458"/>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60361F"/>
    <w:multiLevelType w:val="hybridMultilevel"/>
    <w:tmpl w:val="DF28AE3E"/>
    <w:lvl w:ilvl="0" w:tplc="239695B4">
      <w:start w:val="1"/>
      <w:numFmt w:val="bullet"/>
      <w:lvlText w:val=""/>
      <w:lvlJc w:val="left"/>
      <w:pPr>
        <w:ind w:left="720" w:hanging="360"/>
      </w:pPr>
      <w:rPr>
        <w:rFonts w:ascii="Symbol" w:hAnsi="Symbol" w:hint="default"/>
      </w:rPr>
    </w:lvl>
    <w:lvl w:ilvl="1" w:tplc="A6523FA2">
      <w:start w:val="1"/>
      <w:numFmt w:val="bullet"/>
      <w:lvlText w:val="o"/>
      <w:lvlJc w:val="left"/>
      <w:pPr>
        <w:ind w:left="1440" w:hanging="360"/>
      </w:pPr>
      <w:rPr>
        <w:rFonts w:ascii="Courier New" w:hAnsi="Courier New" w:cs="Times New Roman" w:hint="default"/>
      </w:rPr>
    </w:lvl>
    <w:lvl w:ilvl="2" w:tplc="AE2A2790">
      <w:start w:val="1"/>
      <w:numFmt w:val="bullet"/>
      <w:lvlText w:val=""/>
      <w:lvlJc w:val="left"/>
      <w:pPr>
        <w:ind w:left="2160" w:hanging="360"/>
      </w:pPr>
      <w:rPr>
        <w:rFonts w:ascii="Wingdings" w:hAnsi="Wingdings" w:hint="default"/>
      </w:rPr>
    </w:lvl>
    <w:lvl w:ilvl="3" w:tplc="27403B40">
      <w:start w:val="1"/>
      <w:numFmt w:val="bullet"/>
      <w:lvlText w:val=""/>
      <w:lvlJc w:val="left"/>
      <w:pPr>
        <w:ind w:left="2880" w:hanging="360"/>
      </w:pPr>
      <w:rPr>
        <w:rFonts w:ascii="Symbol" w:hAnsi="Symbol" w:hint="default"/>
      </w:rPr>
    </w:lvl>
    <w:lvl w:ilvl="4" w:tplc="4E4AC0A0">
      <w:start w:val="1"/>
      <w:numFmt w:val="bullet"/>
      <w:lvlText w:val="o"/>
      <w:lvlJc w:val="left"/>
      <w:pPr>
        <w:ind w:left="3600" w:hanging="360"/>
      </w:pPr>
      <w:rPr>
        <w:rFonts w:ascii="Courier New" w:hAnsi="Courier New" w:cs="Times New Roman" w:hint="default"/>
      </w:rPr>
    </w:lvl>
    <w:lvl w:ilvl="5" w:tplc="419A324E">
      <w:start w:val="1"/>
      <w:numFmt w:val="bullet"/>
      <w:lvlText w:val=""/>
      <w:lvlJc w:val="left"/>
      <w:pPr>
        <w:ind w:left="4320" w:hanging="360"/>
      </w:pPr>
      <w:rPr>
        <w:rFonts w:ascii="Wingdings" w:hAnsi="Wingdings" w:hint="default"/>
      </w:rPr>
    </w:lvl>
    <w:lvl w:ilvl="6" w:tplc="4656E830">
      <w:start w:val="1"/>
      <w:numFmt w:val="bullet"/>
      <w:lvlText w:val=""/>
      <w:lvlJc w:val="left"/>
      <w:pPr>
        <w:ind w:left="5040" w:hanging="360"/>
      </w:pPr>
      <w:rPr>
        <w:rFonts w:ascii="Symbol" w:hAnsi="Symbol" w:hint="default"/>
      </w:rPr>
    </w:lvl>
    <w:lvl w:ilvl="7" w:tplc="12B2BECA">
      <w:start w:val="1"/>
      <w:numFmt w:val="bullet"/>
      <w:lvlText w:val="o"/>
      <w:lvlJc w:val="left"/>
      <w:pPr>
        <w:ind w:left="5760" w:hanging="360"/>
      </w:pPr>
      <w:rPr>
        <w:rFonts w:ascii="Courier New" w:hAnsi="Courier New" w:cs="Times New Roman" w:hint="default"/>
      </w:rPr>
    </w:lvl>
    <w:lvl w:ilvl="8" w:tplc="02C8FA5A">
      <w:start w:val="1"/>
      <w:numFmt w:val="bullet"/>
      <w:lvlText w:val=""/>
      <w:lvlJc w:val="left"/>
      <w:pPr>
        <w:ind w:left="6480" w:hanging="360"/>
      </w:pPr>
      <w:rPr>
        <w:rFonts w:ascii="Wingdings" w:hAnsi="Wingdings" w:hint="default"/>
      </w:rPr>
    </w:lvl>
  </w:abstractNum>
  <w:abstractNum w:abstractNumId="26" w15:restartNumberingAfterBreak="0">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4731"/>
    <w:multiLevelType w:val="hybridMultilevel"/>
    <w:tmpl w:val="E1C86960"/>
    <w:lvl w:ilvl="0" w:tplc="038A179E">
      <w:start w:val="1"/>
      <w:numFmt w:val="bullet"/>
      <w:pStyle w:val="ListDash2"/>
      <w:lvlText w:val="–"/>
      <w:lvlJc w:val="left"/>
      <w:pPr>
        <w:tabs>
          <w:tab w:val="num" w:pos="1723"/>
        </w:tabs>
        <w:ind w:left="1723" w:hanging="283"/>
      </w:pPr>
      <w:rPr>
        <w:rFonts w:ascii="Times New Roman" w:hAnsi="Times New Roman"/>
      </w:rPr>
    </w:lvl>
    <w:lvl w:ilvl="1" w:tplc="7C264ED0">
      <w:numFmt w:val="decimal"/>
      <w:lvlText w:val=""/>
      <w:lvlJc w:val="left"/>
    </w:lvl>
    <w:lvl w:ilvl="2" w:tplc="00D2EBD8">
      <w:numFmt w:val="decimal"/>
      <w:lvlText w:val=""/>
      <w:lvlJc w:val="left"/>
    </w:lvl>
    <w:lvl w:ilvl="3" w:tplc="676E3FC4">
      <w:numFmt w:val="decimal"/>
      <w:lvlText w:val=""/>
      <w:lvlJc w:val="left"/>
    </w:lvl>
    <w:lvl w:ilvl="4" w:tplc="A87C3F26">
      <w:numFmt w:val="decimal"/>
      <w:lvlText w:val=""/>
      <w:lvlJc w:val="left"/>
    </w:lvl>
    <w:lvl w:ilvl="5" w:tplc="E5627EE0">
      <w:numFmt w:val="decimal"/>
      <w:lvlText w:val=""/>
      <w:lvlJc w:val="left"/>
    </w:lvl>
    <w:lvl w:ilvl="6" w:tplc="D9E606CA">
      <w:numFmt w:val="decimal"/>
      <w:lvlText w:val=""/>
      <w:lvlJc w:val="left"/>
    </w:lvl>
    <w:lvl w:ilvl="7" w:tplc="DF82021A">
      <w:numFmt w:val="decimal"/>
      <w:lvlText w:val=""/>
      <w:lvlJc w:val="left"/>
    </w:lvl>
    <w:lvl w:ilvl="8" w:tplc="DDA6C10A">
      <w:numFmt w:val="decimal"/>
      <w:lvlText w:val=""/>
      <w:lvlJc w:val="left"/>
    </w:lvl>
  </w:abstractNum>
  <w:abstractNum w:abstractNumId="28" w15:restartNumberingAfterBreak="0">
    <w:nsid w:val="491C066E"/>
    <w:multiLevelType w:val="hybridMultilevel"/>
    <w:tmpl w:val="D5A26558"/>
    <w:lvl w:ilvl="0" w:tplc="8D7666F0">
      <w:start w:val="1"/>
      <w:numFmt w:val="lowerLetter"/>
      <w:lvlText w:val="%1)"/>
      <w:lvlJc w:val="left"/>
      <w:pPr>
        <w:ind w:left="720" w:hanging="360"/>
      </w:pPr>
      <w:rPr>
        <w:rFonts w:ascii="Verdana" w:hAnsi="Verdana" w:hint="default"/>
        <w:b w:val="0"/>
        <w:i w:val="0"/>
        <w:sz w:val="20"/>
        <w:szCs w:val="22"/>
        <w:u w:val="none"/>
      </w:rPr>
    </w:lvl>
    <w:lvl w:ilvl="1" w:tplc="8D7666F0">
      <w:start w:val="1"/>
      <w:numFmt w:val="lowerLetter"/>
      <w:lvlText w:val="%2)"/>
      <w:lvlJc w:val="left"/>
      <w:pPr>
        <w:ind w:left="1440" w:hanging="360"/>
      </w:pPr>
      <w:rPr>
        <w:rFonts w:ascii="Verdana" w:hAnsi="Verdana" w:hint="default"/>
        <w:b w:val="0"/>
        <w:i w:val="0"/>
        <w:sz w:val="20"/>
        <w:szCs w:val="22"/>
        <w:u w:val="none"/>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1" w15:restartNumberingAfterBreak="0">
    <w:nsid w:val="500A42E9"/>
    <w:multiLevelType w:val="hybridMultilevel"/>
    <w:tmpl w:val="3BCC837E"/>
    <w:lvl w:ilvl="0" w:tplc="BE50AD9E">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041FE"/>
    <w:multiLevelType w:val="hybridMultilevel"/>
    <w:tmpl w:val="F96417D2"/>
    <w:lvl w:ilvl="0" w:tplc="69B23806">
      <w:start w:val="1"/>
      <w:numFmt w:val="bullet"/>
      <w:lvlText w:val=""/>
      <w:lvlJc w:val="left"/>
      <w:pPr>
        <w:ind w:left="720" w:hanging="360"/>
      </w:pPr>
      <w:rPr>
        <w:rFonts w:ascii="Symbol" w:hAnsi="Symbol" w:hint="default"/>
        <w:color w:val="auto"/>
      </w:rPr>
    </w:lvl>
    <w:lvl w:ilvl="1" w:tplc="8DA6C39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45DE7"/>
    <w:multiLevelType w:val="hybridMultilevel"/>
    <w:tmpl w:val="53C4DB58"/>
    <w:lvl w:ilvl="0" w:tplc="EE3C0108">
      <w:start w:val="1"/>
      <w:numFmt w:val="decimal"/>
      <w:pStyle w:val="ListNumber4"/>
      <w:lvlText w:val="(%1)"/>
      <w:lvlJc w:val="left"/>
      <w:pPr>
        <w:tabs>
          <w:tab w:val="num" w:pos="2149"/>
        </w:tabs>
        <w:ind w:left="2149" w:hanging="709"/>
      </w:pPr>
    </w:lvl>
    <w:lvl w:ilvl="1" w:tplc="D8749A26">
      <w:start w:val="1"/>
      <w:numFmt w:val="lowerLetter"/>
      <w:pStyle w:val="ListNumber4Level2"/>
      <w:lvlText w:val="(%2)"/>
      <w:lvlJc w:val="left"/>
      <w:pPr>
        <w:tabs>
          <w:tab w:val="num" w:pos="2857"/>
        </w:tabs>
        <w:ind w:left="2857" w:hanging="708"/>
      </w:pPr>
    </w:lvl>
    <w:lvl w:ilvl="2" w:tplc="21AE8B46">
      <w:start w:val="1"/>
      <w:numFmt w:val="bullet"/>
      <w:pStyle w:val="ListNumber4Level3"/>
      <w:lvlText w:val="–"/>
      <w:lvlJc w:val="left"/>
      <w:pPr>
        <w:tabs>
          <w:tab w:val="num" w:pos="3566"/>
        </w:tabs>
        <w:ind w:left="3566" w:hanging="709"/>
      </w:pPr>
      <w:rPr>
        <w:rFonts w:ascii="Times New Roman" w:hAnsi="Times New Roman" w:hint="default"/>
      </w:rPr>
    </w:lvl>
    <w:lvl w:ilvl="3" w:tplc="99840AC4">
      <w:start w:val="1"/>
      <w:numFmt w:val="bullet"/>
      <w:pStyle w:val="ListNumber4Level4"/>
      <w:lvlText w:val=""/>
      <w:lvlJc w:val="left"/>
      <w:pPr>
        <w:tabs>
          <w:tab w:val="num" w:pos="4275"/>
        </w:tabs>
        <w:ind w:left="4275" w:hanging="709"/>
      </w:pPr>
      <w:rPr>
        <w:rFonts w:ascii="Symbol" w:hAnsi="Symbol" w:hint="default"/>
      </w:rPr>
    </w:lvl>
    <w:lvl w:ilvl="4" w:tplc="654EBFD8">
      <w:start w:val="1"/>
      <w:numFmt w:val="lowerLetter"/>
      <w:lvlText w:val="(%5)"/>
      <w:lvlJc w:val="left"/>
      <w:pPr>
        <w:tabs>
          <w:tab w:val="num" w:pos="1800"/>
        </w:tabs>
        <w:ind w:left="1800" w:hanging="360"/>
      </w:pPr>
    </w:lvl>
    <w:lvl w:ilvl="5" w:tplc="6DF8574A">
      <w:start w:val="1"/>
      <w:numFmt w:val="lowerRoman"/>
      <w:lvlText w:val="(%6)"/>
      <w:lvlJc w:val="left"/>
      <w:pPr>
        <w:tabs>
          <w:tab w:val="num" w:pos="2160"/>
        </w:tabs>
        <w:ind w:left="2160" w:hanging="360"/>
      </w:pPr>
    </w:lvl>
    <w:lvl w:ilvl="6" w:tplc="4ABA14C0">
      <w:start w:val="1"/>
      <w:numFmt w:val="decimal"/>
      <w:lvlText w:val="%7."/>
      <w:lvlJc w:val="left"/>
      <w:pPr>
        <w:tabs>
          <w:tab w:val="num" w:pos="2520"/>
        </w:tabs>
        <w:ind w:left="2520" w:hanging="360"/>
      </w:pPr>
    </w:lvl>
    <w:lvl w:ilvl="7" w:tplc="47D2BEBC">
      <w:start w:val="1"/>
      <w:numFmt w:val="lowerLetter"/>
      <w:lvlText w:val="%8."/>
      <w:lvlJc w:val="left"/>
      <w:pPr>
        <w:tabs>
          <w:tab w:val="num" w:pos="2880"/>
        </w:tabs>
        <w:ind w:left="2880" w:hanging="360"/>
      </w:pPr>
    </w:lvl>
    <w:lvl w:ilvl="8" w:tplc="CB2E1996">
      <w:start w:val="1"/>
      <w:numFmt w:val="lowerRoman"/>
      <w:lvlText w:val="%9."/>
      <w:lvlJc w:val="left"/>
      <w:pPr>
        <w:tabs>
          <w:tab w:val="num" w:pos="3240"/>
        </w:tabs>
        <w:ind w:left="3240" w:hanging="360"/>
      </w:pPr>
    </w:lvl>
  </w:abstractNum>
  <w:abstractNum w:abstractNumId="34" w15:restartNumberingAfterBreak="0">
    <w:nsid w:val="52106FC3"/>
    <w:multiLevelType w:val="hybridMultilevel"/>
    <w:tmpl w:val="A5BA5E8C"/>
    <w:lvl w:ilvl="0" w:tplc="E72635F0">
      <w:start w:val="1"/>
      <w:numFmt w:val="bullet"/>
      <w:pStyle w:val="ListBullet1"/>
      <w:lvlText w:val=""/>
      <w:lvlJc w:val="left"/>
      <w:pPr>
        <w:tabs>
          <w:tab w:val="num" w:pos="1723"/>
        </w:tabs>
        <w:ind w:left="1723" w:hanging="283"/>
      </w:pPr>
      <w:rPr>
        <w:rFonts w:ascii="Symbol" w:hAnsi="Symbol"/>
      </w:rPr>
    </w:lvl>
    <w:lvl w:ilvl="1" w:tplc="A2A40ACA">
      <w:numFmt w:val="decimal"/>
      <w:lvlText w:val=""/>
      <w:lvlJc w:val="left"/>
    </w:lvl>
    <w:lvl w:ilvl="2" w:tplc="626E7278">
      <w:numFmt w:val="decimal"/>
      <w:lvlText w:val=""/>
      <w:lvlJc w:val="left"/>
    </w:lvl>
    <w:lvl w:ilvl="3" w:tplc="EF52CEAC">
      <w:numFmt w:val="decimal"/>
      <w:lvlText w:val=""/>
      <w:lvlJc w:val="left"/>
    </w:lvl>
    <w:lvl w:ilvl="4" w:tplc="5AB65512">
      <w:numFmt w:val="decimal"/>
      <w:lvlText w:val=""/>
      <w:lvlJc w:val="left"/>
    </w:lvl>
    <w:lvl w:ilvl="5" w:tplc="EFB80F84">
      <w:numFmt w:val="decimal"/>
      <w:lvlText w:val=""/>
      <w:lvlJc w:val="left"/>
    </w:lvl>
    <w:lvl w:ilvl="6" w:tplc="AB7EABD2">
      <w:numFmt w:val="decimal"/>
      <w:lvlText w:val=""/>
      <w:lvlJc w:val="left"/>
    </w:lvl>
    <w:lvl w:ilvl="7" w:tplc="434E9688">
      <w:numFmt w:val="decimal"/>
      <w:lvlText w:val=""/>
      <w:lvlJc w:val="left"/>
    </w:lvl>
    <w:lvl w:ilvl="8" w:tplc="5B6A80F4">
      <w:numFmt w:val="decimal"/>
      <w:lvlText w:val=""/>
      <w:lvlJc w:val="left"/>
    </w:lvl>
  </w:abstractNum>
  <w:abstractNum w:abstractNumId="35" w15:restartNumberingAfterBreak="0">
    <w:nsid w:val="526B09AB"/>
    <w:multiLevelType w:val="hybridMultilevel"/>
    <w:tmpl w:val="463012AC"/>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6" w15:restartNumberingAfterBreak="0">
    <w:nsid w:val="532C7B77"/>
    <w:multiLevelType w:val="hybridMultilevel"/>
    <w:tmpl w:val="632852C2"/>
    <w:lvl w:ilvl="0" w:tplc="BE50AD9E">
      <w:start w:val="1"/>
      <w:numFmt w:val="bullet"/>
      <w:lvlText w:val=""/>
      <w:lvlJc w:val="left"/>
      <w:pPr>
        <w:ind w:left="786"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5CE46C29"/>
    <w:multiLevelType w:val="hybridMultilevel"/>
    <w:tmpl w:val="1A929C5E"/>
    <w:lvl w:ilvl="0" w:tplc="C86EA79A">
      <w:start w:val="1"/>
      <w:numFmt w:val="bullet"/>
      <w:pStyle w:val="ListBullet2"/>
      <w:lvlText w:val=""/>
      <w:lvlJc w:val="left"/>
      <w:pPr>
        <w:tabs>
          <w:tab w:val="num" w:pos="1723"/>
        </w:tabs>
        <w:ind w:left="1723" w:hanging="283"/>
      </w:pPr>
      <w:rPr>
        <w:rFonts w:ascii="Symbol" w:hAnsi="Symbol"/>
      </w:rPr>
    </w:lvl>
    <w:lvl w:ilvl="1" w:tplc="3F225D00">
      <w:numFmt w:val="decimal"/>
      <w:lvlText w:val=""/>
      <w:lvlJc w:val="left"/>
    </w:lvl>
    <w:lvl w:ilvl="2" w:tplc="6080728C">
      <w:numFmt w:val="decimal"/>
      <w:lvlText w:val=""/>
      <w:lvlJc w:val="left"/>
    </w:lvl>
    <w:lvl w:ilvl="3" w:tplc="C8A63B92">
      <w:numFmt w:val="decimal"/>
      <w:lvlText w:val=""/>
      <w:lvlJc w:val="left"/>
    </w:lvl>
    <w:lvl w:ilvl="4" w:tplc="CD3870E0">
      <w:numFmt w:val="decimal"/>
      <w:lvlText w:val=""/>
      <w:lvlJc w:val="left"/>
    </w:lvl>
    <w:lvl w:ilvl="5" w:tplc="BCF45F38">
      <w:numFmt w:val="decimal"/>
      <w:lvlText w:val=""/>
      <w:lvlJc w:val="left"/>
    </w:lvl>
    <w:lvl w:ilvl="6" w:tplc="5FE2F52E">
      <w:numFmt w:val="decimal"/>
      <w:lvlText w:val=""/>
      <w:lvlJc w:val="left"/>
    </w:lvl>
    <w:lvl w:ilvl="7" w:tplc="993402E2">
      <w:numFmt w:val="decimal"/>
      <w:lvlText w:val=""/>
      <w:lvlJc w:val="left"/>
    </w:lvl>
    <w:lvl w:ilvl="8" w:tplc="030A0664">
      <w:numFmt w:val="decimal"/>
      <w:lvlText w:val=""/>
      <w:lvlJc w:val="left"/>
    </w:lvl>
  </w:abstractNum>
  <w:abstractNum w:abstractNumId="38" w15:restartNumberingAfterBreak="0">
    <w:nsid w:val="628C6C8B"/>
    <w:multiLevelType w:val="hybridMultilevel"/>
    <w:tmpl w:val="D9A29BEA"/>
    <w:lvl w:ilvl="0" w:tplc="0A1E9640">
      <w:start w:val="1"/>
      <w:numFmt w:val="bullet"/>
      <w:pStyle w:val="ListDash"/>
      <w:lvlText w:val="–"/>
      <w:lvlJc w:val="left"/>
      <w:pPr>
        <w:tabs>
          <w:tab w:val="num" w:pos="283"/>
        </w:tabs>
        <w:ind w:left="283" w:hanging="283"/>
      </w:pPr>
      <w:rPr>
        <w:rFonts w:ascii="Times New Roman" w:hAnsi="Times New Roman"/>
      </w:rPr>
    </w:lvl>
    <w:lvl w:ilvl="1" w:tplc="C202729E">
      <w:numFmt w:val="decimal"/>
      <w:lvlText w:val=""/>
      <w:lvlJc w:val="left"/>
    </w:lvl>
    <w:lvl w:ilvl="2" w:tplc="BA8642BA">
      <w:numFmt w:val="decimal"/>
      <w:lvlText w:val=""/>
      <w:lvlJc w:val="left"/>
    </w:lvl>
    <w:lvl w:ilvl="3" w:tplc="43D48606">
      <w:numFmt w:val="decimal"/>
      <w:lvlText w:val=""/>
      <w:lvlJc w:val="left"/>
    </w:lvl>
    <w:lvl w:ilvl="4" w:tplc="1CC893D6">
      <w:numFmt w:val="decimal"/>
      <w:lvlText w:val=""/>
      <w:lvlJc w:val="left"/>
    </w:lvl>
    <w:lvl w:ilvl="5" w:tplc="F7341166">
      <w:numFmt w:val="decimal"/>
      <w:lvlText w:val=""/>
      <w:lvlJc w:val="left"/>
    </w:lvl>
    <w:lvl w:ilvl="6" w:tplc="CAAE128C">
      <w:numFmt w:val="decimal"/>
      <w:lvlText w:val=""/>
      <w:lvlJc w:val="left"/>
    </w:lvl>
    <w:lvl w:ilvl="7" w:tplc="D408AFE0">
      <w:numFmt w:val="decimal"/>
      <w:lvlText w:val=""/>
      <w:lvlJc w:val="left"/>
    </w:lvl>
    <w:lvl w:ilvl="8" w:tplc="D842D462">
      <w:numFmt w:val="decimal"/>
      <w:lvlText w:val=""/>
      <w:lvlJc w:val="left"/>
    </w:lvl>
  </w:abstractNum>
  <w:abstractNum w:abstractNumId="39" w15:restartNumberingAfterBreak="0">
    <w:nsid w:val="630D466A"/>
    <w:multiLevelType w:val="hybridMultilevel"/>
    <w:tmpl w:val="938CC7DE"/>
    <w:lvl w:ilvl="0" w:tplc="0AD28318">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66CD13BD"/>
    <w:multiLevelType w:val="hybridMultilevel"/>
    <w:tmpl w:val="79B82E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1" w15:restartNumberingAfterBreak="0">
    <w:nsid w:val="699543D1"/>
    <w:multiLevelType w:val="hybridMultilevel"/>
    <w:tmpl w:val="D5A60282"/>
    <w:lvl w:ilvl="0" w:tplc="B55E7CD0">
      <w:start w:val="1"/>
      <w:numFmt w:val="bullet"/>
      <w:pStyle w:val="ListDash1"/>
      <w:lvlText w:val="–"/>
      <w:lvlJc w:val="left"/>
      <w:pPr>
        <w:tabs>
          <w:tab w:val="num" w:pos="1723"/>
        </w:tabs>
        <w:ind w:left="1723" w:hanging="283"/>
      </w:pPr>
      <w:rPr>
        <w:rFonts w:ascii="Times New Roman" w:hAnsi="Times New Roman"/>
      </w:rPr>
    </w:lvl>
    <w:lvl w:ilvl="1" w:tplc="9976E3C8">
      <w:numFmt w:val="decimal"/>
      <w:lvlText w:val=""/>
      <w:lvlJc w:val="left"/>
    </w:lvl>
    <w:lvl w:ilvl="2" w:tplc="ECECE028">
      <w:numFmt w:val="decimal"/>
      <w:lvlText w:val=""/>
      <w:lvlJc w:val="left"/>
    </w:lvl>
    <w:lvl w:ilvl="3" w:tplc="13343134">
      <w:numFmt w:val="decimal"/>
      <w:lvlText w:val=""/>
      <w:lvlJc w:val="left"/>
    </w:lvl>
    <w:lvl w:ilvl="4" w:tplc="239C91A4">
      <w:numFmt w:val="decimal"/>
      <w:lvlText w:val=""/>
      <w:lvlJc w:val="left"/>
    </w:lvl>
    <w:lvl w:ilvl="5" w:tplc="C59210FE">
      <w:numFmt w:val="decimal"/>
      <w:lvlText w:val=""/>
      <w:lvlJc w:val="left"/>
    </w:lvl>
    <w:lvl w:ilvl="6" w:tplc="65447814">
      <w:numFmt w:val="decimal"/>
      <w:lvlText w:val=""/>
      <w:lvlJc w:val="left"/>
    </w:lvl>
    <w:lvl w:ilvl="7" w:tplc="17E4CECE">
      <w:numFmt w:val="decimal"/>
      <w:lvlText w:val=""/>
      <w:lvlJc w:val="left"/>
    </w:lvl>
    <w:lvl w:ilvl="8" w:tplc="4E324D6A">
      <w:numFmt w:val="decimal"/>
      <w:lvlText w:val=""/>
      <w:lvlJc w:val="left"/>
    </w:lvl>
  </w:abstractNum>
  <w:abstractNum w:abstractNumId="42" w15:restartNumberingAfterBreak="0">
    <w:nsid w:val="69CC7ACA"/>
    <w:multiLevelType w:val="hybridMultilevel"/>
    <w:tmpl w:val="C5749B60"/>
    <w:lvl w:ilvl="0" w:tplc="BE50AD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7E3CD3"/>
    <w:multiLevelType w:val="hybridMultilevel"/>
    <w:tmpl w:val="598221D0"/>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5A5E87"/>
    <w:multiLevelType w:val="hybridMultilevel"/>
    <w:tmpl w:val="3A58C910"/>
    <w:lvl w:ilvl="0" w:tplc="3CDE6F60">
      <w:start w:val="1"/>
      <w:numFmt w:val="decimal"/>
      <w:pStyle w:val="ListNumber3"/>
      <w:lvlText w:val="(%1)"/>
      <w:lvlJc w:val="left"/>
      <w:pPr>
        <w:tabs>
          <w:tab w:val="num" w:pos="2149"/>
        </w:tabs>
        <w:ind w:left="2149" w:hanging="709"/>
      </w:pPr>
    </w:lvl>
    <w:lvl w:ilvl="1" w:tplc="4724B3C4">
      <w:start w:val="1"/>
      <w:numFmt w:val="lowerLetter"/>
      <w:pStyle w:val="ListNumber3Level2"/>
      <w:lvlText w:val="(%2)"/>
      <w:lvlJc w:val="left"/>
      <w:pPr>
        <w:tabs>
          <w:tab w:val="num" w:pos="2857"/>
        </w:tabs>
        <w:ind w:left="2857" w:hanging="708"/>
      </w:pPr>
    </w:lvl>
    <w:lvl w:ilvl="2" w:tplc="E75672D8">
      <w:start w:val="1"/>
      <w:numFmt w:val="bullet"/>
      <w:pStyle w:val="ListNumber3Level3"/>
      <w:lvlText w:val="–"/>
      <w:lvlJc w:val="left"/>
      <w:pPr>
        <w:tabs>
          <w:tab w:val="num" w:pos="3566"/>
        </w:tabs>
        <w:ind w:left="3566" w:hanging="709"/>
      </w:pPr>
      <w:rPr>
        <w:rFonts w:ascii="Times New Roman" w:hAnsi="Times New Roman" w:hint="default"/>
      </w:rPr>
    </w:lvl>
    <w:lvl w:ilvl="3" w:tplc="582C2598">
      <w:start w:val="1"/>
      <w:numFmt w:val="bullet"/>
      <w:pStyle w:val="ListNumber3Level4"/>
      <w:lvlText w:val=""/>
      <w:lvlJc w:val="left"/>
      <w:pPr>
        <w:tabs>
          <w:tab w:val="num" w:pos="4275"/>
        </w:tabs>
        <w:ind w:left="4275" w:hanging="709"/>
      </w:pPr>
      <w:rPr>
        <w:rFonts w:ascii="Symbol" w:hAnsi="Symbol" w:hint="default"/>
      </w:rPr>
    </w:lvl>
    <w:lvl w:ilvl="4" w:tplc="BCE06DD8">
      <w:start w:val="1"/>
      <w:numFmt w:val="lowerLetter"/>
      <w:lvlText w:val="(%5)"/>
      <w:lvlJc w:val="left"/>
      <w:pPr>
        <w:tabs>
          <w:tab w:val="num" w:pos="1800"/>
        </w:tabs>
        <w:ind w:left="1800" w:hanging="360"/>
      </w:pPr>
    </w:lvl>
    <w:lvl w:ilvl="5" w:tplc="4FDE5DF6">
      <w:start w:val="1"/>
      <w:numFmt w:val="lowerRoman"/>
      <w:lvlText w:val="(%6)"/>
      <w:lvlJc w:val="left"/>
      <w:pPr>
        <w:tabs>
          <w:tab w:val="num" w:pos="2160"/>
        </w:tabs>
        <w:ind w:left="2160" w:hanging="360"/>
      </w:pPr>
    </w:lvl>
    <w:lvl w:ilvl="6" w:tplc="22301246">
      <w:start w:val="1"/>
      <w:numFmt w:val="decimal"/>
      <w:lvlText w:val="%7."/>
      <w:lvlJc w:val="left"/>
      <w:pPr>
        <w:tabs>
          <w:tab w:val="num" w:pos="2520"/>
        </w:tabs>
        <w:ind w:left="2520" w:hanging="360"/>
      </w:pPr>
    </w:lvl>
    <w:lvl w:ilvl="7" w:tplc="51D24918">
      <w:start w:val="1"/>
      <w:numFmt w:val="lowerLetter"/>
      <w:lvlText w:val="%8."/>
      <w:lvlJc w:val="left"/>
      <w:pPr>
        <w:tabs>
          <w:tab w:val="num" w:pos="2880"/>
        </w:tabs>
        <w:ind w:left="2880" w:hanging="360"/>
      </w:pPr>
    </w:lvl>
    <w:lvl w:ilvl="8" w:tplc="ADF2AA4C">
      <w:start w:val="1"/>
      <w:numFmt w:val="lowerRoman"/>
      <w:lvlText w:val="%9."/>
      <w:lvlJc w:val="left"/>
      <w:pPr>
        <w:tabs>
          <w:tab w:val="num" w:pos="3240"/>
        </w:tabs>
        <w:ind w:left="3240" w:hanging="360"/>
      </w:pPr>
    </w:lvl>
  </w:abstractNum>
  <w:abstractNum w:abstractNumId="45"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2A0FA3"/>
    <w:multiLevelType w:val="hybridMultilevel"/>
    <w:tmpl w:val="1D8E4896"/>
    <w:lvl w:ilvl="0" w:tplc="8DBE542A">
      <w:start w:val="1"/>
      <w:numFmt w:val="bullet"/>
      <w:lvlText w:val="o"/>
      <w:lvlJc w:val="left"/>
      <w:rPr>
        <w:rFonts w:ascii="Courier New" w:hAnsi="Courier New" w:cs="Courier New" w:hint="default"/>
        <w:b w:val="0"/>
        <w:bCs w:val="0"/>
        <w:i w:val="0"/>
        <w:iCs w:val="0"/>
        <w:smallCaps w:val="0"/>
        <w:strike w:val="0"/>
        <w:color w:val="595959"/>
        <w:spacing w:val="0"/>
        <w:w w:val="100"/>
        <w:position w:val="0"/>
        <w:sz w:val="22"/>
        <w:szCs w:val="22"/>
        <w:u w:val="none"/>
        <w:lang w:val="en-US" w:eastAsia="en-US" w:bidi="en-US"/>
      </w:rPr>
    </w:lvl>
    <w:lvl w:ilvl="1" w:tplc="60227D96">
      <w:numFmt w:val="decimal"/>
      <w:lvlText w:val=""/>
      <w:lvlJc w:val="left"/>
    </w:lvl>
    <w:lvl w:ilvl="2" w:tplc="828C9C76">
      <w:numFmt w:val="decimal"/>
      <w:lvlText w:val=""/>
      <w:lvlJc w:val="left"/>
    </w:lvl>
    <w:lvl w:ilvl="3" w:tplc="E598A570">
      <w:numFmt w:val="decimal"/>
      <w:lvlText w:val=""/>
      <w:lvlJc w:val="left"/>
    </w:lvl>
    <w:lvl w:ilvl="4" w:tplc="5596BD84">
      <w:numFmt w:val="decimal"/>
      <w:lvlText w:val=""/>
      <w:lvlJc w:val="left"/>
    </w:lvl>
    <w:lvl w:ilvl="5" w:tplc="EC8AF6D8">
      <w:numFmt w:val="decimal"/>
      <w:lvlText w:val=""/>
      <w:lvlJc w:val="left"/>
    </w:lvl>
    <w:lvl w:ilvl="6" w:tplc="5EE62D2C">
      <w:numFmt w:val="decimal"/>
      <w:lvlText w:val=""/>
      <w:lvlJc w:val="left"/>
    </w:lvl>
    <w:lvl w:ilvl="7" w:tplc="497C6DA8">
      <w:numFmt w:val="decimal"/>
      <w:lvlText w:val=""/>
      <w:lvlJc w:val="left"/>
    </w:lvl>
    <w:lvl w:ilvl="8" w:tplc="4A200BEE">
      <w:numFmt w:val="decimal"/>
      <w:lvlText w:val=""/>
      <w:lvlJc w:val="left"/>
    </w:lvl>
  </w:abstractNum>
  <w:abstractNum w:abstractNumId="47"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57E2C4B"/>
    <w:multiLevelType w:val="hybridMultilevel"/>
    <w:tmpl w:val="0E9023D8"/>
    <w:lvl w:ilvl="0" w:tplc="24C6155C">
      <w:start w:val="1"/>
      <w:numFmt w:val="bullet"/>
      <w:lvlText w:val=""/>
      <w:lvlJc w:val="left"/>
      <w:pPr>
        <w:ind w:left="720" w:hanging="360"/>
      </w:pPr>
      <w:rPr>
        <w:rFonts w:ascii="Symbol" w:hAnsi="Symbol" w:hint="default"/>
      </w:rPr>
    </w:lvl>
    <w:lvl w:ilvl="1" w:tplc="24C6155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3A5E4B"/>
    <w:multiLevelType w:val="hybridMultilevel"/>
    <w:tmpl w:val="9BF8F262"/>
    <w:lvl w:ilvl="0" w:tplc="08B6A2BE">
      <w:start w:val="1"/>
      <w:numFmt w:val="decimal"/>
      <w:pStyle w:val="ListNumber2"/>
      <w:lvlText w:val="(%1)"/>
      <w:lvlJc w:val="left"/>
      <w:pPr>
        <w:tabs>
          <w:tab w:val="num" w:pos="2149"/>
        </w:tabs>
        <w:ind w:left="2149" w:hanging="709"/>
      </w:pPr>
    </w:lvl>
    <w:lvl w:ilvl="1" w:tplc="02E20676">
      <w:start w:val="1"/>
      <w:numFmt w:val="lowerLetter"/>
      <w:pStyle w:val="ListNumber2Level2"/>
      <w:lvlText w:val="(%2)"/>
      <w:lvlJc w:val="left"/>
      <w:pPr>
        <w:tabs>
          <w:tab w:val="num" w:pos="2857"/>
        </w:tabs>
        <w:ind w:left="2857" w:hanging="708"/>
      </w:pPr>
    </w:lvl>
    <w:lvl w:ilvl="2" w:tplc="2CB0D676">
      <w:start w:val="1"/>
      <w:numFmt w:val="bullet"/>
      <w:pStyle w:val="ListNumber2Level3"/>
      <w:lvlText w:val="–"/>
      <w:lvlJc w:val="left"/>
      <w:pPr>
        <w:tabs>
          <w:tab w:val="num" w:pos="3566"/>
        </w:tabs>
        <w:ind w:left="3566" w:hanging="709"/>
      </w:pPr>
      <w:rPr>
        <w:rFonts w:ascii="Times New Roman" w:hAnsi="Times New Roman" w:hint="default"/>
      </w:rPr>
    </w:lvl>
    <w:lvl w:ilvl="3" w:tplc="1758E3A2">
      <w:start w:val="1"/>
      <w:numFmt w:val="bullet"/>
      <w:pStyle w:val="ListNumber2Level4"/>
      <w:lvlText w:val=""/>
      <w:lvlJc w:val="left"/>
      <w:pPr>
        <w:tabs>
          <w:tab w:val="num" w:pos="4275"/>
        </w:tabs>
        <w:ind w:left="4275" w:hanging="709"/>
      </w:pPr>
      <w:rPr>
        <w:rFonts w:ascii="Symbol" w:hAnsi="Symbol" w:hint="default"/>
      </w:rPr>
    </w:lvl>
    <w:lvl w:ilvl="4" w:tplc="3E86EE16">
      <w:start w:val="1"/>
      <w:numFmt w:val="lowerLetter"/>
      <w:lvlText w:val="(%5)"/>
      <w:lvlJc w:val="left"/>
      <w:pPr>
        <w:tabs>
          <w:tab w:val="num" w:pos="1800"/>
        </w:tabs>
        <w:ind w:left="1800" w:hanging="360"/>
      </w:pPr>
    </w:lvl>
    <w:lvl w:ilvl="5" w:tplc="54666906">
      <w:start w:val="1"/>
      <w:numFmt w:val="lowerRoman"/>
      <w:lvlText w:val="(%6)"/>
      <w:lvlJc w:val="left"/>
      <w:pPr>
        <w:tabs>
          <w:tab w:val="num" w:pos="2160"/>
        </w:tabs>
        <w:ind w:left="2160" w:hanging="360"/>
      </w:pPr>
    </w:lvl>
    <w:lvl w:ilvl="6" w:tplc="A5F098B0">
      <w:start w:val="1"/>
      <w:numFmt w:val="decimal"/>
      <w:lvlText w:val="%7."/>
      <w:lvlJc w:val="left"/>
      <w:pPr>
        <w:tabs>
          <w:tab w:val="num" w:pos="2520"/>
        </w:tabs>
        <w:ind w:left="2520" w:hanging="360"/>
      </w:pPr>
    </w:lvl>
    <w:lvl w:ilvl="7" w:tplc="2EC2265A">
      <w:start w:val="1"/>
      <w:numFmt w:val="lowerLetter"/>
      <w:lvlText w:val="%8."/>
      <w:lvlJc w:val="left"/>
      <w:pPr>
        <w:tabs>
          <w:tab w:val="num" w:pos="2880"/>
        </w:tabs>
        <w:ind w:left="2880" w:hanging="360"/>
      </w:pPr>
    </w:lvl>
    <w:lvl w:ilvl="8" w:tplc="BBF2C824">
      <w:start w:val="1"/>
      <w:numFmt w:val="lowerRoman"/>
      <w:lvlText w:val="%9."/>
      <w:lvlJc w:val="left"/>
      <w:pPr>
        <w:tabs>
          <w:tab w:val="num" w:pos="3240"/>
        </w:tabs>
        <w:ind w:left="3240" w:hanging="360"/>
      </w:pPr>
    </w:lvl>
  </w:abstractNum>
  <w:abstractNum w:abstractNumId="50" w15:restartNumberingAfterBreak="0">
    <w:nsid w:val="792B473D"/>
    <w:multiLevelType w:val="hybridMultilevel"/>
    <w:tmpl w:val="15E08760"/>
    <w:lvl w:ilvl="0" w:tplc="FFFFFFFF">
      <w:start w:val="1"/>
      <w:numFmt w:val="bullet"/>
      <w:lvlText w:val=""/>
      <w:lvlJc w:val="left"/>
      <w:pPr>
        <w:ind w:left="927" w:hanging="360"/>
      </w:pPr>
      <w:rPr>
        <w:rFonts w:ascii="Symbol" w:hAnsi="Symbol" w:hint="default"/>
      </w:rPr>
    </w:lvl>
    <w:lvl w:ilvl="1" w:tplc="BE50AD9E">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1" w15:restartNumberingAfterBreak="0">
    <w:nsid w:val="7A8B752A"/>
    <w:multiLevelType w:val="hybridMultilevel"/>
    <w:tmpl w:val="5E1E11F0"/>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2" w15:restartNumberingAfterBreak="0">
    <w:nsid w:val="7B6658A8"/>
    <w:multiLevelType w:val="hybridMultilevel"/>
    <w:tmpl w:val="B910093C"/>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abstractNumId w:val="1"/>
  </w:num>
  <w:num w:numId="2">
    <w:abstractNumId w:val="0"/>
  </w:num>
  <w:num w:numId="3">
    <w:abstractNumId w:val="24"/>
  </w:num>
  <w:num w:numId="4">
    <w:abstractNumId w:val="13"/>
  </w:num>
  <w:num w:numId="5">
    <w:abstractNumId w:val="34"/>
  </w:num>
  <w:num w:numId="6">
    <w:abstractNumId w:val="37"/>
  </w:num>
  <w:num w:numId="7">
    <w:abstractNumId w:val="20"/>
  </w:num>
  <w:num w:numId="8">
    <w:abstractNumId w:val="12"/>
  </w:num>
  <w:num w:numId="9">
    <w:abstractNumId w:val="38"/>
  </w:num>
  <w:num w:numId="10">
    <w:abstractNumId w:val="41"/>
  </w:num>
  <w:num w:numId="11">
    <w:abstractNumId w:val="27"/>
  </w:num>
  <w:num w:numId="12">
    <w:abstractNumId w:val="5"/>
  </w:num>
  <w:num w:numId="13">
    <w:abstractNumId w:val="7"/>
  </w:num>
  <w:num w:numId="14">
    <w:abstractNumId w:val="19"/>
  </w:num>
  <w:num w:numId="15">
    <w:abstractNumId w:val="14"/>
  </w:num>
  <w:num w:numId="16">
    <w:abstractNumId w:val="49"/>
  </w:num>
  <w:num w:numId="17">
    <w:abstractNumId w:val="44"/>
  </w:num>
  <w:num w:numId="18">
    <w:abstractNumId w:val="33"/>
  </w:num>
  <w:num w:numId="19">
    <w:abstractNumId w:val="45"/>
  </w:num>
  <w:num w:numId="20">
    <w:abstractNumId w:val="29"/>
  </w:num>
  <w:num w:numId="21">
    <w:abstractNumId w:val="15"/>
  </w:num>
  <w:num w:numId="22">
    <w:abstractNumId w:val="50"/>
  </w:num>
  <w:num w:numId="23">
    <w:abstractNumId w:val="26"/>
  </w:num>
  <w:num w:numId="24">
    <w:abstractNumId w:val="16"/>
  </w:num>
  <w:num w:numId="25">
    <w:abstractNumId w:val="10"/>
  </w:num>
  <w:num w:numId="26">
    <w:abstractNumId w:val="22"/>
  </w:num>
  <w:num w:numId="27">
    <w:abstractNumId w:val="46"/>
  </w:num>
  <w:num w:numId="28">
    <w:abstractNumId w:val="47"/>
  </w:num>
  <w:num w:numId="29">
    <w:abstractNumId w:val="31"/>
  </w:num>
  <w:num w:numId="30">
    <w:abstractNumId w:val="43"/>
  </w:num>
  <w:num w:numId="31">
    <w:abstractNumId w:val="30"/>
  </w:num>
  <w:num w:numId="32">
    <w:abstractNumId w:val="4"/>
  </w:num>
  <w:num w:numId="33">
    <w:abstractNumId w:val="23"/>
  </w:num>
  <w:num w:numId="34">
    <w:abstractNumId w:val="35"/>
  </w:num>
  <w:num w:numId="35">
    <w:abstractNumId w:val="21"/>
  </w:num>
  <w:num w:numId="36">
    <w:abstractNumId w:val="51"/>
  </w:num>
  <w:num w:numId="37">
    <w:abstractNumId w:val="52"/>
  </w:num>
  <w:num w:numId="38">
    <w:abstractNumId w:val="36"/>
  </w:num>
  <w:num w:numId="39">
    <w:abstractNumId w:val="8"/>
  </w:num>
  <w:num w:numId="40">
    <w:abstractNumId w:val="32"/>
  </w:num>
  <w:num w:numId="41">
    <w:abstractNumId w:val="18"/>
  </w:num>
  <w:num w:numId="42">
    <w:abstractNumId w:val="17"/>
  </w:num>
  <w:num w:numId="43">
    <w:abstractNumId w:val="9"/>
  </w:num>
  <w:num w:numId="44">
    <w:abstractNumId w:val="42"/>
  </w:num>
  <w:num w:numId="45">
    <w:abstractNumId w:val="48"/>
  </w:num>
  <w:num w:numId="46">
    <w:abstractNumId w:val="3"/>
  </w:num>
  <w:num w:numId="47">
    <w:abstractNumId w:val="25"/>
  </w:num>
  <w:num w:numId="48">
    <w:abstractNumId w:val="40"/>
  </w:num>
  <w:num w:numId="49">
    <w:abstractNumId w:val="11"/>
  </w:num>
  <w:num w:numId="50">
    <w:abstractNumId w:val="6"/>
  </w:num>
  <w:num w:numId="51">
    <w:abstractNumId w:val="17"/>
  </w:num>
  <w:num w:numId="52">
    <w:abstractNumId w:val="51"/>
  </w:num>
  <w:num w:numId="53">
    <w:abstractNumId w:val="52"/>
  </w:num>
  <w:num w:numId="54">
    <w:abstractNumId w:val="39"/>
  </w:num>
  <w:num w:numId="55">
    <w:abstractNumId w:val="2"/>
  </w:num>
  <w:num w:numId="56">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ctiveWritingStyle w:appName="MSWord" w:lang="fr-FR" w:vendorID="64" w:dllVersion="131078" w:nlCheck="1" w:checkStyle="0"/>
  <w:activeWritingStyle w:appName="MSWord" w:lang="en-US" w:vendorID="64" w:dllVersion="131078" w:nlCheck="1" w:checkStyle="1"/>
  <w:activeWritingStyle w:appName="MSWord" w:lang="en-IE" w:vendorID="64" w:dllVersion="131078" w:nlCheck="1" w:checkStyle="1"/>
  <w:attachedTemplate r:id="rId1"/>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SPE"/>
  </w:docVars>
  <w:rsids>
    <w:rsidRoot w:val="002D3B73"/>
    <w:rsid w:val="0000051B"/>
    <w:rsid w:val="00000525"/>
    <w:rsid w:val="00000A48"/>
    <w:rsid w:val="00000A5A"/>
    <w:rsid w:val="0000139E"/>
    <w:rsid w:val="00001DD9"/>
    <w:rsid w:val="00001F8C"/>
    <w:rsid w:val="00003286"/>
    <w:rsid w:val="000035EC"/>
    <w:rsid w:val="000037EF"/>
    <w:rsid w:val="00003FA6"/>
    <w:rsid w:val="000048FF"/>
    <w:rsid w:val="00004B82"/>
    <w:rsid w:val="00005C2E"/>
    <w:rsid w:val="000106C7"/>
    <w:rsid w:val="00010FB3"/>
    <w:rsid w:val="000110C1"/>
    <w:rsid w:val="0001201B"/>
    <w:rsid w:val="00012DE2"/>
    <w:rsid w:val="00012E3D"/>
    <w:rsid w:val="00012F11"/>
    <w:rsid w:val="0001352B"/>
    <w:rsid w:val="000141AD"/>
    <w:rsid w:val="0001483A"/>
    <w:rsid w:val="000159B8"/>
    <w:rsid w:val="0001642E"/>
    <w:rsid w:val="00017CFE"/>
    <w:rsid w:val="000202D7"/>
    <w:rsid w:val="000207FE"/>
    <w:rsid w:val="0002123A"/>
    <w:rsid w:val="0002138E"/>
    <w:rsid w:val="00022D50"/>
    <w:rsid w:val="00023D49"/>
    <w:rsid w:val="0002436C"/>
    <w:rsid w:val="000259B5"/>
    <w:rsid w:val="00027143"/>
    <w:rsid w:val="0003074D"/>
    <w:rsid w:val="00032658"/>
    <w:rsid w:val="000327FC"/>
    <w:rsid w:val="00032BE9"/>
    <w:rsid w:val="00033DEA"/>
    <w:rsid w:val="000347CD"/>
    <w:rsid w:val="00034DB1"/>
    <w:rsid w:val="00035C88"/>
    <w:rsid w:val="00037DE7"/>
    <w:rsid w:val="000403DA"/>
    <w:rsid w:val="000406B2"/>
    <w:rsid w:val="0004070D"/>
    <w:rsid w:val="000409E8"/>
    <w:rsid w:val="00040B22"/>
    <w:rsid w:val="00040C05"/>
    <w:rsid w:val="00040EE2"/>
    <w:rsid w:val="00042813"/>
    <w:rsid w:val="00042873"/>
    <w:rsid w:val="00042C91"/>
    <w:rsid w:val="000430E6"/>
    <w:rsid w:val="00043815"/>
    <w:rsid w:val="000441AC"/>
    <w:rsid w:val="00044AB8"/>
    <w:rsid w:val="00044C55"/>
    <w:rsid w:val="00045CDD"/>
    <w:rsid w:val="0004651F"/>
    <w:rsid w:val="00047391"/>
    <w:rsid w:val="000476F5"/>
    <w:rsid w:val="00050892"/>
    <w:rsid w:val="000519CE"/>
    <w:rsid w:val="000533A2"/>
    <w:rsid w:val="00053E40"/>
    <w:rsid w:val="000540F7"/>
    <w:rsid w:val="00054936"/>
    <w:rsid w:val="00054CBA"/>
    <w:rsid w:val="00055750"/>
    <w:rsid w:val="00055DFD"/>
    <w:rsid w:val="00055DFF"/>
    <w:rsid w:val="000564AA"/>
    <w:rsid w:val="00056563"/>
    <w:rsid w:val="00056731"/>
    <w:rsid w:val="000574C6"/>
    <w:rsid w:val="000579AF"/>
    <w:rsid w:val="00057FF3"/>
    <w:rsid w:val="000603B7"/>
    <w:rsid w:val="0006041C"/>
    <w:rsid w:val="00062A81"/>
    <w:rsid w:val="00063141"/>
    <w:rsid w:val="000631BD"/>
    <w:rsid w:val="0006410B"/>
    <w:rsid w:val="0006529A"/>
    <w:rsid w:val="0006612A"/>
    <w:rsid w:val="00066732"/>
    <w:rsid w:val="000669DF"/>
    <w:rsid w:val="00066C05"/>
    <w:rsid w:val="00067BF2"/>
    <w:rsid w:val="00067F09"/>
    <w:rsid w:val="000705E3"/>
    <w:rsid w:val="00070E82"/>
    <w:rsid w:val="00071CBE"/>
    <w:rsid w:val="000720E9"/>
    <w:rsid w:val="00072B1A"/>
    <w:rsid w:val="00072FAA"/>
    <w:rsid w:val="0007449D"/>
    <w:rsid w:val="000748C0"/>
    <w:rsid w:val="00076EE7"/>
    <w:rsid w:val="000775A9"/>
    <w:rsid w:val="00077DA3"/>
    <w:rsid w:val="0008000A"/>
    <w:rsid w:val="00080676"/>
    <w:rsid w:val="00080CD4"/>
    <w:rsid w:val="00081050"/>
    <w:rsid w:val="00083038"/>
    <w:rsid w:val="000844D0"/>
    <w:rsid w:val="00084A8B"/>
    <w:rsid w:val="00084F8A"/>
    <w:rsid w:val="00085A43"/>
    <w:rsid w:val="00085C68"/>
    <w:rsid w:val="00085D55"/>
    <w:rsid w:val="00086B61"/>
    <w:rsid w:val="000874E2"/>
    <w:rsid w:val="000877BA"/>
    <w:rsid w:val="000900C2"/>
    <w:rsid w:val="00090A5C"/>
    <w:rsid w:val="00090C7F"/>
    <w:rsid w:val="00091DCA"/>
    <w:rsid w:val="00092B41"/>
    <w:rsid w:val="0009406D"/>
    <w:rsid w:val="000940AB"/>
    <w:rsid w:val="00095DCB"/>
    <w:rsid w:val="000961CB"/>
    <w:rsid w:val="00096F77"/>
    <w:rsid w:val="0009731E"/>
    <w:rsid w:val="000A2D67"/>
    <w:rsid w:val="000A44D2"/>
    <w:rsid w:val="000A52A2"/>
    <w:rsid w:val="000A7529"/>
    <w:rsid w:val="000B0E7F"/>
    <w:rsid w:val="000B1110"/>
    <w:rsid w:val="000B1BA5"/>
    <w:rsid w:val="000B3314"/>
    <w:rsid w:val="000B3566"/>
    <w:rsid w:val="000B3B01"/>
    <w:rsid w:val="000B4A09"/>
    <w:rsid w:val="000B4B19"/>
    <w:rsid w:val="000B5D31"/>
    <w:rsid w:val="000B616B"/>
    <w:rsid w:val="000B6CED"/>
    <w:rsid w:val="000B7AAC"/>
    <w:rsid w:val="000C0763"/>
    <w:rsid w:val="000C07E1"/>
    <w:rsid w:val="000C16B4"/>
    <w:rsid w:val="000C1E59"/>
    <w:rsid w:val="000C25DF"/>
    <w:rsid w:val="000C270E"/>
    <w:rsid w:val="000C3756"/>
    <w:rsid w:val="000C3922"/>
    <w:rsid w:val="000C4CCF"/>
    <w:rsid w:val="000C4EB7"/>
    <w:rsid w:val="000C6DE8"/>
    <w:rsid w:val="000C7A98"/>
    <w:rsid w:val="000C7B7C"/>
    <w:rsid w:val="000D1C8D"/>
    <w:rsid w:val="000D3C05"/>
    <w:rsid w:val="000D4912"/>
    <w:rsid w:val="000D50F6"/>
    <w:rsid w:val="000D51E7"/>
    <w:rsid w:val="000D56C6"/>
    <w:rsid w:val="000D5E35"/>
    <w:rsid w:val="000D6EA6"/>
    <w:rsid w:val="000D76FB"/>
    <w:rsid w:val="000D7BF7"/>
    <w:rsid w:val="000D7F89"/>
    <w:rsid w:val="000E019B"/>
    <w:rsid w:val="000E1047"/>
    <w:rsid w:val="000E1ECB"/>
    <w:rsid w:val="000E2A38"/>
    <w:rsid w:val="000E2BBE"/>
    <w:rsid w:val="000E44DA"/>
    <w:rsid w:val="000E45DE"/>
    <w:rsid w:val="000E5797"/>
    <w:rsid w:val="000E7913"/>
    <w:rsid w:val="000F0038"/>
    <w:rsid w:val="000F05DF"/>
    <w:rsid w:val="000F076B"/>
    <w:rsid w:val="000F12E4"/>
    <w:rsid w:val="000F1647"/>
    <w:rsid w:val="000F2BA5"/>
    <w:rsid w:val="000F2CDF"/>
    <w:rsid w:val="000F42B6"/>
    <w:rsid w:val="000F4465"/>
    <w:rsid w:val="000F4F5F"/>
    <w:rsid w:val="000F5190"/>
    <w:rsid w:val="000F7C97"/>
    <w:rsid w:val="00100A73"/>
    <w:rsid w:val="00100E82"/>
    <w:rsid w:val="0010315E"/>
    <w:rsid w:val="00103386"/>
    <w:rsid w:val="00104A19"/>
    <w:rsid w:val="00105745"/>
    <w:rsid w:val="00106AA7"/>
    <w:rsid w:val="00110267"/>
    <w:rsid w:val="00110F16"/>
    <w:rsid w:val="00110FFB"/>
    <w:rsid w:val="00112304"/>
    <w:rsid w:val="001126AE"/>
    <w:rsid w:val="00113044"/>
    <w:rsid w:val="00113B96"/>
    <w:rsid w:val="00114C13"/>
    <w:rsid w:val="001154D2"/>
    <w:rsid w:val="001160B5"/>
    <w:rsid w:val="00116930"/>
    <w:rsid w:val="00117796"/>
    <w:rsid w:val="00120B0A"/>
    <w:rsid w:val="001213F5"/>
    <w:rsid w:val="00122451"/>
    <w:rsid w:val="00122581"/>
    <w:rsid w:val="00124050"/>
    <w:rsid w:val="00124570"/>
    <w:rsid w:val="00124700"/>
    <w:rsid w:val="00125355"/>
    <w:rsid w:val="00126429"/>
    <w:rsid w:val="00126457"/>
    <w:rsid w:val="0013083E"/>
    <w:rsid w:val="001308C1"/>
    <w:rsid w:val="00130A12"/>
    <w:rsid w:val="0013108F"/>
    <w:rsid w:val="00131E3D"/>
    <w:rsid w:val="0013220F"/>
    <w:rsid w:val="00132D48"/>
    <w:rsid w:val="0013453E"/>
    <w:rsid w:val="0013535F"/>
    <w:rsid w:val="001353AE"/>
    <w:rsid w:val="00135608"/>
    <w:rsid w:val="00137215"/>
    <w:rsid w:val="0013737B"/>
    <w:rsid w:val="001411B2"/>
    <w:rsid w:val="001414A1"/>
    <w:rsid w:val="00141525"/>
    <w:rsid w:val="001419A7"/>
    <w:rsid w:val="001423B4"/>
    <w:rsid w:val="00142C5E"/>
    <w:rsid w:val="0014507F"/>
    <w:rsid w:val="001459B6"/>
    <w:rsid w:val="00145FF1"/>
    <w:rsid w:val="00146F2C"/>
    <w:rsid w:val="001472F2"/>
    <w:rsid w:val="001474DC"/>
    <w:rsid w:val="0014766E"/>
    <w:rsid w:val="00150E42"/>
    <w:rsid w:val="001517B5"/>
    <w:rsid w:val="00153478"/>
    <w:rsid w:val="0015357F"/>
    <w:rsid w:val="00153739"/>
    <w:rsid w:val="00153A24"/>
    <w:rsid w:val="00153B98"/>
    <w:rsid w:val="0015466F"/>
    <w:rsid w:val="0015637F"/>
    <w:rsid w:val="00157676"/>
    <w:rsid w:val="001576C9"/>
    <w:rsid w:val="00160B9C"/>
    <w:rsid w:val="00161D60"/>
    <w:rsid w:val="0016264E"/>
    <w:rsid w:val="00162E65"/>
    <w:rsid w:val="001635D2"/>
    <w:rsid w:val="00163978"/>
    <w:rsid w:val="00163D11"/>
    <w:rsid w:val="0016419A"/>
    <w:rsid w:val="00164967"/>
    <w:rsid w:val="00165594"/>
    <w:rsid w:val="0016636F"/>
    <w:rsid w:val="0016763E"/>
    <w:rsid w:val="001676F2"/>
    <w:rsid w:val="001700CE"/>
    <w:rsid w:val="001726C0"/>
    <w:rsid w:val="00172ED6"/>
    <w:rsid w:val="001748F1"/>
    <w:rsid w:val="00175DFA"/>
    <w:rsid w:val="00176C03"/>
    <w:rsid w:val="001779E7"/>
    <w:rsid w:val="0018247A"/>
    <w:rsid w:val="001829E2"/>
    <w:rsid w:val="00182DAD"/>
    <w:rsid w:val="0018363C"/>
    <w:rsid w:val="00183AE4"/>
    <w:rsid w:val="00183D94"/>
    <w:rsid w:val="00184020"/>
    <w:rsid w:val="001843A6"/>
    <w:rsid w:val="001861E8"/>
    <w:rsid w:val="00186842"/>
    <w:rsid w:val="00187D00"/>
    <w:rsid w:val="001902B0"/>
    <w:rsid w:val="001908CC"/>
    <w:rsid w:val="00193767"/>
    <w:rsid w:val="00193DFE"/>
    <w:rsid w:val="00196064"/>
    <w:rsid w:val="0019779F"/>
    <w:rsid w:val="001A072F"/>
    <w:rsid w:val="001A1008"/>
    <w:rsid w:val="001A2CE3"/>
    <w:rsid w:val="001A46FD"/>
    <w:rsid w:val="001A6421"/>
    <w:rsid w:val="001A6893"/>
    <w:rsid w:val="001A6F61"/>
    <w:rsid w:val="001A7098"/>
    <w:rsid w:val="001B0962"/>
    <w:rsid w:val="001B1FCC"/>
    <w:rsid w:val="001B2045"/>
    <w:rsid w:val="001B2811"/>
    <w:rsid w:val="001B2CB1"/>
    <w:rsid w:val="001B3E9F"/>
    <w:rsid w:val="001B474E"/>
    <w:rsid w:val="001B502B"/>
    <w:rsid w:val="001B50C2"/>
    <w:rsid w:val="001B5BE8"/>
    <w:rsid w:val="001B6BA4"/>
    <w:rsid w:val="001B6BCF"/>
    <w:rsid w:val="001B7701"/>
    <w:rsid w:val="001B7B9F"/>
    <w:rsid w:val="001C00CC"/>
    <w:rsid w:val="001C0AD9"/>
    <w:rsid w:val="001C0E99"/>
    <w:rsid w:val="001C1672"/>
    <w:rsid w:val="001C2FB2"/>
    <w:rsid w:val="001C3263"/>
    <w:rsid w:val="001C3D41"/>
    <w:rsid w:val="001C475C"/>
    <w:rsid w:val="001C4949"/>
    <w:rsid w:val="001C4C95"/>
    <w:rsid w:val="001C500C"/>
    <w:rsid w:val="001C5EA3"/>
    <w:rsid w:val="001C662D"/>
    <w:rsid w:val="001C6816"/>
    <w:rsid w:val="001C72D4"/>
    <w:rsid w:val="001C7B38"/>
    <w:rsid w:val="001D0AB4"/>
    <w:rsid w:val="001D0E54"/>
    <w:rsid w:val="001D2DE2"/>
    <w:rsid w:val="001D30CB"/>
    <w:rsid w:val="001D31BD"/>
    <w:rsid w:val="001D43BB"/>
    <w:rsid w:val="001D4463"/>
    <w:rsid w:val="001D55FB"/>
    <w:rsid w:val="001D5814"/>
    <w:rsid w:val="001E01C6"/>
    <w:rsid w:val="001E04FA"/>
    <w:rsid w:val="001E0C5C"/>
    <w:rsid w:val="001E15BE"/>
    <w:rsid w:val="001E1800"/>
    <w:rsid w:val="001E1AEC"/>
    <w:rsid w:val="001E1BE2"/>
    <w:rsid w:val="001E1CBA"/>
    <w:rsid w:val="001E255E"/>
    <w:rsid w:val="001E2740"/>
    <w:rsid w:val="001E2EBB"/>
    <w:rsid w:val="001E2F81"/>
    <w:rsid w:val="001E30E9"/>
    <w:rsid w:val="001E3955"/>
    <w:rsid w:val="001E3EA8"/>
    <w:rsid w:val="001E4200"/>
    <w:rsid w:val="001E4B93"/>
    <w:rsid w:val="001E5AB8"/>
    <w:rsid w:val="001E5EE2"/>
    <w:rsid w:val="001E6C28"/>
    <w:rsid w:val="001E7636"/>
    <w:rsid w:val="001E79F5"/>
    <w:rsid w:val="001F0617"/>
    <w:rsid w:val="001F0FF9"/>
    <w:rsid w:val="001F1744"/>
    <w:rsid w:val="001F2C8E"/>
    <w:rsid w:val="001F3514"/>
    <w:rsid w:val="001F41D6"/>
    <w:rsid w:val="001F48DD"/>
    <w:rsid w:val="001F496B"/>
    <w:rsid w:val="001F5633"/>
    <w:rsid w:val="001F5C93"/>
    <w:rsid w:val="001F5F4B"/>
    <w:rsid w:val="001F71FE"/>
    <w:rsid w:val="001F7AA8"/>
    <w:rsid w:val="002009C9"/>
    <w:rsid w:val="00200E9E"/>
    <w:rsid w:val="002021BA"/>
    <w:rsid w:val="0020287A"/>
    <w:rsid w:val="00202AF1"/>
    <w:rsid w:val="00203A19"/>
    <w:rsid w:val="00203BEE"/>
    <w:rsid w:val="002043EA"/>
    <w:rsid w:val="002043F8"/>
    <w:rsid w:val="0020658B"/>
    <w:rsid w:val="002075A1"/>
    <w:rsid w:val="002076E6"/>
    <w:rsid w:val="00207BC7"/>
    <w:rsid w:val="002102D6"/>
    <w:rsid w:val="002106EC"/>
    <w:rsid w:val="0021096D"/>
    <w:rsid w:val="00211623"/>
    <w:rsid w:val="00211FA8"/>
    <w:rsid w:val="00212608"/>
    <w:rsid w:val="002126F7"/>
    <w:rsid w:val="00213368"/>
    <w:rsid w:val="00215EBF"/>
    <w:rsid w:val="00215FE6"/>
    <w:rsid w:val="002162FB"/>
    <w:rsid w:val="00216695"/>
    <w:rsid w:val="00216B86"/>
    <w:rsid w:val="00216E4E"/>
    <w:rsid w:val="00217CDB"/>
    <w:rsid w:val="00217F79"/>
    <w:rsid w:val="002213F5"/>
    <w:rsid w:val="002223F4"/>
    <w:rsid w:val="00222569"/>
    <w:rsid w:val="002249CB"/>
    <w:rsid w:val="00224B98"/>
    <w:rsid w:val="00225CDB"/>
    <w:rsid w:val="002262D8"/>
    <w:rsid w:val="00226925"/>
    <w:rsid w:val="00226E81"/>
    <w:rsid w:val="00227897"/>
    <w:rsid w:val="00227920"/>
    <w:rsid w:val="00227E2C"/>
    <w:rsid w:val="00227F45"/>
    <w:rsid w:val="00230B1A"/>
    <w:rsid w:val="002316D2"/>
    <w:rsid w:val="00232672"/>
    <w:rsid w:val="00232714"/>
    <w:rsid w:val="00232AAB"/>
    <w:rsid w:val="00232C69"/>
    <w:rsid w:val="002331E1"/>
    <w:rsid w:val="00233324"/>
    <w:rsid w:val="002335B4"/>
    <w:rsid w:val="002337F3"/>
    <w:rsid w:val="00233DD6"/>
    <w:rsid w:val="0023435A"/>
    <w:rsid w:val="00234787"/>
    <w:rsid w:val="0023497E"/>
    <w:rsid w:val="00234D67"/>
    <w:rsid w:val="0023505E"/>
    <w:rsid w:val="00235136"/>
    <w:rsid w:val="00235353"/>
    <w:rsid w:val="002367CF"/>
    <w:rsid w:val="00237101"/>
    <w:rsid w:val="002379D7"/>
    <w:rsid w:val="00240B89"/>
    <w:rsid w:val="00241A83"/>
    <w:rsid w:val="00245408"/>
    <w:rsid w:val="00246005"/>
    <w:rsid w:val="0024698E"/>
    <w:rsid w:val="00251391"/>
    <w:rsid w:val="00251717"/>
    <w:rsid w:val="00251796"/>
    <w:rsid w:val="00251A4A"/>
    <w:rsid w:val="002525BF"/>
    <w:rsid w:val="002530F5"/>
    <w:rsid w:val="00253342"/>
    <w:rsid w:val="00254BF2"/>
    <w:rsid w:val="00255991"/>
    <w:rsid w:val="00255B9B"/>
    <w:rsid w:val="00255D06"/>
    <w:rsid w:val="0025760C"/>
    <w:rsid w:val="00260449"/>
    <w:rsid w:val="00260EAA"/>
    <w:rsid w:val="002617A8"/>
    <w:rsid w:val="00263630"/>
    <w:rsid w:val="00264DEA"/>
    <w:rsid w:val="00265517"/>
    <w:rsid w:val="00265DC9"/>
    <w:rsid w:val="00267060"/>
    <w:rsid w:val="00267836"/>
    <w:rsid w:val="00267F07"/>
    <w:rsid w:val="002708CB"/>
    <w:rsid w:val="00271AB7"/>
    <w:rsid w:val="002729E1"/>
    <w:rsid w:val="00272B57"/>
    <w:rsid w:val="00272BB5"/>
    <w:rsid w:val="00272D41"/>
    <w:rsid w:val="00273127"/>
    <w:rsid w:val="00273926"/>
    <w:rsid w:val="00273AA8"/>
    <w:rsid w:val="00275734"/>
    <w:rsid w:val="00275C13"/>
    <w:rsid w:val="00275F15"/>
    <w:rsid w:val="00276A20"/>
    <w:rsid w:val="00276AD7"/>
    <w:rsid w:val="00277012"/>
    <w:rsid w:val="00280015"/>
    <w:rsid w:val="00281602"/>
    <w:rsid w:val="00281EE3"/>
    <w:rsid w:val="00281FD3"/>
    <w:rsid w:val="002831DC"/>
    <w:rsid w:val="0028341F"/>
    <w:rsid w:val="002838AF"/>
    <w:rsid w:val="00283FD1"/>
    <w:rsid w:val="002848E9"/>
    <w:rsid w:val="00285FAD"/>
    <w:rsid w:val="00286CD6"/>
    <w:rsid w:val="00287A04"/>
    <w:rsid w:val="00287C90"/>
    <w:rsid w:val="00287DA1"/>
    <w:rsid w:val="00290E14"/>
    <w:rsid w:val="00292B1E"/>
    <w:rsid w:val="002940C5"/>
    <w:rsid w:val="00294E84"/>
    <w:rsid w:val="0029520E"/>
    <w:rsid w:val="00295890"/>
    <w:rsid w:val="002961CB"/>
    <w:rsid w:val="00296418"/>
    <w:rsid w:val="00296BAF"/>
    <w:rsid w:val="002A0310"/>
    <w:rsid w:val="002A0377"/>
    <w:rsid w:val="002A0D54"/>
    <w:rsid w:val="002A0D8F"/>
    <w:rsid w:val="002A2349"/>
    <w:rsid w:val="002A2DCC"/>
    <w:rsid w:val="002A32D8"/>
    <w:rsid w:val="002A3A8F"/>
    <w:rsid w:val="002A40EA"/>
    <w:rsid w:val="002A4C1A"/>
    <w:rsid w:val="002A58F5"/>
    <w:rsid w:val="002A6432"/>
    <w:rsid w:val="002A65C3"/>
    <w:rsid w:val="002A73C4"/>
    <w:rsid w:val="002A7E19"/>
    <w:rsid w:val="002B0EB1"/>
    <w:rsid w:val="002B160C"/>
    <w:rsid w:val="002B1C03"/>
    <w:rsid w:val="002B1E9E"/>
    <w:rsid w:val="002B457A"/>
    <w:rsid w:val="002B46C0"/>
    <w:rsid w:val="002B4F5E"/>
    <w:rsid w:val="002B5BD3"/>
    <w:rsid w:val="002B5DFF"/>
    <w:rsid w:val="002B5F2A"/>
    <w:rsid w:val="002B5FF8"/>
    <w:rsid w:val="002B620A"/>
    <w:rsid w:val="002B6833"/>
    <w:rsid w:val="002B7DA9"/>
    <w:rsid w:val="002C0EE6"/>
    <w:rsid w:val="002C0FED"/>
    <w:rsid w:val="002C10A7"/>
    <w:rsid w:val="002C1210"/>
    <w:rsid w:val="002C20A1"/>
    <w:rsid w:val="002C23D9"/>
    <w:rsid w:val="002C2980"/>
    <w:rsid w:val="002C2F1C"/>
    <w:rsid w:val="002C4129"/>
    <w:rsid w:val="002C4532"/>
    <w:rsid w:val="002C4717"/>
    <w:rsid w:val="002C50CE"/>
    <w:rsid w:val="002C533F"/>
    <w:rsid w:val="002C59EC"/>
    <w:rsid w:val="002C6F35"/>
    <w:rsid w:val="002C767E"/>
    <w:rsid w:val="002C7B37"/>
    <w:rsid w:val="002D033E"/>
    <w:rsid w:val="002D0C6B"/>
    <w:rsid w:val="002D1390"/>
    <w:rsid w:val="002D27D8"/>
    <w:rsid w:val="002D2A17"/>
    <w:rsid w:val="002D34E3"/>
    <w:rsid w:val="002D38BA"/>
    <w:rsid w:val="002D3B73"/>
    <w:rsid w:val="002D4583"/>
    <w:rsid w:val="002D5C6E"/>
    <w:rsid w:val="002D5FF3"/>
    <w:rsid w:val="002D6FA3"/>
    <w:rsid w:val="002E0795"/>
    <w:rsid w:val="002E161C"/>
    <w:rsid w:val="002E1642"/>
    <w:rsid w:val="002E166B"/>
    <w:rsid w:val="002E432D"/>
    <w:rsid w:val="002E58E3"/>
    <w:rsid w:val="002E5DAF"/>
    <w:rsid w:val="002E5F62"/>
    <w:rsid w:val="002E648A"/>
    <w:rsid w:val="002E64EF"/>
    <w:rsid w:val="002E66FE"/>
    <w:rsid w:val="002E6A2B"/>
    <w:rsid w:val="002E7203"/>
    <w:rsid w:val="002F1583"/>
    <w:rsid w:val="002F1E99"/>
    <w:rsid w:val="002F268A"/>
    <w:rsid w:val="002F2FA5"/>
    <w:rsid w:val="002F5CEF"/>
    <w:rsid w:val="002F5F41"/>
    <w:rsid w:val="002F62D3"/>
    <w:rsid w:val="002F6C8E"/>
    <w:rsid w:val="002F749B"/>
    <w:rsid w:val="002F7EBB"/>
    <w:rsid w:val="0030065F"/>
    <w:rsid w:val="00300B20"/>
    <w:rsid w:val="003010B4"/>
    <w:rsid w:val="00301FE1"/>
    <w:rsid w:val="00304D48"/>
    <w:rsid w:val="00304EAE"/>
    <w:rsid w:val="0030558C"/>
    <w:rsid w:val="00306761"/>
    <w:rsid w:val="003069C4"/>
    <w:rsid w:val="00306BA1"/>
    <w:rsid w:val="00306E47"/>
    <w:rsid w:val="00307C01"/>
    <w:rsid w:val="00307C2C"/>
    <w:rsid w:val="00310A7B"/>
    <w:rsid w:val="00310FF1"/>
    <w:rsid w:val="003113BA"/>
    <w:rsid w:val="00311927"/>
    <w:rsid w:val="00311E4D"/>
    <w:rsid w:val="00312A94"/>
    <w:rsid w:val="0031505F"/>
    <w:rsid w:val="003164D2"/>
    <w:rsid w:val="00320922"/>
    <w:rsid w:val="00321BAD"/>
    <w:rsid w:val="00322207"/>
    <w:rsid w:val="00322FF6"/>
    <w:rsid w:val="003242ED"/>
    <w:rsid w:val="00324907"/>
    <w:rsid w:val="00326330"/>
    <w:rsid w:val="0032716B"/>
    <w:rsid w:val="00330493"/>
    <w:rsid w:val="00330BDA"/>
    <w:rsid w:val="00330C5F"/>
    <w:rsid w:val="00331565"/>
    <w:rsid w:val="0033172F"/>
    <w:rsid w:val="00331A7C"/>
    <w:rsid w:val="00331D11"/>
    <w:rsid w:val="00331DA4"/>
    <w:rsid w:val="00332576"/>
    <w:rsid w:val="00334426"/>
    <w:rsid w:val="00334A57"/>
    <w:rsid w:val="00335282"/>
    <w:rsid w:val="003355ED"/>
    <w:rsid w:val="00337943"/>
    <w:rsid w:val="00340303"/>
    <w:rsid w:val="00340A6F"/>
    <w:rsid w:val="003438B0"/>
    <w:rsid w:val="00343F5C"/>
    <w:rsid w:val="003445B7"/>
    <w:rsid w:val="00344979"/>
    <w:rsid w:val="0034512F"/>
    <w:rsid w:val="00350A5F"/>
    <w:rsid w:val="0035258B"/>
    <w:rsid w:val="00352749"/>
    <w:rsid w:val="00352D94"/>
    <w:rsid w:val="00354247"/>
    <w:rsid w:val="003554D8"/>
    <w:rsid w:val="00355AA9"/>
    <w:rsid w:val="00356109"/>
    <w:rsid w:val="00357478"/>
    <w:rsid w:val="003577AB"/>
    <w:rsid w:val="00360B0F"/>
    <w:rsid w:val="00360DB7"/>
    <w:rsid w:val="003611DE"/>
    <w:rsid w:val="00361B67"/>
    <w:rsid w:val="00361E4C"/>
    <w:rsid w:val="00362228"/>
    <w:rsid w:val="00362DC6"/>
    <w:rsid w:val="0036370D"/>
    <w:rsid w:val="00364E24"/>
    <w:rsid w:val="00365131"/>
    <w:rsid w:val="00365722"/>
    <w:rsid w:val="0036681E"/>
    <w:rsid w:val="00366F83"/>
    <w:rsid w:val="003679CC"/>
    <w:rsid w:val="00367C90"/>
    <w:rsid w:val="00370644"/>
    <w:rsid w:val="00370822"/>
    <w:rsid w:val="003711D5"/>
    <w:rsid w:val="0037136D"/>
    <w:rsid w:val="00371666"/>
    <w:rsid w:val="003719A3"/>
    <w:rsid w:val="00371F9B"/>
    <w:rsid w:val="003723B9"/>
    <w:rsid w:val="00372A37"/>
    <w:rsid w:val="00372CBD"/>
    <w:rsid w:val="003754DD"/>
    <w:rsid w:val="003755AF"/>
    <w:rsid w:val="00376DCA"/>
    <w:rsid w:val="003772C3"/>
    <w:rsid w:val="0038046E"/>
    <w:rsid w:val="003829CC"/>
    <w:rsid w:val="00383B16"/>
    <w:rsid w:val="0038460A"/>
    <w:rsid w:val="003851DF"/>
    <w:rsid w:val="003853C8"/>
    <w:rsid w:val="003867AC"/>
    <w:rsid w:val="00386D0C"/>
    <w:rsid w:val="00387C5A"/>
    <w:rsid w:val="00392518"/>
    <w:rsid w:val="00393A61"/>
    <w:rsid w:val="00394579"/>
    <w:rsid w:val="00394787"/>
    <w:rsid w:val="00394AAD"/>
    <w:rsid w:val="00395054"/>
    <w:rsid w:val="00395473"/>
    <w:rsid w:val="0039604C"/>
    <w:rsid w:val="003961E3"/>
    <w:rsid w:val="00396223"/>
    <w:rsid w:val="00396DE5"/>
    <w:rsid w:val="003A0D64"/>
    <w:rsid w:val="003A176D"/>
    <w:rsid w:val="003A212F"/>
    <w:rsid w:val="003A2E53"/>
    <w:rsid w:val="003A3372"/>
    <w:rsid w:val="003A3FD0"/>
    <w:rsid w:val="003A4148"/>
    <w:rsid w:val="003A4575"/>
    <w:rsid w:val="003A47F8"/>
    <w:rsid w:val="003A715F"/>
    <w:rsid w:val="003B09DE"/>
    <w:rsid w:val="003B0F74"/>
    <w:rsid w:val="003B1405"/>
    <w:rsid w:val="003B1582"/>
    <w:rsid w:val="003B178A"/>
    <w:rsid w:val="003B264C"/>
    <w:rsid w:val="003B32E9"/>
    <w:rsid w:val="003B4B40"/>
    <w:rsid w:val="003B5707"/>
    <w:rsid w:val="003B6715"/>
    <w:rsid w:val="003B7331"/>
    <w:rsid w:val="003C0A79"/>
    <w:rsid w:val="003C2252"/>
    <w:rsid w:val="003C26DC"/>
    <w:rsid w:val="003C3B59"/>
    <w:rsid w:val="003C3F4B"/>
    <w:rsid w:val="003C5C9B"/>
    <w:rsid w:val="003C67AF"/>
    <w:rsid w:val="003C6B28"/>
    <w:rsid w:val="003C730A"/>
    <w:rsid w:val="003C7CBB"/>
    <w:rsid w:val="003D1DEB"/>
    <w:rsid w:val="003D2AA7"/>
    <w:rsid w:val="003D3330"/>
    <w:rsid w:val="003D3369"/>
    <w:rsid w:val="003D34A7"/>
    <w:rsid w:val="003D3B6A"/>
    <w:rsid w:val="003D41B5"/>
    <w:rsid w:val="003D4771"/>
    <w:rsid w:val="003D5920"/>
    <w:rsid w:val="003D5D72"/>
    <w:rsid w:val="003D6480"/>
    <w:rsid w:val="003D69DA"/>
    <w:rsid w:val="003D6D73"/>
    <w:rsid w:val="003E00C8"/>
    <w:rsid w:val="003E0309"/>
    <w:rsid w:val="003E0560"/>
    <w:rsid w:val="003E05B4"/>
    <w:rsid w:val="003E06B2"/>
    <w:rsid w:val="003E0820"/>
    <w:rsid w:val="003E0BEB"/>
    <w:rsid w:val="003E2FD9"/>
    <w:rsid w:val="003E316A"/>
    <w:rsid w:val="003E31C6"/>
    <w:rsid w:val="003E3699"/>
    <w:rsid w:val="003E37CB"/>
    <w:rsid w:val="003E4D65"/>
    <w:rsid w:val="003E5A36"/>
    <w:rsid w:val="003E7C49"/>
    <w:rsid w:val="003F067A"/>
    <w:rsid w:val="003F0C0A"/>
    <w:rsid w:val="003F24E7"/>
    <w:rsid w:val="003F2D19"/>
    <w:rsid w:val="003F3371"/>
    <w:rsid w:val="003F3479"/>
    <w:rsid w:val="003F3649"/>
    <w:rsid w:val="003F39D2"/>
    <w:rsid w:val="003F3B36"/>
    <w:rsid w:val="003F56D1"/>
    <w:rsid w:val="003F639F"/>
    <w:rsid w:val="003F75AA"/>
    <w:rsid w:val="003F79A6"/>
    <w:rsid w:val="00400B20"/>
    <w:rsid w:val="004024EC"/>
    <w:rsid w:val="00402508"/>
    <w:rsid w:val="004037C4"/>
    <w:rsid w:val="00403B3A"/>
    <w:rsid w:val="0040586A"/>
    <w:rsid w:val="0040589D"/>
    <w:rsid w:val="00405FC0"/>
    <w:rsid w:val="00406905"/>
    <w:rsid w:val="00407269"/>
    <w:rsid w:val="00407ACF"/>
    <w:rsid w:val="00410071"/>
    <w:rsid w:val="004101B3"/>
    <w:rsid w:val="0041062C"/>
    <w:rsid w:val="0041083A"/>
    <w:rsid w:val="00410FA2"/>
    <w:rsid w:val="00411A36"/>
    <w:rsid w:val="004128FF"/>
    <w:rsid w:val="00413349"/>
    <w:rsid w:val="004143E6"/>
    <w:rsid w:val="00414CC3"/>
    <w:rsid w:val="00414FC5"/>
    <w:rsid w:val="00415040"/>
    <w:rsid w:val="00415ABA"/>
    <w:rsid w:val="00416404"/>
    <w:rsid w:val="00416CB5"/>
    <w:rsid w:val="0041720D"/>
    <w:rsid w:val="00417249"/>
    <w:rsid w:val="004176C8"/>
    <w:rsid w:val="00417F25"/>
    <w:rsid w:val="00421A53"/>
    <w:rsid w:val="00422FE5"/>
    <w:rsid w:val="004233D4"/>
    <w:rsid w:val="004239B1"/>
    <w:rsid w:val="00423E86"/>
    <w:rsid w:val="00424BCF"/>
    <w:rsid w:val="00424FB5"/>
    <w:rsid w:val="00424FD8"/>
    <w:rsid w:val="004255C9"/>
    <w:rsid w:val="004259A8"/>
    <w:rsid w:val="00425BCE"/>
    <w:rsid w:val="00430D18"/>
    <w:rsid w:val="00430DBF"/>
    <w:rsid w:val="00431177"/>
    <w:rsid w:val="0043128A"/>
    <w:rsid w:val="0043197C"/>
    <w:rsid w:val="00432CB9"/>
    <w:rsid w:val="00433592"/>
    <w:rsid w:val="00435348"/>
    <w:rsid w:val="004369FD"/>
    <w:rsid w:val="004371EE"/>
    <w:rsid w:val="004374ED"/>
    <w:rsid w:val="004403D3"/>
    <w:rsid w:val="004405F0"/>
    <w:rsid w:val="00440CB7"/>
    <w:rsid w:val="004418C7"/>
    <w:rsid w:val="0044312F"/>
    <w:rsid w:val="004433CF"/>
    <w:rsid w:val="004445E3"/>
    <w:rsid w:val="00445C60"/>
    <w:rsid w:val="00445C7B"/>
    <w:rsid w:val="00447716"/>
    <w:rsid w:val="00447B43"/>
    <w:rsid w:val="00447CF5"/>
    <w:rsid w:val="00447FA0"/>
    <w:rsid w:val="00450006"/>
    <w:rsid w:val="00450AB1"/>
    <w:rsid w:val="0045120F"/>
    <w:rsid w:val="004530AE"/>
    <w:rsid w:val="00453C2A"/>
    <w:rsid w:val="00453F2C"/>
    <w:rsid w:val="004568AA"/>
    <w:rsid w:val="00456BF0"/>
    <w:rsid w:val="004575B9"/>
    <w:rsid w:val="00460C4C"/>
    <w:rsid w:val="00462AC2"/>
    <w:rsid w:val="00463462"/>
    <w:rsid w:val="004636A3"/>
    <w:rsid w:val="0046495B"/>
    <w:rsid w:val="00464BE2"/>
    <w:rsid w:val="00464E7E"/>
    <w:rsid w:val="0046574F"/>
    <w:rsid w:val="004657E0"/>
    <w:rsid w:val="00465C62"/>
    <w:rsid w:val="0046713C"/>
    <w:rsid w:val="00467975"/>
    <w:rsid w:val="004679F2"/>
    <w:rsid w:val="00467F3D"/>
    <w:rsid w:val="00470840"/>
    <w:rsid w:val="00470CD4"/>
    <w:rsid w:val="004721BB"/>
    <w:rsid w:val="004729C4"/>
    <w:rsid w:val="00473050"/>
    <w:rsid w:val="00473B5A"/>
    <w:rsid w:val="00474F7B"/>
    <w:rsid w:val="00476648"/>
    <w:rsid w:val="00476BF1"/>
    <w:rsid w:val="0047776D"/>
    <w:rsid w:val="00480250"/>
    <w:rsid w:val="004804E3"/>
    <w:rsid w:val="00480C00"/>
    <w:rsid w:val="00480DEE"/>
    <w:rsid w:val="00480F4A"/>
    <w:rsid w:val="00481036"/>
    <w:rsid w:val="0048103F"/>
    <w:rsid w:val="00481ABA"/>
    <w:rsid w:val="00481D22"/>
    <w:rsid w:val="00482173"/>
    <w:rsid w:val="00483663"/>
    <w:rsid w:val="004838D8"/>
    <w:rsid w:val="00484A26"/>
    <w:rsid w:val="00484C34"/>
    <w:rsid w:val="00484EEC"/>
    <w:rsid w:val="004854C3"/>
    <w:rsid w:val="0048592A"/>
    <w:rsid w:val="00486C71"/>
    <w:rsid w:val="004872A5"/>
    <w:rsid w:val="00487DD1"/>
    <w:rsid w:val="0049105D"/>
    <w:rsid w:val="00491491"/>
    <w:rsid w:val="00492AB2"/>
    <w:rsid w:val="00492E32"/>
    <w:rsid w:val="00493027"/>
    <w:rsid w:val="004941EE"/>
    <w:rsid w:val="0049436F"/>
    <w:rsid w:val="00494E0C"/>
    <w:rsid w:val="0049524A"/>
    <w:rsid w:val="004966AF"/>
    <w:rsid w:val="004A0F49"/>
    <w:rsid w:val="004A0FF9"/>
    <w:rsid w:val="004A12F6"/>
    <w:rsid w:val="004A3506"/>
    <w:rsid w:val="004A4299"/>
    <w:rsid w:val="004A47F3"/>
    <w:rsid w:val="004A4A2F"/>
    <w:rsid w:val="004A50B2"/>
    <w:rsid w:val="004A5568"/>
    <w:rsid w:val="004A5C02"/>
    <w:rsid w:val="004A6DA6"/>
    <w:rsid w:val="004A7EE2"/>
    <w:rsid w:val="004B0632"/>
    <w:rsid w:val="004B3884"/>
    <w:rsid w:val="004B3D8D"/>
    <w:rsid w:val="004B3FF4"/>
    <w:rsid w:val="004B4431"/>
    <w:rsid w:val="004B4644"/>
    <w:rsid w:val="004B5D8F"/>
    <w:rsid w:val="004B656C"/>
    <w:rsid w:val="004B71C1"/>
    <w:rsid w:val="004B7E74"/>
    <w:rsid w:val="004C227D"/>
    <w:rsid w:val="004C3274"/>
    <w:rsid w:val="004C3708"/>
    <w:rsid w:val="004C3714"/>
    <w:rsid w:val="004C38A5"/>
    <w:rsid w:val="004C38EF"/>
    <w:rsid w:val="004C3B70"/>
    <w:rsid w:val="004C4D86"/>
    <w:rsid w:val="004C50BC"/>
    <w:rsid w:val="004C52CA"/>
    <w:rsid w:val="004C580F"/>
    <w:rsid w:val="004C6739"/>
    <w:rsid w:val="004C74B9"/>
    <w:rsid w:val="004C7933"/>
    <w:rsid w:val="004C7F26"/>
    <w:rsid w:val="004D0252"/>
    <w:rsid w:val="004D1A80"/>
    <w:rsid w:val="004D1C5D"/>
    <w:rsid w:val="004D29DC"/>
    <w:rsid w:val="004D3031"/>
    <w:rsid w:val="004D3345"/>
    <w:rsid w:val="004D4582"/>
    <w:rsid w:val="004D47EB"/>
    <w:rsid w:val="004D50AA"/>
    <w:rsid w:val="004D58AF"/>
    <w:rsid w:val="004D61CE"/>
    <w:rsid w:val="004D6A8F"/>
    <w:rsid w:val="004D6E09"/>
    <w:rsid w:val="004E0D0B"/>
    <w:rsid w:val="004E1FE8"/>
    <w:rsid w:val="004E2520"/>
    <w:rsid w:val="004E252C"/>
    <w:rsid w:val="004E31A1"/>
    <w:rsid w:val="004E3313"/>
    <w:rsid w:val="004E368D"/>
    <w:rsid w:val="004E3F9E"/>
    <w:rsid w:val="004E4956"/>
    <w:rsid w:val="004E562F"/>
    <w:rsid w:val="004E5815"/>
    <w:rsid w:val="004E5DDD"/>
    <w:rsid w:val="004E666E"/>
    <w:rsid w:val="004E6E2A"/>
    <w:rsid w:val="004E7351"/>
    <w:rsid w:val="004F0A46"/>
    <w:rsid w:val="004F0F5C"/>
    <w:rsid w:val="004F0F95"/>
    <w:rsid w:val="004F11F8"/>
    <w:rsid w:val="004F17FB"/>
    <w:rsid w:val="004F215D"/>
    <w:rsid w:val="004F2655"/>
    <w:rsid w:val="004F2AD7"/>
    <w:rsid w:val="004F2B24"/>
    <w:rsid w:val="004F3579"/>
    <w:rsid w:val="004F4573"/>
    <w:rsid w:val="004F567E"/>
    <w:rsid w:val="004F5A35"/>
    <w:rsid w:val="004F67D6"/>
    <w:rsid w:val="00500DB3"/>
    <w:rsid w:val="005017A9"/>
    <w:rsid w:val="0050192C"/>
    <w:rsid w:val="0050217F"/>
    <w:rsid w:val="005021DA"/>
    <w:rsid w:val="00502D61"/>
    <w:rsid w:val="00503830"/>
    <w:rsid w:val="00503E39"/>
    <w:rsid w:val="0050564B"/>
    <w:rsid w:val="005056C4"/>
    <w:rsid w:val="005056E3"/>
    <w:rsid w:val="005069FD"/>
    <w:rsid w:val="00510B7E"/>
    <w:rsid w:val="00511AFE"/>
    <w:rsid w:val="005124D8"/>
    <w:rsid w:val="00512ED6"/>
    <w:rsid w:val="005130D1"/>
    <w:rsid w:val="005139EE"/>
    <w:rsid w:val="00513B01"/>
    <w:rsid w:val="00513C67"/>
    <w:rsid w:val="0051495B"/>
    <w:rsid w:val="00516990"/>
    <w:rsid w:val="00516CE9"/>
    <w:rsid w:val="005177B9"/>
    <w:rsid w:val="00517B96"/>
    <w:rsid w:val="00517DDA"/>
    <w:rsid w:val="00520435"/>
    <w:rsid w:val="00520672"/>
    <w:rsid w:val="00521321"/>
    <w:rsid w:val="00521861"/>
    <w:rsid w:val="00521E96"/>
    <w:rsid w:val="005224A7"/>
    <w:rsid w:val="00523F5C"/>
    <w:rsid w:val="00524312"/>
    <w:rsid w:val="00524A7C"/>
    <w:rsid w:val="00524AEC"/>
    <w:rsid w:val="00524E9C"/>
    <w:rsid w:val="00524F18"/>
    <w:rsid w:val="00525B0A"/>
    <w:rsid w:val="00525EA4"/>
    <w:rsid w:val="0052619E"/>
    <w:rsid w:val="005262B6"/>
    <w:rsid w:val="005268B5"/>
    <w:rsid w:val="00526C3C"/>
    <w:rsid w:val="00526CED"/>
    <w:rsid w:val="005279BA"/>
    <w:rsid w:val="00527AC2"/>
    <w:rsid w:val="00531568"/>
    <w:rsid w:val="00533E74"/>
    <w:rsid w:val="00534454"/>
    <w:rsid w:val="005349BE"/>
    <w:rsid w:val="00534B3F"/>
    <w:rsid w:val="00535501"/>
    <w:rsid w:val="00535D88"/>
    <w:rsid w:val="005368DF"/>
    <w:rsid w:val="00536A72"/>
    <w:rsid w:val="00536AE5"/>
    <w:rsid w:val="005374C9"/>
    <w:rsid w:val="00540408"/>
    <w:rsid w:val="005409BA"/>
    <w:rsid w:val="00541C07"/>
    <w:rsid w:val="00541D60"/>
    <w:rsid w:val="00541DA7"/>
    <w:rsid w:val="0054222A"/>
    <w:rsid w:val="005422EA"/>
    <w:rsid w:val="00542F1C"/>
    <w:rsid w:val="00543394"/>
    <w:rsid w:val="00544348"/>
    <w:rsid w:val="0054443A"/>
    <w:rsid w:val="0054444E"/>
    <w:rsid w:val="00544DAC"/>
    <w:rsid w:val="00546332"/>
    <w:rsid w:val="005463DF"/>
    <w:rsid w:val="00546DD7"/>
    <w:rsid w:val="005472B1"/>
    <w:rsid w:val="00547324"/>
    <w:rsid w:val="00547BBA"/>
    <w:rsid w:val="005501B8"/>
    <w:rsid w:val="00551A3E"/>
    <w:rsid w:val="00551E2D"/>
    <w:rsid w:val="0055296F"/>
    <w:rsid w:val="005544AC"/>
    <w:rsid w:val="00554ED5"/>
    <w:rsid w:val="00555C2A"/>
    <w:rsid w:val="00557037"/>
    <w:rsid w:val="005571F2"/>
    <w:rsid w:val="00557219"/>
    <w:rsid w:val="00557885"/>
    <w:rsid w:val="005579E1"/>
    <w:rsid w:val="00560625"/>
    <w:rsid w:val="00560BD8"/>
    <w:rsid w:val="00560F9D"/>
    <w:rsid w:val="005616E6"/>
    <w:rsid w:val="005620CD"/>
    <w:rsid w:val="005636A7"/>
    <w:rsid w:val="00563E36"/>
    <w:rsid w:val="0056439B"/>
    <w:rsid w:val="00566371"/>
    <w:rsid w:val="005664DA"/>
    <w:rsid w:val="00566DC2"/>
    <w:rsid w:val="00566FD9"/>
    <w:rsid w:val="0056756C"/>
    <w:rsid w:val="0056758D"/>
    <w:rsid w:val="005710E5"/>
    <w:rsid w:val="005718C8"/>
    <w:rsid w:val="00571EC3"/>
    <w:rsid w:val="00572075"/>
    <w:rsid w:val="00573402"/>
    <w:rsid w:val="00573DD1"/>
    <w:rsid w:val="00574A2D"/>
    <w:rsid w:val="00575FDF"/>
    <w:rsid w:val="005764E8"/>
    <w:rsid w:val="00577C24"/>
    <w:rsid w:val="005802F4"/>
    <w:rsid w:val="00580417"/>
    <w:rsid w:val="00580F68"/>
    <w:rsid w:val="005822CA"/>
    <w:rsid w:val="00582E08"/>
    <w:rsid w:val="005834BE"/>
    <w:rsid w:val="00583CB8"/>
    <w:rsid w:val="00584316"/>
    <w:rsid w:val="00584CD8"/>
    <w:rsid w:val="0058666B"/>
    <w:rsid w:val="00586A26"/>
    <w:rsid w:val="0058799E"/>
    <w:rsid w:val="005906A6"/>
    <w:rsid w:val="00590F35"/>
    <w:rsid w:val="00591C2E"/>
    <w:rsid w:val="0059258C"/>
    <w:rsid w:val="00593F0C"/>
    <w:rsid w:val="0059459C"/>
    <w:rsid w:val="00596FFA"/>
    <w:rsid w:val="00597CCB"/>
    <w:rsid w:val="00597E79"/>
    <w:rsid w:val="005A0402"/>
    <w:rsid w:val="005A1518"/>
    <w:rsid w:val="005A1588"/>
    <w:rsid w:val="005A2014"/>
    <w:rsid w:val="005A21A0"/>
    <w:rsid w:val="005A34ED"/>
    <w:rsid w:val="005A3754"/>
    <w:rsid w:val="005A51C3"/>
    <w:rsid w:val="005A543F"/>
    <w:rsid w:val="005A6DF4"/>
    <w:rsid w:val="005A717A"/>
    <w:rsid w:val="005A7643"/>
    <w:rsid w:val="005A7B1E"/>
    <w:rsid w:val="005B0B1A"/>
    <w:rsid w:val="005B1B1A"/>
    <w:rsid w:val="005B2812"/>
    <w:rsid w:val="005B2A03"/>
    <w:rsid w:val="005B30C6"/>
    <w:rsid w:val="005B387C"/>
    <w:rsid w:val="005B4F3D"/>
    <w:rsid w:val="005B55B8"/>
    <w:rsid w:val="005B5B58"/>
    <w:rsid w:val="005B6AAE"/>
    <w:rsid w:val="005B6E73"/>
    <w:rsid w:val="005B7545"/>
    <w:rsid w:val="005C1535"/>
    <w:rsid w:val="005C3782"/>
    <w:rsid w:val="005C41F3"/>
    <w:rsid w:val="005C59D8"/>
    <w:rsid w:val="005C626D"/>
    <w:rsid w:val="005C6FC4"/>
    <w:rsid w:val="005C784E"/>
    <w:rsid w:val="005D16B4"/>
    <w:rsid w:val="005D1DCD"/>
    <w:rsid w:val="005D23EE"/>
    <w:rsid w:val="005D2CCB"/>
    <w:rsid w:val="005D2DA8"/>
    <w:rsid w:val="005D2FD4"/>
    <w:rsid w:val="005D30D4"/>
    <w:rsid w:val="005D31FA"/>
    <w:rsid w:val="005D3F74"/>
    <w:rsid w:val="005D44D0"/>
    <w:rsid w:val="005D4615"/>
    <w:rsid w:val="005D4693"/>
    <w:rsid w:val="005D4E8E"/>
    <w:rsid w:val="005D53CF"/>
    <w:rsid w:val="005D543A"/>
    <w:rsid w:val="005D55CF"/>
    <w:rsid w:val="005D5981"/>
    <w:rsid w:val="005D6631"/>
    <w:rsid w:val="005D7303"/>
    <w:rsid w:val="005D7CB2"/>
    <w:rsid w:val="005E0ACA"/>
    <w:rsid w:val="005E0FAD"/>
    <w:rsid w:val="005E1FE7"/>
    <w:rsid w:val="005E233B"/>
    <w:rsid w:val="005E3615"/>
    <w:rsid w:val="005E363C"/>
    <w:rsid w:val="005E4378"/>
    <w:rsid w:val="005E447B"/>
    <w:rsid w:val="005E5D68"/>
    <w:rsid w:val="005E6063"/>
    <w:rsid w:val="005E6551"/>
    <w:rsid w:val="005E7737"/>
    <w:rsid w:val="005E7B90"/>
    <w:rsid w:val="005F08FC"/>
    <w:rsid w:val="005F0EF2"/>
    <w:rsid w:val="005F20DB"/>
    <w:rsid w:val="005F35A8"/>
    <w:rsid w:val="005F3C2C"/>
    <w:rsid w:val="005F47DE"/>
    <w:rsid w:val="005F4D5E"/>
    <w:rsid w:val="005F534F"/>
    <w:rsid w:val="005F5C18"/>
    <w:rsid w:val="005F5D33"/>
    <w:rsid w:val="005F5E44"/>
    <w:rsid w:val="005F7319"/>
    <w:rsid w:val="005F7B9C"/>
    <w:rsid w:val="005F7FCC"/>
    <w:rsid w:val="006004D2"/>
    <w:rsid w:val="00600A46"/>
    <w:rsid w:val="00600EEA"/>
    <w:rsid w:val="006010BA"/>
    <w:rsid w:val="006016AA"/>
    <w:rsid w:val="006026A3"/>
    <w:rsid w:val="00603850"/>
    <w:rsid w:val="00603CF1"/>
    <w:rsid w:val="006046FD"/>
    <w:rsid w:val="00604B3E"/>
    <w:rsid w:val="00604EC0"/>
    <w:rsid w:val="00604FA0"/>
    <w:rsid w:val="00605221"/>
    <w:rsid w:val="00605D4F"/>
    <w:rsid w:val="0060629E"/>
    <w:rsid w:val="00606CD2"/>
    <w:rsid w:val="006071A7"/>
    <w:rsid w:val="006118FA"/>
    <w:rsid w:val="00611CA3"/>
    <w:rsid w:val="00611E28"/>
    <w:rsid w:val="00612ECF"/>
    <w:rsid w:val="00613EBF"/>
    <w:rsid w:val="006142A5"/>
    <w:rsid w:val="006149F6"/>
    <w:rsid w:val="0061544D"/>
    <w:rsid w:val="00615B82"/>
    <w:rsid w:val="00616089"/>
    <w:rsid w:val="0061648D"/>
    <w:rsid w:val="00616D6E"/>
    <w:rsid w:val="0061767B"/>
    <w:rsid w:val="00617F75"/>
    <w:rsid w:val="006206D7"/>
    <w:rsid w:val="00620DD0"/>
    <w:rsid w:val="006218DA"/>
    <w:rsid w:val="0062273B"/>
    <w:rsid w:val="00622A1F"/>
    <w:rsid w:val="00623078"/>
    <w:rsid w:val="006235EB"/>
    <w:rsid w:val="006238A9"/>
    <w:rsid w:val="00623D2A"/>
    <w:rsid w:val="006241E7"/>
    <w:rsid w:val="006243D0"/>
    <w:rsid w:val="00624941"/>
    <w:rsid w:val="00624EF9"/>
    <w:rsid w:val="006258BA"/>
    <w:rsid w:val="00625B4C"/>
    <w:rsid w:val="006262BB"/>
    <w:rsid w:val="006276A8"/>
    <w:rsid w:val="00630174"/>
    <w:rsid w:val="006312EF"/>
    <w:rsid w:val="00631868"/>
    <w:rsid w:val="006318BA"/>
    <w:rsid w:val="00631A4A"/>
    <w:rsid w:val="00631B5A"/>
    <w:rsid w:val="00633326"/>
    <w:rsid w:val="00633811"/>
    <w:rsid w:val="00634676"/>
    <w:rsid w:val="00635404"/>
    <w:rsid w:val="00636459"/>
    <w:rsid w:val="006367F2"/>
    <w:rsid w:val="00637C88"/>
    <w:rsid w:val="00640BD7"/>
    <w:rsid w:val="00641D36"/>
    <w:rsid w:val="00642048"/>
    <w:rsid w:val="00642572"/>
    <w:rsid w:val="00642650"/>
    <w:rsid w:val="00642769"/>
    <w:rsid w:val="00643041"/>
    <w:rsid w:val="00643CFC"/>
    <w:rsid w:val="006444B9"/>
    <w:rsid w:val="00644A3A"/>
    <w:rsid w:val="00644B4A"/>
    <w:rsid w:val="00644E7B"/>
    <w:rsid w:val="006455A9"/>
    <w:rsid w:val="006456B7"/>
    <w:rsid w:val="006471EB"/>
    <w:rsid w:val="0064752C"/>
    <w:rsid w:val="006511C4"/>
    <w:rsid w:val="00651353"/>
    <w:rsid w:val="00651B25"/>
    <w:rsid w:val="00651DB0"/>
    <w:rsid w:val="0065207E"/>
    <w:rsid w:val="006526A5"/>
    <w:rsid w:val="006527A4"/>
    <w:rsid w:val="00653541"/>
    <w:rsid w:val="00653789"/>
    <w:rsid w:val="00654814"/>
    <w:rsid w:val="00654AF2"/>
    <w:rsid w:val="00654B7A"/>
    <w:rsid w:val="00654C55"/>
    <w:rsid w:val="006557E6"/>
    <w:rsid w:val="00655C06"/>
    <w:rsid w:val="00656CD7"/>
    <w:rsid w:val="00657B32"/>
    <w:rsid w:val="00657ECA"/>
    <w:rsid w:val="0066007A"/>
    <w:rsid w:val="006609DB"/>
    <w:rsid w:val="00660EA8"/>
    <w:rsid w:val="006623D6"/>
    <w:rsid w:val="006629E7"/>
    <w:rsid w:val="00664BE9"/>
    <w:rsid w:val="00664F4F"/>
    <w:rsid w:val="00665256"/>
    <w:rsid w:val="006652B8"/>
    <w:rsid w:val="00665391"/>
    <w:rsid w:val="006654DE"/>
    <w:rsid w:val="006667ED"/>
    <w:rsid w:val="00666B16"/>
    <w:rsid w:val="00666E11"/>
    <w:rsid w:val="00670035"/>
    <w:rsid w:val="00670A9E"/>
    <w:rsid w:val="0067161E"/>
    <w:rsid w:val="00671752"/>
    <w:rsid w:val="00671C1A"/>
    <w:rsid w:val="00671D68"/>
    <w:rsid w:val="00671E3C"/>
    <w:rsid w:val="006727DB"/>
    <w:rsid w:val="00672E2F"/>
    <w:rsid w:val="00673398"/>
    <w:rsid w:val="00674179"/>
    <w:rsid w:val="0067455C"/>
    <w:rsid w:val="00674D50"/>
    <w:rsid w:val="00674DE6"/>
    <w:rsid w:val="00676206"/>
    <w:rsid w:val="00676E32"/>
    <w:rsid w:val="00676FB4"/>
    <w:rsid w:val="006771D1"/>
    <w:rsid w:val="00677403"/>
    <w:rsid w:val="00680756"/>
    <w:rsid w:val="00681690"/>
    <w:rsid w:val="0068190B"/>
    <w:rsid w:val="00682420"/>
    <w:rsid w:val="00682D6E"/>
    <w:rsid w:val="00682D91"/>
    <w:rsid w:val="00682F24"/>
    <w:rsid w:val="00683BCF"/>
    <w:rsid w:val="00683E57"/>
    <w:rsid w:val="00684A76"/>
    <w:rsid w:val="00686978"/>
    <w:rsid w:val="00686C74"/>
    <w:rsid w:val="006874A1"/>
    <w:rsid w:val="006876F8"/>
    <w:rsid w:val="00687F1D"/>
    <w:rsid w:val="00690560"/>
    <w:rsid w:val="0069161E"/>
    <w:rsid w:val="00692A4A"/>
    <w:rsid w:val="00692AF3"/>
    <w:rsid w:val="00692CDE"/>
    <w:rsid w:val="0069312C"/>
    <w:rsid w:val="0069324F"/>
    <w:rsid w:val="00693FD8"/>
    <w:rsid w:val="00694CCC"/>
    <w:rsid w:val="00697866"/>
    <w:rsid w:val="006A0DB8"/>
    <w:rsid w:val="006A25E0"/>
    <w:rsid w:val="006A2FB2"/>
    <w:rsid w:val="006A3894"/>
    <w:rsid w:val="006A4616"/>
    <w:rsid w:val="006A5007"/>
    <w:rsid w:val="006A54FC"/>
    <w:rsid w:val="006A60E1"/>
    <w:rsid w:val="006A6322"/>
    <w:rsid w:val="006A71C4"/>
    <w:rsid w:val="006A7545"/>
    <w:rsid w:val="006B0009"/>
    <w:rsid w:val="006B1AF0"/>
    <w:rsid w:val="006B226C"/>
    <w:rsid w:val="006B2482"/>
    <w:rsid w:val="006B2744"/>
    <w:rsid w:val="006B47BE"/>
    <w:rsid w:val="006B542A"/>
    <w:rsid w:val="006B6615"/>
    <w:rsid w:val="006B739D"/>
    <w:rsid w:val="006B7807"/>
    <w:rsid w:val="006B79E9"/>
    <w:rsid w:val="006C018E"/>
    <w:rsid w:val="006C04DC"/>
    <w:rsid w:val="006C0FBE"/>
    <w:rsid w:val="006C15A9"/>
    <w:rsid w:val="006C28D7"/>
    <w:rsid w:val="006C2D98"/>
    <w:rsid w:val="006C358B"/>
    <w:rsid w:val="006C3E12"/>
    <w:rsid w:val="006C5066"/>
    <w:rsid w:val="006C5768"/>
    <w:rsid w:val="006C6030"/>
    <w:rsid w:val="006C71CA"/>
    <w:rsid w:val="006D0B30"/>
    <w:rsid w:val="006D16C6"/>
    <w:rsid w:val="006D22B3"/>
    <w:rsid w:val="006D3248"/>
    <w:rsid w:val="006D3B46"/>
    <w:rsid w:val="006D52C9"/>
    <w:rsid w:val="006D55B1"/>
    <w:rsid w:val="006E0336"/>
    <w:rsid w:val="006E2A2A"/>
    <w:rsid w:val="006E36A4"/>
    <w:rsid w:val="006E38A9"/>
    <w:rsid w:val="006E39B9"/>
    <w:rsid w:val="006E3DE2"/>
    <w:rsid w:val="006E495F"/>
    <w:rsid w:val="006E4AEE"/>
    <w:rsid w:val="006E54E1"/>
    <w:rsid w:val="006E74C9"/>
    <w:rsid w:val="006F03B2"/>
    <w:rsid w:val="006F0478"/>
    <w:rsid w:val="006F137B"/>
    <w:rsid w:val="006F156E"/>
    <w:rsid w:val="006F18E6"/>
    <w:rsid w:val="006F1CE9"/>
    <w:rsid w:val="006F201C"/>
    <w:rsid w:val="006F2DBF"/>
    <w:rsid w:val="006F3878"/>
    <w:rsid w:val="006F4531"/>
    <w:rsid w:val="006F484D"/>
    <w:rsid w:val="006F58BD"/>
    <w:rsid w:val="006F6C37"/>
    <w:rsid w:val="006F6DCF"/>
    <w:rsid w:val="006F7CFD"/>
    <w:rsid w:val="0070044A"/>
    <w:rsid w:val="00703DF7"/>
    <w:rsid w:val="0070479F"/>
    <w:rsid w:val="00705BA8"/>
    <w:rsid w:val="00705FEB"/>
    <w:rsid w:val="00706677"/>
    <w:rsid w:val="00706BC3"/>
    <w:rsid w:val="007107C6"/>
    <w:rsid w:val="007112CE"/>
    <w:rsid w:val="0071138E"/>
    <w:rsid w:val="00711523"/>
    <w:rsid w:val="007126FD"/>
    <w:rsid w:val="007141CB"/>
    <w:rsid w:val="0071428A"/>
    <w:rsid w:val="00714345"/>
    <w:rsid w:val="00714DDD"/>
    <w:rsid w:val="007156D2"/>
    <w:rsid w:val="007162E1"/>
    <w:rsid w:val="007171E6"/>
    <w:rsid w:val="00720CB3"/>
    <w:rsid w:val="00722888"/>
    <w:rsid w:val="0072312A"/>
    <w:rsid w:val="00723167"/>
    <w:rsid w:val="00724B29"/>
    <w:rsid w:val="0072792C"/>
    <w:rsid w:val="007303E9"/>
    <w:rsid w:val="00731A6D"/>
    <w:rsid w:val="00731CDC"/>
    <w:rsid w:val="00731D94"/>
    <w:rsid w:val="00732079"/>
    <w:rsid w:val="0073229C"/>
    <w:rsid w:val="00732512"/>
    <w:rsid w:val="007325C4"/>
    <w:rsid w:val="00732A4F"/>
    <w:rsid w:val="00734AEB"/>
    <w:rsid w:val="00736C6F"/>
    <w:rsid w:val="007371F8"/>
    <w:rsid w:val="0074010C"/>
    <w:rsid w:val="007413EB"/>
    <w:rsid w:val="00741682"/>
    <w:rsid w:val="00741F4D"/>
    <w:rsid w:val="0074229C"/>
    <w:rsid w:val="007426B0"/>
    <w:rsid w:val="00743E49"/>
    <w:rsid w:val="0074458A"/>
    <w:rsid w:val="0074476D"/>
    <w:rsid w:val="00744BBC"/>
    <w:rsid w:val="00744C20"/>
    <w:rsid w:val="00746633"/>
    <w:rsid w:val="00746CFC"/>
    <w:rsid w:val="00747C62"/>
    <w:rsid w:val="007502F1"/>
    <w:rsid w:val="00750472"/>
    <w:rsid w:val="007507E6"/>
    <w:rsid w:val="00750A15"/>
    <w:rsid w:val="0075170E"/>
    <w:rsid w:val="007518E7"/>
    <w:rsid w:val="00751EA6"/>
    <w:rsid w:val="0075255C"/>
    <w:rsid w:val="007525F4"/>
    <w:rsid w:val="00752D71"/>
    <w:rsid w:val="0075380A"/>
    <w:rsid w:val="0075433E"/>
    <w:rsid w:val="00755068"/>
    <w:rsid w:val="007554A9"/>
    <w:rsid w:val="00755607"/>
    <w:rsid w:val="00756662"/>
    <w:rsid w:val="00757159"/>
    <w:rsid w:val="007574E6"/>
    <w:rsid w:val="00757C59"/>
    <w:rsid w:val="00761EFB"/>
    <w:rsid w:val="00762230"/>
    <w:rsid w:val="00762400"/>
    <w:rsid w:val="00763267"/>
    <w:rsid w:val="00764030"/>
    <w:rsid w:val="007654F8"/>
    <w:rsid w:val="00765601"/>
    <w:rsid w:val="00766A37"/>
    <w:rsid w:val="0076737E"/>
    <w:rsid w:val="0077111C"/>
    <w:rsid w:val="00771274"/>
    <w:rsid w:val="00772620"/>
    <w:rsid w:val="0077298D"/>
    <w:rsid w:val="00772F99"/>
    <w:rsid w:val="0077300A"/>
    <w:rsid w:val="0077340E"/>
    <w:rsid w:val="00774448"/>
    <w:rsid w:val="00774559"/>
    <w:rsid w:val="00774727"/>
    <w:rsid w:val="007747C5"/>
    <w:rsid w:val="0077494B"/>
    <w:rsid w:val="00774D15"/>
    <w:rsid w:val="00774DF6"/>
    <w:rsid w:val="0077513B"/>
    <w:rsid w:val="00775996"/>
    <w:rsid w:val="00776410"/>
    <w:rsid w:val="00776A60"/>
    <w:rsid w:val="00777929"/>
    <w:rsid w:val="00780DBC"/>
    <w:rsid w:val="00781631"/>
    <w:rsid w:val="00781A0E"/>
    <w:rsid w:val="00781B27"/>
    <w:rsid w:val="007835FC"/>
    <w:rsid w:val="00783B85"/>
    <w:rsid w:val="00785E3A"/>
    <w:rsid w:val="00786C3F"/>
    <w:rsid w:val="0078771C"/>
    <w:rsid w:val="007903BC"/>
    <w:rsid w:val="00790E00"/>
    <w:rsid w:val="0079201A"/>
    <w:rsid w:val="0079258F"/>
    <w:rsid w:val="007926FA"/>
    <w:rsid w:val="00792736"/>
    <w:rsid w:val="0079408F"/>
    <w:rsid w:val="0079481B"/>
    <w:rsid w:val="00795629"/>
    <w:rsid w:val="00795A87"/>
    <w:rsid w:val="00796FE7"/>
    <w:rsid w:val="00797449"/>
    <w:rsid w:val="007A10F4"/>
    <w:rsid w:val="007A124A"/>
    <w:rsid w:val="007A1DB0"/>
    <w:rsid w:val="007A28DC"/>
    <w:rsid w:val="007A2CE7"/>
    <w:rsid w:val="007A32C9"/>
    <w:rsid w:val="007A34FC"/>
    <w:rsid w:val="007A412A"/>
    <w:rsid w:val="007A466F"/>
    <w:rsid w:val="007A4E97"/>
    <w:rsid w:val="007A5CED"/>
    <w:rsid w:val="007B0835"/>
    <w:rsid w:val="007B0D45"/>
    <w:rsid w:val="007B28BE"/>
    <w:rsid w:val="007B3F30"/>
    <w:rsid w:val="007B40D1"/>
    <w:rsid w:val="007B4F9E"/>
    <w:rsid w:val="007B50CC"/>
    <w:rsid w:val="007B557A"/>
    <w:rsid w:val="007B5B04"/>
    <w:rsid w:val="007B5D7F"/>
    <w:rsid w:val="007B5DAF"/>
    <w:rsid w:val="007B63D0"/>
    <w:rsid w:val="007B65CD"/>
    <w:rsid w:val="007B694E"/>
    <w:rsid w:val="007B74CA"/>
    <w:rsid w:val="007B7FDC"/>
    <w:rsid w:val="007C129E"/>
    <w:rsid w:val="007C1687"/>
    <w:rsid w:val="007C1BE1"/>
    <w:rsid w:val="007C1E0D"/>
    <w:rsid w:val="007C203E"/>
    <w:rsid w:val="007C37E2"/>
    <w:rsid w:val="007C3973"/>
    <w:rsid w:val="007C41C8"/>
    <w:rsid w:val="007C4A8B"/>
    <w:rsid w:val="007C52F1"/>
    <w:rsid w:val="007C5C6E"/>
    <w:rsid w:val="007C5E1C"/>
    <w:rsid w:val="007C616D"/>
    <w:rsid w:val="007C75BC"/>
    <w:rsid w:val="007C7C0F"/>
    <w:rsid w:val="007D1F54"/>
    <w:rsid w:val="007D20C6"/>
    <w:rsid w:val="007D230F"/>
    <w:rsid w:val="007D23E3"/>
    <w:rsid w:val="007D2612"/>
    <w:rsid w:val="007D3D23"/>
    <w:rsid w:val="007D41B0"/>
    <w:rsid w:val="007D4818"/>
    <w:rsid w:val="007D4F29"/>
    <w:rsid w:val="007D638C"/>
    <w:rsid w:val="007D6BBF"/>
    <w:rsid w:val="007D7670"/>
    <w:rsid w:val="007E034A"/>
    <w:rsid w:val="007E0427"/>
    <w:rsid w:val="007E1697"/>
    <w:rsid w:val="007E174C"/>
    <w:rsid w:val="007E2137"/>
    <w:rsid w:val="007E21FD"/>
    <w:rsid w:val="007E2B67"/>
    <w:rsid w:val="007E376F"/>
    <w:rsid w:val="007E484C"/>
    <w:rsid w:val="007E569A"/>
    <w:rsid w:val="007E5CA1"/>
    <w:rsid w:val="007E5FF7"/>
    <w:rsid w:val="007E6808"/>
    <w:rsid w:val="007E6BA0"/>
    <w:rsid w:val="007E749F"/>
    <w:rsid w:val="007E7C4D"/>
    <w:rsid w:val="007F02E5"/>
    <w:rsid w:val="007F073F"/>
    <w:rsid w:val="007F0C28"/>
    <w:rsid w:val="007F10E7"/>
    <w:rsid w:val="007F225F"/>
    <w:rsid w:val="007F22F7"/>
    <w:rsid w:val="007F2725"/>
    <w:rsid w:val="007F3354"/>
    <w:rsid w:val="007F3889"/>
    <w:rsid w:val="007F3928"/>
    <w:rsid w:val="007F3A33"/>
    <w:rsid w:val="007F6354"/>
    <w:rsid w:val="007F78E9"/>
    <w:rsid w:val="008002FA"/>
    <w:rsid w:val="00800E94"/>
    <w:rsid w:val="008015CC"/>
    <w:rsid w:val="00801F80"/>
    <w:rsid w:val="00802BBC"/>
    <w:rsid w:val="00802D82"/>
    <w:rsid w:val="008040D1"/>
    <w:rsid w:val="00804FF8"/>
    <w:rsid w:val="00805CDD"/>
    <w:rsid w:val="00807292"/>
    <w:rsid w:val="0081060D"/>
    <w:rsid w:val="0081074A"/>
    <w:rsid w:val="0081075D"/>
    <w:rsid w:val="00810A03"/>
    <w:rsid w:val="00811502"/>
    <w:rsid w:val="008125C9"/>
    <w:rsid w:val="00812FBF"/>
    <w:rsid w:val="008133F5"/>
    <w:rsid w:val="008138BA"/>
    <w:rsid w:val="008138D1"/>
    <w:rsid w:val="008159CE"/>
    <w:rsid w:val="00816413"/>
    <w:rsid w:val="00821962"/>
    <w:rsid w:val="00821FEB"/>
    <w:rsid w:val="008246AA"/>
    <w:rsid w:val="00824768"/>
    <w:rsid w:val="00824952"/>
    <w:rsid w:val="00824987"/>
    <w:rsid w:val="00824B80"/>
    <w:rsid w:val="00825162"/>
    <w:rsid w:val="008255E9"/>
    <w:rsid w:val="008265EF"/>
    <w:rsid w:val="00826C03"/>
    <w:rsid w:val="0082724F"/>
    <w:rsid w:val="008272F3"/>
    <w:rsid w:val="00830A3D"/>
    <w:rsid w:val="00830D5E"/>
    <w:rsid w:val="00830E63"/>
    <w:rsid w:val="008316B1"/>
    <w:rsid w:val="00831954"/>
    <w:rsid w:val="00831A4F"/>
    <w:rsid w:val="00832213"/>
    <w:rsid w:val="0083246D"/>
    <w:rsid w:val="00832AA9"/>
    <w:rsid w:val="00833337"/>
    <w:rsid w:val="008340FE"/>
    <w:rsid w:val="008341B3"/>
    <w:rsid w:val="00835164"/>
    <w:rsid w:val="00835670"/>
    <w:rsid w:val="0083731A"/>
    <w:rsid w:val="00837FA4"/>
    <w:rsid w:val="0084030A"/>
    <w:rsid w:val="00840F59"/>
    <w:rsid w:val="00841E94"/>
    <w:rsid w:val="008420D4"/>
    <w:rsid w:val="00842367"/>
    <w:rsid w:val="00842DFB"/>
    <w:rsid w:val="00843C38"/>
    <w:rsid w:val="00844EDB"/>
    <w:rsid w:val="00844F8E"/>
    <w:rsid w:val="00845575"/>
    <w:rsid w:val="0084666C"/>
    <w:rsid w:val="0084678C"/>
    <w:rsid w:val="0084765B"/>
    <w:rsid w:val="00847E71"/>
    <w:rsid w:val="008514C7"/>
    <w:rsid w:val="00851E37"/>
    <w:rsid w:val="008523DB"/>
    <w:rsid w:val="00852C40"/>
    <w:rsid w:val="0085393C"/>
    <w:rsid w:val="008543F6"/>
    <w:rsid w:val="00854BCD"/>
    <w:rsid w:val="00855D97"/>
    <w:rsid w:val="0085668A"/>
    <w:rsid w:val="00856E7B"/>
    <w:rsid w:val="0086024E"/>
    <w:rsid w:val="008618C0"/>
    <w:rsid w:val="0086397D"/>
    <w:rsid w:val="0086432C"/>
    <w:rsid w:val="0086598B"/>
    <w:rsid w:val="0086772C"/>
    <w:rsid w:val="008678CD"/>
    <w:rsid w:val="00867C05"/>
    <w:rsid w:val="008701CE"/>
    <w:rsid w:val="0087095E"/>
    <w:rsid w:val="00871398"/>
    <w:rsid w:val="00871F59"/>
    <w:rsid w:val="0087354F"/>
    <w:rsid w:val="00874AFD"/>
    <w:rsid w:val="00874D78"/>
    <w:rsid w:val="00875BB5"/>
    <w:rsid w:val="00875C5F"/>
    <w:rsid w:val="00875D2E"/>
    <w:rsid w:val="00876180"/>
    <w:rsid w:val="00876693"/>
    <w:rsid w:val="00877924"/>
    <w:rsid w:val="0088112F"/>
    <w:rsid w:val="008814FB"/>
    <w:rsid w:val="00881EBA"/>
    <w:rsid w:val="008823F6"/>
    <w:rsid w:val="00882768"/>
    <w:rsid w:val="00884C69"/>
    <w:rsid w:val="00885375"/>
    <w:rsid w:val="00885F14"/>
    <w:rsid w:val="008869B6"/>
    <w:rsid w:val="00887331"/>
    <w:rsid w:val="00890183"/>
    <w:rsid w:val="008907BD"/>
    <w:rsid w:val="00890A15"/>
    <w:rsid w:val="00890C95"/>
    <w:rsid w:val="008917AF"/>
    <w:rsid w:val="00891A55"/>
    <w:rsid w:val="00892458"/>
    <w:rsid w:val="00892642"/>
    <w:rsid w:val="00893332"/>
    <w:rsid w:val="008934FA"/>
    <w:rsid w:val="008936B8"/>
    <w:rsid w:val="00893B13"/>
    <w:rsid w:val="00894F92"/>
    <w:rsid w:val="008958A0"/>
    <w:rsid w:val="008961E0"/>
    <w:rsid w:val="008967FD"/>
    <w:rsid w:val="008975C9"/>
    <w:rsid w:val="008A0398"/>
    <w:rsid w:val="008A08EE"/>
    <w:rsid w:val="008A0A01"/>
    <w:rsid w:val="008A0DE0"/>
    <w:rsid w:val="008A1BC3"/>
    <w:rsid w:val="008A1F70"/>
    <w:rsid w:val="008A2093"/>
    <w:rsid w:val="008A2A0C"/>
    <w:rsid w:val="008A3F8E"/>
    <w:rsid w:val="008A406C"/>
    <w:rsid w:val="008A45CA"/>
    <w:rsid w:val="008A483B"/>
    <w:rsid w:val="008A4860"/>
    <w:rsid w:val="008A56D2"/>
    <w:rsid w:val="008B06C5"/>
    <w:rsid w:val="008B100A"/>
    <w:rsid w:val="008B13F1"/>
    <w:rsid w:val="008B1F42"/>
    <w:rsid w:val="008B23B3"/>
    <w:rsid w:val="008B2433"/>
    <w:rsid w:val="008B2566"/>
    <w:rsid w:val="008B2AE2"/>
    <w:rsid w:val="008B30EA"/>
    <w:rsid w:val="008B5590"/>
    <w:rsid w:val="008B5715"/>
    <w:rsid w:val="008B590C"/>
    <w:rsid w:val="008B6B85"/>
    <w:rsid w:val="008C0F8C"/>
    <w:rsid w:val="008C2A2F"/>
    <w:rsid w:val="008C31CE"/>
    <w:rsid w:val="008C334F"/>
    <w:rsid w:val="008C3D9D"/>
    <w:rsid w:val="008C4755"/>
    <w:rsid w:val="008C58B6"/>
    <w:rsid w:val="008C6F8F"/>
    <w:rsid w:val="008C7F3F"/>
    <w:rsid w:val="008D0264"/>
    <w:rsid w:val="008D1490"/>
    <w:rsid w:val="008D14DC"/>
    <w:rsid w:val="008D2D3C"/>
    <w:rsid w:val="008D3191"/>
    <w:rsid w:val="008D31F6"/>
    <w:rsid w:val="008D357E"/>
    <w:rsid w:val="008D3E14"/>
    <w:rsid w:val="008D44D1"/>
    <w:rsid w:val="008D4CEF"/>
    <w:rsid w:val="008D6C30"/>
    <w:rsid w:val="008D6F09"/>
    <w:rsid w:val="008D7360"/>
    <w:rsid w:val="008D7F37"/>
    <w:rsid w:val="008E1A87"/>
    <w:rsid w:val="008E1F99"/>
    <w:rsid w:val="008E2FA3"/>
    <w:rsid w:val="008E3C7B"/>
    <w:rsid w:val="008E4FE9"/>
    <w:rsid w:val="008E5007"/>
    <w:rsid w:val="008E5A7E"/>
    <w:rsid w:val="008E5E46"/>
    <w:rsid w:val="008E5ED9"/>
    <w:rsid w:val="008E699D"/>
    <w:rsid w:val="008E7B20"/>
    <w:rsid w:val="008E7F84"/>
    <w:rsid w:val="008F05C0"/>
    <w:rsid w:val="008F0D17"/>
    <w:rsid w:val="008F0ED2"/>
    <w:rsid w:val="008F1B78"/>
    <w:rsid w:val="008F22D2"/>
    <w:rsid w:val="008F27B9"/>
    <w:rsid w:val="008F2C1D"/>
    <w:rsid w:val="008F36CE"/>
    <w:rsid w:val="008F44CD"/>
    <w:rsid w:val="008F44DE"/>
    <w:rsid w:val="008F4965"/>
    <w:rsid w:val="008F4A23"/>
    <w:rsid w:val="008F4A88"/>
    <w:rsid w:val="008F59E0"/>
    <w:rsid w:val="008F61EC"/>
    <w:rsid w:val="008F7D65"/>
    <w:rsid w:val="008F7F92"/>
    <w:rsid w:val="0090225F"/>
    <w:rsid w:val="00902697"/>
    <w:rsid w:val="009035F2"/>
    <w:rsid w:val="00903B12"/>
    <w:rsid w:val="00903F3F"/>
    <w:rsid w:val="00904018"/>
    <w:rsid w:val="00904473"/>
    <w:rsid w:val="00904912"/>
    <w:rsid w:val="00905D4D"/>
    <w:rsid w:val="00906C25"/>
    <w:rsid w:val="009117C5"/>
    <w:rsid w:val="00911C93"/>
    <w:rsid w:val="00911E7D"/>
    <w:rsid w:val="00912369"/>
    <w:rsid w:val="00912372"/>
    <w:rsid w:val="00912404"/>
    <w:rsid w:val="00912766"/>
    <w:rsid w:val="00913BD0"/>
    <w:rsid w:val="0091480A"/>
    <w:rsid w:val="0091507B"/>
    <w:rsid w:val="009150A0"/>
    <w:rsid w:val="00915126"/>
    <w:rsid w:val="0091527B"/>
    <w:rsid w:val="00916192"/>
    <w:rsid w:val="009164A9"/>
    <w:rsid w:val="0091731A"/>
    <w:rsid w:val="00917C30"/>
    <w:rsid w:val="00917DB4"/>
    <w:rsid w:val="00920160"/>
    <w:rsid w:val="0092016C"/>
    <w:rsid w:val="0092017B"/>
    <w:rsid w:val="0092146B"/>
    <w:rsid w:val="00921D5D"/>
    <w:rsid w:val="009226C3"/>
    <w:rsid w:val="00922748"/>
    <w:rsid w:val="00922769"/>
    <w:rsid w:val="0092325F"/>
    <w:rsid w:val="009235DC"/>
    <w:rsid w:val="00924362"/>
    <w:rsid w:val="009248E3"/>
    <w:rsid w:val="0092504C"/>
    <w:rsid w:val="00927E57"/>
    <w:rsid w:val="0093038B"/>
    <w:rsid w:val="00930985"/>
    <w:rsid w:val="00930D04"/>
    <w:rsid w:val="009328B6"/>
    <w:rsid w:val="009331BA"/>
    <w:rsid w:val="0093325A"/>
    <w:rsid w:val="0093379C"/>
    <w:rsid w:val="00933F3B"/>
    <w:rsid w:val="00933F52"/>
    <w:rsid w:val="00934283"/>
    <w:rsid w:val="0093644B"/>
    <w:rsid w:val="00937D4E"/>
    <w:rsid w:val="00940515"/>
    <w:rsid w:val="00940A8D"/>
    <w:rsid w:val="00940FDE"/>
    <w:rsid w:val="00941044"/>
    <w:rsid w:val="00941602"/>
    <w:rsid w:val="00941676"/>
    <w:rsid w:val="00942A22"/>
    <w:rsid w:val="00942BB9"/>
    <w:rsid w:val="00943292"/>
    <w:rsid w:val="00943FF6"/>
    <w:rsid w:val="0094597E"/>
    <w:rsid w:val="00946457"/>
    <w:rsid w:val="00952464"/>
    <w:rsid w:val="009529BE"/>
    <w:rsid w:val="00952A60"/>
    <w:rsid w:val="00952D8E"/>
    <w:rsid w:val="00952FDB"/>
    <w:rsid w:val="009540B6"/>
    <w:rsid w:val="00954148"/>
    <w:rsid w:val="00954378"/>
    <w:rsid w:val="0095485F"/>
    <w:rsid w:val="00954D4E"/>
    <w:rsid w:val="00955423"/>
    <w:rsid w:val="00955786"/>
    <w:rsid w:val="00955D93"/>
    <w:rsid w:val="009579FC"/>
    <w:rsid w:val="009604A9"/>
    <w:rsid w:val="009613C5"/>
    <w:rsid w:val="00961E86"/>
    <w:rsid w:val="0096248E"/>
    <w:rsid w:val="009644AC"/>
    <w:rsid w:val="00964627"/>
    <w:rsid w:val="00964CEF"/>
    <w:rsid w:val="00965369"/>
    <w:rsid w:val="0096549C"/>
    <w:rsid w:val="009659E7"/>
    <w:rsid w:val="00965D18"/>
    <w:rsid w:val="00966069"/>
    <w:rsid w:val="0096691B"/>
    <w:rsid w:val="009700B2"/>
    <w:rsid w:val="009704FF"/>
    <w:rsid w:val="009710D8"/>
    <w:rsid w:val="0097177E"/>
    <w:rsid w:val="00971780"/>
    <w:rsid w:val="00971DFD"/>
    <w:rsid w:val="009720DB"/>
    <w:rsid w:val="00972CEB"/>
    <w:rsid w:val="0097311F"/>
    <w:rsid w:val="00974D17"/>
    <w:rsid w:val="009757BC"/>
    <w:rsid w:val="00975A34"/>
    <w:rsid w:val="0097600C"/>
    <w:rsid w:val="00976899"/>
    <w:rsid w:val="00977508"/>
    <w:rsid w:val="00977618"/>
    <w:rsid w:val="0098039D"/>
    <w:rsid w:val="00980998"/>
    <w:rsid w:val="00981CAD"/>
    <w:rsid w:val="00982532"/>
    <w:rsid w:val="00982B47"/>
    <w:rsid w:val="00982B51"/>
    <w:rsid w:val="00982C03"/>
    <w:rsid w:val="00983BC0"/>
    <w:rsid w:val="00985A98"/>
    <w:rsid w:val="00985AB1"/>
    <w:rsid w:val="009860F1"/>
    <w:rsid w:val="009862C3"/>
    <w:rsid w:val="009866A7"/>
    <w:rsid w:val="009869F1"/>
    <w:rsid w:val="00986A4A"/>
    <w:rsid w:val="00986AA2"/>
    <w:rsid w:val="00987086"/>
    <w:rsid w:val="00987376"/>
    <w:rsid w:val="0098767D"/>
    <w:rsid w:val="0098791D"/>
    <w:rsid w:val="00987A03"/>
    <w:rsid w:val="00987F4B"/>
    <w:rsid w:val="0099063F"/>
    <w:rsid w:val="00990FF8"/>
    <w:rsid w:val="009910D3"/>
    <w:rsid w:val="0099157F"/>
    <w:rsid w:val="00991692"/>
    <w:rsid w:val="00991F9D"/>
    <w:rsid w:val="0099263C"/>
    <w:rsid w:val="00992A26"/>
    <w:rsid w:val="009933F6"/>
    <w:rsid w:val="009952EC"/>
    <w:rsid w:val="009955C9"/>
    <w:rsid w:val="00995EC8"/>
    <w:rsid w:val="0099672A"/>
    <w:rsid w:val="00996856"/>
    <w:rsid w:val="00997299"/>
    <w:rsid w:val="009A167A"/>
    <w:rsid w:val="009A22C6"/>
    <w:rsid w:val="009A2B08"/>
    <w:rsid w:val="009A2DEB"/>
    <w:rsid w:val="009A2EB7"/>
    <w:rsid w:val="009A3283"/>
    <w:rsid w:val="009A4762"/>
    <w:rsid w:val="009A4A08"/>
    <w:rsid w:val="009A54AA"/>
    <w:rsid w:val="009A57EA"/>
    <w:rsid w:val="009A5F02"/>
    <w:rsid w:val="009B076E"/>
    <w:rsid w:val="009B2350"/>
    <w:rsid w:val="009B273D"/>
    <w:rsid w:val="009B3251"/>
    <w:rsid w:val="009B4ECF"/>
    <w:rsid w:val="009B617F"/>
    <w:rsid w:val="009C148E"/>
    <w:rsid w:val="009C2F5F"/>
    <w:rsid w:val="009C3DB9"/>
    <w:rsid w:val="009C453A"/>
    <w:rsid w:val="009C572B"/>
    <w:rsid w:val="009C65D6"/>
    <w:rsid w:val="009C6A77"/>
    <w:rsid w:val="009C6B57"/>
    <w:rsid w:val="009C78E7"/>
    <w:rsid w:val="009C7F6F"/>
    <w:rsid w:val="009C7FC2"/>
    <w:rsid w:val="009D01F7"/>
    <w:rsid w:val="009D0585"/>
    <w:rsid w:val="009D17D3"/>
    <w:rsid w:val="009D21BF"/>
    <w:rsid w:val="009D32F8"/>
    <w:rsid w:val="009D4FC3"/>
    <w:rsid w:val="009D6322"/>
    <w:rsid w:val="009D7754"/>
    <w:rsid w:val="009D791C"/>
    <w:rsid w:val="009D7CA9"/>
    <w:rsid w:val="009D7CBA"/>
    <w:rsid w:val="009D7DE4"/>
    <w:rsid w:val="009E08C3"/>
    <w:rsid w:val="009E0B19"/>
    <w:rsid w:val="009E0E8F"/>
    <w:rsid w:val="009E0F0D"/>
    <w:rsid w:val="009E1814"/>
    <w:rsid w:val="009E1BA1"/>
    <w:rsid w:val="009E209A"/>
    <w:rsid w:val="009E2BC2"/>
    <w:rsid w:val="009E33A3"/>
    <w:rsid w:val="009E491C"/>
    <w:rsid w:val="009E49B4"/>
    <w:rsid w:val="009E564A"/>
    <w:rsid w:val="009E6900"/>
    <w:rsid w:val="009E6AE8"/>
    <w:rsid w:val="009E6E4E"/>
    <w:rsid w:val="009F009E"/>
    <w:rsid w:val="009F0186"/>
    <w:rsid w:val="009F04DB"/>
    <w:rsid w:val="009F1DC8"/>
    <w:rsid w:val="009F229A"/>
    <w:rsid w:val="009F2C08"/>
    <w:rsid w:val="009F51AC"/>
    <w:rsid w:val="009F5235"/>
    <w:rsid w:val="009F5905"/>
    <w:rsid w:val="009F675F"/>
    <w:rsid w:val="009F683C"/>
    <w:rsid w:val="009F6C61"/>
    <w:rsid w:val="009F7CE9"/>
    <w:rsid w:val="00A00AB5"/>
    <w:rsid w:val="00A01654"/>
    <w:rsid w:val="00A01F5F"/>
    <w:rsid w:val="00A0271E"/>
    <w:rsid w:val="00A02B74"/>
    <w:rsid w:val="00A02BFD"/>
    <w:rsid w:val="00A03082"/>
    <w:rsid w:val="00A038ED"/>
    <w:rsid w:val="00A03CCF"/>
    <w:rsid w:val="00A03CD2"/>
    <w:rsid w:val="00A04B6B"/>
    <w:rsid w:val="00A04C1D"/>
    <w:rsid w:val="00A054C3"/>
    <w:rsid w:val="00A05C5B"/>
    <w:rsid w:val="00A06BBF"/>
    <w:rsid w:val="00A07DD8"/>
    <w:rsid w:val="00A1039B"/>
    <w:rsid w:val="00A11091"/>
    <w:rsid w:val="00A11EC4"/>
    <w:rsid w:val="00A1311A"/>
    <w:rsid w:val="00A14120"/>
    <w:rsid w:val="00A15626"/>
    <w:rsid w:val="00A16FE1"/>
    <w:rsid w:val="00A21C99"/>
    <w:rsid w:val="00A2214E"/>
    <w:rsid w:val="00A228AA"/>
    <w:rsid w:val="00A2422B"/>
    <w:rsid w:val="00A2572D"/>
    <w:rsid w:val="00A25ACE"/>
    <w:rsid w:val="00A26646"/>
    <w:rsid w:val="00A30385"/>
    <w:rsid w:val="00A30FF5"/>
    <w:rsid w:val="00A318F7"/>
    <w:rsid w:val="00A32077"/>
    <w:rsid w:val="00A322D7"/>
    <w:rsid w:val="00A32612"/>
    <w:rsid w:val="00A32895"/>
    <w:rsid w:val="00A329F7"/>
    <w:rsid w:val="00A3376A"/>
    <w:rsid w:val="00A347F0"/>
    <w:rsid w:val="00A34802"/>
    <w:rsid w:val="00A35812"/>
    <w:rsid w:val="00A3598A"/>
    <w:rsid w:val="00A35C76"/>
    <w:rsid w:val="00A35D36"/>
    <w:rsid w:val="00A362F4"/>
    <w:rsid w:val="00A36D6F"/>
    <w:rsid w:val="00A378AB"/>
    <w:rsid w:val="00A37CB3"/>
    <w:rsid w:val="00A40AEE"/>
    <w:rsid w:val="00A4150D"/>
    <w:rsid w:val="00A4393E"/>
    <w:rsid w:val="00A464AB"/>
    <w:rsid w:val="00A47C3A"/>
    <w:rsid w:val="00A47F83"/>
    <w:rsid w:val="00A508ED"/>
    <w:rsid w:val="00A509A5"/>
    <w:rsid w:val="00A50AEF"/>
    <w:rsid w:val="00A52249"/>
    <w:rsid w:val="00A53E20"/>
    <w:rsid w:val="00A54C2F"/>
    <w:rsid w:val="00A55E10"/>
    <w:rsid w:val="00A56471"/>
    <w:rsid w:val="00A57D8F"/>
    <w:rsid w:val="00A57F61"/>
    <w:rsid w:val="00A60B48"/>
    <w:rsid w:val="00A60D92"/>
    <w:rsid w:val="00A60E54"/>
    <w:rsid w:val="00A619D1"/>
    <w:rsid w:val="00A62F56"/>
    <w:rsid w:val="00A63A8D"/>
    <w:rsid w:val="00A65948"/>
    <w:rsid w:val="00A66A11"/>
    <w:rsid w:val="00A66E73"/>
    <w:rsid w:val="00A67DF3"/>
    <w:rsid w:val="00A70843"/>
    <w:rsid w:val="00A70963"/>
    <w:rsid w:val="00A71306"/>
    <w:rsid w:val="00A71487"/>
    <w:rsid w:val="00A717A8"/>
    <w:rsid w:val="00A71B7D"/>
    <w:rsid w:val="00A727C8"/>
    <w:rsid w:val="00A73503"/>
    <w:rsid w:val="00A74894"/>
    <w:rsid w:val="00A75244"/>
    <w:rsid w:val="00A7560D"/>
    <w:rsid w:val="00A756C6"/>
    <w:rsid w:val="00A76856"/>
    <w:rsid w:val="00A80495"/>
    <w:rsid w:val="00A80D47"/>
    <w:rsid w:val="00A812AF"/>
    <w:rsid w:val="00A82601"/>
    <w:rsid w:val="00A82A40"/>
    <w:rsid w:val="00A82A58"/>
    <w:rsid w:val="00A8317E"/>
    <w:rsid w:val="00A83BA4"/>
    <w:rsid w:val="00A83E3B"/>
    <w:rsid w:val="00A83E7E"/>
    <w:rsid w:val="00A84159"/>
    <w:rsid w:val="00A84C73"/>
    <w:rsid w:val="00A85AE2"/>
    <w:rsid w:val="00A85B6B"/>
    <w:rsid w:val="00A85CC8"/>
    <w:rsid w:val="00A863FA"/>
    <w:rsid w:val="00A86519"/>
    <w:rsid w:val="00A86D0E"/>
    <w:rsid w:val="00A90E6D"/>
    <w:rsid w:val="00A9139A"/>
    <w:rsid w:val="00A91468"/>
    <w:rsid w:val="00A93637"/>
    <w:rsid w:val="00A93C4C"/>
    <w:rsid w:val="00A94F4F"/>
    <w:rsid w:val="00A95D21"/>
    <w:rsid w:val="00A95E1B"/>
    <w:rsid w:val="00A9686B"/>
    <w:rsid w:val="00A96C1B"/>
    <w:rsid w:val="00A97867"/>
    <w:rsid w:val="00A97D07"/>
    <w:rsid w:val="00AA028E"/>
    <w:rsid w:val="00AA0338"/>
    <w:rsid w:val="00AA0769"/>
    <w:rsid w:val="00AA0FEF"/>
    <w:rsid w:val="00AA2B7A"/>
    <w:rsid w:val="00AA2C39"/>
    <w:rsid w:val="00AA3789"/>
    <w:rsid w:val="00AA3E41"/>
    <w:rsid w:val="00AA550A"/>
    <w:rsid w:val="00AB1E1D"/>
    <w:rsid w:val="00AB1FA2"/>
    <w:rsid w:val="00AB27A8"/>
    <w:rsid w:val="00AB2F53"/>
    <w:rsid w:val="00AB3535"/>
    <w:rsid w:val="00AB388E"/>
    <w:rsid w:val="00AB3FE1"/>
    <w:rsid w:val="00AB4343"/>
    <w:rsid w:val="00AB45C5"/>
    <w:rsid w:val="00AB5199"/>
    <w:rsid w:val="00AB60B1"/>
    <w:rsid w:val="00AB6A88"/>
    <w:rsid w:val="00AB6C6C"/>
    <w:rsid w:val="00AB6F4F"/>
    <w:rsid w:val="00AB78BF"/>
    <w:rsid w:val="00AC00E9"/>
    <w:rsid w:val="00AC175E"/>
    <w:rsid w:val="00AC187E"/>
    <w:rsid w:val="00AC2775"/>
    <w:rsid w:val="00AC3EE9"/>
    <w:rsid w:val="00AC444E"/>
    <w:rsid w:val="00AC4F1D"/>
    <w:rsid w:val="00AC643E"/>
    <w:rsid w:val="00AC755E"/>
    <w:rsid w:val="00AC77E8"/>
    <w:rsid w:val="00AC7B1B"/>
    <w:rsid w:val="00AD043E"/>
    <w:rsid w:val="00AD0E7E"/>
    <w:rsid w:val="00AD2684"/>
    <w:rsid w:val="00AD27B4"/>
    <w:rsid w:val="00AD2ABF"/>
    <w:rsid w:val="00AD34CB"/>
    <w:rsid w:val="00AD39F9"/>
    <w:rsid w:val="00AD584E"/>
    <w:rsid w:val="00AD59F8"/>
    <w:rsid w:val="00AD5FA9"/>
    <w:rsid w:val="00AD64BE"/>
    <w:rsid w:val="00AD6576"/>
    <w:rsid w:val="00AD723B"/>
    <w:rsid w:val="00AD770D"/>
    <w:rsid w:val="00AE0F2A"/>
    <w:rsid w:val="00AE12B0"/>
    <w:rsid w:val="00AE188D"/>
    <w:rsid w:val="00AE2B4D"/>
    <w:rsid w:val="00AE4100"/>
    <w:rsid w:val="00AE555B"/>
    <w:rsid w:val="00AE5C30"/>
    <w:rsid w:val="00AE64C9"/>
    <w:rsid w:val="00AE684B"/>
    <w:rsid w:val="00AE70EF"/>
    <w:rsid w:val="00AE7886"/>
    <w:rsid w:val="00AE7E1C"/>
    <w:rsid w:val="00AF0C79"/>
    <w:rsid w:val="00AF11FB"/>
    <w:rsid w:val="00AF1AC3"/>
    <w:rsid w:val="00AF1F1A"/>
    <w:rsid w:val="00AF20CA"/>
    <w:rsid w:val="00AF23D1"/>
    <w:rsid w:val="00AF32E6"/>
    <w:rsid w:val="00AF3C11"/>
    <w:rsid w:val="00AF3E59"/>
    <w:rsid w:val="00AF41ED"/>
    <w:rsid w:val="00AF4219"/>
    <w:rsid w:val="00AF5714"/>
    <w:rsid w:val="00AF5E5A"/>
    <w:rsid w:val="00AF6761"/>
    <w:rsid w:val="00AF68D5"/>
    <w:rsid w:val="00AF75BD"/>
    <w:rsid w:val="00AF7C74"/>
    <w:rsid w:val="00B00300"/>
    <w:rsid w:val="00B004CB"/>
    <w:rsid w:val="00B00662"/>
    <w:rsid w:val="00B00FCF"/>
    <w:rsid w:val="00B0103B"/>
    <w:rsid w:val="00B017E5"/>
    <w:rsid w:val="00B0269C"/>
    <w:rsid w:val="00B02821"/>
    <w:rsid w:val="00B0465C"/>
    <w:rsid w:val="00B06002"/>
    <w:rsid w:val="00B064BD"/>
    <w:rsid w:val="00B06872"/>
    <w:rsid w:val="00B07FAD"/>
    <w:rsid w:val="00B103C0"/>
    <w:rsid w:val="00B11BC0"/>
    <w:rsid w:val="00B13DBA"/>
    <w:rsid w:val="00B142A6"/>
    <w:rsid w:val="00B14EF5"/>
    <w:rsid w:val="00B15328"/>
    <w:rsid w:val="00B159A8"/>
    <w:rsid w:val="00B16723"/>
    <w:rsid w:val="00B16D8A"/>
    <w:rsid w:val="00B2086B"/>
    <w:rsid w:val="00B21D14"/>
    <w:rsid w:val="00B21F85"/>
    <w:rsid w:val="00B22F79"/>
    <w:rsid w:val="00B241BD"/>
    <w:rsid w:val="00B24B35"/>
    <w:rsid w:val="00B24D1D"/>
    <w:rsid w:val="00B25D95"/>
    <w:rsid w:val="00B263DE"/>
    <w:rsid w:val="00B264E6"/>
    <w:rsid w:val="00B27706"/>
    <w:rsid w:val="00B3014C"/>
    <w:rsid w:val="00B30966"/>
    <w:rsid w:val="00B313B6"/>
    <w:rsid w:val="00B31960"/>
    <w:rsid w:val="00B31972"/>
    <w:rsid w:val="00B3253A"/>
    <w:rsid w:val="00B327E7"/>
    <w:rsid w:val="00B34582"/>
    <w:rsid w:val="00B34E8C"/>
    <w:rsid w:val="00B3649F"/>
    <w:rsid w:val="00B41972"/>
    <w:rsid w:val="00B41E81"/>
    <w:rsid w:val="00B42145"/>
    <w:rsid w:val="00B42F5D"/>
    <w:rsid w:val="00B42FC6"/>
    <w:rsid w:val="00B43097"/>
    <w:rsid w:val="00B43184"/>
    <w:rsid w:val="00B44ED9"/>
    <w:rsid w:val="00B45127"/>
    <w:rsid w:val="00B455FE"/>
    <w:rsid w:val="00B45779"/>
    <w:rsid w:val="00B4695C"/>
    <w:rsid w:val="00B46BB0"/>
    <w:rsid w:val="00B47148"/>
    <w:rsid w:val="00B4733D"/>
    <w:rsid w:val="00B47C1D"/>
    <w:rsid w:val="00B50DF8"/>
    <w:rsid w:val="00B5194C"/>
    <w:rsid w:val="00B51D0D"/>
    <w:rsid w:val="00B526CA"/>
    <w:rsid w:val="00B5281A"/>
    <w:rsid w:val="00B53840"/>
    <w:rsid w:val="00B53AA5"/>
    <w:rsid w:val="00B53B32"/>
    <w:rsid w:val="00B54502"/>
    <w:rsid w:val="00B54D19"/>
    <w:rsid w:val="00B5525F"/>
    <w:rsid w:val="00B5544F"/>
    <w:rsid w:val="00B56133"/>
    <w:rsid w:val="00B56B56"/>
    <w:rsid w:val="00B56B63"/>
    <w:rsid w:val="00B57534"/>
    <w:rsid w:val="00B6066D"/>
    <w:rsid w:val="00B6075E"/>
    <w:rsid w:val="00B612F2"/>
    <w:rsid w:val="00B6184E"/>
    <w:rsid w:val="00B61DAF"/>
    <w:rsid w:val="00B63826"/>
    <w:rsid w:val="00B63BD8"/>
    <w:rsid w:val="00B64001"/>
    <w:rsid w:val="00B6417C"/>
    <w:rsid w:val="00B6437F"/>
    <w:rsid w:val="00B672EE"/>
    <w:rsid w:val="00B673F3"/>
    <w:rsid w:val="00B675E7"/>
    <w:rsid w:val="00B703B7"/>
    <w:rsid w:val="00B70489"/>
    <w:rsid w:val="00B7081A"/>
    <w:rsid w:val="00B7199D"/>
    <w:rsid w:val="00B71FD5"/>
    <w:rsid w:val="00B7214C"/>
    <w:rsid w:val="00B72CA5"/>
    <w:rsid w:val="00B730E0"/>
    <w:rsid w:val="00B7349E"/>
    <w:rsid w:val="00B75FA0"/>
    <w:rsid w:val="00B76294"/>
    <w:rsid w:val="00B76417"/>
    <w:rsid w:val="00B76E4A"/>
    <w:rsid w:val="00B773BB"/>
    <w:rsid w:val="00B80740"/>
    <w:rsid w:val="00B808FA"/>
    <w:rsid w:val="00B80C2A"/>
    <w:rsid w:val="00B81657"/>
    <w:rsid w:val="00B827D7"/>
    <w:rsid w:val="00B82C9C"/>
    <w:rsid w:val="00B836FF"/>
    <w:rsid w:val="00B83821"/>
    <w:rsid w:val="00B84124"/>
    <w:rsid w:val="00B84C6D"/>
    <w:rsid w:val="00B85204"/>
    <w:rsid w:val="00B8563B"/>
    <w:rsid w:val="00B857EE"/>
    <w:rsid w:val="00B870D7"/>
    <w:rsid w:val="00B8773D"/>
    <w:rsid w:val="00B9007C"/>
    <w:rsid w:val="00B90B4C"/>
    <w:rsid w:val="00B91DF9"/>
    <w:rsid w:val="00B9295E"/>
    <w:rsid w:val="00B929AF"/>
    <w:rsid w:val="00B93D17"/>
    <w:rsid w:val="00B949B5"/>
    <w:rsid w:val="00B95670"/>
    <w:rsid w:val="00B9631B"/>
    <w:rsid w:val="00B96DCB"/>
    <w:rsid w:val="00BA0343"/>
    <w:rsid w:val="00BA0482"/>
    <w:rsid w:val="00BA0AF9"/>
    <w:rsid w:val="00BA16BA"/>
    <w:rsid w:val="00BA26DF"/>
    <w:rsid w:val="00BA38DB"/>
    <w:rsid w:val="00BA3BAB"/>
    <w:rsid w:val="00BA41D4"/>
    <w:rsid w:val="00BA4F02"/>
    <w:rsid w:val="00BA5378"/>
    <w:rsid w:val="00BA5437"/>
    <w:rsid w:val="00BA57BE"/>
    <w:rsid w:val="00BA6752"/>
    <w:rsid w:val="00BA69DD"/>
    <w:rsid w:val="00BA6D7E"/>
    <w:rsid w:val="00BA7EB3"/>
    <w:rsid w:val="00BA7FF0"/>
    <w:rsid w:val="00BB0516"/>
    <w:rsid w:val="00BB0823"/>
    <w:rsid w:val="00BB1B94"/>
    <w:rsid w:val="00BB40BA"/>
    <w:rsid w:val="00BB54C5"/>
    <w:rsid w:val="00BB63ED"/>
    <w:rsid w:val="00BB74B0"/>
    <w:rsid w:val="00BB761E"/>
    <w:rsid w:val="00BC06B3"/>
    <w:rsid w:val="00BC06E5"/>
    <w:rsid w:val="00BC0BC9"/>
    <w:rsid w:val="00BC0C23"/>
    <w:rsid w:val="00BC0D60"/>
    <w:rsid w:val="00BC0F75"/>
    <w:rsid w:val="00BC20F4"/>
    <w:rsid w:val="00BC378F"/>
    <w:rsid w:val="00BC5759"/>
    <w:rsid w:val="00BC5E2B"/>
    <w:rsid w:val="00BC6280"/>
    <w:rsid w:val="00BC6341"/>
    <w:rsid w:val="00BC6762"/>
    <w:rsid w:val="00BC6AA7"/>
    <w:rsid w:val="00BC6FF4"/>
    <w:rsid w:val="00BC72DC"/>
    <w:rsid w:val="00BC74FD"/>
    <w:rsid w:val="00BC77C3"/>
    <w:rsid w:val="00BC77D2"/>
    <w:rsid w:val="00BC7CEC"/>
    <w:rsid w:val="00BD43F5"/>
    <w:rsid w:val="00BD5BC1"/>
    <w:rsid w:val="00BD5FB0"/>
    <w:rsid w:val="00BD67F7"/>
    <w:rsid w:val="00BD7C62"/>
    <w:rsid w:val="00BD7E37"/>
    <w:rsid w:val="00BE09D3"/>
    <w:rsid w:val="00BE0EB6"/>
    <w:rsid w:val="00BE4197"/>
    <w:rsid w:val="00BE471D"/>
    <w:rsid w:val="00BE48CC"/>
    <w:rsid w:val="00BE4BCE"/>
    <w:rsid w:val="00BE4CEF"/>
    <w:rsid w:val="00BE537C"/>
    <w:rsid w:val="00BE632C"/>
    <w:rsid w:val="00BE6627"/>
    <w:rsid w:val="00BE67B6"/>
    <w:rsid w:val="00BE6F8B"/>
    <w:rsid w:val="00BE7E07"/>
    <w:rsid w:val="00BF07C4"/>
    <w:rsid w:val="00BF109A"/>
    <w:rsid w:val="00BF18FE"/>
    <w:rsid w:val="00BF2F05"/>
    <w:rsid w:val="00BF2F2D"/>
    <w:rsid w:val="00BF3DDD"/>
    <w:rsid w:val="00BF4033"/>
    <w:rsid w:val="00BF4CF1"/>
    <w:rsid w:val="00BF4D1C"/>
    <w:rsid w:val="00BF5947"/>
    <w:rsid w:val="00BF5F74"/>
    <w:rsid w:val="00BF64FB"/>
    <w:rsid w:val="00BF671E"/>
    <w:rsid w:val="00BF69B0"/>
    <w:rsid w:val="00BF7239"/>
    <w:rsid w:val="00C00DC1"/>
    <w:rsid w:val="00C017D2"/>
    <w:rsid w:val="00C01E49"/>
    <w:rsid w:val="00C026E6"/>
    <w:rsid w:val="00C02A6F"/>
    <w:rsid w:val="00C02CD4"/>
    <w:rsid w:val="00C038C5"/>
    <w:rsid w:val="00C03E41"/>
    <w:rsid w:val="00C046A4"/>
    <w:rsid w:val="00C04FD7"/>
    <w:rsid w:val="00C05874"/>
    <w:rsid w:val="00C06118"/>
    <w:rsid w:val="00C07571"/>
    <w:rsid w:val="00C07C07"/>
    <w:rsid w:val="00C07D4F"/>
    <w:rsid w:val="00C07DC2"/>
    <w:rsid w:val="00C104A0"/>
    <w:rsid w:val="00C10E45"/>
    <w:rsid w:val="00C11817"/>
    <w:rsid w:val="00C11C2F"/>
    <w:rsid w:val="00C12D2A"/>
    <w:rsid w:val="00C13C90"/>
    <w:rsid w:val="00C13FD2"/>
    <w:rsid w:val="00C15793"/>
    <w:rsid w:val="00C16D93"/>
    <w:rsid w:val="00C17FFC"/>
    <w:rsid w:val="00C208B6"/>
    <w:rsid w:val="00C208C8"/>
    <w:rsid w:val="00C20D32"/>
    <w:rsid w:val="00C22177"/>
    <w:rsid w:val="00C237F7"/>
    <w:rsid w:val="00C2396C"/>
    <w:rsid w:val="00C23A1F"/>
    <w:rsid w:val="00C23CC0"/>
    <w:rsid w:val="00C24FE6"/>
    <w:rsid w:val="00C25C6D"/>
    <w:rsid w:val="00C25D2B"/>
    <w:rsid w:val="00C2761F"/>
    <w:rsid w:val="00C32CEB"/>
    <w:rsid w:val="00C3341E"/>
    <w:rsid w:val="00C33D61"/>
    <w:rsid w:val="00C35405"/>
    <w:rsid w:val="00C3565C"/>
    <w:rsid w:val="00C35C41"/>
    <w:rsid w:val="00C35FDF"/>
    <w:rsid w:val="00C361FB"/>
    <w:rsid w:val="00C362F5"/>
    <w:rsid w:val="00C365B4"/>
    <w:rsid w:val="00C36932"/>
    <w:rsid w:val="00C36F1F"/>
    <w:rsid w:val="00C4054E"/>
    <w:rsid w:val="00C406C2"/>
    <w:rsid w:val="00C41B03"/>
    <w:rsid w:val="00C41E84"/>
    <w:rsid w:val="00C430A3"/>
    <w:rsid w:val="00C442EE"/>
    <w:rsid w:val="00C4477F"/>
    <w:rsid w:val="00C44A40"/>
    <w:rsid w:val="00C44D66"/>
    <w:rsid w:val="00C45A7B"/>
    <w:rsid w:val="00C46052"/>
    <w:rsid w:val="00C46378"/>
    <w:rsid w:val="00C464F3"/>
    <w:rsid w:val="00C46B74"/>
    <w:rsid w:val="00C47725"/>
    <w:rsid w:val="00C477B1"/>
    <w:rsid w:val="00C47EAF"/>
    <w:rsid w:val="00C50357"/>
    <w:rsid w:val="00C50389"/>
    <w:rsid w:val="00C506C4"/>
    <w:rsid w:val="00C50DC1"/>
    <w:rsid w:val="00C50F86"/>
    <w:rsid w:val="00C51461"/>
    <w:rsid w:val="00C517A7"/>
    <w:rsid w:val="00C51A9B"/>
    <w:rsid w:val="00C51E37"/>
    <w:rsid w:val="00C5286D"/>
    <w:rsid w:val="00C54482"/>
    <w:rsid w:val="00C55BB8"/>
    <w:rsid w:val="00C56028"/>
    <w:rsid w:val="00C56244"/>
    <w:rsid w:val="00C576B0"/>
    <w:rsid w:val="00C577C7"/>
    <w:rsid w:val="00C579D1"/>
    <w:rsid w:val="00C60A62"/>
    <w:rsid w:val="00C6171B"/>
    <w:rsid w:val="00C61D45"/>
    <w:rsid w:val="00C621EF"/>
    <w:rsid w:val="00C62BD4"/>
    <w:rsid w:val="00C64674"/>
    <w:rsid w:val="00C65E77"/>
    <w:rsid w:val="00C66F75"/>
    <w:rsid w:val="00C67B80"/>
    <w:rsid w:val="00C722E2"/>
    <w:rsid w:val="00C73430"/>
    <w:rsid w:val="00C73C1B"/>
    <w:rsid w:val="00C74B49"/>
    <w:rsid w:val="00C75485"/>
    <w:rsid w:val="00C75A45"/>
    <w:rsid w:val="00C75E22"/>
    <w:rsid w:val="00C76084"/>
    <w:rsid w:val="00C764B3"/>
    <w:rsid w:val="00C76B32"/>
    <w:rsid w:val="00C776B3"/>
    <w:rsid w:val="00C8061E"/>
    <w:rsid w:val="00C806D7"/>
    <w:rsid w:val="00C808EE"/>
    <w:rsid w:val="00C80B62"/>
    <w:rsid w:val="00C811BF"/>
    <w:rsid w:val="00C82072"/>
    <w:rsid w:val="00C82433"/>
    <w:rsid w:val="00C83C09"/>
    <w:rsid w:val="00C85519"/>
    <w:rsid w:val="00C86026"/>
    <w:rsid w:val="00C8657D"/>
    <w:rsid w:val="00C86D26"/>
    <w:rsid w:val="00C8774B"/>
    <w:rsid w:val="00C878BA"/>
    <w:rsid w:val="00C9027A"/>
    <w:rsid w:val="00C90311"/>
    <w:rsid w:val="00C90797"/>
    <w:rsid w:val="00C909EF"/>
    <w:rsid w:val="00C90F39"/>
    <w:rsid w:val="00C93535"/>
    <w:rsid w:val="00C93C87"/>
    <w:rsid w:val="00C96229"/>
    <w:rsid w:val="00C971BD"/>
    <w:rsid w:val="00C971DA"/>
    <w:rsid w:val="00CA0814"/>
    <w:rsid w:val="00CA178C"/>
    <w:rsid w:val="00CA28CE"/>
    <w:rsid w:val="00CA2E5A"/>
    <w:rsid w:val="00CA3110"/>
    <w:rsid w:val="00CA43C6"/>
    <w:rsid w:val="00CA4C88"/>
    <w:rsid w:val="00CA599D"/>
    <w:rsid w:val="00CA64FC"/>
    <w:rsid w:val="00CA67E0"/>
    <w:rsid w:val="00CA6B15"/>
    <w:rsid w:val="00CA7530"/>
    <w:rsid w:val="00CB07A3"/>
    <w:rsid w:val="00CB0884"/>
    <w:rsid w:val="00CB16AB"/>
    <w:rsid w:val="00CB1F10"/>
    <w:rsid w:val="00CB2C89"/>
    <w:rsid w:val="00CB2D32"/>
    <w:rsid w:val="00CB2F51"/>
    <w:rsid w:val="00CB3924"/>
    <w:rsid w:val="00CB49AD"/>
    <w:rsid w:val="00CB6057"/>
    <w:rsid w:val="00CB6FAF"/>
    <w:rsid w:val="00CB712F"/>
    <w:rsid w:val="00CB7C23"/>
    <w:rsid w:val="00CB7CB3"/>
    <w:rsid w:val="00CC07C9"/>
    <w:rsid w:val="00CC0A06"/>
    <w:rsid w:val="00CC111D"/>
    <w:rsid w:val="00CC12F2"/>
    <w:rsid w:val="00CC2315"/>
    <w:rsid w:val="00CC2C3E"/>
    <w:rsid w:val="00CC50FC"/>
    <w:rsid w:val="00CC56F9"/>
    <w:rsid w:val="00CC5DBC"/>
    <w:rsid w:val="00CC5F68"/>
    <w:rsid w:val="00CC76D9"/>
    <w:rsid w:val="00CD03FD"/>
    <w:rsid w:val="00CD068A"/>
    <w:rsid w:val="00CD08E0"/>
    <w:rsid w:val="00CD13A9"/>
    <w:rsid w:val="00CD1DB1"/>
    <w:rsid w:val="00CD3157"/>
    <w:rsid w:val="00CD31FB"/>
    <w:rsid w:val="00CD4422"/>
    <w:rsid w:val="00CD4A8C"/>
    <w:rsid w:val="00CD52FE"/>
    <w:rsid w:val="00CD65E8"/>
    <w:rsid w:val="00CD6C4F"/>
    <w:rsid w:val="00CD7517"/>
    <w:rsid w:val="00CD7727"/>
    <w:rsid w:val="00CD798C"/>
    <w:rsid w:val="00CD7CF0"/>
    <w:rsid w:val="00CE0B67"/>
    <w:rsid w:val="00CE1011"/>
    <w:rsid w:val="00CE1CBA"/>
    <w:rsid w:val="00CE2CE0"/>
    <w:rsid w:val="00CE39DF"/>
    <w:rsid w:val="00CE3DE2"/>
    <w:rsid w:val="00CE510A"/>
    <w:rsid w:val="00CE64E8"/>
    <w:rsid w:val="00CE685D"/>
    <w:rsid w:val="00CE69B7"/>
    <w:rsid w:val="00CE6D50"/>
    <w:rsid w:val="00CF035F"/>
    <w:rsid w:val="00CF06D4"/>
    <w:rsid w:val="00CF172C"/>
    <w:rsid w:val="00CF2375"/>
    <w:rsid w:val="00CF2CFC"/>
    <w:rsid w:val="00CF3058"/>
    <w:rsid w:val="00CF49F2"/>
    <w:rsid w:val="00CF651C"/>
    <w:rsid w:val="00CF711A"/>
    <w:rsid w:val="00CF7A6F"/>
    <w:rsid w:val="00D0024A"/>
    <w:rsid w:val="00D0034E"/>
    <w:rsid w:val="00D004C7"/>
    <w:rsid w:val="00D009EB"/>
    <w:rsid w:val="00D012F6"/>
    <w:rsid w:val="00D01BDD"/>
    <w:rsid w:val="00D01D07"/>
    <w:rsid w:val="00D02502"/>
    <w:rsid w:val="00D03618"/>
    <w:rsid w:val="00D03D85"/>
    <w:rsid w:val="00D04E5C"/>
    <w:rsid w:val="00D05573"/>
    <w:rsid w:val="00D05B63"/>
    <w:rsid w:val="00D0636D"/>
    <w:rsid w:val="00D0667C"/>
    <w:rsid w:val="00D0772D"/>
    <w:rsid w:val="00D07E00"/>
    <w:rsid w:val="00D100A2"/>
    <w:rsid w:val="00D100D6"/>
    <w:rsid w:val="00D10734"/>
    <w:rsid w:val="00D10C44"/>
    <w:rsid w:val="00D11111"/>
    <w:rsid w:val="00D11251"/>
    <w:rsid w:val="00D11B31"/>
    <w:rsid w:val="00D11D3E"/>
    <w:rsid w:val="00D12409"/>
    <w:rsid w:val="00D12AB1"/>
    <w:rsid w:val="00D13C44"/>
    <w:rsid w:val="00D14E4D"/>
    <w:rsid w:val="00D15072"/>
    <w:rsid w:val="00D150DA"/>
    <w:rsid w:val="00D1529C"/>
    <w:rsid w:val="00D154B2"/>
    <w:rsid w:val="00D16BC1"/>
    <w:rsid w:val="00D16E0B"/>
    <w:rsid w:val="00D16ED8"/>
    <w:rsid w:val="00D16FF3"/>
    <w:rsid w:val="00D206D8"/>
    <w:rsid w:val="00D20E76"/>
    <w:rsid w:val="00D21026"/>
    <w:rsid w:val="00D21641"/>
    <w:rsid w:val="00D216E6"/>
    <w:rsid w:val="00D22174"/>
    <w:rsid w:val="00D22257"/>
    <w:rsid w:val="00D22642"/>
    <w:rsid w:val="00D2655B"/>
    <w:rsid w:val="00D300D5"/>
    <w:rsid w:val="00D316B7"/>
    <w:rsid w:val="00D31A6F"/>
    <w:rsid w:val="00D32546"/>
    <w:rsid w:val="00D3407A"/>
    <w:rsid w:val="00D345BD"/>
    <w:rsid w:val="00D35C30"/>
    <w:rsid w:val="00D36E20"/>
    <w:rsid w:val="00D37470"/>
    <w:rsid w:val="00D37706"/>
    <w:rsid w:val="00D406B8"/>
    <w:rsid w:val="00D414DB"/>
    <w:rsid w:val="00D422C1"/>
    <w:rsid w:val="00D42784"/>
    <w:rsid w:val="00D43991"/>
    <w:rsid w:val="00D44222"/>
    <w:rsid w:val="00D46C73"/>
    <w:rsid w:val="00D47016"/>
    <w:rsid w:val="00D4744C"/>
    <w:rsid w:val="00D51B6C"/>
    <w:rsid w:val="00D52D15"/>
    <w:rsid w:val="00D52E93"/>
    <w:rsid w:val="00D538CD"/>
    <w:rsid w:val="00D54C56"/>
    <w:rsid w:val="00D55EA5"/>
    <w:rsid w:val="00D5626C"/>
    <w:rsid w:val="00D56A5E"/>
    <w:rsid w:val="00D571F9"/>
    <w:rsid w:val="00D6006E"/>
    <w:rsid w:val="00D60EFE"/>
    <w:rsid w:val="00D611F0"/>
    <w:rsid w:val="00D62B27"/>
    <w:rsid w:val="00D62BA2"/>
    <w:rsid w:val="00D62CA2"/>
    <w:rsid w:val="00D63883"/>
    <w:rsid w:val="00D63AF4"/>
    <w:rsid w:val="00D64601"/>
    <w:rsid w:val="00D66780"/>
    <w:rsid w:val="00D70F4F"/>
    <w:rsid w:val="00D7114C"/>
    <w:rsid w:val="00D71AF9"/>
    <w:rsid w:val="00D72653"/>
    <w:rsid w:val="00D72C60"/>
    <w:rsid w:val="00D73898"/>
    <w:rsid w:val="00D73F27"/>
    <w:rsid w:val="00D73FA0"/>
    <w:rsid w:val="00D74BA3"/>
    <w:rsid w:val="00D7578B"/>
    <w:rsid w:val="00D7768E"/>
    <w:rsid w:val="00D77F61"/>
    <w:rsid w:val="00D8061E"/>
    <w:rsid w:val="00D80DF0"/>
    <w:rsid w:val="00D8152C"/>
    <w:rsid w:val="00D8171A"/>
    <w:rsid w:val="00D818B9"/>
    <w:rsid w:val="00D82000"/>
    <w:rsid w:val="00D8291A"/>
    <w:rsid w:val="00D83297"/>
    <w:rsid w:val="00D83A05"/>
    <w:rsid w:val="00D8462D"/>
    <w:rsid w:val="00D84DC3"/>
    <w:rsid w:val="00D84E69"/>
    <w:rsid w:val="00D85421"/>
    <w:rsid w:val="00D85AAF"/>
    <w:rsid w:val="00D8632F"/>
    <w:rsid w:val="00D865E4"/>
    <w:rsid w:val="00D86BEF"/>
    <w:rsid w:val="00D87245"/>
    <w:rsid w:val="00D87EBC"/>
    <w:rsid w:val="00D900A1"/>
    <w:rsid w:val="00D9083A"/>
    <w:rsid w:val="00D90C35"/>
    <w:rsid w:val="00D9124D"/>
    <w:rsid w:val="00D93377"/>
    <w:rsid w:val="00D9439C"/>
    <w:rsid w:val="00D9492C"/>
    <w:rsid w:val="00D964B4"/>
    <w:rsid w:val="00D96B1C"/>
    <w:rsid w:val="00D97542"/>
    <w:rsid w:val="00DA11A3"/>
    <w:rsid w:val="00DA2512"/>
    <w:rsid w:val="00DA2554"/>
    <w:rsid w:val="00DA3B87"/>
    <w:rsid w:val="00DA41CF"/>
    <w:rsid w:val="00DA44FA"/>
    <w:rsid w:val="00DA4F49"/>
    <w:rsid w:val="00DA5021"/>
    <w:rsid w:val="00DA592C"/>
    <w:rsid w:val="00DA6156"/>
    <w:rsid w:val="00DB02A4"/>
    <w:rsid w:val="00DB110C"/>
    <w:rsid w:val="00DB14A8"/>
    <w:rsid w:val="00DB2588"/>
    <w:rsid w:val="00DB4494"/>
    <w:rsid w:val="00DB458C"/>
    <w:rsid w:val="00DB5278"/>
    <w:rsid w:val="00DB5FBF"/>
    <w:rsid w:val="00DC1C43"/>
    <w:rsid w:val="00DC3A61"/>
    <w:rsid w:val="00DC4301"/>
    <w:rsid w:val="00DC47B2"/>
    <w:rsid w:val="00DC4BA1"/>
    <w:rsid w:val="00DC5513"/>
    <w:rsid w:val="00DC58CC"/>
    <w:rsid w:val="00DC6275"/>
    <w:rsid w:val="00DC7977"/>
    <w:rsid w:val="00DD02A8"/>
    <w:rsid w:val="00DD0B2F"/>
    <w:rsid w:val="00DD137E"/>
    <w:rsid w:val="00DD1ABC"/>
    <w:rsid w:val="00DD1EE1"/>
    <w:rsid w:val="00DD305E"/>
    <w:rsid w:val="00DD32AC"/>
    <w:rsid w:val="00DD3835"/>
    <w:rsid w:val="00DD51A6"/>
    <w:rsid w:val="00DD6438"/>
    <w:rsid w:val="00DD6FB7"/>
    <w:rsid w:val="00DD70D8"/>
    <w:rsid w:val="00DD743D"/>
    <w:rsid w:val="00DE056C"/>
    <w:rsid w:val="00DE09D3"/>
    <w:rsid w:val="00DE0C98"/>
    <w:rsid w:val="00DE2663"/>
    <w:rsid w:val="00DE2B34"/>
    <w:rsid w:val="00DE34E3"/>
    <w:rsid w:val="00DE39DA"/>
    <w:rsid w:val="00DE3CAD"/>
    <w:rsid w:val="00DE4B7C"/>
    <w:rsid w:val="00DE53D8"/>
    <w:rsid w:val="00DE6A43"/>
    <w:rsid w:val="00DE7AA8"/>
    <w:rsid w:val="00DE7BF6"/>
    <w:rsid w:val="00DE7CFF"/>
    <w:rsid w:val="00DF0E43"/>
    <w:rsid w:val="00DF0EF9"/>
    <w:rsid w:val="00DF1A7E"/>
    <w:rsid w:val="00DF3371"/>
    <w:rsid w:val="00DF41C4"/>
    <w:rsid w:val="00DF630B"/>
    <w:rsid w:val="00DF64DF"/>
    <w:rsid w:val="00E00AC6"/>
    <w:rsid w:val="00E00D5B"/>
    <w:rsid w:val="00E020A3"/>
    <w:rsid w:val="00E02338"/>
    <w:rsid w:val="00E0235B"/>
    <w:rsid w:val="00E0239A"/>
    <w:rsid w:val="00E02DF9"/>
    <w:rsid w:val="00E02E47"/>
    <w:rsid w:val="00E0396C"/>
    <w:rsid w:val="00E0419F"/>
    <w:rsid w:val="00E04BE3"/>
    <w:rsid w:val="00E05E56"/>
    <w:rsid w:val="00E05E63"/>
    <w:rsid w:val="00E069EF"/>
    <w:rsid w:val="00E06B02"/>
    <w:rsid w:val="00E06D4B"/>
    <w:rsid w:val="00E06E65"/>
    <w:rsid w:val="00E06F7E"/>
    <w:rsid w:val="00E10A9A"/>
    <w:rsid w:val="00E112CB"/>
    <w:rsid w:val="00E1340F"/>
    <w:rsid w:val="00E13560"/>
    <w:rsid w:val="00E14BAE"/>
    <w:rsid w:val="00E172CB"/>
    <w:rsid w:val="00E174BC"/>
    <w:rsid w:val="00E17677"/>
    <w:rsid w:val="00E200CF"/>
    <w:rsid w:val="00E21261"/>
    <w:rsid w:val="00E21D18"/>
    <w:rsid w:val="00E22357"/>
    <w:rsid w:val="00E24A9E"/>
    <w:rsid w:val="00E25526"/>
    <w:rsid w:val="00E255E1"/>
    <w:rsid w:val="00E25904"/>
    <w:rsid w:val="00E25DA4"/>
    <w:rsid w:val="00E26F74"/>
    <w:rsid w:val="00E27052"/>
    <w:rsid w:val="00E27239"/>
    <w:rsid w:val="00E275F3"/>
    <w:rsid w:val="00E27D61"/>
    <w:rsid w:val="00E30ACA"/>
    <w:rsid w:val="00E30E8D"/>
    <w:rsid w:val="00E30F85"/>
    <w:rsid w:val="00E31D05"/>
    <w:rsid w:val="00E332C5"/>
    <w:rsid w:val="00E343E3"/>
    <w:rsid w:val="00E3443B"/>
    <w:rsid w:val="00E34DA8"/>
    <w:rsid w:val="00E35598"/>
    <w:rsid w:val="00E35F87"/>
    <w:rsid w:val="00E363CA"/>
    <w:rsid w:val="00E36DFC"/>
    <w:rsid w:val="00E36E8F"/>
    <w:rsid w:val="00E36F56"/>
    <w:rsid w:val="00E40081"/>
    <w:rsid w:val="00E40823"/>
    <w:rsid w:val="00E4089E"/>
    <w:rsid w:val="00E40F64"/>
    <w:rsid w:val="00E42C21"/>
    <w:rsid w:val="00E43171"/>
    <w:rsid w:val="00E434B2"/>
    <w:rsid w:val="00E437CD"/>
    <w:rsid w:val="00E46B38"/>
    <w:rsid w:val="00E473D0"/>
    <w:rsid w:val="00E50534"/>
    <w:rsid w:val="00E5287C"/>
    <w:rsid w:val="00E5375C"/>
    <w:rsid w:val="00E5627D"/>
    <w:rsid w:val="00E600C1"/>
    <w:rsid w:val="00E6072B"/>
    <w:rsid w:val="00E60C13"/>
    <w:rsid w:val="00E614DB"/>
    <w:rsid w:val="00E62203"/>
    <w:rsid w:val="00E62FDC"/>
    <w:rsid w:val="00E631CF"/>
    <w:rsid w:val="00E63603"/>
    <w:rsid w:val="00E636D8"/>
    <w:rsid w:val="00E63A6A"/>
    <w:rsid w:val="00E63E75"/>
    <w:rsid w:val="00E6504D"/>
    <w:rsid w:val="00E659CF"/>
    <w:rsid w:val="00E65DCA"/>
    <w:rsid w:val="00E67C6C"/>
    <w:rsid w:val="00E70B50"/>
    <w:rsid w:val="00E70D56"/>
    <w:rsid w:val="00E72EA4"/>
    <w:rsid w:val="00E738BE"/>
    <w:rsid w:val="00E73BD2"/>
    <w:rsid w:val="00E7434D"/>
    <w:rsid w:val="00E74815"/>
    <w:rsid w:val="00E74F80"/>
    <w:rsid w:val="00E751E8"/>
    <w:rsid w:val="00E752E3"/>
    <w:rsid w:val="00E7536C"/>
    <w:rsid w:val="00E756F8"/>
    <w:rsid w:val="00E75A81"/>
    <w:rsid w:val="00E76045"/>
    <w:rsid w:val="00E818A1"/>
    <w:rsid w:val="00E81913"/>
    <w:rsid w:val="00E81CEB"/>
    <w:rsid w:val="00E827F4"/>
    <w:rsid w:val="00E83660"/>
    <w:rsid w:val="00E83685"/>
    <w:rsid w:val="00E84163"/>
    <w:rsid w:val="00E842E2"/>
    <w:rsid w:val="00E85189"/>
    <w:rsid w:val="00E853BD"/>
    <w:rsid w:val="00E854EF"/>
    <w:rsid w:val="00E85551"/>
    <w:rsid w:val="00E856A2"/>
    <w:rsid w:val="00E85905"/>
    <w:rsid w:val="00E85C9D"/>
    <w:rsid w:val="00E85E35"/>
    <w:rsid w:val="00E86856"/>
    <w:rsid w:val="00E87A4D"/>
    <w:rsid w:val="00E90295"/>
    <w:rsid w:val="00E91728"/>
    <w:rsid w:val="00E92215"/>
    <w:rsid w:val="00E92298"/>
    <w:rsid w:val="00E94DFF"/>
    <w:rsid w:val="00E95AAC"/>
    <w:rsid w:val="00E967C0"/>
    <w:rsid w:val="00E96C09"/>
    <w:rsid w:val="00EA008A"/>
    <w:rsid w:val="00EA0EA3"/>
    <w:rsid w:val="00EA1C52"/>
    <w:rsid w:val="00EA2535"/>
    <w:rsid w:val="00EA29EB"/>
    <w:rsid w:val="00EA31D2"/>
    <w:rsid w:val="00EA357F"/>
    <w:rsid w:val="00EA35E9"/>
    <w:rsid w:val="00EA57CC"/>
    <w:rsid w:val="00EA5AD3"/>
    <w:rsid w:val="00EA5DCC"/>
    <w:rsid w:val="00EA6475"/>
    <w:rsid w:val="00EA6739"/>
    <w:rsid w:val="00EA6E68"/>
    <w:rsid w:val="00EB1AD2"/>
    <w:rsid w:val="00EB1C74"/>
    <w:rsid w:val="00EB3A41"/>
    <w:rsid w:val="00EB3CF0"/>
    <w:rsid w:val="00EB3DA7"/>
    <w:rsid w:val="00EB457F"/>
    <w:rsid w:val="00EB4583"/>
    <w:rsid w:val="00EB6396"/>
    <w:rsid w:val="00EB664A"/>
    <w:rsid w:val="00EC0315"/>
    <w:rsid w:val="00EC1067"/>
    <w:rsid w:val="00EC1206"/>
    <w:rsid w:val="00EC1923"/>
    <w:rsid w:val="00EC1AC0"/>
    <w:rsid w:val="00EC1B5F"/>
    <w:rsid w:val="00EC1C0E"/>
    <w:rsid w:val="00EC3F4A"/>
    <w:rsid w:val="00EC4A05"/>
    <w:rsid w:val="00EC4BC8"/>
    <w:rsid w:val="00EC75B9"/>
    <w:rsid w:val="00ED0A20"/>
    <w:rsid w:val="00ED1B4C"/>
    <w:rsid w:val="00ED1E83"/>
    <w:rsid w:val="00ED20BF"/>
    <w:rsid w:val="00ED23C5"/>
    <w:rsid w:val="00ED28C8"/>
    <w:rsid w:val="00ED29EE"/>
    <w:rsid w:val="00ED35AA"/>
    <w:rsid w:val="00ED368B"/>
    <w:rsid w:val="00ED47DA"/>
    <w:rsid w:val="00ED5285"/>
    <w:rsid w:val="00ED577B"/>
    <w:rsid w:val="00ED5CAD"/>
    <w:rsid w:val="00ED6A73"/>
    <w:rsid w:val="00EE003B"/>
    <w:rsid w:val="00EE0196"/>
    <w:rsid w:val="00EE0FCF"/>
    <w:rsid w:val="00EE255A"/>
    <w:rsid w:val="00EE2B7E"/>
    <w:rsid w:val="00EE2BCF"/>
    <w:rsid w:val="00EE2D56"/>
    <w:rsid w:val="00EE3DC7"/>
    <w:rsid w:val="00EE5732"/>
    <w:rsid w:val="00EE5CE7"/>
    <w:rsid w:val="00EE5E67"/>
    <w:rsid w:val="00EE64EB"/>
    <w:rsid w:val="00EE6E5E"/>
    <w:rsid w:val="00EE7294"/>
    <w:rsid w:val="00EE7E60"/>
    <w:rsid w:val="00EF0536"/>
    <w:rsid w:val="00EF0648"/>
    <w:rsid w:val="00EF14AD"/>
    <w:rsid w:val="00EF1EAD"/>
    <w:rsid w:val="00EF2C35"/>
    <w:rsid w:val="00EF36CA"/>
    <w:rsid w:val="00EF3875"/>
    <w:rsid w:val="00EF3FA6"/>
    <w:rsid w:val="00EF4CB8"/>
    <w:rsid w:val="00EF4F3E"/>
    <w:rsid w:val="00EF5018"/>
    <w:rsid w:val="00EF5958"/>
    <w:rsid w:val="00EF6489"/>
    <w:rsid w:val="00EF68DD"/>
    <w:rsid w:val="00EF6C7D"/>
    <w:rsid w:val="00EF73DA"/>
    <w:rsid w:val="00F01415"/>
    <w:rsid w:val="00F02594"/>
    <w:rsid w:val="00F02792"/>
    <w:rsid w:val="00F03BF5"/>
    <w:rsid w:val="00F046E5"/>
    <w:rsid w:val="00F05D59"/>
    <w:rsid w:val="00F06704"/>
    <w:rsid w:val="00F06F2D"/>
    <w:rsid w:val="00F114D2"/>
    <w:rsid w:val="00F117CE"/>
    <w:rsid w:val="00F11F01"/>
    <w:rsid w:val="00F1265F"/>
    <w:rsid w:val="00F12977"/>
    <w:rsid w:val="00F133FF"/>
    <w:rsid w:val="00F134FF"/>
    <w:rsid w:val="00F13697"/>
    <w:rsid w:val="00F13BF4"/>
    <w:rsid w:val="00F13FB6"/>
    <w:rsid w:val="00F141DB"/>
    <w:rsid w:val="00F14350"/>
    <w:rsid w:val="00F14364"/>
    <w:rsid w:val="00F146B5"/>
    <w:rsid w:val="00F15D2B"/>
    <w:rsid w:val="00F15D46"/>
    <w:rsid w:val="00F16873"/>
    <w:rsid w:val="00F17574"/>
    <w:rsid w:val="00F17989"/>
    <w:rsid w:val="00F17CAD"/>
    <w:rsid w:val="00F210CD"/>
    <w:rsid w:val="00F21C6C"/>
    <w:rsid w:val="00F243C2"/>
    <w:rsid w:val="00F255C8"/>
    <w:rsid w:val="00F25A83"/>
    <w:rsid w:val="00F25AA8"/>
    <w:rsid w:val="00F26AA9"/>
    <w:rsid w:val="00F27074"/>
    <w:rsid w:val="00F27847"/>
    <w:rsid w:val="00F27C5B"/>
    <w:rsid w:val="00F30224"/>
    <w:rsid w:val="00F302D2"/>
    <w:rsid w:val="00F32A85"/>
    <w:rsid w:val="00F3327B"/>
    <w:rsid w:val="00F33B21"/>
    <w:rsid w:val="00F33B77"/>
    <w:rsid w:val="00F359B1"/>
    <w:rsid w:val="00F35AD1"/>
    <w:rsid w:val="00F35DC1"/>
    <w:rsid w:val="00F36D50"/>
    <w:rsid w:val="00F37B1F"/>
    <w:rsid w:val="00F41992"/>
    <w:rsid w:val="00F41A23"/>
    <w:rsid w:val="00F42364"/>
    <w:rsid w:val="00F42B4F"/>
    <w:rsid w:val="00F433BC"/>
    <w:rsid w:val="00F434FC"/>
    <w:rsid w:val="00F45120"/>
    <w:rsid w:val="00F4607C"/>
    <w:rsid w:val="00F46341"/>
    <w:rsid w:val="00F468B9"/>
    <w:rsid w:val="00F468E0"/>
    <w:rsid w:val="00F46931"/>
    <w:rsid w:val="00F4778B"/>
    <w:rsid w:val="00F50938"/>
    <w:rsid w:val="00F50BEB"/>
    <w:rsid w:val="00F50F6A"/>
    <w:rsid w:val="00F516AA"/>
    <w:rsid w:val="00F516D0"/>
    <w:rsid w:val="00F5224C"/>
    <w:rsid w:val="00F52256"/>
    <w:rsid w:val="00F52289"/>
    <w:rsid w:val="00F53D8A"/>
    <w:rsid w:val="00F54837"/>
    <w:rsid w:val="00F549DE"/>
    <w:rsid w:val="00F556B0"/>
    <w:rsid w:val="00F55BAC"/>
    <w:rsid w:val="00F55E7F"/>
    <w:rsid w:val="00F565A9"/>
    <w:rsid w:val="00F57E16"/>
    <w:rsid w:val="00F6018D"/>
    <w:rsid w:val="00F61588"/>
    <w:rsid w:val="00F61836"/>
    <w:rsid w:val="00F61C3B"/>
    <w:rsid w:val="00F630C5"/>
    <w:rsid w:val="00F6423B"/>
    <w:rsid w:val="00F65302"/>
    <w:rsid w:val="00F6611E"/>
    <w:rsid w:val="00F669AD"/>
    <w:rsid w:val="00F669EA"/>
    <w:rsid w:val="00F66F63"/>
    <w:rsid w:val="00F72560"/>
    <w:rsid w:val="00F72C59"/>
    <w:rsid w:val="00F736AE"/>
    <w:rsid w:val="00F747ED"/>
    <w:rsid w:val="00F75DC1"/>
    <w:rsid w:val="00F75E73"/>
    <w:rsid w:val="00F77400"/>
    <w:rsid w:val="00F77E2E"/>
    <w:rsid w:val="00F815B4"/>
    <w:rsid w:val="00F81E91"/>
    <w:rsid w:val="00F8213B"/>
    <w:rsid w:val="00F82473"/>
    <w:rsid w:val="00F8288C"/>
    <w:rsid w:val="00F82DA5"/>
    <w:rsid w:val="00F82FF9"/>
    <w:rsid w:val="00F84BA1"/>
    <w:rsid w:val="00F84FF8"/>
    <w:rsid w:val="00F8552B"/>
    <w:rsid w:val="00F86AB3"/>
    <w:rsid w:val="00F86F63"/>
    <w:rsid w:val="00F87215"/>
    <w:rsid w:val="00F87C48"/>
    <w:rsid w:val="00F90971"/>
    <w:rsid w:val="00F90D8B"/>
    <w:rsid w:val="00F90DEE"/>
    <w:rsid w:val="00F91388"/>
    <w:rsid w:val="00F919ED"/>
    <w:rsid w:val="00F92EEC"/>
    <w:rsid w:val="00F931A3"/>
    <w:rsid w:val="00F942CF"/>
    <w:rsid w:val="00F94450"/>
    <w:rsid w:val="00F94DC4"/>
    <w:rsid w:val="00F9543E"/>
    <w:rsid w:val="00F963F4"/>
    <w:rsid w:val="00F96780"/>
    <w:rsid w:val="00F96E2C"/>
    <w:rsid w:val="00F96E92"/>
    <w:rsid w:val="00F975A5"/>
    <w:rsid w:val="00F9780D"/>
    <w:rsid w:val="00FA1014"/>
    <w:rsid w:val="00FA12A1"/>
    <w:rsid w:val="00FA1594"/>
    <w:rsid w:val="00FA1E3B"/>
    <w:rsid w:val="00FA1E73"/>
    <w:rsid w:val="00FA404D"/>
    <w:rsid w:val="00FA4200"/>
    <w:rsid w:val="00FA50BD"/>
    <w:rsid w:val="00FA51ED"/>
    <w:rsid w:val="00FA7ECD"/>
    <w:rsid w:val="00FB02DF"/>
    <w:rsid w:val="00FB0F81"/>
    <w:rsid w:val="00FB20F0"/>
    <w:rsid w:val="00FB2202"/>
    <w:rsid w:val="00FB43D0"/>
    <w:rsid w:val="00FB44B8"/>
    <w:rsid w:val="00FB463E"/>
    <w:rsid w:val="00FB5320"/>
    <w:rsid w:val="00FB72CA"/>
    <w:rsid w:val="00FB7748"/>
    <w:rsid w:val="00FB7CCD"/>
    <w:rsid w:val="00FC1E0B"/>
    <w:rsid w:val="00FC1FAF"/>
    <w:rsid w:val="00FC207A"/>
    <w:rsid w:val="00FC3269"/>
    <w:rsid w:val="00FC5CF4"/>
    <w:rsid w:val="00FC5DE9"/>
    <w:rsid w:val="00FC5F9B"/>
    <w:rsid w:val="00FC63AC"/>
    <w:rsid w:val="00FC6A86"/>
    <w:rsid w:val="00FC6B6C"/>
    <w:rsid w:val="00FC6E1F"/>
    <w:rsid w:val="00FC6FD4"/>
    <w:rsid w:val="00FC72DC"/>
    <w:rsid w:val="00FD2D65"/>
    <w:rsid w:val="00FD3012"/>
    <w:rsid w:val="00FD475D"/>
    <w:rsid w:val="00FD4B42"/>
    <w:rsid w:val="00FD4F03"/>
    <w:rsid w:val="00FD5310"/>
    <w:rsid w:val="00FD5563"/>
    <w:rsid w:val="00FD5E52"/>
    <w:rsid w:val="00FD62A6"/>
    <w:rsid w:val="00FD68EC"/>
    <w:rsid w:val="00FD7D41"/>
    <w:rsid w:val="00FE2BCA"/>
    <w:rsid w:val="00FE2CB5"/>
    <w:rsid w:val="00FE3268"/>
    <w:rsid w:val="00FE3717"/>
    <w:rsid w:val="00FE3C66"/>
    <w:rsid w:val="00FE475D"/>
    <w:rsid w:val="00FE4BCD"/>
    <w:rsid w:val="00FE53A7"/>
    <w:rsid w:val="00FE58D1"/>
    <w:rsid w:val="00FE5E20"/>
    <w:rsid w:val="00FE7328"/>
    <w:rsid w:val="00FE7AAE"/>
    <w:rsid w:val="00FE7C81"/>
    <w:rsid w:val="00FE7FEA"/>
    <w:rsid w:val="00FE7FF6"/>
    <w:rsid w:val="00FF08DE"/>
    <w:rsid w:val="00FF1831"/>
    <w:rsid w:val="00FF234C"/>
    <w:rsid w:val="00FF361F"/>
    <w:rsid w:val="00FF4756"/>
    <w:rsid w:val="00FF4E49"/>
    <w:rsid w:val="00FF5A6E"/>
    <w:rsid w:val="00FF630A"/>
    <w:rsid w:val="00FF679B"/>
    <w:rsid w:val="00FF6B30"/>
    <w:rsid w:val="00FF6FD2"/>
    <w:rsid w:val="00FF7039"/>
    <w:rsid w:val="025A6FD9"/>
    <w:rsid w:val="0279852D"/>
    <w:rsid w:val="028D0F54"/>
    <w:rsid w:val="0311D669"/>
    <w:rsid w:val="066B3BFB"/>
    <w:rsid w:val="069521FF"/>
    <w:rsid w:val="076471EE"/>
    <w:rsid w:val="08490F3F"/>
    <w:rsid w:val="084CAA5A"/>
    <w:rsid w:val="08562850"/>
    <w:rsid w:val="0888FAB2"/>
    <w:rsid w:val="08F18FD1"/>
    <w:rsid w:val="0981AC2D"/>
    <w:rsid w:val="0A532016"/>
    <w:rsid w:val="0B0A5BAE"/>
    <w:rsid w:val="0B25046F"/>
    <w:rsid w:val="0B4C0DA4"/>
    <w:rsid w:val="0DBA8B15"/>
    <w:rsid w:val="0DC60665"/>
    <w:rsid w:val="0F23F793"/>
    <w:rsid w:val="0FFCE76C"/>
    <w:rsid w:val="100AE301"/>
    <w:rsid w:val="105DA16F"/>
    <w:rsid w:val="10759C76"/>
    <w:rsid w:val="11103CD2"/>
    <w:rsid w:val="11775458"/>
    <w:rsid w:val="1184D4BF"/>
    <w:rsid w:val="11E71DBA"/>
    <w:rsid w:val="12082736"/>
    <w:rsid w:val="126D8E91"/>
    <w:rsid w:val="127297B2"/>
    <w:rsid w:val="13594CD2"/>
    <w:rsid w:val="13FE6E03"/>
    <w:rsid w:val="141F7796"/>
    <w:rsid w:val="1456E6C1"/>
    <w:rsid w:val="14D5D42D"/>
    <w:rsid w:val="167AF227"/>
    <w:rsid w:val="1689B5CD"/>
    <w:rsid w:val="16F7F3EB"/>
    <w:rsid w:val="176F7390"/>
    <w:rsid w:val="181493B3"/>
    <w:rsid w:val="181CBDA7"/>
    <w:rsid w:val="1B18F7B8"/>
    <w:rsid w:val="1B490911"/>
    <w:rsid w:val="1B4EFD5E"/>
    <w:rsid w:val="1B55A348"/>
    <w:rsid w:val="1C5202EA"/>
    <w:rsid w:val="1CDA0322"/>
    <w:rsid w:val="1F5EBF46"/>
    <w:rsid w:val="22E6764D"/>
    <w:rsid w:val="23A2AC68"/>
    <w:rsid w:val="245606DB"/>
    <w:rsid w:val="245A0DFA"/>
    <w:rsid w:val="2533B356"/>
    <w:rsid w:val="256BE950"/>
    <w:rsid w:val="25D79715"/>
    <w:rsid w:val="2828770F"/>
    <w:rsid w:val="29503A65"/>
    <w:rsid w:val="29E5526D"/>
    <w:rsid w:val="2A2619CA"/>
    <w:rsid w:val="2B1DE3B1"/>
    <w:rsid w:val="2B2EF0EE"/>
    <w:rsid w:val="2CD52B9D"/>
    <w:rsid w:val="2CF8E18F"/>
    <w:rsid w:val="2D36EDF9"/>
    <w:rsid w:val="2DB83F99"/>
    <w:rsid w:val="2E2070DD"/>
    <w:rsid w:val="2EDDC100"/>
    <w:rsid w:val="3051E3BE"/>
    <w:rsid w:val="312BCB97"/>
    <w:rsid w:val="324B7DE6"/>
    <w:rsid w:val="32E92D4C"/>
    <w:rsid w:val="33224B1C"/>
    <w:rsid w:val="3429D429"/>
    <w:rsid w:val="3517061B"/>
    <w:rsid w:val="36A44D6C"/>
    <w:rsid w:val="3703558D"/>
    <w:rsid w:val="37807627"/>
    <w:rsid w:val="37F924EA"/>
    <w:rsid w:val="39C8F76D"/>
    <w:rsid w:val="3A6666B5"/>
    <w:rsid w:val="3A92473C"/>
    <w:rsid w:val="3B5EB27E"/>
    <w:rsid w:val="3B900FD4"/>
    <w:rsid w:val="3BBCE1E2"/>
    <w:rsid w:val="3D8A2044"/>
    <w:rsid w:val="401A51CE"/>
    <w:rsid w:val="408716C7"/>
    <w:rsid w:val="41129025"/>
    <w:rsid w:val="412B1C95"/>
    <w:rsid w:val="41F3C200"/>
    <w:rsid w:val="42BB08A3"/>
    <w:rsid w:val="447ED48F"/>
    <w:rsid w:val="4657B9EC"/>
    <w:rsid w:val="469AB140"/>
    <w:rsid w:val="4AE5094D"/>
    <w:rsid w:val="4AEEBC59"/>
    <w:rsid w:val="4BE74A46"/>
    <w:rsid w:val="4C17007C"/>
    <w:rsid w:val="4CDFF5A4"/>
    <w:rsid w:val="4CE82AA0"/>
    <w:rsid w:val="4D8F8A84"/>
    <w:rsid w:val="4EFE48BA"/>
    <w:rsid w:val="528B9426"/>
    <w:rsid w:val="52D94C98"/>
    <w:rsid w:val="531D1497"/>
    <w:rsid w:val="5354BD9E"/>
    <w:rsid w:val="53DCC8D9"/>
    <w:rsid w:val="53F6DE82"/>
    <w:rsid w:val="54EE852D"/>
    <w:rsid w:val="553AAC1D"/>
    <w:rsid w:val="55697007"/>
    <w:rsid w:val="55E3A550"/>
    <w:rsid w:val="55E5382E"/>
    <w:rsid w:val="5628D09C"/>
    <w:rsid w:val="5A0A8866"/>
    <w:rsid w:val="5A764CA2"/>
    <w:rsid w:val="5E22177D"/>
    <w:rsid w:val="5E66E419"/>
    <w:rsid w:val="5E997141"/>
    <w:rsid w:val="5FB2D9F4"/>
    <w:rsid w:val="5FB5DB98"/>
    <w:rsid w:val="5FD3230C"/>
    <w:rsid w:val="5FF16E68"/>
    <w:rsid w:val="60C22A3F"/>
    <w:rsid w:val="6102C078"/>
    <w:rsid w:val="620F13E5"/>
    <w:rsid w:val="62101FB1"/>
    <w:rsid w:val="63770060"/>
    <w:rsid w:val="63844EF1"/>
    <w:rsid w:val="63A8BCDD"/>
    <w:rsid w:val="63D1A1E3"/>
    <w:rsid w:val="64998290"/>
    <w:rsid w:val="64EEDC0D"/>
    <w:rsid w:val="659748FB"/>
    <w:rsid w:val="67843A21"/>
    <w:rsid w:val="68ACC2EA"/>
    <w:rsid w:val="69CB1990"/>
    <w:rsid w:val="6B1AAF69"/>
    <w:rsid w:val="6B44805B"/>
    <w:rsid w:val="6B4E9EA0"/>
    <w:rsid w:val="6B763879"/>
    <w:rsid w:val="6C7DCFD5"/>
    <w:rsid w:val="6C8676F1"/>
    <w:rsid w:val="6E4169D8"/>
    <w:rsid w:val="70008092"/>
    <w:rsid w:val="7030409B"/>
    <w:rsid w:val="70A29351"/>
    <w:rsid w:val="71A0426A"/>
    <w:rsid w:val="71F9414F"/>
    <w:rsid w:val="730FFEC4"/>
    <w:rsid w:val="735DEE06"/>
    <w:rsid w:val="73CCB6B0"/>
    <w:rsid w:val="749C386B"/>
    <w:rsid w:val="74A0351F"/>
    <w:rsid w:val="74AF42E8"/>
    <w:rsid w:val="74ECE3D5"/>
    <w:rsid w:val="76CCB272"/>
    <w:rsid w:val="77501A39"/>
    <w:rsid w:val="77F65B91"/>
    <w:rsid w:val="78014D5B"/>
    <w:rsid w:val="78BB3376"/>
    <w:rsid w:val="798607D1"/>
    <w:rsid w:val="7A1506A9"/>
    <w:rsid w:val="7A3D673F"/>
    <w:rsid w:val="7B307D95"/>
    <w:rsid w:val="7B7634D1"/>
    <w:rsid w:val="7BB4FF62"/>
    <w:rsid w:val="7CFD2F89"/>
    <w:rsid w:val="7EABDF9A"/>
    <w:rsid w:val="7F1EB6CB"/>
    <w:rsid w:val="7F6AF924"/>
    <w:rsid w:val="7FFAD7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2FFC272"/>
  <w15:chartTrackingRefBased/>
  <w15:docId w15:val="{2A35A26C-DA8D-486C-8B9E-ADC71DC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34"/>
    <w:pPr>
      <w:spacing w:after="200"/>
      <w:jc w:val="both"/>
    </w:pPr>
    <w:rPr>
      <w:rFonts w:ascii="Verdana" w:hAnsi="Verdana"/>
      <w:lang w:eastAsia="en-US"/>
    </w:rPr>
  </w:style>
  <w:style w:type="paragraph" w:styleId="Heading1">
    <w:name w:val="heading 1"/>
    <w:basedOn w:val="Normal"/>
    <w:next w:val="Text1"/>
    <w:link w:val="Heading1Char"/>
    <w:qFormat/>
    <w:rsid w:val="00692CDE"/>
    <w:pPr>
      <w:widowControl w:val="0"/>
      <w:outlineLvl w:val="0"/>
    </w:pPr>
    <w:rPr>
      <w:b/>
      <w:color w:val="A50021"/>
    </w:rPr>
  </w:style>
  <w:style w:type="paragraph" w:styleId="Heading2">
    <w:name w:val="heading 2"/>
    <w:basedOn w:val="Normal"/>
    <w:next w:val="Text2"/>
    <w:link w:val="Heading2Char"/>
    <w:qFormat/>
    <w:rsid w:val="006E495F"/>
    <w:pPr>
      <w:widowControl w:val="0"/>
      <w:outlineLvl w:val="1"/>
    </w:pPr>
    <w:rPr>
      <w:b/>
      <w:color w:val="A50021"/>
    </w:rPr>
  </w:style>
  <w:style w:type="paragraph" w:styleId="Heading3">
    <w:name w:val="heading 3"/>
    <w:basedOn w:val="Normal"/>
    <w:next w:val="Text3"/>
    <w:link w:val="Heading3Char"/>
    <w:qFormat/>
    <w:rsid w:val="00510B7E"/>
    <w:pPr>
      <w:widowControl w:val="0"/>
      <w:outlineLvl w:val="2"/>
    </w:pPr>
    <w:rPr>
      <w:i/>
      <w:color w:val="A50021"/>
      <w:u w:val="single"/>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rPr>
  </w:style>
  <w:style w:type="paragraph" w:styleId="Heading8">
    <w:name w:val="heading 8"/>
    <w:basedOn w:val="Normal"/>
    <w:next w:val="Normal"/>
    <w:pPr>
      <w:tabs>
        <w:tab w:val="num" w:pos="0"/>
      </w:tabs>
      <w:spacing w:before="240" w:after="60"/>
      <w:outlineLvl w:val="7"/>
    </w:pPr>
    <w:rPr>
      <w:rFonts w:ascii="Arial" w:hAnsi="Arial"/>
      <w:i/>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tabs>
        <w:tab w:val="left" w:pos="2160"/>
      </w:tabs>
      <w:ind w:left="1440"/>
    </w:pPr>
  </w:style>
  <w:style w:type="paragraph" w:customStyle="1" w:styleId="Text2">
    <w:name w:val="Text 2"/>
    <w:basedOn w:val="Normal"/>
    <w:link w:val="Text2Car"/>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1"/>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qFormat/>
    <w:rsid w:val="00A57D8F"/>
    <w:pPr>
      <w:tabs>
        <w:tab w:val="right" w:leader="dot" w:pos="8640"/>
      </w:tabs>
      <w:spacing w:before="60" w:after="60"/>
      <w:ind w:left="482" w:right="720" w:hanging="482"/>
    </w:pPr>
    <w:rPr>
      <w:sz w:val="16"/>
    </w:rPr>
  </w:style>
  <w:style w:type="paragraph" w:styleId="TOC2">
    <w:name w:val="toc 2"/>
    <w:basedOn w:val="Normal"/>
    <w:next w:val="Normal"/>
    <w:uiPriority w:val="39"/>
    <w:qFormat/>
    <w:rsid w:val="00A57D8F"/>
    <w:pPr>
      <w:tabs>
        <w:tab w:val="right" w:leader="dot" w:pos="8640"/>
      </w:tabs>
      <w:spacing w:before="60" w:after="60"/>
      <w:ind w:left="568" w:right="720" w:hanging="284"/>
    </w:pPr>
    <w:rPr>
      <w:noProof/>
      <w:sz w:val="16"/>
    </w:rPr>
  </w:style>
  <w:style w:type="paragraph" w:styleId="TOC3">
    <w:name w:val="toc 3"/>
    <w:basedOn w:val="TOC2"/>
    <w:next w:val="Normal"/>
    <w:uiPriority w:val="39"/>
    <w:qFormat/>
    <w:rsid w:val="00A57D8F"/>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sid w:val="002D3B73"/>
    <w:rPr>
      <w:rFonts w:ascii="Arial" w:hAnsi="Arial"/>
      <w:sz w:val="16"/>
      <w:lang w:eastAsia="en-US"/>
    </w:rPr>
  </w:style>
  <w:style w:type="paragraph" w:customStyle="1" w:styleId="ZCom">
    <w:name w:val="Z_Com"/>
    <w:basedOn w:val="Normal"/>
    <w:next w:val="ZDGName"/>
    <w:uiPriority w:val="99"/>
    <w:rsid w:val="002D3B73"/>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uiPriority w:val="99"/>
    <w:rsid w:val="002D3B73"/>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2D3B73"/>
    <w:rPr>
      <w:sz w:val="28"/>
      <w:lang w:eastAsia="en-US"/>
    </w:rPr>
  </w:style>
  <w:style w:type="paragraph" w:styleId="BalloonText">
    <w:name w:val="Balloon Text"/>
    <w:basedOn w:val="Normal"/>
    <w:link w:val="BalloonTextChar"/>
    <w:uiPriority w:val="99"/>
    <w:semiHidden/>
    <w:unhideWhenUsed/>
    <w:rsid w:val="00B02821"/>
    <w:pPr>
      <w:spacing w:after="0"/>
    </w:pPr>
    <w:rPr>
      <w:rFonts w:ascii="Tahoma" w:hAnsi="Tahoma" w:cs="Tahoma"/>
      <w:sz w:val="16"/>
      <w:szCs w:val="16"/>
    </w:rPr>
  </w:style>
  <w:style w:type="character" w:customStyle="1" w:styleId="BalloonTextChar">
    <w:name w:val="Balloon Text Char"/>
    <w:link w:val="BalloonText"/>
    <w:uiPriority w:val="99"/>
    <w:semiHidden/>
    <w:rsid w:val="00B02821"/>
    <w:rPr>
      <w:rFonts w:ascii="Tahoma" w:hAnsi="Tahoma" w:cs="Tahoma"/>
      <w:sz w:val="16"/>
      <w:szCs w:val="16"/>
      <w:lang w:eastAsia="en-US"/>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uiPriority w:val="99"/>
    <w:unhideWhenUsed/>
    <w:qFormat/>
    <w:rsid w:val="00CC12F2"/>
    <w:rPr>
      <w:vertAlign w:val="superscript"/>
    </w:rPr>
  </w:style>
  <w:style w:type="table" w:styleId="TableGrid">
    <w:name w:val="Table Grid"/>
    <w:basedOn w:val="TableNormal"/>
    <w:rsid w:val="0041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86D0C"/>
    <w:pPr>
      <w:spacing w:after="160" w:line="240" w:lineRule="exact"/>
      <w:jc w:val="left"/>
    </w:pPr>
    <w:rPr>
      <w:rFonts w:ascii="Tahoma" w:hAnsi="Tahoma"/>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165594"/>
    <w:rPr>
      <w:lang w:eastAsia="en-US"/>
    </w:rPr>
  </w:style>
  <w:style w:type="character" w:styleId="Hyperlink">
    <w:name w:val="Hyperlink"/>
    <w:uiPriority w:val="99"/>
    <w:rsid w:val="00E04BE3"/>
    <w:rPr>
      <w:rFonts w:cs="Times New Roman"/>
      <w:color w:val="0088CC"/>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0B4B19"/>
    <w:pPr>
      <w:spacing w:after="0"/>
      <w:ind w:left="720"/>
      <w:contextualSpacing/>
      <w:jc w:val="left"/>
    </w:pPr>
    <w:rPr>
      <w:snapToGrid w:val="0"/>
      <w:sz w:val="24"/>
      <w:szCs w:val="24"/>
      <w:lang w:eastAsia="en-GB"/>
    </w:rPr>
  </w:style>
  <w:style w:type="character" w:styleId="FollowedHyperlink">
    <w:name w:val="FollowedHyperlink"/>
    <w:uiPriority w:val="99"/>
    <w:semiHidden/>
    <w:unhideWhenUsed/>
    <w:rsid w:val="0093325A"/>
    <w:rPr>
      <w:color w:val="800080"/>
      <w:u w:val="single"/>
    </w:rPr>
  </w:style>
  <w:style w:type="character" w:styleId="CommentReference">
    <w:name w:val="annotation reference"/>
    <w:uiPriority w:val="99"/>
    <w:unhideWhenUsed/>
    <w:rsid w:val="003961E3"/>
    <w:rPr>
      <w:sz w:val="16"/>
      <w:szCs w:val="16"/>
    </w:rPr>
  </w:style>
  <w:style w:type="paragraph" w:styleId="CommentSubject">
    <w:name w:val="annotation subject"/>
    <w:basedOn w:val="CommentText"/>
    <w:next w:val="CommentText"/>
    <w:link w:val="CommentSubjectChar"/>
    <w:uiPriority w:val="99"/>
    <w:semiHidden/>
    <w:unhideWhenUsed/>
    <w:rsid w:val="003961E3"/>
    <w:rPr>
      <w:b/>
      <w:bCs/>
    </w:rPr>
  </w:style>
  <w:style w:type="character" w:customStyle="1" w:styleId="CommentTextChar">
    <w:name w:val="Comment Text Char"/>
    <w:link w:val="CommentText"/>
    <w:uiPriority w:val="99"/>
    <w:rsid w:val="003961E3"/>
    <w:rPr>
      <w:lang w:eastAsia="en-US"/>
    </w:rPr>
  </w:style>
  <w:style w:type="character" w:customStyle="1" w:styleId="CommentSubjectChar">
    <w:name w:val="Comment Subject Char"/>
    <w:link w:val="CommentSubject"/>
    <w:uiPriority w:val="99"/>
    <w:semiHidden/>
    <w:rsid w:val="003961E3"/>
    <w:rPr>
      <w:b/>
      <w:bCs/>
      <w:lang w:eastAsia="en-US"/>
    </w:rPr>
  </w:style>
  <w:style w:type="paragraph" w:styleId="Revision">
    <w:name w:val="Revision"/>
    <w:hidden/>
    <w:uiPriority w:val="99"/>
    <w:semiHidden/>
    <w:rsid w:val="003961E3"/>
    <w:rPr>
      <w:sz w:val="28"/>
      <w:lang w:eastAsia="en-US"/>
    </w:rPr>
  </w:style>
  <w:style w:type="character" w:customStyle="1" w:styleId="Heading1Char">
    <w:name w:val="Heading 1 Char"/>
    <w:link w:val="Heading1"/>
    <w:rsid w:val="00692CDE"/>
    <w:rPr>
      <w:rFonts w:ascii="Verdana" w:hAnsi="Verdana"/>
      <w:b/>
      <w:color w:val="A50021"/>
      <w:lang w:eastAsia="en-US"/>
    </w:rPr>
  </w:style>
  <w:style w:type="character" w:customStyle="1" w:styleId="Heading2Char">
    <w:name w:val="Heading 2 Char"/>
    <w:link w:val="Heading2"/>
    <w:rsid w:val="006E495F"/>
    <w:rPr>
      <w:rFonts w:ascii="Verdana" w:hAnsi="Verdana"/>
      <w:b/>
      <w:color w:val="A50021"/>
      <w:lang w:eastAsia="en-US"/>
    </w:rPr>
  </w:style>
  <w:style w:type="paragraph" w:customStyle="1" w:styleId="Default">
    <w:name w:val="Default"/>
    <w:link w:val="DefaultChar"/>
    <w:rsid w:val="008514C7"/>
    <w:pPr>
      <w:autoSpaceDE w:val="0"/>
      <w:autoSpaceDN w:val="0"/>
      <w:adjustRightInd w:val="0"/>
    </w:pPr>
    <w:rPr>
      <w:color w:val="000000"/>
      <w:sz w:val="24"/>
      <w:szCs w:val="24"/>
      <w:lang w:eastAsia="en-GB"/>
    </w:rPr>
  </w:style>
  <w:style w:type="paragraph" w:customStyle="1" w:styleId="CM1">
    <w:name w:val="CM1"/>
    <w:basedOn w:val="Default"/>
    <w:next w:val="Default"/>
    <w:uiPriority w:val="99"/>
    <w:rsid w:val="00845575"/>
    <w:rPr>
      <w:rFonts w:ascii="EUAlbertina" w:hAnsi="EUAlbertina"/>
      <w:color w:val="auto"/>
    </w:rPr>
  </w:style>
  <w:style w:type="paragraph" w:customStyle="1" w:styleId="CM3">
    <w:name w:val="CM3"/>
    <w:basedOn w:val="Default"/>
    <w:next w:val="Default"/>
    <w:uiPriority w:val="99"/>
    <w:rsid w:val="00845575"/>
    <w:rPr>
      <w:rFonts w:ascii="EUAlbertina" w:hAnsi="EUAlbertina"/>
      <w:color w:val="auto"/>
    </w:rPr>
  </w:style>
  <w:style w:type="character" w:customStyle="1" w:styleId="DefaultChar">
    <w:name w:val="Default Char"/>
    <w:link w:val="Default"/>
    <w:rsid w:val="00C62BD4"/>
    <w:rPr>
      <w:color w:val="000000"/>
      <w:sz w:val="24"/>
      <w:szCs w:val="24"/>
    </w:rPr>
  </w:style>
  <w:style w:type="paragraph" w:customStyle="1" w:styleId="Pagedecouverture">
    <w:name w:val="Page de couverture"/>
    <w:basedOn w:val="Normal"/>
    <w:next w:val="Normal"/>
    <w:rsid w:val="00B773BB"/>
    <w:pPr>
      <w:spacing w:after="0"/>
    </w:pPr>
    <w:rPr>
      <w:rFonts w:eastAsia="Calibri"/>
      <w:sz w:val="24"/>
      <w:szCs w:val="22"/>
    </w:rPr>
  </w:style>
  <w:style w:type="paragraph" w:customStyle="1" w:styleId="Char2">
    <w:name w:val="Char2"/>
    <w:basedOn w:val="Normal"/>
    <w:link w:val="FootnoteReference"/>
    <w:uiPriority w:val="99"/>
    <w:rsid w:val="003B7331"/>
    <w:pPr>
      <w:spacing w:after="160" w:line="240" w:lineRule="exact"/>
      <w:jc w:val="left"/>
    </w:pPr>
    <w:rPr>
      <w:vertAlign w:val="superscript"/>
      <w:lang w:eastAsia="en-GB"/>
    </w:rPr>
  </w:style>
  <w:style w:type="character" w:customStyle="1" w:styleId="BodyTextChar">
    <w:name w:val="Body Text Char"/>
    <w:link w:val="BodyText"/>
    <w:uiPriority w:val="1"/>
    <w:rsid w:val="007502F1"/>
    <w:rPr>
      <w:sz w:val="28"/>
      <w:lang w:eastAsia="en-US"/>
    </w:rPr>
  </w:style>
  <w:style w:type="paragraph" w:customStyle="1" w:styleId="TableParagraph">
    <w:name w:val="Table Paragraph"/>
    <w:basedOn w:val="Normal"/>
    <w:uiPriority w:val="1"/>
    <w:rsid w:val="0044312F"/>
    <w:pPr>
      <w:widowControl w:val="0"/>
      <w:spacing w:before="79" w:after="0"/>
      <w:ind w:left="103"/>
      <w:jc w:val="left"/>
    </w:pPr>
    <w:rPr>
      <w:rFonts w:eastAsia="Verdana" w:cs="Verdana"/>
      <w:sz w:val="22"/>
      <w:szCs w:val="22"/>
    </w:rPr>
  </w:style>
  <w:style w:type="character" w:customStyle="1" w:styleId="Text1Char">
    <w:name w:val="Text 1 Char"/>
    <w:link w:val="Text1"/>
    <w:rsid w:val="004B4644"/>
    <w:rPr>
      <w:sz w:val="28"/>
      <w:lang w:eastAsia="en-US"/>
    </w:rPr>
  </w:style>
  <w:style w:type="character" w:customStyle="1" w:styleId="Bodytext20">
    <w:name w:val="Body text (2)_"/>
    <w:rsid w:val="00544DAC"/>
    <w:rPr>
      <w:b w:val="0"/>
      <w:bCs w:val="0"/>
      <w:i w:val="0"/>
      <w:iCs w:val="0"/>
      <w:smallCaps w:val="0"/>
      <w:strike w:val="0"/>
      <w:sz w:val="22"/>
      <w:szCs w:val="22"/>
      <w:u w:val="none"/>
    </w:rPr>
  </w:style>
  <w:style w:type="character" w:customStyle="1" w:styleId="Bodytext21">
    <w:name w:val="Body text (2)"/>
    <w:rsid w:val="00544D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fr-FR" w:eastAsia="en-US" w:bidi="en-US"/>
    </w:rPr>
  </w:style>
  <w:style w:type="character" w:customStyle="1" w:styleId="Heading20">
    <w:name w:val="Heading #2_"/>
    <w:link w:val="Heading21"/>
    <w:rsid w:val="00544DAC"/>
    <w:rPr>
      <w:sz w:val="22"/>
      <w:szCs w:val="22"/>
      <w:shd w:val="clear" w:color="auto" w:fill="FFFFFF"/>
    </w:rPr>
  </w:style>
  <w:style w:type="paragraph" w:customStyle="1" w:styleId="Heading21">
    <w:name w:val="Heading #2"/>
    <w:basedOn w:val="Normal"/>
    <w:link w:val="Heading20"/>
    <w:rsid w:val="00544DAC"/>
    <w:pPr>
      <w:widowControl w:val="0"/>
      <w:shd w:val="clear" w:color="auto" w:fill="FFFFFF"/>
      <w:spacing w:after="0" w:line="514" w:lineRule="exact"/>
      <w:ind w:hanging="600"/>
      <w:outlineLvl w:val="1"/>
    </w:pPr>
    <w:rPr>
      <w:rFonts w:ascii="Times New Roman" w:hAnsi="Times New Roman"/>
      <w:sz w:val="22"/>
      <w:szCs w:val="22"/>
      <w:lang w:eastAsia="en-GB"/>
    </w:rPr>
  </w:style>
  <w:style w:type="character" w:customStyle="1" w:styleId="Text2Car">
    <w:name w:val="Text 2 Car"/>
    <w:link w:val="Text2"/>
    <w:rsid w:val="00BC77D2"/>
    <w:rPr>
      <w:rFonts w:ascii="Verdana" w:hAnsi="Verdana"/>
      <w:lang w:eastAsia="en-US"/>
    </w:rPr>
  </w:style>
  <w:style w:type="character" w:customStyle="1" w:styleId="Heading3Char">
    <w:name w:val="Heading 3 Char"/>
    <w:link w:val="Heading3"/>
    <w:rsid w:val="00510B7E"/>
    <w:rPr>
      <w:rFonts w:ascii="Verdana" w:hAnsi="Verdana"/>
      <w:i/>
      <w:color w:val="A50021"/>
      <w:u w:val="single"/>
      <w:lang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rsid w:val="002C50CE"/>
    <w:rPr>
      <w:rFonts w:ascii="Verdana" w:hAnsi="Verdana"/>
      <w:snapToGrid w:val="0"/>
      <w:sz w:val="24"/>
      <w:szCs w:val="24"/>
    </w:rPr>
  </w:style>
  <w:style w:type="character" w:customStyle="1" w:styleId="iceouttxt36">
    <w:name w:val="iceouttxt36"/>
    <w:rsid w:val="002D1390"/>
    <w:rPr>
      <w:rFonts w:ascii="Times New Roman" w:hAnsi="Times New Roman" w:cs="Times New Roman" w:hint="default"/>
      <w:bdr w:val="none" w:sz="0" w:space="0" w:color="auto" w:frame="1"/>
      <w:vertAlign w:val="baseline"/>
    </w:rPr>
  </w:style>
  <w:style w:type="paragraph" w:customStyle="1" w:styleId="1">
    <w:name w:val="1"/>
    <w:basedOn w:val="Normal"/>
    <w:uiPriority w:val="99"/>
    <w:qFormat/>
    <w:rsid w:val="002D1390"/>
    <w:pPr>
      <w:spacing w:after="160" w:line="240" w:lineRule="exact"/>
      <w:jc w:val="left"/>
    </w:pPr>
    <w:rPr>
      <w:rFonts w:ascii="Times New Roman" w:hAnsi="Times New Roman"/>
      <w:vertAlign w:val="superscript"/>
      <w:lang w:eastAsia="en-GB"/>
    </w:rPr>
  </w:style>
  <w:style w:type="character" w:customStyle="1" w:styleId="BodyTextIndentChar">
    <w:name w:val="Body Text Indent Char"/>
    <w:link w:val="BodyTextIndent"/>
    <w:semiHidden/>
    <w:rsid w:val="00A53E20"/>
    <w:rPr>
      <w:rFonts w:ascii="Verdana" w:hAnsi="Verdana"/>
      <w:lang w:eastAsia="en-US"/>
    </w:rPr>
  </w:style>
  <w:style w:type="paragraph" w:customStyle="1" w:styleId="Body">
    <w:name w:val="Body"/>
    <w:rsid w:val="00510B7E"/>
    <w:pPr>
      <w:pBdr>
        <w:top w:val="nil"/>
        <w:left w:val="nil"/>
        <w:bottom w:val="nil"/>
        <w:right w:val="nil"/>
        <w:between w:val="nil"/>
        <w:bar w:val="nil"/>
      </w:pBdr>
      <w:spacing w:after="200"/>
      <w:jc w:val="both"/>
    </w:pPr>
    <w:rPr>
      <w:rFonts w:ascii="Verdana" w:eastAsia="Arial Unicode MS" w:hAnsi="Verdana" w:cs="Arial Unicode MS"/>
      <w:color w:val="000000"/>
      <w:u w:color="000000"/>
      <w:bdr w:val="nil"/>
      <w:lang w:eastAsia="en-GB"/>
    </w:rPr>
  </w:style>
  <w:style w:type="character" w:customStyle="1" w:styleId="Hyperlink3">
    <w:name w:val="Hyperlink.3"/>
    <w:rsid w:val="00510B7E"/>
  </w:style>
  <w:style w:type="paragraph" w:customStyle="1" w:styleId="footnote1">
    <w:name w:val="footnote1"/>
    <w:basedOn w:val="Normal"/>
    <w:qFormat/>
    <w:rsid w:val="00C909EF"/>
    <w:pPr>
      <w:spacing w:after="0"/>
      <w:ind w:left="720" w:hanging="720"/>
    </w:pPr>
    <w:rPr>
      <w:rFonts w:ascii="Times New Roman" w:hAnsi="Times New Roman"/>
      <w:szCs w:val="22"/>
      <w:lang w:eastAsia="en-GB"/>
    </w:rPr>
  </w:style>
  <w:style w:type="paragraph" w:styleId="NormalWeb">
    <w:name w:val="Normal (Web)"/>
    <w:basedOn w:val="Normal"/>
    <w:uiPriority w:val="99"/>
    <w:semiHidden/>
    <w:unhideWhenUsed/>
    <w:rsid w:val="00832213"/>
    <w:pPr>
      <w:spacing w:before="100" w:beforeAutospacing="1" w:after="100" w:afterAutospacing="1"/>
      <w:jc w:val="left"/>
    </w:pPr>
    <w:rPr>
      <w:rFonts w:ascii="Times New Roman" w:hAnsi="Times New Roman"/>
      <w:sz w:val="24"/>
      <w:szCs w:val="24"/>
      <w:lang w:eastAsia="en-GB"/>
    </w:rPr>
  </w:style>
  <w:style w:type="paragraph" w:customStyle="1" w:styleId="paragraph">
    <w:name w:val="paragraph"/>
    <w:basedOn w:val="Normal"/>
    <w:rsid w:val="008B1F42"/>
    <w:pPr>
      <w:spacing w:before="100" w:beforeAutospacing="1" w:after="100" w:afterAutospacing="1"/>
      <w:jc w:val="left"/>
    </w:pPr>
    <w:rPr>
      <w:rFonts w:ascii="Times New Roman" w:hAnsi="Times New Roman"/>
      <w:sz w:val="24"/>
      <w:szCs w:val="24"/>
      <w:lang w:eastAsia="fr-BE"/>
    </w:rPr>
  </w:style>
  <w:style w:type="character" w:customStyle="1" w:styleId="normaltextrun">
    <w:name w:val="normaltextrun"/>
    <w:rsid w:val="008B1F42"/>
  </w:style>
  <w:style w:type="character" w:customStyle="1" w:styleId="eop">
    <w:name w:val="eop"/>
    <w:rsid w:val="008B1F42"/>
  </w:style>
  <w:style w:type="table" w:customStyle="1" w:styleId="TableLetterhead">
    <w:name w:val="Table Letterhead"/>
    <w:basedOn w:val="TableNormal"/>
    <w:semiHidden/>
    <w:rsid w:val="0062273B"/>
    <w:rPr>
      <w:sz w:val="24"/>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761">
      <w:bodyDiv w:val="1"/>
      <w:marLeft w:val="0"/>
      <w:marRight w:val="0"/>
      <w:marTop w:val="0"/>
      <w:marBottom w:val="0"/>
      <w:divBdr>
        <w:top w:val="none" w:sz="0" w:space="0" w:color="auto"/>
        <w:left w:val="none" w:sz="0" w:space="0" w:color="auto"/>
        <w:bottom w:val="none" w:sz="0" w:space="0" w:color="auto"/>
        <w:right w:val="none" w:sz="0" w:space="0" w:color="auto"/>
      </w:divBdr>
      <w:divsChild>
        <w:div w:id="95683694">
          <w:marLeft w:val="0"/>
          <w:marRight w:val="0"/>
          <w:marTop w:val="0"/>
          <w:marBottom w:val="0"/>
          <w:divBdr>
            <w:top w:val="none" w:sz="0" w:space="0" w:color="auto"/>
            <w:left w:val="none" w:sz="0" w:space="0" w:color="auto"/>
            <w:bottom w:val="none" w:sz="0" w:space="0" w:color="auto"/>
            <w:right w:val="none" w:sz="0" w:space="0" w:color="auto"/>
          </w:divBdr>
        </w:div>
      </w:divsChild>
    </w:div>
    <w:div w:id="38669110">
      <w:bodyDiv w:val="1"/>
      <w:marLeft w:val="0"/>
      <w:marRight w:val="0"/>
      <w:marTop w:val="0"/>
      <w:marBottom w:val="0"/>
      <w:divBdr>
        <w:top w:val="none" w:sz="0" w:space="0" w:color="auto"/>
        <w:left w:val="none" w:sz="0" w:space="0" w:color="auto"/>
        <w:bottom w:val="none" w:sz="0" w:space="0" w:color="auto"/>
        <w:right w:val="none" w:sz="0" w:space="0" w:color="auto"/>
      </w:divBdr>
    </w:div>
    <w:div w:id="90123816">
      <w:bodyDiv w:val="1"/>
      <w:marLeft w:val="0"/>
      <w:marRight w:val="0"/>
      <w:marTop w:val="0"/>
      <w:marBottom w:val="0"/>
      <w:divBdr>
        <w:top w:val="none" w:sz="0" w:space="0" w:color="auto"/>
        <w:left w:val="none" w:sz="0" w:space="0" w:color="auto"/>
        <w:bottom w:val="none" w:sz="0" w:space="0" w:color="auto"/>
        <w:right w:val="none" w:sz="0" w:space="0" w:color="auto"/>
      </w:divBdr>
    </w:div>
    <w:div w:id="103040698">
      <w:bodyDiv w:val="1"/>
      <w:marLeft w:val="0"/>
      <w:marRight w:val="0"/>
      <w:marTop w:val="0"/>
      <w:marBottom w:val="0"/>
      <w:divBdr>
        <w:top w:val="none" w:sz="0" w:space="0" w:color="auto"/>
        <w:left w:val="none" w:sz="0" w:space="0" w:color="auto"/>
        <w:bottom w:val="none" w:sz="0" w:space="0" w:color="auto"/>
        <w:right w:val="none" w:sz="0" w:space="0" w:color="auto"/>
      </w:divBdr>
    </w:div>
    <w:div w:id="141432808">
      <w:bodyDiv w:val="1"/>
      <w:marLeft w:val="0"/>
      <w:marRight w:val="0"/>
      <w:marTop w:val="0"/>
      <w:marBottom w:val="0"/>
      <w:divBdr>
        <w:top w:val="none" w:sz="0" w:space="0" w:color="auto"/>
        <w:left w:val="none" w:sz="0" w:space="0" w:color="auto"/>
        <w:bottom w:val="none" w:sz="0" w:space="0" w:color="auto"/>
        <w:right w:val="none" w:sz="0" w:space="0" w:color="auto"/>
      </w:divBdr>
    </w:div>
    <w:div w:id="176887031">
      <w:bodyDiv w:val="1"/>
      <w:marLeft w:val="0"/>
      <w:marRight w:val="0"/>
      <w:marTop w:val="0"/>
      <w:marBottom w:val="0"/>
      <w:divBdr>
        <w:top w:val="none" w:sz="0" w:space="0" w:color="auto"/>
        <w:left w:val="none" w:sz="0" w:space="0" w:color="auto"/>
        <w:bottom w:val="none" w:sz="0" w:space="0" w:color="auto"/>
        <w:right w:val="none" w:sz="0" w:space="0" w:color="auto"/>
      </w:divBdr>
    </w:div>
    <w:div w:id="190265158">
      <w:bodyDiv w:val="1"/>
      <w:marLeft w:val="0"/>
      <w:marRight w:val="0"/>
      <w:marTop w:val="0"/>
      <w:marBottom w:val="0"/>
      <w:divBdr>
        <w:top w:val="none" w:sz="0" w:space="0" w:color="auto"/>
        <w:left w:val="none" w:sz="0" w:space="0" w:color="auto"/>
        <w:bottom w:val="none" w:sz="0" w:space="0" w:color="auto"/>
        <w:right w:val="none" w:sz="0" w:space="0" w:color="auto"/>
      </w:divBdr>
    </w:div>
    <w:div w:id="210846157">
      <w:bodyDiv w:val="1"/>
      <w:marLeft w:val="0"/>
      <w:marRight w:val="0"/>
      <w:marTop w:val="0"/>
      <w:marBottom w:val="0"/>
      <w:divBdr>
        <w:top w:val="none" w:sz="0" w:space="0" w:color="auto"/>
        <w:left w:val="none" w:sz="0" w:space="0" w:color="auto"/>
        <w:bottom w:val="none" w:sz="0" w:space="0" w:color="auto"/>
        <w:right w:val="none" w:sz="0" w:space="0" w:color="auto"/>
      </w:divBdr>
    </w:div>
    <w:div w:id="211692104">
      <w:bodyDiv w:val="1"/>
      <w:marLeft w:val="0"/>
      <w:marRight w:val="0"/>
      <w:marTop w:val="0"/>
      <w:marBottom w:val="0"/>
      <w:divBdr>
        <w:top w:val="none" w:sz="0" w:space="0" w:color="auto"/>
        <w:left w:val="none" w:sz="0" w:space="0" w:color="auto"/>
        <w:bottom w:val="none" w:sz="0" w:space="0" w:color="auto"/>
        <w:right w:val="none" w:sz="0" w:space="0" w:color="auto"/>
      </w:divBdr>
    </w:div>
    <w:div w:id="219949969">
      <w:bodyDiv w:val="1"/>
      <w:marLeft w:val="0"/>
      <w:marRight w:val="0"/>
      <w:marTop w:val="0"/>
      <w:marBottom w:val="0"/>
      <w:divBdr>
        <w:top w:val="none" w:sz="0" w:space="0" w:color="auto"/>
        <w:left w:val="none" w:sz="0" w:space="0" w:color="auto"/>
        <w:bottom w:val="none" w:sz="0" w:space="0" w:color="auto"/>
        <w:right w:val="none" w:sz="0" w:space="0" w:color="auto"/>
      </w:divBdr>
    </w:div>
    <w:div w:id="221603459">
      <w:bodyDiv w:val="1"/>
      <w:marLeft w:val="0"/>
      <w:marRight w:val="0"/>
      <w:marTop w:val="0"/>
      <w:marBottom w:val="0"/>
      <w:divBdr>
        <w:top w:val="none" w:sz="0" w:space="0" w:color="auto"/>
        <w:left w:val="none" w:sz="0" w:space="0" w:color="auto"/>
        <w:bottom w:val="none" w:sz="0" w:space="0" w:color="auto"/>
        <w:right w:val="none" w:sz="0" w:space="0" w:color="auto"/>
      </w:divBdr>
    </w:div>
    <w:div w:id="227038112">
      <w:bodyDiv w:val="1"/>
      <w:marLeft w:val="0"/>
      <w:marRight w:val="0"/>
      <w:marTop w:val="0"/>
      <w:marBottom w:val="0"/>
      <w:divBdr>
        <w:top w:val="none" w:sz="0" w:space="0" w:color="auto"/>
        <w:left w:val="none" w:sz="0" w:space="0" w:color="auto"/>
        <w:bottom w:val="none" w:sz="0" w:space="0" w:color="auto"/>
        <w:right w:val="none" w:sz="0" w:space="0" w:color="auto"/>
      </w:divBdr>
      <w:divsChild>
        <w:div w:id="1323775610">
          <w:marLeft w:val="0"/>
          <w:marRight w:val="0"/>
          <w:marTop w:val="0"/>
          <w:marBottom w:val="0"/>
          <w:divBdr>
            <w:top w:val="none" w:sz="0" w:space="0" w:color="auto"/>
            <w:left w:val="none" w:sz="0" w:space="0" w:color="auto"/>
            <w:bottom w:val="none" w:sz="0" w:space="0" w:color="auto"/>
            <w:right w:val="none" w:sz="0" w:space="0" w:color="auto"/>
          </w:divBdr>
        </w:div>
      </w:divsChild>
    </w:div>
    <w:div w:id="262030436">
      <w:bodyDiv w:val="1"/>
      <w:marLeft w:val="0"/>
      <w:marRight w:val="0"/>
      <w:marTop w:val="0"/>
      <w:marBottom w:val="0"/>
      <w:divBdr>
        <w:top w:val="none" w:sz="0" w:space="0" w:color="auto"/>
        <w:left w:val="none" w:sz="0" w:space="0" w:color="auto"/>
        <w:bottom w:val="none" w:sz="0" w:space="0" w:color="auto"/>
        <w:right w:val="none" w:sz="0" w:space="0" w:color="auto"/>
      </w:divBdr>
    </w:div>
    <w:div w:id="359743173">
      <w:bodyDiv w:val="1"/>
      <w:marLeft w:val="0"/>
      <w:marRight w:val="0"/>
      <w:marTop w:val="0"/>
      <w:marBottom w:val="0"/>
      <w:divBdr>
        <w:top w:val="none" w:sz="0" w:space="0" w:color="auto"/>
        <w:left w:val="none" w:sz="0" w:space="0" w:color="auto"/>
        <w:bottom w:val="none" w:sz="0" w:space="0" w:color="auto"/>
        <w:right w:val="none" w:sz="0" w:space="0" w:color="auto"/>
      </w:divBdr>
    </w:div>
    <w:div w:id="409469453">
      <w:bodyDiv w:val="1"/>
      <w:marLeft w:val="0"/>
      <w:marRight w:val="0"/>
      <w:marTop w:val="0"/>
      <w:marBottom w:val="0"/>
      <w:divBdr>
        <w:top w:val="none" w:sz="0" w:space="0" w:color="auto"/>
        <w:left w:val="none" w:sz="0" w:space="0" w:color="auto"/>
        <w:bottom w:val="none" w:sz="0" w:space="0" w:color="auto"/>
        <w:right w:val="none" w:sz="0" w:space="0" w:color="auto"/>
      </w:divBdr>
    </w:div>
    <w:div w:id="419571455">
      <w:bodyDiv w:val="1"/>
      <w:marLeft w:val="0"/>
      <w:marRight w:val="0"/>
      <w:marTop w:val="0"/>
      <w:marBottom w:val="0"/>
      <w:divBdr>
        <w:top w:val="none" w:sz="0" w:space="0" w:color="auto"/>
        <w:left w:val="none" w:sz="0" w:space="0" w:color="auto"/>
        <w:bottom w:val="none" w:sz="0" w:space="0" w:color="auto"/>
        <w:right w:val="none" w:sz="0" w:space="0" w:color="auto"/>
      </w:divBdr>
    </w:div>
    <w:div w:id="424419585">
      <w:bodyDiv w:val="1"/>
      <w:marLeft w:val="0"/>
      <w:marRight w:val="0"/>
      <w:marTop w:val="0"/>
      <w:marBottom w:val="0"/>
      <w:divBdr>
        <w:top w:val="none" w:sz="0" w:space="0" w:color="auto"/>
        <w:left w:val="none" w:sz="0" w:space="0" w:color="auto"/>
        <w:bottom w:val="none" w:sz="0" w:space="0" w:color="auto"/>
        <w:right w:val="none" w:sz="0" w:space="0" w:color="auto"/>
      </w:divBdr>
    </w:div>
    <w:div w:id="447773217">
      <w:bodyDiv w:val="1"/>
      <w:marLeft w:val="0"/>
      <w:marRight w:val="0"/>
      <w:marTop w:val="0"/>
      <w:marBottom w:val="0"/>
      <w:divBdr>
        <w:top w:val="none" w:sz="0" w:space="0" w:color="auto"/>
        <w:left w:val="none" w:sz="0" w:space="0" w:color="auto"/>
        <w:bottom w:val="none" w:sz="0" w:space="0" w:color="auto"/>
        <w:right w:val="none" w:sz="0" w:space="0" w:color="auto"/>
      </w:divBdr>
    </w:div>
    <w:div w:id="533690867">
      <w:bodyDiv w:val="1"/>
      <w:marLeft w:val="0"/>
      <w:marRight w:val="0"/>
      <w:marTop w:val="0"/>
      <w:marBottom w:val="0"/>
      <w:divBdr>
        <w:top w:val="none" w:sz="0" w:space="0" w:color="auto"/>
        <w:left w:val="none" w:sz="0" w:space="0" w:color="auto"/>
        <w:bottom w:val="none" w:sz="0" w:space="0" w:color="auto"/>
        <w:right w:val="none" w:sz="0" w:space="0" w:color="auto"/>
      </w:divBdr>
      <w:divsChild>
        <w:div w:id="772475555">
          <w:marLeft w:val="0"/>
          <w:marRight w:val="0"/>
          <w:marTop w:val="0"/>
          <w:marBottom w:val="0"/>
          <w:divBdr>
            <w:top w:val="none" w:sz="0" w:space="0" w:color="auto"/>
            <w:left w:val="none" w:sz="0" w:space="0" w:color="auto"/>
            <w:bottom w:val="none" w:sz="0" w:space="0" w:color="auto"/>
            <w:right w:val="none" w:sz="0" w:space="0" w:color="auto"/>
          </w:divBdr>
        </w:div>
      </w:divsChild>
    </w:div>
    <w:div w:id="570122764">
      <w:bodyDiv w:val="1"/>
      <w:marLeft w:val="0"/>
      <w:marRight w:val="0"/>
      <w:marTop w:val="0"/>
      <w:marBottom w:val="0"/>
      <w:divBdr>
        <w:top w:val="none" w:sz="0" w:space="0" w:color="auto"/>
        <w:left w:val="none" w:sz="0" w:space="0" w:color="auto"/>
        <w:bottom w:val="none" w:sz="0" w:space="0" w:color="auto"/>
        <w:right w:val="none" w:sz="0" w:space="0" w:color="auto"/>
      </w:divBdr>
    </w:div>
    <w:div w:id="611135809">
      <w:bodyDiv w:val="1"/>
      <w:marLeft w:val="0"/>
      <w:marRight w:val="0"/>
      <w:marTop w:val="0"/>
      <w:marBottom w:val="0"/>
      <w:divBdr>
        <w:top w:val="none" w:sz="0" w:space="0" w:color="auto"/>
        <w:left w:val="none" w:sz="0" w:space="0" w:color="auto"/>
        <w:bottom w:val="none" w:sz="0" w:space="0" w:color="auto"/>
        <w:right w:val="none" w:sz="0" w:space="0" w:color="auto"/>
      </w:divBdr>
    </w:div>
    <w:div w:id="616529841">
      <w:bodyDiv w:val="1"/>
      <w:marLeft w:val="0"/>
      <w:marRight w:val="0"/>
      <w:marTop w:val="0"/>
      <w:marBottom w:val="0"/>
      <w:divBdr>
        <w:top w:val="none" w:sz="0" w:space="0" w:color="auto"/>
        <w:left w:val="none" w:sz="0" w:space="0" w:color="auto"/>
        <w:bottom w:val="none" w:sz="0" w:space="0" w:color="auto"/>
        <w:right w:val="none" w:sz="0" w:space="0" w:color="auto"/>
      </w:divBdr>
    </w:div>
    <w:div w:id="630791554">
      <w:bodyDiv w:val="1"/>
      <w:marLeft w:val="0"/>
      <w:marRight w:val="0"/>
      <w:marTop w:val="0"/>
      <w:marBottom w:val="0"/>
      <w:divBdr>
        <w:top w:val="none" w:sz="0" w:space="0" w:color="auto"/>
        <w:left w:val="none" w:sz="0" w:space="0" w:color="auto"/>
        <w:bottom w:val="none" w:sz="0" w:space="0" w:color="auto"/>
        <w:right w:val="none" w:sz="0" w:space="0" w:color="auto"/>
      </w:divBdr>
    </w:div>
    <w:div w:id="631522879">
      <w:bodyDiv w:val="1"/>
      <w:marLeft w:val="0"/>
      <w:marRight w:val="0"/>
      <w:marTop w:val="0"/>
      <w:marBottom w:val="0"/>
      <w:divBdr>
        <w:top w:val="none" w:sz="0" w:space="0" w:color="auto"/>
        <w:left w:val="none" w:sz="0" w:space="0" w:color="auto"/>
        <w:bottom w:val="none" w:sz="0" w:space="0" w:color="auto"/>
        <w:right w:val="none" w:sz="0" w:space="0" w:color="auto"/>
      </w:divBdr>
    </w:div>
    <w:div w:id="666978706">
      <w:bodyDiv w:val="1"/>
      <w:marLeft w:val="0"/>
      <w:marRight w:val="0"/>
      <w:marTop w:val="0"/>
      <w:marBottom w:val="0"/>
      <w:divBdr>
        <w:top w:val="none" w:sz="0" w:space="0" w:color="auto"/>
        <w:left w:val="none" w:sz="0" w:space="0" w:color="auto"/>
        <w:bottom w:val="none" w:sz="0" w:space="0" w:color="auto"/>
        <w:right w:val="none" w:sz="0" w:space="0" w:color="auto"/>
      </w:divBdr>
    </w:div>
    <w:div w:id="668796837">
      <w:bodyDiv w:val="1"/>
      <w:marLeft w:val="0"/>
      <w:marRight w:val="0"/>
      <w:marTop w:val="0"/>
      <w:marBottom w:val="0"/>
      <w:divBdr>
        <w:top w:val="none" w:sz="0" w:space="0" w:color="auto"/>
        <w:left w:val="none" w:sz="0" w:space="0" w:color="auto"/>
        <w:bottom w:val="none" w:sz="0" w:space="0" w:color="auto"/>
        <w:right w:val="none" w:sz="0" w:space="0" w:color="auto"/>
      </w:divBdr>
    </w:div>
    <w:div w:id="672874959">
      <w:bodyDiv w:val="1"/>
      <w:marLeft w:val="0"/>
      <w:marRight w:val="0"/>
      <w:marTop w:val="0"/>
      <w:marBottom w:val="0"/>
      <w:divBdr>
        <w:top w:val="none" w:sz="0" w:space="0" w:color="auto"/>
        <w:left w:val="none" w:sz="0" w:space="0" w:color="auto"/>
        <w:bottom w:val="none" w:sz="0" w:space="0" w:color="auto"/>
        <w:right w:val="none" w:sz="0" w:space="0" w:color="auto"/>
      </w:divBdr>
    </w:div>
    <w:div w:id="724332788">
      <w:bodyDiv w:val="1"/>
      <w:marLeft w:val="0"/>
      <w:marRight w:val="0"/>
      <w:marTop w:val="0"/>
      <w:marBottom w:val="0"/>
      <w:divBdr>
        <w:top w:val="none" w:sz="0" w:space="0" w:color="auto"/>
        <w:left w:val="none" w:sz="0" w:space="0" w:color="auto"/>
        <w:bottom w:val="none" w:sz="0" w:space="0" w:color="auto"/>
        <w:right w:val="none" w:sz="0" w:space="0" w:color="auto"/>
      </w:divBdr>
    </w:div>
    <w:div w:id="724571305">
      <w:bodyDiv w:val="1"/>
      <w:marLeft w:val="0"/>
      <w:marRight w:val="0"/>
      <w:marTop w:val="0"/>
      <w:marBottom w:val="0"/>
      <w:divBdr>
        <w:top w:val="none" w:sz="0" w:space="0" w:color="auto"/>
        <w:left w:val="none" w:sz="0" w:space="0" w:color="auto"/>
        <w:bottom w:val="none" w:sz="0" w:space="0" w:color="auto"/>
        <w:right w:val="none" w:sz="0" w:space="0" w:color="auto"/>
      </w:divBdr>
    </w:div>
    <w:div w:id="726759194">
      <w:bodyDiv w:val="1"/>
      <w:marLeft w:val="0"/>
      <w:marRight w:val="0"/>
      <w:marTop w:val="0"/>
      <w:marBottom w:val="0"/>
      <w:divBdr>
        <w:top w:val="none" w:sz="0" w:space="0" w:color="auto"/>
        <w:left w:val="none" w:sz="0" w:space="0" w:color="auto"/>
        <w:bottom w:val="none" w:sz="0" w:space="0" w:color="auto"/>
        <w:right w:val="none" w:sz="0" w:space="0" w:color="auto"/>
      </w:divBdr>
    </w:div>
    <w:div w:id="788429702">
      <w:bodyDiv w:val="1"/>
      <w:marLeft w:val="0"/>
      <w:marRight w:val="0"/>
      <w:marTop w:val="0"/>
      <w:marBottom w:val="0"/>
      <w:divBdr>
        <w:top w:val="none" w:sz="0" w:space="0" w:color="auto"/>
        <w:left w:val="none" w:sz="0" w:space="0" w:color="auto"/>
        <w:bottom w:val="none" w:sz="0" w:space="0" w:color="auto"/>
        <w:right w:val="none" w:sz="0" w:space="0" w:color="auto"/>
      </w:divBdr>
    </w:div>
    <w:div w:id="796067230">
      <w:bodyDiv w:val="1"/>
      <w:marLeft w:val="0"/>
      <w:marRight w:val="0"/>
      <w:marTop w:val="0"/>
      <w:marBottom w:val="0"/>
      <w:divBdr>
        <w:top w:val="none" w:sz="0" w:space="0" w:color="auto"/>
        <w:left w:val="none" w:sz="0" w:space="0" w:color="auto"/>
        <w:bottom w:val="none" w:sz="0" w:space="0" w:color="auto"/>
        <w:right w:val="none" w:sz="0" w:space="0" w:color="auto"/>
      </w:divBdr>
    </w:div>
    <w:div w:id="821583369">
      <w:bodyDiv w:val="1"/>
      <w:marLeft w:val="0"/>
      <w:marRight w:val="0"/>
      <w:marTop w:val="0"/>
      <w:marBottom w:val="0"/>
      <w:divBdr>
        <w:top w:val="none" w:sz="0" w:space="0" w:color="auto"/>
        <w:left w:val="none" w:sz="0" w:space="0" w:color="auto"/>
        <w:bottom w:val="none" w:sz="0" w:space="0" w:color="auto"/>
        <w:right w:val="none" w:sz="0" w:space="0" w:color="auto"/>
      </w:divBdr>
    </w:div>
    <w:div w:id="854685111">
      <w:bodyDiv w:val="1"/>
      <w:marLeft w:val="0"/>
      <w:marRight w:val="0"/>
      <w:marTop w:val="0"/>
      <w:marBottom w:val="0"/>
      <w:divBdr>
        <w:top w:val="none" w:sz="0" w:space="0" w:color="auto"/>
        <w:left w:val="none" w:sz="0" w:space="0" w:color="auto"/>
        <w:bottom w:val="none" w:sz="0" w:space="0" w:color="auto"/>
        <w:right w:val="none" w:sz="0" w:space="0" w:color="auto"/>
      </w:divBdr>
    </w:div>
    <w:div w:id="894436173">
      <w:bodyDiv w:val="1"/>
      <w:marLeft w:val="0"/>
      <w:marRight w:val="0"/>
      <w:marTop w:val="0"/>
      <w:marBottom w:val="0"/>
      <w:divBdr>
        <w:top w:val="none" w:sz="0" w:space="0" w:color="auto"/>
        <w:left w:val="none" w:sz="0" w:space="0" w:color="auto"/>
        <w:bottom w:val="none" w:sz="0" w:space="0" w:color="auto"/>
        <w:right w:val="none" w:sz="0" w:space="0" w:color="auto"/>
      </w:divBdr>
    </w:div>
    <w:div w:id="895354809">
      <w:bodyDiv w:val="1"/>
      <w:marLeft w:val="0"/>
      <w:marRight w:val="0"/>
      <w:marTop w:val="0"/>
      <w:marBottom w:val="0"/>
      <w:divBdr>
        <w:top w:val="none" w:sz="0" w:space="0" w:color="auto"/>
        <w:left w:val="none" w:sz="0" w:space="0" w:color="auto"/>
        <w:bottom w:val="none" w:sz="0" w:space="0" w:color="auto"/>
        <w:right w:val="none" w:sz="0" w:space="0" w:color="auto"/>
      </w:divBdr>
    </w:div>
    <w:div w:id="997726798">
      <w:bodyDiv w:val="1"/>
      <w:marLeft w:val="0"/>
      <w:marRight w:val="0"/>
      <w:marTop w:val="0"/>
      <w:marBottom w:val="0"/>
      <w:divBdr>
        <w:top w:val="none" w:sz="0" w:space="0" w:color="auto"/>
        <w:left w:val="none" w:sz="0" w:space="0" w:color="auto"/>
        <w:bottom w:val="none" w:sz="0" w:space="0" w:color="auto"/>
        <w:right w:val="none" w:sz="0" w:space="0" w:color="auto"/>
      </w:divBdr>
    </w:div>
    <w:div w:id="1109156641">
      <w:bodyDiv w:val="1"/>
      <w:marLeft w:val="0"/>
      <w:marRight w:val="0"/>
      <w:marTop w:val="0"/>
      <w:marBottom w:val="0"/>
      <w:divBdr>
        <w:top w:val="none" w:sz="0" w:space="0" w:color="auto"/>
        <w:left w:val="none" w:sz="0" w:space="0" w:color="auto"/>
        <w:bottom w:val="none" w:sz="0" w:space="0" w:color="auto"/>
        <w:right w:val="none" w:sz="0" w:space="0" w:color="auto"/>
      </w:divBdr>
    </w:div>
    <w:div w:id="1145196951">
      <w:bodyDiv w:val="1"/>
      <w:marLeft w:val="0"/>
      <w:marRight w:val="0"/>
      <w:marTop w:val="0"/>
      <w:marBottom w:val="0"/>
      <w:divBdr>
        <w:top w:val="none" w:sz="0" w:space="0" w:color="auto"/>
        <w:left w:val="none" w:sz="0" w:space="0" w:color="auto"/>
        <w:bottom w:val="none" w:sz="0" w:space="0" w:color="auto"/>
        <w:right w:val="none" w:sz="0" w:space="0" w:color="auto"/>
      </w:divBdr>
    </w:div>
    <w:div w:id="1156262582">
      <w:bodyDiv w:val="1"/>
      <w:marLeft w:val="0"/>
      <w:marRight w:val="0"/>
      <w:marTop w:val="0"/>
      <w:marBottom w:val="0"/>
      <w:divBdr>
        <w:top w:val="none" w:sz="0" w:space="0" w:color="auto"/>
        <w:left w:val="none" w:sz="0" w:space="0" w:color="auto"/>
        <w:bottom w:val="none" w:sz="0" w:space="0" w:color="auto"/>
        <w:right w:val="none" w:sz="0" w:space="0" w:color="auto"/>
      </w:divBdr>
    </w:div>
    <w:div w:id="1173647993">
      <w:bodyDiv w:val="1"/>
      <w:marLeft w:val="0"/>
      <w:marRight w:val="0"/>
      <w:marTop w:val="0"/>
      <w:marBottom w:val="0"/>
      <w:divBdr>
        <w:top w:val="none" w:sz="0" w:space="0" w:color="auto"/>
        <w:left w:val="none" w:sz="0" w:space="0" w:color="auto"/>
        <w:bottom w:val="none" w:sz="0" w:space="0" w:color="auto"/>
        <w:right w:val="none" w:sz="0" w:space="0" w:color="auto"/>
      </w:divBdr>
    </w:div>
    <w:div w:id="1250698026">
      <w:bodyDiv w:val="1"/>
      <w:marLeft w:val="0"/>
      <w:marRight w:val="0"/>
      <w:marTop w:val="0"/>
      <w:marBottom w:val="0"/>
      <w:divBdr>
        <w:top w:val="none" w:sz="0" w:space="0" w:color="auto"/>
        <w:left w:val="none" w:sz="0" w:space="0" w:color="auto"/>
        <w:bottom w:val="none" w:sz="0" w:space="0" w:color="auto"/>
        <w:right w:val="none" w:sz="0" w:space="0" w:color="auto"/>
      </w:divBdr>
    </w:div>
    <w:div w:id="1256867543">
      <w:bodyDiv w:val="1"/>
      <w:marLeft w:val="0"/>
      <w:marRight w:val="0"/>
      <w:marTop w:val="0"/>
      <w:marBottom w:val="0"/>
      <w:divBdr>
        <w:top w:val="none" w:sz="0" w:space="0" w:color="auto"/>
        <w:left w:val="none" w:sz="0" w:space="0" w:color="auto"/>
        <w:bottom w:val="none" w:sz="0" w:space="0" w:color="auto"/>
        <w:right w:val="none" w:sz="0" w:space="0" w:color="auto"/>
      </w:divBdr>
    </w:div>
    <w:div w:id="1360471180">
      <w:bodyDiv w:val="1"/>
      <w:marLeft w:val="0"/>
      <w:marRight w:val="0"/>
      <w:marTop w:val="0"/>
      <w:marBottom w:val="0"/>
      <w:divBdr>
        <w:top w:val="none" w:sz="0" w:space="0" w:color="auto"/>
        <w:left w:val="none" w:sz="0" w:space="0" w:color="auto"/>
        <w:bottom w:val="none" w:sz="0" w:space="0" w:color="auto"/>
        <w:right w:val="none" w:sz="0" w:space="0" w:color="auto"/>
      </w:divBdr>
    </w:div>
    <w:div w:id="1384131897">
      <w:bodyDiv w:val="1"/>
      <w:marLeft w:val="0"/>
      <w:marRight w:val="0"/>
      <w:marTop w:val="0"/>
      <w:marBottom w:val="0"/>
      <w:divBdr>
        <w:top w:val="none" w:sz="0" w:space="0" w:color="auto"/>
        <w:left w:val="none" w:sz="0" w:space="0" w:color="auto"/>
        <w:bottom w:val="none" w:sz="0" w:space="0" w:color="auto"/>
        <w:right w:val="none" w:sz="0" w:space="0" w:color="auto"/>
      </w:divBdr>
    </w:div>
    <w:div w:id="1451827119">
      <w:bodyDiv w:val="1"/>
      <w:marLeft w:val="0"/>
      <w:marRight w:val="0"/>
      <w:marTop w:val="0"/>
      <w:marBottom w:val="0"/>
      <w:divBdr>
        <w:top w:val="none" w:sz="0" w:space="0" w:color="auto"/>
        <w:left w:val="none" w:sz="0" w:space="0" w:color="auto"/>
        <w:bottom w:val="none" w:sz="0" w:space="0" w:color="auto"/>
        <w:right w:val="none" w:sz="0" w:space="0" w:color="auto"/>
      </w:divBdr>
    </w:div>
    <w:div w:id="1517234381">
      <w:bodyDiv w:val="1"/>
      <w:marLeft w:val="0"/>
      <w:marRight w:val="0"/>
      <w:marTop w:val="0"/>
      <w:marBottom w:val="0"/>
      <w:divBdr>
        <w:top w:val="none" w:sz="0" w:space="0" w:color="auto"/>
        <w:left w:val="none" w:sz="0" w:space="0" w:color="auto"/>
        <w:bottom w:val="none" w:sz="0" w:space="0" w:color="auto"/>
        <w:right w:val="none" w:sz="0" w:space="0" w:color="auto"/>
      </w:divBdr>
    </w:div>
    <w:div w:id="1539776412">
      <w:bodyDiv w:val="1"/>
      <w:marLeft w:val="0"/>
      <w:marRight w:val="0"/>
      <w:marTop w:val="0"/>
      <w:marBottom w:val="0"/>
      <w:divBdr>
        <w:top w:val="none" w:sz="0" w:space="0" w:color="auto"/>
        <w:left w:val="none" w:sz="0" w:space="0" w:color="auto"/>
        <w:bottom w:val="none" w:sz="0" w:space="0" w:color="auto"/>
        <w:right w:val="none" w:sz="0" w:space="0" w:color="auto"/>
      </w:divBdr>
    </w:div>
    <w:div w:id="1541359469">
      <w:bodyDiv w:val="1"/>
      <w:marLeft w:val="0"/>
      <w:marRight w:val="0"/>
      <w:marTop w:val="0"/>
      <w:marBottom w:val="0"/>
      <w:divBdr>
        <w:top w:val="none" w:sz="0" w:space="0" w:color="auto"/>
        <w:left w:val="none" w:sz="0" w:space="0" w:color="auto"/>
        <w:bottom w:val="none" w:sz="0" w:space="0" w:color="auto"/>
        <w:right w:val="none" w:sz="0" w:space="0" w:color="auto"/>
      </w:divBdr>
    </w:div>
    <w:div w:id="163506059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87976972">
      <w:bodyDiv w:val="1"/>
      <w:marLeft w:val="0"/>
      <w:marRight w:val="0"/>
      <w:marTop w:val="0"/>
      <w:marBottom w:val="0"/>
      <w:divBdr>
        <w:top w:val="none" w:sz="0" w:space="0" w:color="auto"/>
        <w:left w:val="none" w:sz="0" w:space="0" w:color="auto"/>
        <w:bottom w:val="none" w:sz="0" w:space="0" w:color="auto"/>
        <w:right w:val="none" w:sz="0" w:space="0" w:color="auto"/>
      </w:divBdr>
    </w:div>
    <w:div w:id="1771504641">
      <w:bodyDiv w:val="1"/>
      <w:marLeft w:val="0"/>
      <w:marRight w:val="0"/>
      <w:marTop w:val="0"/>
      <w:marBottom w:val="0"/>
      <w:divBdr>
        <w:top w:val="none" w:sz="0" w:space="0" w:color="auto"/>
        <w:left w:val="none" w:sz="0" w:space="0" w:color="auto"/>
        <w:bottom w:val="none" w:sz="0" w:space="0" w:color="auto"/>
        <w:right w:val="none" w:sz="0" w:space="0" w:color="auto"/>
      </w:divBdr>
    </w:div>
    <w:div w:id="1811172023">
      <w:bodyDiv w:val="1"/>
      <w:marLeft w:val="0"/>
      <w:marRight w:val="0"/>
      <w:marTop w:val="0"/>
      <w:marBottom w:val="0"/>
      <w:divBdr>
        <w:top w:val="none" w:sz="0" w:space="0" w:color="auto"/>
        <w:left w:val="none" w:sz="0" w:space="0" w:color="auto"/>
        <w:bottom w:val="none" w:sz="0" w:space="0" w:color="auto"/>
        <w:right w:val="none" w:sz="0" w:space="0" w:color="auto"/>
      </w:divBdr>
      <w:divsChild>
        <w:div w:id="1701783708">
          <w:marLeft w:val="0"/>
          <w:marRight w:val="0"/>
          <w:marTop w:val="0"/>
          <w:marBottom w:val="0"/>
          <w:divBdr>
            <w:top w:val="none" w:sz="0" w:space="0" w:color="auto"/>
            <w:left w:val="none" w:sz="0" w:space="0" w:color="auto"/>
            <w:bottom w:val="none" w:sz="0" w:space="0" w:color="auto"/>
            <w:right w:val="none" w:sz="0" w:space="0" w:color="auto"/>
          </w:divBdr>
          <w:divsChild>
            <w:div w:id="2048604006">
              <w:marLeft w:val="0"/>
              <w:marRight w:val="0"/>
              <w:marTop w:val="0"/>
              <w:marBottom w:val="0"/>
              <w:divBdr>
                <w:top w:val="none" w:sz="0" w:space="0" w:color="auto"/>
                <w:left w:val="none" w:sz="0" w:space="0" w:color="auto"/>
                <w:bottom w:val="none" w:sz="0" w:space="0" w:color="auto"/>
                <w:right w:val="none" w:sz="0" w:space="0" w:color="auto"/>
              </w:divBdr>
              <w:divsChild>
                <w:div w:id="287513148">
                  <w:marLeft w:val="0"/>
                  <w:marRight w:val="0"/>
                  <w:marTop w:val="0"/>
                  <w:marBottom w:val="0"/>
                  <w:divBdr>
                    <w:top w:val="none" w:sz="0" w:space="0" w:color="auto"/>
                    <w:left w:val="none" w:sz="0" w:space="0" w:color="auto"/>
                    <w:bottom w:val="none" w:sz="0" w:space="0" w:color="auto"/>
                    <w:right w:val="none" w:sz="0" w:space="0" w:color="auto"/>
                  </w:divBdr>
                  <w:divsChild>
                    <w:div w:id="660088048">
                      <w:marLeft w:val="1"/>
                      <w:marRight w:val="1"/>
                      <w:marTop w:val="0"/>
                      <w:marBottom w:val="0"/>
                      <w:divBdr>
                        <w:top w:val="none" w:sz="0" w:space="0" w:color="auto"/>
                        <w:left w:val="none" w:sz="0" w:space="0" w:color="auto"/>
                        <w:bottom w:val="none" w:sz="0" w:space="0" w:color="auto"/>
                        <w:right w:val="none" w:sz="0" w:space="0" w:color="auto"/>
                      </w:divBdr>
                      <w:divsChild>
                        <w:div w:id="1348950006">
                          <w:marLeft w:val="0"/>
                          <w:marRight w:val="0"/>
                          <w:marTop w:val="0"/>
                          <w:marBottom w:val="0"/>
                          <w:divBdr>
                            <w:top w:val="none" w:sz="0" w:space="0" w:color="auto"/>
                            <w:left w:val="none" w:sz="0" w:space="0" w:color="auto"/>
                            <w:bottom w:val="none" w:sz="0" w:space="0" w:color="auto"/>
                            <w:right w:val="none" w:sz="0" w:space="0" w:color="auto"/>
                          </w:divBdr>
                          <w:divsChild>
                            <w:div w:id="1189299253">
                              <w:marLeft w:val="0"/>
                              <w:marRight w:val="0"/>
                              <w:marTop w:val="0"/>
                              <w:marBottom w:val="360"/>
                              <w:divBdr>
                                <w:top w:val="none" w:sz="0" w:space="0" w:color="auto"/>
                                <w:left w:val="none" w:sz="0" w:space="0" w:color="auto"/>
                                <w:bottom w:val="none" w:sz="0" w:space="0" w:color="auto"/>
                                <w:right w:val="none" w:sz="0" w:space="0" w:color="auto"/>
                              </w:divBdr>
                              <w:divsChild>
                                <w:div w:id="465394015">
                                  <w:marLeft w:val="0"/>
                                  <w:marRight w:val="0"/>
                                  <w:marTop w:val="0"/>
                                  <w:marBottom w:val="0"/>
                                  <w:divBdr>
                                    <w:top w:val="none" w:sz="0" w:space="0" w:color="auto"/>
                                    <w:left w:val="none" w:sz="0" w:space="0" w:color="auto"/>
                                    <w:bottom w:val="none" w:sz="0" w:space="0" w:color="auto"/>
                                    <w:right w:val="none" w:sz="0" w:space="0" w:color="auto"/>
                                  </w:divBdr>
                                  <w:divsChild>
                                    <w:div w:id="1132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886">
      <w:bodyDiv w:val="1"/>
      <w:marLeft w:val="0"/>
      <w:marRight w:val="0"/>
      <w:marTop w:val="0"/>
      <w:marBottom w:val="0"/>
      <w:divBdr>
        <w:top w:val="none" w:sz="0" w:space="0" w:color="auto"/>
        <w:left w:val="none" w:sz="0" w:space="0" w:color="auto"/>
        <w:bottom w:val="none" w:sz="0" w:space="0" w:color="auto"/>
        <w:right w:val="none" w:sz="0" w:space="0" w:color="auto"/>
      </w:divBdr>
    </w:div>
    <w:div w:id="1823424812">
      <w:bodyDiv w:val="1"/>
      <w:marLeft w:val="0"/>
      <w:marRight w:val="0"/>
      <w:marTop w:val="0"/>
      <w:marBottom w:val="0"/>
      <w:divBdr>
        <w:top w:val="none" w:sz="0" w:space="0" w:color="auto"/>
        <w:left w:val="none" w:sz="0" w:space="0" w:color="auto"/>
        <w:bottom w:val="none" w:sz="0" w:space="0" w:color="auto"/>
        <w:right w:val="none" w:sz="0" w:space="0" w:color="auto"/>
      </w:divBdr>
    </w:div>
    <w:div w:id="1855455251">
      <w:bodyDiv w:val="1"/>
      <w:marLeft w:val="0"/>
      <w:marRight w:val="0"/>
      <w:marTop w:val="0"/>
      <w:marBottom w:val="0"/>
      <w:divBdr>
        <w:top w:val="none" w:sz="0" w:space="0" w:color="auto"/>
        <w:left w:val="none" w:sz="0" w:space="0" w:color="auto"/>
        <w:bottom w:val="none" w:sz="0" w:space="0" w:color="auto"/>
        <w:right w:val="none" w:sz="0" w:space="0" w:color="auto"/>
      </w:divBdr>
    </w:div>
    <w:div w:id="1935435643">
      <w:bodyDiv w:val="1"/>
      <w:marLeft w:val="0"/>
      <w:marRight w:val="0"/>
      <w:marTop w:val="0"/>
      <w:marBottom w:val="0"/>
      <w:divBdr>
        <w:top w:val="none" w:sz="0" w:space="0" w:color="auto"/>
        <w:left w:val="none" w:sz="0" w:space="0" w:color="auto"/>
        <w:bottom w:val="none" w:sz="0" w:space="0" w:color="auto"/>
        <w:right w:val="none" w:sz="0" w:space="0" w:color="auto"/>
      </w:divBdr>
    </w:div>
    <w:div w:id="1998458193">
      <w:bodyDiv w:val="1"/>
      <w:marLeft w:val="0"/>
      <w:marRight w:val="0"/>
      <w:marTop w:val="0"/>
      <w:marBottom w:val="0"/>
      <w:divBdr>
        <w:top w:val="none" w:sz="0" w:space="0" w:color="auto"/>
        <w:left w:val="none" w:sz="0" w:space="0" w:color="auto"/>
        <w:bottom w:val="none" w:sz="0" w:space="0" w:color="auto"/>
        <w:right w:val="none" w:sz="0" w:space="0" w:color="auto"/>
      </w:divBdr>
    </w:div>
    <w:div w:id="2075003046">
      <w:bodyDiv w:val="1"/>
      <w:marLeft w:val="0"/>
      <w:marRight w:val="0"/>
      <w:marTop w:val="0"/>
      <w:marBottom w:val="0"/>
      <w:divBdr>
        <w:top w:val="none" w:sz="0" w:space="0" w:color="auto"/>
        <w:left w:val="none" w:sz="0" w:space="0" w:color="auto"/>
        <w:bottom w:val="none" w:sz="0" w:space="0" w:color="auto"/>
        <w:right w:val="none" w:sz="0" w:space="0" w:color="auto"/>
      </w:divBdr>
      <w:divsChild>
        <w:div w:id="1712268450">
          <w:marLeft w:val="0"/>
          <w:marRight w:val="0"/>
          <w:marTop w:val="0"/>
          <w:marBottom w:val="0"/>
          <w:divBdr>
            <w:top w:val="none" w:sz="0" w:space="0" w:color="auto"/>
            <w:left w:val="none" w:sz="0" w:space="0" w:color="auto"/>
            <w:bottom w:val="none" w:sz="0" w:space="0" w:color="auto"/>
            <w:right w:val="none" w:sz="0" w:space="0" w:color="auto"/>
          </w:divBdr>
          <w:divsChild>
            <w:div w:id="180778035">
              <w:marLeft w:val="0"/>
              <w:marRight w:val="0"/>
              <w:marTop w:val="0"/>
              <w:marBottom w:val="0"/>
              <w:divBdr>
                <w:top w:val="none" w:sz="0" w:space="0" w:color="auto"/>
                <w:left w:val="none" w:sz="0" w:space="0" w:color="auto"/>
                <w:bottom w:val="none" w:sz="0" w:space="0" w:color="auto"/>
                <w:right w:val="none" w:sz="0" w:space="0" w:color="auto"/>
              </w:divBdr>
              <w:divsChild>
                <w:div w:id="1595285576">
                  <w:marLeft w:val="0"/>
                  <w:marRight w:val="0"/>
                  <w:marTop w:val="0"/>
                  <w:marBottom w:val="0"/>
                  <w:divBdr>
                    <w:top w:val="none" w:sz="0" w:space="0" w:color="auto"/>
                    <w:left w:val="none" w:sz="0" w:space="0" w:color="auto"/>
                    <w:bottom w:val="none" w:sz="0" w:space="0" w:color="auto"/>
                    <w:right w:val="none" w:sz="0" w:space="0" w:color="auto"/>
                  </w:divBdr>
                  <w:divsChild>
                    <w:div w:id="1975213155">
                      <w:marLeft w:val="1"/>
                      <w:marRight w:val="1"/>
                      <w:marTop w:val="0"/>
                      <w:marBottom w:val="0"/>
                      <w:divBdr>
                        <w:top w:val="none" w:sz="0" w:space="0" w:color="auto"/>
                        <w:left w:val="none" w:sz="0" w:space="0" w:color="auto"/>
                        <w:bottom w:val="none" w:sz="0" w:space="0" w:color="auto"/>
                        <w:right w:val="none" w:sz="0" w:space="0" w:color="auto"/>
                      </w:divBdr>
                      <w:divsChild>
                        <w:div w:id="1348167530">
                          <w:marLeft w:val="0"/>
                          <w:marRight w:val="0"/>
                          <w:marTop w:val="0"/>
                          <w:marBottom w:val="0"/>
                          <w:divBdr>
                            <w:top w:val="none" w:sz="0" w:space="0" w:color="auto"/>
                            <w:left w:val="none" w:sz="0" w:space="0" w:color="auto"/>
                            <w:bottom w:val="none" w:sz="0" w:space="0" w:color="auto"/>
                            <w:right w:val="none" w:sz="0" w:space="0" w:color="auto"/>
                          </w:divBdr>
                          <w:divsChild>
                            <w:div w:id="1717856329">
                              <w:marLeft w:val="0"/>
                              <w:marRight w:val="0"/>
                              <w:marTop w:val="0"/>
                              <w:marBottom w:val="360"/>
                              <w:divBdr>
                                <w:top w:val="none" w:sz="0" w:space="0" w:color="auto"/>
                                <w:left w:val="none" w:sz="0" w:space="0" w:color="auto"/>
                                <w:bottom w:val="none" w:sz="0" w:space="0" w:color="auto"/>
                                <w:right w:val="none" w:sz="0" w:space="0" w:color="auto"/>
                              </w:divBdr>
                              <w:divsChild>
                                <w:div w:id="1654404583">
                                  <w:marLeft w:val="0"/>
                                  <w:marRight w:val="0"/>
                                  <w:marTop w:val="0"/>
                                  <w:marBottom w:val="0"/>
                                  <w:divBdr>
                                    <w:top w:val="none" w:sz="0" w:space="0" w:color="auto"/>
                                    <w:left w:val="none" w:sz="0" w:space="0" w:color="auto"/>
                                    <w:bottom w:val="none" w:sz="0" w:space="0" w:color="auto"/>
                                    <w:right w:val="none" w:sz="0" w:space="0" w:color="auto"/>
                                  </w:divBdr>
                                  <w:divsChild>
                                    <w:div w:id="138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5696">
      <w:bodyDiv w:val="1"/>
      <w:marLeft w:val="0"/>
      <w:marRight w:val="0"/>
      <w:marTop w:val="0"/>
      <w:marBottom w:val="0"/>
      <w:divBdr>
        <w:top w:val="none" w:sz="0" w:space="0" w:color="auto"/>
        <w:left w:val="none" w:sz="0" w:space="0" w:color="auto"/>
        <w:bottom w:val="none" w:sz="0" w:space="0" w:color="auto"/>
        <w:right w:val="none" w:sz="0" w:space="0" w:color="auto"/>
      </w:divBdr>
    </w:div>
    <w:div w:id="2113821858">
      <w:bodyDiv w:val="1"/>
      <w:marLeft w:val="0"/>
      <w:marRight w:val="0"/>
      <w:marTop w:val="0"/>
      <w:marBottom w:val="0"/>
      <w:divBdr>
        <w:top w:val="none" w:sz="0" w:space="0" w:color="auto"/>
        <w:left w:val="none" w:sz="0" w:space="0" w:color="auto"/>
        <w:bottom w:val="none" w:sz="0" w:space="0" w:color="auto"/>
        <w:right w:val="none" w:sz="0" w:space="0" w:color="auto"/>
      </w:divBdr>
    </w:div>
    <w:div w:id="2123644850">
      <w:bodyDiv w:val="1"/>
      <w:marLeft w:val="0"/>
      <w:marRight w:val="0"/>
      <w:marTop w:val="0"/>
      <w:marBottom w:val="0"/>
      <w:divBdr>
        <w:top w:val="none" w:sz="0" w:space="0" w:color="auto"/>
        <w:left w:val="none" w:sz="0" w:space="0" w:color="auto"/>
        <w:bottom w:val="none" w:sz="0" w:space="0" w:color="auto"/>
        <w:right w:val="none" w:sz="0" w:space="0" w:color="auto"/>
      </w:divBdr>
    </w:div>
    <w:div w:id="2132479515">
      <w:bodyDiv w:val="1"/>
      <w:marLeft w:val="0"/>
      <w:marRight w:val="0"/>
      <w:marTop w:val="0"/>
      <w:marBottom w:val="0"/>
      <w:divBdr>
        <w:top w:val="none" w:sz="0" w:space="0" w:color="auto"/>
        <w:left w:val="none" w:sz="0" w:space="0" w:color="auto"/>
        <w:bottom w:val="none" w:sz="0" w:space="0" w:color="auto"/>
        <w:right w:val="none" w:sz="0" w:space="0" w:color="auto"/>
      </w:divBdr>
    </w:div>
    <w:div w:id="2137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s://ec.europa.eu/info/funding-tenders/opportunities/docs/2021-2027/common/guidance/aga_en.pdf" TargetMode="External"/><Relationship Id="rId39" Type="http://schemas.openxmlformats.org/officeDocument/2006/relationships/hyperlink" Target="http://eur-lex.europa.eu/LexUriServ/LexUriServ.do?uri=OJ:C:2013:205:FULL:EN:PDF" TargetMode="External"/><Relationship Id="rId21" Type="http://schemas.openxmlformats.org/officeDocument/2006/relationships/footer" Target="footer3.xml"/><Relationship Id="rId34" Type="http://schemas.openxmlformats.org/officeDocument/2006/relationships/hyperlink" Target="https://ec.europa.eu/info/funding-tenders/opportunities/docs/2021-2027/common/guidance/om_en.pdf" TargetMode="External"/><Relationship Id="rId42" Type="http://schemas.openxmlformats.org/officeDocument/2006/relationships/hyperlink" Target="https://eige.europa.eu/gender-mainstreaming/toolkits/gender-impact-assessment/guide-gender-impact-assessment" TargetMode="External"/><Relationship Id="rId47" Type="http://schemas.openxmlformats.org/officeDocument/2006/relationships/hyperlink" Target="https://ec.europa.eu/info/funding-tenders/opportunities/docs/2021-2027/common/guidance/rules-lev-lear-fca_en.pdf" TargetMode="External"/><Relationship Id="rId50" Type="http://schemas.openxmlformats.org/officeDocument/2006/relationships/hyperlink" Target="https://ec.europa.eu/info/funding-tenders/opportunities/portal/screen/how-to-participate/reference-documents" TargetMode="External"/><Relationship Id="rId55" Type="http://schemas.openxmlformats.org/officeDocument/2006/relationships/hyperlink" Target="https://ec.europa.eu/info/funding-tenders/opportunities/portal/screen/support/helpdesks/contact-form" TargetMode="External"/><Relationship Id="rId63" Type="http://schemas.openxmlformats.org/officeDocument/2006/relationships/hyperlink" Target="https://ec.europa.eu/info/funding-tenders/opportunities/docs/2021-2027/common/guidance/aga_en.pdf" TargetMode="External"/><Relationship Id="rId68" Type="http://schemas.openxmlformats.org/officeDocument/2006/relationships/hyperlink" Target="https://ec.europa.eu/budget/fts/index_en.htm" TargetMode="Externa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ec.europa.eu/justice/grants/results/daphne-toolkit/daphne-toolkit-%E2%80%93-active-resource-daphne-programme_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ur-lex.europa.eu/legal-content/EN/ALL/?uri=CELEX:32021R0692&amp;qid=1621199407469" TargetMode="External"/><Relationship Id="rId32" Type="http://schemas.openxmlformats.org/officeDocument/2006/relationships/hyperlink" Target="https://ec.europa.eu/info/sites/info/files/standards_child_protection_kcsc_en_1.pdf" TargetMode="External"/><Relationship Id="rId37" Type="http://schemas.openxmlformats.org/officeDocument/2006/relationships/image" Target="media/image6.png"/><Relationship Id="rId40" Type="http://schemas.openxmlformats.org/officeDocument/2006/relationships/hyperlink" Target="https://ec.europa.eu/info/funding-tenders/opportunities/docs/2021-2027/common/guidance/rules-lev-lear-fca_en.pdf" TargetMode="External"/><Relationship Id="rId45" Type="http://schemas.openxmlformats.org/officeDocument/2006/relationships/hyperlink" Target="https://ec.europa.eu/info/sites/info/files/standards_child_protection_kcsc_en_1.pdf" TargetMode="External"/><Relationship Id="rId53" Type="http://schemas.openxmlformats.org/officeDocument/2006/relationships/hyperlink" Target="https://ec.europa.eu/info/funding-tenders/opportunities/portal/screen/how-to-participate/participant-register" TargetMode="External"/><Relationship Id="rId58" Type="http://schemas.openxmlformats.org/officeDocument/2006/relationships/hyperlink" Target="https://ec.europa.eu/info/funding-tenders/opportunities/portal/screen/support/faq;categories=;programme=null;actions=;keyword=" TargetMode="External"/><Relationship Id="rId66" Type="http://schemas.openxmlformats.org/officeDocument/2006/relationships/hyperlink" Target="https://ec.europa.eu/info/funding-tenders/opportunities/docs/2021-2027/common/ftp/privacy-statement_en.pdf"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eur-lex.europa.eu/legal-content/EN/ALL/?uri=CELEX:32018R1046&amp;qid=1535046024012" TargetMode="External"/><Relationship Id="rId28" Type="http://schemas.openxmlformats.org/officeDocument/2006/relationships/hyperlink" Target="https://ec.europa.eu/info/funding-tenders/opportunities/portal/screen/opportunities/projects-results;programCode=REC" TargetMode="External"/><Relationship Id="rId36" Type="http://schemas.openxmlformats.org/officeDocument/2006/relationships/hyperlink" Target="https://ec.europa.eu/info/funding-tenders/opportunities/portal/screen/how-to-participate/participant-register" TargetMode="External"/><Relationship Id="rId49" Type="http://schemas.openxmlformats.org/officeDocument/2006/relationships/hyperlink" Target="https://ec.europa.eu/info/funding-tenders/opportunities/docs/2021-2027/common/ftp/tc_en.pdf" TargetMode="External"/><Relationship Id="rId57" Type="http://schemas.openxmlformats.org/officeDocument/2006/relationships/hyperlink" Target="https://ec.europa.eu/info/funding-tenders/opportunities/docs/2021-2027/common/guidance/om_en.pdf" TargetMode="External"/><Relationship Id="rId61" Type="http://schemas.openxmlformats.org/officeDocument/2006/relationships/hyperlink" Target="https://ec.europa.eu/info/funding-tenders/opportunities/docs/2021-2027/common/ftp/tc_en.pdf" TargetMode="Externa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image" Target="media/image4.png"/><Relationship Id="rId44" Type="http://schemas.openxmlformats.org/officeDocument/2006/relationships/hyperlink" Target="https://eige.europa.eu/gender-mainstreaming/methods-tools/sex-disaggregated-data" TargetMode="External"/><Relationship Id="rId52" Type="http://schemas.openxmlformats.org/officeDocument/2006/relationships/hyperlink" Target="https://webgate.ec.europa.eu/cas/eim/external/register.cgi" TargetMode="External"/><Relationship Id="rId60" Type="http://schemas.openxmlformats.org/officeDocument/2006/relationships/hyperlink" Target="mailto:EACEA-CERV@ec.europa.eu" TargetMode="External"/><Relationship Id="rId65" Type="http://schemas.openxmlformats.org/officeDocument/2006/relationships/hyperlink" Target="https://ec.europa.eu/budget/fts/index_en.ht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3.png"/><Relationship Id="rId27" Type="http://schemas.openxmlformats.org/officeDocument/2006/relationships/hyperlink" Target="https://ec.europa.eu/programmes/europe-for-citizens/projects/" TargetMode="External"/><Relationship Id="rId30"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35" Type="http://schemas.openxmlformats.org/officeDocument/2006/relationships/hyperlink" Target="https://ec.europa.eu/info/funding-tenders/opportunities/docs/2021-2027/cerv/guidance/list-3rd-country-participation_cerv_en.pdf" TargetMode="External"/><Relationship Id="rId43" Type="http://schemas.openxmlformats.org/officeDocument/2006/relationships/hyperlink" Target="http://www.enil.eu/wp-content/uploads/2012/07/Non-discrimination-mainstreaming-instruments-case-studies-way-forward.pdf" TargetMode="External"/><Relationship Id="rId48" Type="http://schemas.openxmlformats.org/officeDocument/2006/relationships/hyperlink" Target="http://eur-lex.europa.eu/legal-content/EN/ALL/?uri=CELEX:31995R2988&amp;qid=1501598622514" TargetMode="External"/><Relationship Id="rId56" Type="http://schemas.openxmlformats.org/officeDocument/2006/relationships/hyperlink" Target="https://ec.europa.eu/info/funding-tenders/opportunities/docs/2021-2027/common/guidance/om_en.pdf" TargetMode="External"/><Relationship Id="rId64" Type="http://schemas.openxmlformats.org/officeDocument/2006/relationships/hyperlink" Target="https://eur-lex.europa.eu/legal-content/EN/ALL/?uri=CELEX:32018R1046&amp;qid=1535046024012" TargetMode="External"/><Relationship Id="rId69" Type="http://schemas.openxmlformats.org/officeDocument/2006/relationships/hyperlink" Target="https://ec.europa.eu/info/funding-tenders/opportunities/docs/2021-2027/common/ftp/privacy-statement_en.pdf" TargetMode="External"/><Relationship Id="rId8" Type="http://schemas.openxmlformats.org/officeDocument/2006/relationships/customXml" Target="../customXml/item8.xml"/><Relationship Id="rId51" Type="http://schemas.openxmlformats.org/officeDocument/2006/relationships/hyperlink" Target="https://ec.europa.eu/info/funding-tenders/opportunities/docs/2021-2027/common/guidance/aga_en.pdf"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s://ec.europa.eu/info/funding-tenders/opportunities/docs/2021-2027/common/guidance/om_en.pdf" TargetMode="External"/><Relationship Id="rId33" Type="http://schemas.openxmlformats.org/officeDocument/2006/relationships/image" Target="media/image5.png"/><Relationship Id="rId38" Type="http://schemas.openxmlformats.org/officeDocument/2006/relationships/hyperlink" Target="http://www.sanctionsmap.eu/" TargetMode="External"/><Relationship Id="rId46" Type="http://schemas.openxmlformats.org/officeDocument/2006/relationships/hyperlink" Target="https://ec.europa.eu/info/funding-tenders/opportunities/portal/screen/how-to-participate/participant-register" TargetMode="External"/><Relationship Id="rId59" Type="http://schemas.openxmlformats.org/officeDocument/2006/relationships/hyperlink" Target="https://ec.europa.eu/info/funding-tenders/opportunities/portal/screen/support/helpdesks/contact-form" TargetMode="External"/><Relationship Id="rId67" Type="http://schemas.openxmlformats.org/officeDocument/2006/relationships/hyperlink" Target="https://eur-lex.europa.eu/legal-content/EN/ALL/?uri=CELEX:32018R1046&amp;qid=1535046024012" TargetMode="External"/><Relationship Id="rId20" Type="http://schemas.openxmlformats.org/officeDocument/2006/relationships/header" Target="header3.xml"/><Relationship Id="rId41" Type="http://schemas.openxmlformats.org/officeDocument/2006/relationships/hyperlink" Target="https://eur-lex.europa.eu/legal-content/EN/ALL/?uri=CELEX:32016R0679&amp;qid=1613382053477" TargetMode="External"/><Relationship Id="rId54"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62" Type="http://schemas.openxmlformats.org/officeDocument/2006/relationships/hyperlink" Target="https://ec.europa.eu/info/funding-tenders/opportunities/portal/screen/how-to-participate/participant-register" TargetMode="External"/><Relationship Id="rId70"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xUriServ/LexUriServ.do?uri=OJ:C:2013:205:FULL:FR:PDF" TargetMode="External"/><Relationship Id="rId3" Type="http://schemas.openxmlformats.org/officeDocument/2006/relationships/hyperlink" Target="https://ec.europa.eu/info/sites/default/files/eu_citizenship_report_2020_-_empowering_citizens_and_protecting_their_rights_en.pdf" TargetMode="External"/><Relationship Id="rId7" Type="http://schemas.openxmlformats.org/officeDocument/2006/relationships/hyperlink" Target="http://www.sanctionsmap.eu/" TargetMode="External"/><Relationship Id="rId12" Type="http://schemas.openxmlformats.org/officeDocument/2006/relationships/hyperlink" Target="https://ec.europa.eu/info/funding-tenders/opportunities/docs/2021-2027/cerv/guidance/ls-decision_cerv_en.pdf" TargetMode="External"/><Relationship Id="rId2" Type="http://schemas.openxmlformats.org/officeDocument/2006/relationships/hyperlink" Target="https://ec.europa.eu/info/aid-development-cooperation-fundamental-rights/your-rights-eu/eu-charter-fundamental-rights/application-charter/eu-strategy-strengthen-application-charter_en" TargetMode="External"/><Relationship Id="rId1" Type="http://schemas.openxmlformats.org/officeDocument/2006/relationships/hyperlink" Target="https://ec.europa.eu/info/publications/new-eu-roma-strategic-framework-equality-inclusion-and-participation-full-package_en" TargetMode="External"/><Relationship Id="rId6" Type="http://schemas.openxmlformats.org/officeDocument/2006/relationships/hyperlink" Target="https://eur-lex.europa.eu/legal-content/EN/ALL/?uri=CELEX:32018R1046&amp;qid=1535046024012" TargetMode="External"/><Relationship Id="rId11"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ALL/?uri=CELEX:32018R1046&amp;qid=1535046024012" TargetMode="External"/><Relationship Id="rId10" Type="http://schemas.openxmlformats.org/officeDocument/2006/relationships/hyperlink" Target="https://eur-lex.europa.eu/legal-content/EN/ALL/?uri=CELEX:32018R1046&amp;qid=1535046024012" TargetMode="External"/><Relationship Id="rId4" Type="http://schemas.openxmlformats.org/officeDocument/2006/relationships/hyperlink" Target="https://ec.europa.eu/info/strategy/priorities-2019-2024/new-push-european-democracy/conference-future-europe_fr" TargetMode="External"/><Relationship Id="rId9" Type="http://schemas.openxmlformats.org/officeDocument/2006/relationships/hyperlink" Target="http://www.enil.eu/wp-content/uploads/2012/07/Non-discrimination-mainstreaming-instruments-case-studies-way-forward.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4" ma:contentTypeDescription="Create a new document." ma:contentTypeScope="" ma:versionID="ed01af0cf8280fc8bb4fc4e81038fd21">
  <xsd:schema xmlns:xsd="http://www.w3.org/2001/XMLSchema" xmlns:xs="http://www.w3.org/2001/XMLSchema" xmlns:p="http://schemas.microsoft.com/office/2006/metadata/properties" xmlns:ns2="d07530ff-ae8d-4383-9420-67306a016191" targetNamespace="http://schemas.microsoft.com/office/2006/metadata/properties" ma:root="true" ma:fieldsID="af8d9a1147f775ca281a46cdfa936f4a" ns2:_="">
    <xsd:import namespace="d07530ff-ae8d-4383-9420-67306a016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
  <Created>
    <Version>4.5</Version>
    <Date>2019-04-12T14:20:34</Date>
    <Language>EN</Language>
    <Note/>
  </Created>
  <Edited>
    <Version>10.0.42447.0</Version>
    <Date>2021-11-09T09:08:35</Date>
  </Edited>
  <DocumentModel>
    <Id>758e4243-45d9-4080-b5fe-135751945526</Id>
    <Name>Speech</Name>
  </DocumentModel>
  <DocumentDate/>
  <DocumentVersion/>
  <CompatibilityMode>Eurolook4X</CompatibilityMode>
</EurolookProperties>
</file>

<file path=customXml/item6.xml><?xml version="1.0" encoding="utf-8"?>
<Author Role="Creator">
  <Id>1d61e911-a39a-4b43-bbd8-7e4df8ddd3c8</Id>
  <Names>
    <Latin>
      <FirstName>Konstantinos</FirstName>
      <LastName>KOKOSIS</LastName>
    </Latin>
    <Greek>
      <FirstName/>
      <LastName/>
    </Greek>
    <Cyrillic>
      <FirstName/>
      <LastName/>
    </Cyrillic>
    <DocumentScript>
      <FirstName>Konstantinos</FirstName>
      <LastName>KOKOSIS</LastName>
      <FullName>Konstantinos KOKOSIS</FullName>
    </DocumentScript>
  </Names>
  <Initials>DinosK</Initials>
  <Gender>m</Gender>
  <Email>Konstantinos.KOKOSIS@ext.ec.europa.eu</Email>
  <Service>RTD.J.4.004</Service>
  <Function ShowInSignature="true"/>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4c8f0bf8-d9c9-47b3-8eb7-3ab9cc8e7e7c</Id>
    <LogicalLevel>2</LogicalLevel>
    <Name>RTD.J</Name>
    <HeadLine1>Common Support Centre</HeadLine1>
    <HeadLine2/>
    <PrimaryAddressId>f03b5801-04c9-4931-aa17-c6d6c70bc579</PrimaryAddressId>
    <SecondaryAddressId/>
    <WebAddress/>
    <InheritedWebAddress>WebAddress</InheritedWebAddress>
    <ShowInHeader>true</ShowInHeader>
  </OrgaEntity2>
  <OrgaEntity3>
    <Id>7d918adf-1a57-4e57-9ca2-3ad57f2888d2</Id>
    <LogicalLevel>3</LogicalLevel>
    <Name>RTD.J.4</Name>
    <HeadLine1>Common IT service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+32 229 83882</Phone>
    <Office>ORBN 05/095</Office>
  </MainWorkplace>
  <Workplaces>
    <Workplace IsMain="false">
      <AddressId>1264fb81-f6bb-475e-9f9d-a937d3be6ee2</AddressId>
      <Fax/>
      <Phone/>
      <Office/>
    </Workplace>
    <Workplace IsMain="true">
      <AddressId>f03b5801-04c9-4931-aa17-c6d6c70bc579</AddressId>
      <Fax/>
      <Phone>+32 229 83882</Phone>
      <Office>ORBN 05/095</Office>
    </Workplace>
  </Workplaces>
</Author>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A5B75-1EA7-4628-935C-286E27E0EEEB}">
  <ds:schemaRefs/>
</ds:datastoreItem>
</file>

<file path=customXml/itemProps2.xml><?xml version="1.0" encoding="utf-8"?>
<ds:datastoreItem xmlns:ds="http://schemas.openxmlformats.org/officeDocument/2006/customXml" ds:itemID="{1E5F6601-D36A-42D2-8B9E-CF2F7A38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F4B3D-80B9-475A-93B0-1C898EC057A7}">
  <ds:schemaRefs>
    <ds:schemaRef ds:uri="http://schemas.microsoft.com/office/2006/metadata/longProperties"/>
  </ds:schemaRefs>
</ds:datastoreItem>
</file>

<file path=customXml/itemProps4.xml><?xml version="1.0" encoding="utf-8"?>
<ds:datastoreItem xmlns:ds="http://schemas.openxmlformats.org/officeDocument/2006/customXml" ds:itemID="{6861A413-90F2-4273-AA7B-403E11F13F13}">
  <ds:schemaRefs>
    <ds:schemaRef ds:uri="http://schemas.microsoft.com/sharepoint/v3/contenttype/forms"/>
  </ds:schemaRefs>
</ds:datastoreItem>
</file>

<file path=customXml/itemProps5.xml><?xml version="1.0" encoding="utf-8"?>
<ds:datastoreItem xmlns:ds="http://schemas.openxmlformats.org/officeDocument/2006/customXml" ds:itemID="{A64404DA-45EE-468F-9B83-25C3DBD29BC4}">
  <ds:schemaRefs/>
</ds:datastoreItem>
</file>

<file path=customXml/itemProps6.xml><?xml version="1.0" encoding="utf-8"?>
<ds:datastoreItem xmlns:ds="http://schemas.openxmlformats.org/officeDocument/2006/customXml" ds:itemID="{9034E5F8-F5C8-4DD5-B73A-9040160523CA}">
  <ds:schemaRefs/>
</ds:datastoreItem>
</file>

<file path=customXml/itemProps7.xml><?xml version="1.0" encoding="utf-8"?>
<ds:datastoreItem xmlns:ds="http://schemas.openxmlformats.org/officeDocument/2006/customXml" ds:itemID="{260DCBEA-C60B-4717-BD55-FC8385B26BE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7530ff-ae8d-4383-9420-67306a016191"/>
    <ds:schemaRef ds:uri="http://purl.org/dc/terms/"/>
    <ds:schemaRef ds:uri="http://www.w3.org/XML/1998/namespace"/>
    <ds:schemaRef ds:uri="http://purl.org/dc/dcmitype/"/>
  </ds:schemaRefs>
</ds:datastoreItem>
</file>

<file path=customXml/itemProps8.xml><?xml version="1.0" encoding="utf-8"?>
<ds:datastoreItem xmlns:ds="http://schemas.openxmlformats.org/officeDocument/2006/customXml" ds:itemID="{78FA0DF7-AF29-45CB-B4B2-4AC225D4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85</TotalTime>
  <Pages>28</Pages>
  <Words>9806</Words>
  <Characters>64097</Characters>
  <Application>Microsoft Office Word</Application>
  <DocSecurity>0</DocSecurity>
  <PresentationFormat>Microsoft Word 14.0</PresentationFormat>
  <Lines>534</Lines>
  <Paragraphs>147</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73756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SOKOLOWSKA Malgorzata (EACEA-EXT)</cp:lastModifiedBy>
  <cp:revision>41</cp:revision>
  <cp:lastPrinted>2017-11-06T13:30:00Z</cp:lastPrinted>
  <dcterms:created xsi:type="dcterms:W3CDTF">2021-12-09T12:20:00Z</dcterms:created>
  <dcterms:modified xsi:type="dcterms:W3CDTF">2022-01-24T12:37:00Z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Danielle BARBIEUX</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0x01010043D24022E66C1540A3B1E037465E0CE3</vt:lpwstr>
  </property>
</Properties>
</file>