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02D6295F" w:rsidR="00F9780D" w:rsidRPr="00A54239" w:rsidRDefault="000321DD" w:rsidP="00BC77C3">
      <w:pPr>
        <w:jc w:val="center"/>
        <w:rPr>
          <w:b/>
        </w:rPr>
      </w:pPr>
      <w:r w:rsidRPr="00A54239">
        <w:rPr>
          <w:rFonts w:ascii="EC Square Sans Pro" w:hAnsi="EC Square Sans Pro"/>
          <w:b/>
          <w:color w:val="00B0F0"/>
          <w:sz w:val="30"/>
          <w:szCs w:val="30"/>
        </w:rPr>
        <w:t>V případě nesrovnalostí mezi různými jazykovými verzemi má přednost anglické znění.</w:t>
      </w:r>
    </w:p>
    <w:p w14:paraId="0385DD63" w14:textId="4EF8F153" w:rsidR="00BC77C3" w:rsidRDefault="00BC77C3" w:rsidP="00BC77C3">
      <w:pPr>
        <w:jc w:val="center"/>
      </w:pPr>
    </w:p>
    <w:p w14:paraId="3F4EE1A2" w14:textId="77777777" w:rsidR="000321DD" w:rsidRPr="00BC77C3" w:rsidRDefault="000321DD" w:rsidP="00BC77C3">
      <w:pPr>
        <w:jc w:val="cente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17DB65C8"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Program Občané, rovnost, práva a hodnoty (CERV)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Výzva k podávání návrhů </w:t>
      </w:r>
    </w:p>
    <w:p w14:paraId="026AC77F" w14:textId="77777777" w:rsidR="00BA69DD" w:rsidRPr="008E1695" w:rsidRDefault="00BA69DD" w:rsidP="00BA69DD">
      <w:pPr>
        <w:spacing w:after="320"/>
        <w:jc w:val="center"/>
        <w:rPr>
          <w:rFonts w:ascii="EC Square Sans Pro Light" w:hAnsi="EC Square Sans Pro Light"/>
          <w:b/>
          <w:bCs/>
          <w:sz w:val="48"/>
          <w:szCs w:val="48"/>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Partnerství měst a sítě měst</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3EDE395E" w14:textId="77777777" w:rsidR="007A412A" w:rsidRPr="00917559" w:rsidRDefault="007A412A" w:rsidP="007A412A">
      <w:pPr>
        <w:jc w:val="center"/>
        <w:rPr>
          <w:rFonts w:ascii="EC Square Sans Pro Light" w:hAnsi="EC Square Sans Pro Light"/>
          <w:b/>
        </w:rPr>
      </w:pPr>
    </w:p>
    <w:p w14:paraId="0CD68606" w14:textId="359BA901" w:rsidR="00A54239" w:rsidRPr="00917559" w:rsidRDefault="00A54239" w:rsidP="007A412A">
      <w:pPr>
        <w:jc w:val="center"/>
        <w:rPr>
          <w:rFonts w:ascii="EC Square Sans Pro Light" w:hAnsi="EC Square Sans Pro Light"/>
          <w:b/>
        </w:rPr>
      </w:pPr>
      <w:bookmarkStart w:id="0" w:name="_GoBack"/>
      <w:bookmarkEnd w:id="0"/>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Verze 1.0</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16. listopadu 2021</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F6C8E" w14:paraId="366E97BE" w14:textId="77777777" w:rsidTr="002F6C8E">
        <w:trPr>
          <w:jc w:val="center"/>
        </w:trPr>
        <w:tc>
          <w:tcPr>
            <w:tcW w:w="9000"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HISTORIE ZMĚN</w:t>
            </w:r>
          </w:p>
        </w:tc>
      </w:tr>
      <w:tr w:rsidR="002F6C8E" w:rsidRPr="002F6C8E" w14:paraId="4E3EB65A" w14:textId="77777777" w:rsidTr="002F6C8E">
        <w:trPr>
          <w:jc w:val="center"/>
        </w:trPr>
        <w:tc>
          <w:tcPr>
            <w:tcW w:w="975" w:type="dxa"/>
            <w:vAlign w:val="center"/>
            <w:hideMark/>
          </w:tcPr>
          <w:p w14:paraId="4BC01B6E" w14:textId="77777777" w:rsidR="00877924" w:rsidRPr="002F6C8E" w:rsidRDefault="00877924" w:rsidP="00877924">
            <w:pPr>
              <w:spacing w:before="60" w:after="60"/>
              <w:jc w:val="center"/>
              <w:rPr>
                <w:b/>
                <w:color w:val="595959"/>
              </w:rPr>
            </w:pPr>
            <w:r>
              <w:rPr>
                <w:b/>
                <w:color w:val="595959"/>
              </w:rPr>
              <w:t>Verze</w:t>
            </w:r>
          </w:p>
        </w:tc>
        <w:tc>
          <w:tcPr>
            <w:tcW w:w="1350"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Datum zveřejnění</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Změna</w:t>
            </w:r>
          </w:p>
        </w:tc>
        <w:tc>
          <w:tcPr>
            <w:tcW w:w="675" w:type="dxa"/>
            <w:vAlign w:val="center"/>
            <w:hideMark/>
          </w:tcPr>
          <w:p w14:paraId="7294B709" w14:textId="77777777" w:rsidR="00877924" w:rsidRPr="002F6C8E" w:rsidRDefault="00877924" w:rsidP="00877924">
            <w:pPr>
              <w:spacing w:before="60" w:after="60"/>
              <w:jc w:val="center"/>
              <w:rPr>
                <w:b/>
                <w:color w:val="595959"/>
              </w:rPr>
            </w:pPr>
            <w:r>
              <w:rPr>
                <w:b/>
                <w:color w:val="595959"/>
              </w:rPr>
              <w:t>Strana</w:t>
            </w:r>
          </w:p>
        </w:tc>
      </w:tr>
      <w:tr w:rsidR="002F6C8E" w:rsidRPr="002F6C8E" w14:paraId="6AD94C27" w14:textId="77777777" w:rsidTr="002F6C8E">
        <w:trPr>
          <w:jc w:val="center"/>
          <w:hidden/>
        </w:trPr>
        <w:tc>
          <w:tcPr>
            <w:tcW w:w="975"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350"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16.11.2021</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Původní verze (víceletý finanční rámec na období 2021–2022)</w:t>
            </w:r>
          </w:p>
        </w:tc>
        <w:tc>
          <w:tcPr>
            <w:tcW w:w="675" w:type="dxa"/>
            <w:hideMark/>
          </w:tcPr>
          <w:p w14:paraId="0776925A" w14:textId="77777777" w:rsidR="007C1E0D" w:rsidRPr="008E1695" w:rsidRDefault="007C1E0D" w:rsidP="00877924">
            <w:pPr>
              <w:keepNext/>
              <w:tabs>
                <w:tab w:val="right" w:pos="9063"/>
              </w:tabs>
              <w:spacing w:before="60" w:after="60"/>
              <w:jc w:val="center"/>
              <w:outlineLvl w:val="1"/>
              <w:rPr>
                <w:color w:val="595959"/>
                <w:sz w:val="18"/>
                <w:szCs w:val="18"/>
              </w:rPr>
            </w:pPr>
          </w:p>
        </w:tc>
      </w:tr>
      <w:tr w:rsidR="002F6C8E" w:rsidRPr="002F6C8E" w14:paraId="6B8E79B0" w14:textId="77777777" w:rsidTr="002F6C8E">
        <w:trPr>
          <w:jc w:val="center"/>
        </w:trPr>
        <w:tc>
          <w:tcPr>
            <w:tcW w:w="975" w:type="dxa"/>
          </w:tcPr>
          <w:p w14:paraId="2D4B5C9F" w14:textId="77777777" w:rsidR="007C1E0D" w:rsidRPr="002F6C8E" w:rsidRDefault="007C1E0D" w:rsidP="0084666C">
            <w:pPr>
              <w:spacing w:before="60" w:after="60"/>
              <w:jc w:val="center"/>
              <w:rPr>
                <w:color w:val="595959"/>
                <w:sz w:val="18"/>
                <w:szCs w:val="18"/>
              </w:rPr>
            </w:pPr>
          </w:p>
        </w:tc>
        <w:tc>
          <w:tcPr>
            <w:tcW w:w="1350"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8E1695" w:rsidRDefault="007C1E0D" w:rsidP="00877924">
            <w:pPr>
              <w:keepNext/>
              <w:tabs>
                <w:tab w:val="right" w:pos="9063"/>
              </w:tabs>
              <w:spacing w:before="60" w:after="60"/>
              <w:jc w:val="center"/>
              <w:outlineLvl w:val="1"/>
              <w:rPr>
                <w:color w:val="595959"/>
                <w:sz w:val="18"/>
                <w:szCs w:val="18"/>
              </w:rPr>
            </w:pPr>
          </w:p>
        </w:tc>
      </w:tr>
      <w:tr w:rsidR="002F6C8E" w:rsidRPr="002F6C8E" w14:paraId="543D7828" w14:textId="77777777" w:rsidTr="002F6C8E">
        <w:trPr>
          <w:jc w:val="center"/>
        </w:trPr>
        <w:tc>
          <w:tcPr>
            <w:tcW w:w="975" w:type="dxa"/>
          </w:tcPr>
          <w:p w14:paraId="53DF4A59" w14:textId="77777777" w:rsidR="007C1E0D" w:rsidRPr="002F6C8E" w:rsidRDefault="007C1E0D" w:rsidP="0084666C">
            <w:pPr>
              <w:spacing w:before="60" w:after="60"/>
              <w:jc w:val="center"/>
              <w:rPr>
                <w:color w:val="595959"/>
                <w:sz w:val="18"/>
                <w:szCs w:val="18"/>
              </w:rPr>
            </w:pPr>
          </w:p>
        </w:tc>
        <w:tc>
          <w:tcPr>
            <w:tcW w:w="1350"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8E1695" w:rsidRDefault="007C1E0D" w:rsidP="00877924">
            <w:pPr>
              <w:keepNext/>
              <w:tabs>
                <w:tab w:val="right" w:pos="9063"/>
              </w:tabs>
              <w:spacing w:before="60" w:after="60"/>
              <w:jc w:val="center"/>
              <w:outlineLvl w:val="1"/>
              <w:rPr>
                <w:color w:val="595959"/>
                <w:sz w:val="18"/>
                <w:szCs w:val="18"/>
              </w:rPr>
            </w:pPr>
          </w:p>
        </w:tc>
      </w:tr>
      <w:tr w:rsidR="002F6C8E" w:rsidRPr="002F6C8E" w14:paraId="30FE2898" w14:textId="77777777" w:rsidTr="002F6C8E">
        <w:trPr>
          <w:jc w:val="center"/>
        </w:trPr>
        <w:tc>
          <w:tcPr>
            <w:tcW w:w="975" w:type="dxa"/>
          </w:tcPr>
          <w:p w14:paraId="55376C2C" w14:textId="77777777" w:rsidR="007C1E0D" w:rsidRPr="002F6C8E" w:rsidRDefault="007C1E0D" w:rsidP="0084666C">
            <w:pPr>
              <w:spacing w:before="60" w:after="60"/>
              <w:jc w:val="center"/>
              <w:rPr>
                <w:color w:val="595959"/>
                <w:sz w:val="18"/>
                <w:szCs w:val="18"/>
              </w:rPr>
            </w:pPr>
          </w:p>
        </w:tc>
        <w:tc>
          <w:tcPr>
            <w:tcW w:w="1350"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8E1695" w:rsidRDefault="007C1E0D" w:rsidP="00877924">
            <w:pPr>
              <w:keepNext/>
              <w:tabs>
                <w:tab w:val="right" w:pos="9063"/>
              </w:tabs>
              <w:spacing w:before="60" w:after="60"/>
              <w:jc w:val="center"/>
              <w:outlineLvl w:val="1"/>
              <w:rPr>
                <w:color w:val="595959"/>
                <w:sz w:val="18"/>
                <w:szCs w:val="18"/>
              </w:rPr>
            </w:pPr>
          </w:p>
        </w:tc>
      </w:tr>
    </w:tbl>
    <w:p w14:paraId="21681E32" w14:textId="77777777" w:rsidR="00877924" w:rsidRPr="008E1695" w:rsidRDefault="00877924" w:rsidP="00877924">
      <w:pPr>
        <w:spacing w:after="0"/>
        <w:rPr>
          <w:sz w:val="22"/>
          <w:szCs w:val="22"/>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EVROPSKÁ VÝKONNÁ AGENTURA PRO</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VZDĚLÁVÁNÍ A KULTURU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Kreativita, občanství a společné operace</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Evropa pro občany</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VÝZVA K PODÁVÁNÍ NÁVRHŮ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OBSAH</w:t>
      </w:r>
    </w:p>
    <w:p w14:paraId="75BB0AFA" w14:textId="0A4FEC72" w:rsidR="00340A6F" w:rsidRDefault="00340A6F">
      <w:pPr>
        <w:pStyle w:val="TOC1"/>
        <w:rPr>
          <w:rFonts w:asciiTheme="minorHAnsi" w:eastAsiaTheme="minorEastAsia" w:hAnsiTheme="minorHAnsi" w:cstheme="minorBidi"/>
          <w:noProof/>
          <w:sz w:val="22"/>
          <w:szCs w:val="22"/>
        </w:rPr>
      </w:pPr>
      <w:r>
        <w:fldChar w:fldCharType="begin"/>
      </w:r>
      <w:r>
        <w:instrText xml:space="preserve"> TOC \o "1-1" \h \z \t "Heading 2,2,Heading 3,3,Subtitle,2" </w:instrText>
      </w:r>
      <w:r>
        <w:fldChar w:fldCharType="separate"/>
      </w:r>
      <w:hyperlink w:anchor="_Toc89950946" w:history="1">
        <w:r w:rsidRPr="00294D0F">
          <w:rPr>
            <w:rStyle w:val="Hyperlink"/>
          </w:rPr>
          <w:t>0.</w:t>
        </w:r>
        <w:r>
          <w:rPr>
            <w:rFonts w:asciiTheme="minorHAnsi" w:eastAsiaTheme="minorEastAsia" w:hAnsiTheme="minorHAnsi" w:cstheme="minorBidi"/>
            <w:sz w:val="22"/>
            <w:szCs w:val="22"/>
          </w:rPr>
          <w:tab/>
        </w:r>
        <w:r w:rsidRPr="00294D0F">
          <w:rPr>
            <w:rStyle w:val="Hyperlink"/>
          </w:rPr>
          <w:t>Introduction</w:t>
        </w:r>
        <w:r>
          <w:rPr>
            <w:webHidden/>
          </w:rPr>
          <w:tab/>
        </w:r>
        <w:r>
          <w:rPr>
            <w:webHidden/>
          </w:rPr>
          <w:fldChar w:fldCharType="begin"/>
        </w:r>
        <w:r>
          <w:rPr>
            <w:webHidden/>
          </w:rPr>
          <w:instrText xml:space="preserve"> PAGEREF _Toc89950946 \h </w:instrText>
        </w:r>
        <w:r>
          <w:rPr>
            <w:webHidden/>
          </w:rPr>
        </w:r>
        <w:r>
          <w:rPr>
            <w:webHidden/>
          </w:rPr>
          <w:fldChar w:fldCharType="separate"/>
        </w:r>
        <w:r>
          <w:rPr>
            <w:webHidden/>
          </w:rPr>
          <w:t>5</w:t>
        </w:r>
        <w:r>
          <w:rPr>
            <w:webHidden/>
          </w:rPr>
          <w:fldChar w:fldCharType="end"/>
        </w:r>
      </w:hyperlink>
    </w:p>
    <w:p w14:paraId="23A11222" w14:textId="33C18C95" w:rsidR="00340A6F" w:rsidRDefault="00A54239">
      <w:pPr>
        <w:pStyle w:val="TOC1"/>
        <w:rPr>
          <w:rFonts w:asciiTheme="minorHAnsi" w:eastAsiaTheme="minorEastAsia" w:hAnsiTheme="minorHAnsi" w:cstheme="minorBidi"/>
          <w:sz w:val="22"/>
          <w:szCs w:val="22"/>
        </w:rPr>
      </w:pPr>
      <w:hyperlink w:anchor="_Toc89950947" w:history="1">
        <w:r w:rsidR="00340A6F" w:rsidRPr="00294D0F">
          <w:rPr>
            <w:rStyle w:val="Hyperlink"/>
          </w:rPr>
          <w:t>1.</w:t>
        </w:r>
        <w:r w:rsidR="00340A6F">
          <w:rPr>
            <w:rFonts w:asciiTheme="minorHAnsi" w:eastAsiaTheme="minorEastAsia" w:hAnsiTheme="minorHAnsi" w:cstheme="minorBidi"/>
            <w:sz w:val="22"/>
            <w:szCs w:val="22"/>
          </w:rPr>
          <w:tab/>
        </w:r>
        <w:r w:rsidR="00340A6F" w:rsidRPr="00294D0F">
          <w:rPr>
            <w:rStyle w:val="Hyperlink"/>
          </w:rPr>
          <w:t>Background</w:t>
        </w:r>
        <w:r w:rsidR="00340A6F">
          <w:rPr>
            <w:webHidden/>
          </w:rPr>
          <w:tab/>
        </w:r>
        <w:r w:rsidR="00340A6F">
          <w:rPr>
            <w:webHidden/>
          </w:rPr>
          <w:fldChar w:fldCharType="begin"/>
        </w:r>
        <w:r w:rsidR="00340A6F">
          <w:rPr>
            <w:webHidden/>
          </w:rPr>
          <w:instrText xml:space="preserve"> PAGEREF _Toc89950947 \h </w:instrText>
        </w:r>
        <w:r w:rsidR="00340A6F">
          <w:rPr>
            <w:webHidden/>
          </w:rPr>
        </w:r>
        <w:r w:rsidR="00340A6F">
          <w:rPr>
            <w:webHidden/>
          </w:rPr>
          <w:fldChar w:fldCharType="separate"/>
        </w:r>
        <w:r w:rsidR="00340A6F">
          <w:rPr>
            <w:webHidden/>
          </w:rPr>
          <w:t>6</w:t>
        </w:r>
        <w:r w:rsidR="00340A6F">
          <w:rPr>
            <w:webHidden/>
          </w:rPr>
          <w:fldChar w:fldCharType="end"/>
        </w:r>
      </w:hyperlink>
    </w:p>
    <w:p w14:paraId="754158D2" w14:textId="6DC1F063" w:rsidR="00340A6F" w:rsidRDefault="00A54239">
      <w:pPr>
        <w:pStyle w:val="TOC1"/>
        <w:rPr>
          <w:rFonts w:asciiTheme="minorHAnsi" w:eastAsiaTheme="minorEastAsia" w:hAnsiTheme="minorHAnsi" w:cstheme="minorBidi"/>
          <w:sz w:val="22"/>
          <w:szCs w:val="22"/>
        </w:rPr>
      </w:pPr>
      <w:hyperlink w:anchor="_Toc89950948" w:history="1">
        <w:r w:rsidR="00340A6F" w:rsidRPr="00294D0F">
          <w:rPr>
            <w:rStyle w:val="Hyperlink"/>
          </w:rPr>
          <w:t>2.</w:t>
        </w:r>
        <w:r w:rsidR="00340A6F">
          <w:rPr>
            <w:rFonts w:asciiTheme="minorHAnsi" w:eastAsiaTheme="minorEastAsia" w:hAnsiTheme="minorHAnsi" w:cstheme="minorBidi"/>
            <w:sz w:val="22"/>
            <w:szCs w:val="22"/>
          </w:rPr>
          <w:tab/>
        </w:r>
        <w:r w:rsidR="00340A6F" w:rsidRPr="00294D0F">
          <w:rPr>
            <w:rStyle w:val="Hyperlink"/>
          </w:rPr>
          <w:t>Objectives — Themes and priorities — Activities that can be funded — Expected impact</w:t>
        </w:r>
        <w:r w:rsidR="00340A6F">
          <w:rPr>
            <w:webHidden/>
          </w:rPr>
          <w:tab/>
        </w:r>
        <w:r w:rsidR="00340A6F">
          <w:rPr>
            <w:webHidden/>
          </w:rPr>
          <w:fldChar w:fldCharType="begin"/>
        </w:r>
        <w:r w:rsidR="00340A6F">
          <w:rPr>
            <w:webHidden/>
          </w:rPr>
          <w:instrText xml:space="preserve"> PAGEREF _Toc89950948 \h </w:instrText>
        </w:r>
        <w:r w:rsidR="00340A6F">
          <w:rPr>
            <w:webHidden/>
          </w:rPr>
        </w:r>
        <w:r w:rsidR="00340A6F">
          <w:rPr>
            <w:webHidden/>
          </w:rPr>
          <w:fldChar w:fldCharType="separate"/>
        </w:r>
        <w:r w:rsidR="00340A6F">
          <w:rPr>
            <w:webHidden/>
          </w:rPr>
          <w:t>6</w:t>
        </w:r>
        <w:r w:rsidR="00340A6F">
          <w:rPr>
            <w:webHidden/>
          </w:rPr>
          <w:fldChar w:fldCharType="end"/>
        </w:r>
      </w:hyperlink>
    </w:p>
    <w:p w14:paraId="66F97283" w14:textId="5E73CD7E" w:rsidR="00340A6F" w:rsidRDefault="00A54239">
      <w:pPr>
        <w:pStyle w:val="TOC3"/>
        <w:rPr>
          <w:rFonts w:asciiTheme="minorHAnsi" w:eastAsiaTheme="minorEastAsia" w:hAnsiTheme="minorHAnsi" w:cstheme="minorBidi"/>
          <w:sz w:val="22"/>
          <w:szCs w:val="22"/>
        </w:rPr>
      </w:pPr>
      <w:hyperlink w:anchor="_Toc89950949"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_Toc89950949 \h </w:instrText>
        </w:r>
        <w:r w:rsidR="00340A6F">
          <w:rPr>
            <w:webHidden/>
          </w:rPr>
        </w:r>
        <w:r w:rsidR="00340A6F">
          <w:rPr>
            <w:webHidden/>
          </w:rPr>
          <w:fldChar w:fldCharType="separate"/>
        </w:r>
        <w:r w:rsidR="00340A6F">
          <w:rPr>
            <w:webHidden/>
          </w:rPr>
          <w:t>6</w:t>
        </w:r>
        <w:r w:rsidR="00340A6F">
          <w:rPr>
            <w:webHidden/>
          </w:rPr>
          <w:fldChar w:fldCharType="end"/>
        </w:r>
      </w:hyperlink>
    </w:p>
    <w:p w14:paraId="0AAB001B" w14:textId="650F159E" w:rsidR="00340A6F" w:rsidRDefault="00A54239">
      <w:pPr>
        <w:pStyle w:val="TOC3"/>
        <w:rPr>
          <w:rFonts w:asciiTheme="minorHAnsi" w:eastAsiaTheme="minorEastAsia" w:hAnsiTheme="minorHAnsi" w:cstheme="minorBidi"/>
          <w:sz w:val="22"/>
          <w:szCs w:val="22"/>
        </w:rPr>
      </w:pPr>
      <w:hyperlink w:anchor="_Toc89950950"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_Toc89950950 \h </w:instrText>
        </w:r>
        <w:r w:rsidR="00340A6F">
          <w:rPr>
            <w:webHidden/>
          </w:rPr>
        </w:r>
        <w:r w:rsidR="00340A6F">
          <w:rPr>
            <w:webHidden/>
          </w:rPr>
          <w:fldChar w:fldCharType="separate"/>
        </w:r>
        <w:r w:rsidR="00340A6F">
          <w:rPr>
            <w:webHidden/>
          </w:rPr>
          <w:t>7</w:t>
        </w:r>
        <w:r w:rsidR="00340A6F">
          <w:rPr>
            <w:webHidden/>
          </w:rPr>
          <w:fldChar w:fldCharType="end"/>
        </w:r>
      </w:hyperlink>
    </w:p>
    <w:p w14:paraId="5D2FD097" w14:textId="464C7828" w:rsidR="00340A6F" w:rsidRDefault="00A54239">
      <w:pPr>
        <w:pStyle w:val="TOC3"/>
        <w:rPr>
          <w:rFonts w:asciiTheme="minorHAnsi" w:eastAsiaTheme="minorEastAsia" w:hAnsiTheme="minorHAnsi" w:cstheme="minorBidi"/>
          <w:sz w:val="22"/>
          <w:szCs w:val="22"/>
        </w:rPr>
      </w:pPr>
      <w:hyperlink w:anchor="_Toc89950951"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_Toc89950951 \h </w:instrText>
        </w:r>
        <w:r w:rsidR="00340A6F">
          <w:rPr>
            <w:webHidden/>
          </w:rPr>
        </w:r>
        <w:r w:rsidR="00340A6F">
          <w:rPr>
            <w:webHidden/>
          </w:rPr>
          <w:fldChar w:fldCharType="separate"/>
        </w:r>
        <w:r w:rsidR="00340A6F">
          <w:rPr>
            <w:webHidden/>
          </w:rPr>
          <w:t>8</w:t>
        </w:r>
        <w:r w:rsidR="00340A6F">
          <w:rPr>
            <w:webHidden/>
          </w:rPr>
          <w:fldChar w:fldCharType="end"/>
        </w:r>
      </w:hyperlink>
    </w:p>
    <w:p w14:paraId="0E622752" w14:textId="3FA259BA" w:rsidR="00340A6F" w:rsidRDefault="00A54239">
      <w:pPr>
        <w:pStyle w:val="TOC3"/>
        <w:rPr>
          <w:rFonts w:asciiTheme="minorHAnsi" w:eastAsiaTheme="minorEastAsia" w:hAnsiTheme="minorHAnsi" w:cstheme="minorBidi"/>
          <w:sz w:val="22"/>
          <w:szCs w:val="22"/>
        </w:rPr>
      </w:pPr>
      <w:hyperlink w:anchor="_Toc89950952"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_Toc89950952 \h </w:instrText>
        </w:r>
        <w:r w:rsidR="00340A6F">
          <w:rPr>
            <w:webHidden/>
          </w:rPr>
        </w:r>
        <w:r w:rsidR="00340A6F">
          <w:rPr>
            <w:webHidden/>
          </w:rPr>
          <w:fldChar w:fldCharType="separate"/>
        </w:r>
        <w:r w:rsidR="00340A6F">
          <w:rPr>
            <w:webHidden/>
          </w:rPr>
          <w:t>9</w:t>
        </w:r>
        <w:r w:rsidR="00340A6F">
          <w:rPr>
            <w:webHidden/>
          </w:rPr>
          <w:fldChar w:fldCharType="end"/>
        </w:r>
      </w:hyperlink>
    </w:p>
    <w:p w14:paraId="668B2EEE" w14:textId="57AD07A4" w:rsidR="00340A6F" w:rsidRDefault="00A54239">
      <w:pPr>
        <w:pStyle w:val="TOC3"/>
        <w:rPr>
          <w:rFonts w:asciiTheme="minorHAnsi" w:eastAsiaTheme="minorEastAsia" w:hAnsiTheme="minorHAnsi" w:cstheme="minorBidi"/>
          <w:sz w:val="22"/>
          <w:szCs w:val="22"/>
        </w:rPr>
      </w:pPr>
      <w:hyperlink w:anchor="_Toc89950953" w:history="1">
        <w:r w:rsidR="00340A6F" w:rsidRPr="00294D0F">
          <w:rPr>
            <w:rStyle w:val="Hyperlink"/>
          </w:rPr>
          <w:t>Activities that can be funded (scope)</w:t>
        </w:r>
        <w:r w:rsidR="00340A6F">
          <w:rPr>
            <w:webHidden/>
          </w:rPr>
          <w:tab/>
        </w:r>
        <w:r w:rsidR="00340A6F">
          <w:rPr>
            <w:webHidden/>
          </w:rPr>
          <w:fldChar w:fldCharType="begin"/>
        </w:r>
        <w:r w:rsidR="00340A6F">
          <w:rPr>
            <w:webHidden/>
          </w:rPr>
          <w:instrText xml:space="preserve"> PAGEREF _Toc89950953 \h </w:instrText>
        </w:r>
        <w:r w:rsidR="00340A6F">
          <w:rPr>
            <w:webHidden/>
          </w:rPr>
        </w:r>
        <w:r w:rsidR="00340A6F">
          <w:rPr>
            <w:webHidden/>
          </w:rPr>
          <w:fldChar w:fldCharType="separate"/>
        </w:r>
        <w:r w:rsidR="00340A6F">
          <w:rPr>
            <w:webHidden/>
          </w:rPr>
          <w:t>9</w:t>
        </w:r>
        <w:r w:rsidR="00340A6F">
          <w:rPr>
            <w:webHidden/>
          </w:rPr>
          <w:fldChar w:fldCharType="end"/>
        </w:r>
      </w:hyperlink>
    </w:p>
    <w:p w14:paraId="04945EDE" w14:textId="615450ED" w:rsidR="00340A6F" w:rsidRDefault="00A54239">
      <w:pPr>
        <w:pStyle w:val="TOC3"/>
        <w:rPr>
          <w:rFonts w:asciiTheme="minorHAnsi" w:eastAsiaTheme="minorEastAsia" w:hAnsiTheme="minorHAnsi" w:cstheme="minorBidi"/>
          <w:sz w:val="22"/>
          <w:szCs w:val="22"/>
        </w:rPr>
      </w:pPr>
      <w:hyperlink w:anchor="_Toc89950954" w:history="1">
        <w:r w:rsidR="00340A6F" w:rsidRPr="00294D0F">
          <w:rPr>
            <w:rStyle w:val="Hyperlink"/>
          </w:rPr>
          <w:t>Expected impact</w:t>
        </w:r>
        <w:r w:rsidR="00340A6F">
          <w:rPr>
            <w:webHidden/>
          </w:rPr>
          <w:tab/>
        </w:r>
        <w:r w:rsidR="00340A6F">
          <w:rPr>
            <w:webHidden/>
          </w:rPr>
          <w:fldChar w:fldCharType="begin"/>
        </w:r>
        <w:r w:rsidR="00340A6F">
          <w:rPr>
            <w:webHidden/>
          </w:rPr>
          <w:instrText xml:space="preserve"> PAGEREF _Toc89950954 \h </w:instrText>
        </w:r>
        <w:r w:rsidR="00340A6F">
          <w:rPr>
            <w:webHidden/>
          </w:rPr>
        </w:r>
        <w:r w:rsidR="00340A6F">
          <w:rPr>
            <w:webHidden/>
          </w:rPr>
          <w:fldChar w:fldCharType="separate"/>
        </w:r>
        <w:r w:rsidR="00340A6F">
          <w:rPr>
            <w:webHidden/>
          </w:rPr>
          <w:t>10</w:t>
        </w:r>
        <w:r w:rsidR="00340A6F">
          <w:rPr>
            <w:webHidden/>
          </w:rPr>
          <w:fldChar w:fldCharType="end"/>
        </w:r>
      </w:hyperlink>
    </w:p>
    <w:p w14:paraId="4B082E88" w14:textId="1C47F704" w:rsidR="00340A6F" w:rsidRDefault="00A54239">
      <w:pPr>
        <w:pStyle w:val="TOC1"/>
        <w:rPr>
          <w:rFonts w:asciiTheme="minorHAnsi" w:eastAsiaTheme="minorEastAsia" w:hAnsiTheme="minorHAnsi" w:cstheme="minorBidi"/>
          <w:sz w:val="22"/>
          <w:szCs w:val="22"/>
        </w:rPr>
      </w:pPr>
      <w:hyperlink w:anchor="_Toc89950955" w:history="1">
        <w:r w:rsidR="00340A6F" w:rsidRPr="00294D0F">
          <w:rPr>
            <w:rStyle w:val="Hyperlink"/>
          </w:rPr>
          <w:t>3.</w:t>
        </w:r>
        <w:r w:rsidR="00340A6F">
          <w:rPr>
            <w:rFonts w:asciiTheme="minorHAnsi" w:eastAsiaTheme="minorEastAsia" w:hAnsiTheme="minorHAnsi" w:cstheme="minorBidi"/>
            <w:sz w:val="22"/>
            <w:szCs w:val="22"/>
          </w:rPr>
          <w:tab/>
        </w:r>
        <w:r w:rsidR="00340A6F" w:rsidRPr="00294D0F">
          <w:rPr>
            <w:rStyle w:val="Hyperlink"/>
          </w:rPr>
          <w:t>Available budget</w:t>
        </w:r>
        <w:r w:rsidR="00340A6F">
          <w:rPr>
            <w:webHidden/>
          </w:rPr>
          <w:tab/>
        </w:r>
        <w:r w:rsidR="00340A6F">
          <w:rPr>
            <w:webHidden/>
          </w:rPr>
          <w:fldChar w:fldCharType="begin"/>
        </w:r>
        <w:r w:rsidR="00340A6F">
          <w:rPr>
            <w:webHidden/>
          </w:rPr>
          <w:instrText xml:space="preserve"> PAGEREF _Toc89950955 \h </w:instrText>
        </w:r>
        <w:r w:rsidR="00340A6F">
          <w:rPr>
            <w:webHidden/>
          </w:rPr>
        </w:r>
        <w:r w:rsidR="00340A6F">
          <w:rPr>
            <w:webHidden/>
          </w:rPr>
          <w:fldChar w:fldCharType="separate"/>
        </w:r>
        <w:r w:rsidR="00340A6F">
          <w:rPr>
            <w:webHidden/>
          </w:rPr>
          <w:t>10</w:t>
        </w:r>
        <w:r w:rsidR="00340A6F">
          <w:rPr>
            <w:webHidden/>
          </w:rPr>
          <w:fldChar w:fldCharType="end"/>
        </w:r>
      </w:hyperlink>
    </w:p>
    <w:p w14:paraId="13EE06FA" w14:textId="2AE65AF3" w:rsidR="00340A6F" w:rsidRDefault="00A54239">
      <w:pPr>
        <w:pStyle w:val="TOC1"/>
        <w:rPr>
          <w:rFonts w:asciiTheme="minorHAnsi" w:eastAsiaTheme="minorEastAsia" w:hAnsiTheme="minorHAnsi" w:cstheme="minorBidi"/>
          <w:sz w:val="22"/>
          <w:szCs w:val="22"/>
        </w:rPr>
      </w:pPr>
      <w:hyperlink w:anchor="_Toc89950956" w:history="1">
        <w:r w:rsidR="00340A6F" w:rsidRPr="00294D0F">
          <w:rPr>
            <w:rStyle w:val="Hyperlink"/>
          </w:rPr>
          <w:t>4.</w:t>
        </w:r>
        <w:r w:rsidR="00340A6F">
          <w:rPr>
            <w:rFonts w:asciiTheme="minorHAnsi" w:eastAsiaTheme="minorEastAsia" w:hAnsiTheme="minorHAnsi" w:cstheme="minorBidi"/>
            <w:sz w:val="22"/>
            <w:szCs w:val="22"/>
          </w:rPr>
          <w:tab/>
        </w:r>
        <w:r w:rsidR="00340A6F" w:rsidRPr="00294D0F">
          <w:rPr>
            <w:rStyle w:val="Hyperlink"/>
          </w:rPr>
          <w:t>Timetable and deadlines</w:t>
        </w:r>
        <w:r w:rsidR="00340A6F">
          <w:rPr>
            <w:webHidden/>
          </w:rPr>
          <w:tab/>
        </w:r>
        <w:r w:rsidR="00340A6F">
          <w:rPr>
            <w:webHidden/>
          </w:rPr>
          <w:fldChar w:fldCharType="begin"/>
        </w:r>
        <w:r w:rsidR="00340A6F">
          <w:rPr>
            <w:webHidden/>
          </w:rPr>
          <w:instrText xml:space="preserve"> PAGEREF _Toc89950956 \h </w:instrText>
        </w:r>
        <w:r w:rsidR="00340A6F">
          <w:rPr>
            <w:webHidden/>
          </w:rPr>
        </w:r>
        <w:r w:rsidR="00340A6F">
          <w:rPr>
            <w:webHidden/>
          </w:rPr>
          <w:fldChar w:fldCharType="separate"/>
        </w:r>
        <w:r w:rsidR="00340A6F">
          <w:rPr>
            <w:webHidden/>
          </w:rPr>
          <w:t>10</w:t>
        </w:r>
        <w:r w:rsidR="00340A6F">
          <w:rPr>
            <w:webHidden/>
          </w:rPr>
          <w:fldChar w:fldCharType="end"/>
        </w:r>
      </w:hyperlink>
    </w:p>
    <w:p w14:paraId="2D8E6A0E" w14:textId="0A6BD90B" w:rsidR="00340A6F" w:rsidRDefault="00A54239">
      <w:pPr>
        <w:pStyle w:val="TOC1"/>
        <w:rPr>
          <w:rFonts w:asciiTheme="minorHAnsi" w:eastAsiaTheme="minorEastAsia" w:hAnsiTheme="minorHAnsi" w:cstheme="minorBidi"/>
          <w:sz w:val="22"/>
          <w:szCs w:val="22"/>
        </w:rPr>
      </w:pPr>
      <w:hyperlink w:anchor="_Toc89950957" w:history="1">
        <w:r w:rsidR="00340A6F" w:rsidRPr="00294D0F">
          <w:rPr>
            <w:rStyle w:val="Hyperlink"/>
          </w:rPr>
          <w:t>5.</w:t>
        </w:r>
        <w:r w:rsidR="00340A6F">
          <w:rPr>
            <w:rFonts w:asciiTheme="minorHAnsi" w:eastAsiaTheme="minorEastAsia" w:hAnsiTheme="minorHAnsi" w:cstheme="minorBidi"/>
            <w:sz w:val="22"/>
            <w:szCs w:val="22"/>
          </w:rPr>
          <w:tab/>
        </w:r>
        <w:r w:rsidR="00340A6F" w:rsidRPr="00294D0F">
          <w:rPr>
            <w:rStyle w:val="Hyperlink"/>
          </w:rPr>
          <w:t>Admissibility and documents</w:t>
        </w:r>
        <w:r w:rsidR="00340A6F">
          <w:rPr>
            <w:webHidden/>
          </w:rPr>
          <w:tab/>
        </w:r>
        <w:r w:rsidR="00340A6F">
          <w:rPr>
            <w:webHidden/>
          </w:rPr>
          <w:fldChar w:fldCharType="begin"/>
        </w:r>
        <w:r w:rsidR="00340A6F">
          <w:rPr>
            <w:webHidden/>
          </w:rPr>
          <w:instrText xml:space="preserve"> PAGEREF _Toc89950957 \h </w:instrText>
        </w:r>
        <w:r w:rsidR="00340A6F">
          <w:rPr>
            <w:webHidden/>
          </w:rPr>
        </w:r>
        <w:r w:rsidR="00340A6F">
          <w:rPr>
            <w:webHidden/>
          </w:rPr>
          <w:fldChar w:fldCharType="separate"/>
        </w:r>
        <w:r w:rsidR="00340A6F">
          <w:rPr>
            <w:webHidden/>
          </w:rPr>
          <w:t>11</w:t>
        </w:r>
        <w:r w:rsidR="00340A6F">
          <w:rPr>
            <w:webHidden/>
          </w:rPr>
          <w:fldChar w:fldCharType="end"/>
        </w:r>
      </w:hyperlink>
    </w:p>
    <w:p w14:paraId="4B876EA1" w14:textId="067D37C5" w:rsidR="00340A6F" w:rsidRDefault="00A54239">
      <w:pPr>
        <w:pStyle w:val="TOC1"/>
        <w:rPr>
          <w:rFonts w:asciiTheme="minorHAnsi" w:eastAsiaTheme="minorEastAsia" w:hAnsiTheme="minorHAnsi" w:cstheme="minorBidi"/>
          <w:sz w:val="22"/>
          <w:szCs w:val="22"/>
        </w:rPr>
      </w:pPr>
      <w:hyperlink w:anchor="_Toc89950958" w:history="1">
        <w:r w:rsidR="00340A6F" w:rsidRPr="00294D0F">
          <w:rPr>
            <w:rStyle w:val="Hyperlink"/>
          </w:rPr>
          <w:t>6.</w:t>
        </w:r>
        <w:r w:rsidR="00340A6F">
          <w:rPr>
            <w:rFonts w:asciiTheme="minorHAnsi" w:eastAsiaTheme="minorEastAsia" w:hAnsiTheme="minorHAnsi" w:cstheme="minorBidi"/>
            <w:sz w:val="22"/>
            <w:szCs w:val="22"/>
          </w:rPr>
          <w:tab/>
        </w:r>
        <w:r w:rsidR="00340A6F" w:rsidRPr="00294D0F">
          <w:rPr>
            <w:rStyle w:val="Hyperlink"/>
          </w:rPr>
          <w:t>Eligibility</w:t>
        </w:r>
        <w:r w:rsidR="00340A6F">
          <w:rPr>
            <w:webHidden/>
          </w:rPr>
          <w:tab/>
        </w:r>
        <w:r w:rsidR="00340A6F">
          <w:rPr>
            <w:webHidden/>
          </w:rPr>
          <w:fldChar w:fldCharType="begin"/>
        </w:r>
        <w:r w:rsidR="00340A6F">
          <w:rPr>
            <w:webHidden/>
          </w:rPr>
          <w:instrText xml:space="preserve"> PAGEREF _Toc89950958 \h </w:instrText>
        </w:r>
        <w:r w:rsidR="00340A6F">
          <w:rPr>
            <w:webHidden/>
          </w:rPr>
        </w:r>
        <w:r w:rsidR="00340A6F">
          <w:rPr>
            <w:webHidden/>
          </w:rPr>
          <w:fldChar w:fldCharType="separate"/>
        </w:r>
        <w:r w:rsidR="00340A6F">
          <w:rPr>
            <w:webHidden/>
          </w:rPr>
          <w:t>12</w:t>
        </w:r>
        <w:r w:rsidR="00340A6F">
          <w:rPr>
            <w:webHidden/>
          </w:rPr>
          <w:fldChar w:fldCharType="end"/>
        </w:r>
      </w:hyperlink>
    </w:p>
    <w:p w14:paraId="25AC04A3" w14:textId="5BF3763E" w:rsidR="00340A6F" w:rsidRDefault="00A54239">
      <w:pPr>
        <w:pStyle w:val="TOC3"/>
        <w:rPr>
          <w:rFonts w:asciiTheme="minorHAnsi" w:eastAsiaTheme="minorEastAsia" w:hAnsiTheme="minorHAnsi" w:cstheme="minorBidi"/>
          <w:sz w:val="22"/>
          <w:szCs w:val="22"/>
        </w:rPr>
      </w:pPr>
      <w:hyperlink w:anchor="_Toc89950959" w:history="1">
        <w:r w:rsidR="00340A6F" w:rsidRPr="00294D0F">
          <w:rPr>
            <w:rStyle w:val="Hyperlink"/>
          </w:rPr>
          <w:t>Eligible participants (eligible countries)</w:t>
        </w:r>
        <w:r w:rsidR="00340A6F">
          <w:rPr>
            <w:webHidden/>
          </w:rPr>
          <w:tab/>
        </w:r>
        <w:r w:rsidR="00340A6F">
          <w:rPr>
            <w:webHidden/>
          </w:rPr>
          <w:fldChar w:fldCharType="begin"/>
        </w:r>
        <w:r w:rsidR="00340A6F">
          <w:rPr>
            <w:webHidden/>
          </w:rPr>
          <w:instrText xml:space="preserve"> PAGEREF _Toc89950959 \h </w:instrText>
        </w:r>
        <w:r w:rsidR="00340A6F">
          <w:rPr>
            <w:webHidden/>
          </w:rPr>
        </w:r>
        <w:r w:rsidR="00340A6F">
          <w:rPr>
            <w:webHidden/>
          </w:rPr>
          <w:fldChar w:fldCharType="separate"/>
        </w:r>
        <w:r w:rsidR="00340A6F">
          <w:rPr>
            <w:webHidden/>
          </w:rPr>
          <w:t>12</w:t>
        </w:r>
        <w:r w:rsidR="00340A6F">
          <w:rPr>
            <w:webHidden/>
          </w:rPr>
          <w:fldChar w:fldCharType="end"/>
        </w:r>
      </w:hyperlink>
    </w:p>
    <w:p w14:paraId="533A9524" w14:textId="3F75B795" w:rsidR="00340A6F" w:rsidRDefault="00A54239">
      <w:pPr>
        <w:pStyle w:val="TOC3"/>
        <w:rPr>
          <w:rFonts w:asciiTheme="minorHAnsi" w:eastAsiaTheme="minorEastAsia" w:hAnsiTheme="minorHAnsi" w:cstheme="minorBidi"/>
          <w:sz w:val="22"/>
          <w:szCs w:val="22"/>
        </w:rPr>
      </w:pPr>
      <w:hyperlink w:anchor="_Toc89950960" w:history="1">
        <w:r w:rsidR="00340A6F" w:rsidRPr="00294D0F">
          <w:rPr>
            <w:rStyle w:val="Hyperlink"/>
          </w:rPr>
          <w:t>Consortium composition</w:t>
        </w:r>
        <w:r w:rsidR="00340A6F">
          <w:rPr>
            <w:webHidden/>
          </w:rPr>
          <w:tab/>
        </w:r>
        <w:r w:rsidR="00340A6F">
          <w:rPr>
            <w:webHidden/>
          </w:rPr>
          <w:fldChar w:fldCharType="begin"/>
        </w:r>
        <w:r w:rsidR="00340A6F">
          <w:rPr>
            <w:webHidden/>
          </w:rPr>
          <w:instrText xml:space="preserve"> PAGEREF _Toc89950960 \h </w:instrText>
        </w:r>
        <w:r w:rsidR="00340A6F">
          <w:rPr>
            <w:webHidden/>
          </w:rPr>
        </w:r>
        <w:r w:rsidR="00340A6F">
          <w:rPr>
            <w:webHidden/>
          </w:rPr>
          <w:fldChar w:fldCharType="separate"/>
        </w:r>
        <w:r w:rsidR="00340A6F">
          <w:rPr>
            <w:webHidden/>
          </w:rPr>
          <w:t>14</w:t>
        </w:r>
        <w:r w:rsidR="00340A6F">
          <w:rPr>
            <w:webHidden/>
          </w:rPr>
          <w:fldChar w:fldCharType="end"/>
        </w:r>
      </w:hyperlink>
    </w:p>
    <w:p w14:paraId="09785B33" w14:textId="52E10007" w:rsidR="00340A6F" w:rsidRDefault="00A54239">
      <w:pPr>
        <w:pStyle w:val="TOC3"/>
        <w:rPr>
          <w:rFonts w:asciiTheme="minorHAnsi" w:eastAsiaTheme="minorEastAsia" w:hAnsiTheme="minorHAnsi" w:cstheme="minorBidi"/>
          <w:sz w:val="22"/>
          <w:szCs w:val="22"/>
        </w:rPr>
      </w:pPr>
      <w:hyperlink w:anchor="_Toc89950961" w:history="1">
        <w:r w:rsidR="00340A6F" w:rsidRPr="00294D0F">
          <w:rPr>
            <w:rStyle w:val="Hyperlink"/>
          </w:rPr>
          <w:t>Eligible activities</w:t>
        </w:r>
        <w:r w:rsidR="00340A6F">
          <w:rPr>
            <w:webHidden/>
          </w:rPr>
          <w:tab/>
        </w:r>
        <w:r w:rsidR="00340A6F">
          <w:rPr>
            <w:webHidden/>
          </w:rPr>
          <w:fldChar w:fldCharType="begin"/>
        </w:r>
        <w:r w:rsidR="00340A6F">
          <w:rPr>
            <w:webHidden/>
          </w:rPr>
          <w:instrText xml:space="preserve"> PAGEREF _Toc89950961 \h </w:instrText>
        </w:r>
        <w:r w:rsidR="00340A6F">
          <w:rPr>
            <w:webHidden/>
          </w:rPr>
        </w:r>
        <w:r w:rsidR="00340A6F">
          <w:rPr>
            <w:webHidden/>
          </w:rPr>
          <w:fldChar w:fldCharType="separate"/>
        </w:r>
        <w:r w:rsidR="00340A6F">
          <w:rPr>
            <w:webHidden/>
          </w:rPr>
          <w:t>14</w:t>
        </w:r>
        <w:r w:rsidR="00340A6F">
          <w:rPr>
            <w:webHidden/>
          </w:rPr>
          <w:fldChar w:fldCharType="end"/>
        </w:r>
      </w:hyperlink>
    </w:p>
    <w:p w14:paraId="694F7430" w14:textId="64CE18FC" w:rsidR="00340A6F" w:rsidRDefault="00A54239">
      <w:pPr>
        <w:pStyle w:val="TOC3"/>
        <w:rPr>
          <w:rFonts w:asciiTheme="minorHAnsi" w:eastAsiaTheme="minorEastAsia" w:hAnsiTheme="minorHAnsi" w:cstheme="minorBidi"/>
          <w:sz w:val="22"/>
          <w:szCs w:val="22"/>
        </w:rPr>
      </w:pPr>
      <w:hyperlink w:anchor="_Toc89950962" w:history="1">
        <w:r w:rsidR="00340A6F" w:rsidRPr="00294D0F">
          <w:rPr>
            <w:rStyle w:val="Hyperlink"/>
          </w:rPr>
          <w:t>Geographic location (target countries)</w:t>
        </w:r>
        <w:r w:rsidR="00340A6F">
          <w:rPr>
            <w:webHidden/>
          </w:rPr>
          <w:tab/>
        </w:r>
        <w:r w:rsidR="00340A6F">
          <w:rPr>
            <w:webHidden/>
          </w:rPr>
          <w:fldChar w:fldCharType="begin"/>
        </w:r>
        <w:r w:rsidR="00340A6F">
          <w:rPr>
            <w:webHidden/>
          </w:rPr>
          <w:instrText xml:space="preserve"> PAGEREF _Toc89950962 \h </w:instrText>
        </w:r>
        <w:r w:rsidR="00340A6F">
          <w:rPr>
            <w:webHidden/>
          </w:rPr>
        </w:r>
        <w:r w:rsidR="00340A6F">
          <w:rPr>
            <w:webHidden/>
          </w:rPr>
          <w:fldChar w:fldCharType="separate"/>
        </w:r>
        <w:r w:rsidR="00340A6F">
          <w:rPr>
            <w:webHidden/>
          </w:rPr>
          <w:t>14</w:t>
        </w:r>
        <w:r w:rsidR="00340A6F">
          <w:rPr>
            <w:webHidden/>
          </w:rPr>
          <w:fldChar w:fldCharType="end"/>
        </w:r>
      </w:hyperlink>
    </w:p>
    <w:p w14:paraId="28294C47" w14:textId="3847387B" w:rsidR="00340A6F" w:rsidRDefault="00A54239">
      <w:pPr>
        <w:pStyle w:val="TOC3"/>
        <w:rPr>
          <w:rFonts w:asciiTheme="minorHAnsi" w:eastAsiaTheme="minorEastAsia" w:hAnsiTheme="minorHAnsi" w:cstheme="minorBidi"/>
          <w:sz w:val="22"/>
          <w:szCs w:val="22"/>
        </w:rPr>
      </w:pPr>
      <w:hyperlink w:anchor="_Toc89950963" w:history="1">
        <w:r w:rsidR="00340A6F" w:rsidRPr="00294D0F">
          <w:rPr>
            <w:rStyle w:val="Hyperlink"/>
          </w:rPr>
          <w:t>Duration</w:t>
        </w:r>
        <w:r w:rsidR="00340A6F">
          <w:rPr>
            <w:webHidden/>
          </w:rPr>
          <w:tab/>
        </w:r>
        <w:r w:rsidR="00340A6F">
          <w:rPr>
            <w:webHidden/>
          </w:rPr>
          <w:fldChar w:fldCharType="begin"/>
        </w:r>
        <w:r w:rsidR="00340A6F">
          <w:rPr>
            <w:webHidden/>
          </w:rPr>
          <w:instrText xml:space="preserve"> PAGEREF _Toc89950963 \h </w:instrText>
        </w:r>
        <w:r w:rsidR="00340A6F">
          <w:rPr>
            <w:webHidden/>
          </w:rPr>
        </w:r>
        <w:r w:rsidR="00340A6F">
          <w:rPr>
            <w:webHidden/>
          </w:rPr>
          <w:fldChar w:fldCharType="separate"/>
        </w:r>
        <w:r w:rsidR="00340A6F">
          <w:rPr>
            <w:webHidden/>
          </w:rPr>
          <w:t>15</w:t>
        </w:r>
        <w:r w:rsidR="00340A6F">
          <w:rPr>
            <w:webHidden/>
          </w:rPr>
          <w:fldChar w:fldCharType="end"/>
        </w:r>
      </w:hyperlink>
    </w:p>
    <w:p w14:paraId="535FF66A" w14:textId="1713EBA0" w:rsidR="00340A6F" w:rsidRDefault="00A54239">
      <w:pPr>
        <w:pStyle w:val="TOC3"/>
        <w:rPr>
          <w:rFonts w:asciiTheme="minorHAnsi" w:eastAsiaTheme="minorEastAsia" w:hAnsiTheme="minorHAnsi" w:cstheme="minorBidi"/>
          <w:sz w:val="22"/>
          <w:szCs w:val="22"/>
        </w:rPr>
      </w:pPr>
      <w:hyperlink w:anchor="_Toc89950964" w:history="1">
        <w:r w:rsidR="00340A6F" w:rsidRPr="00294D0F">
          <w:rPr>
            <w:rStyle w:val="Hyperlink"/>
          </w:rPr>
          <w:t>Ethics and EU values</w:t>
        </w:r>
        <w:r w:rsidR="00340A6F">
          <w:rPr>
            <w:webHidden/>
          </w:rPr>
          <w:tab/>
        </w:r>
        <w:r w:rsidR="00340A6F">
          <w:rPr>
            <w:webHidden/>
          </w:rPr>
          <w:fldChar w:fldCharType="begin"/>
        </w:r>
        <w:r w:rsidR="00340A6F">
          <w:rPr>
            <w:webHidden/>
          </w:rPr>
          <w:instrText xml:space="preserve"> PAGEREF _Toc89950964 \h </w:instrText>
        </w:r>
        <w:r w:rsidR="00340A6F">
          <w:rPr>
            <w:webHidden/>
          </w:rPr>
        </w:r>
        <w:r w:rsidR="00340A6F">
          <w:rPr>
            <w:webHidden/>
          </w:rPr>
          <w:fldChar w:fldCharType="separate"/>
        </w:r>
        <w:r w:rsidR="00340A6F">
          <w:rPr>
            <w:webHidden/>
          </w:rPr>
          <w:t>15</w:t>
        </w:r>
        <w:r w:rsidR="00340A6F">
          <w:rPr>
            <w:webHidden/>
          </w:rPr>
          <w:fldChar w:fldCharType="end"/>
        </w:r>
      </w:hyperlink>
    </w:p>
    <w:p w14:paraId="237D2A4F" w14:textId="1E847327" w:rsidR="00340A6F" w:rsidRDefault="00A54239">
      <w:pPr>
        <w:pStyle w:val="TOC1"/>
        <w:rPr>
          <w:rFonts w:asciiTheme="minorHAnsi" w:eastAsiaTheme="minorEastAsia" w:hAnsiTheme="minorHAnsi" w:cstheme="minorBidi"/>
          <w:sz w:val="22"/>
          <w:szCs w:val="22"/>
        </w:rPr>
      </w:pPr>
      <w:hyperlink w:anchor="_Toc89950965" w:history="1">
        <w:r w:rsidR="00340A6F" w:rsidRPr="00294D0F">
          <w:rPr>
            <w:rStyle w:val="Hyperlink"/>
          </w:rPr>
          <w:t>7.</w:t>
        </w:r>
        <w:r w:rsidR="00340A6F">
          <w:rPr>
            <w:rFonts w:asciiTheme="minorHAnsi" w:eastAsiaTheme="minorEastAsia" w:hAnsiTheme="minorHAnsi" w:cstheme="minorBidi"/>
            <w:sz w:val="22"/>
            <w:szCs w:val="22"/>
          </w:rPr>
          <w:tab/>
        </w:r>
        <w:r w:rsidR="00340A6F" w:rsidRPr="00294D0F">
          <w:rPr>
            <w:rStyle w:val="Hyperlink"/>
          </w:rPr>
          <w:t>Financial and operational capacity and exclusion</w:t>
        </w:r>
        <w:r w:rsidR="00340A6F">
          <w:rPr>
            <w:webHidden/>
          </w:rPr>
          <w:tab/>
        </w:r>
        <w:r w:rsidR="00340A6F">
          <w:rPr>
            <w:webHidden/>
          </w:rPr>
          <w:fldChar w:fldCharType="begin"/>
        </w:r>
        <w:r w:rsidR="00340A6F">
          <w:rPr>
            <w:webHidden/>
          </w:rPr>
          <w:instrText xml:space="preserve"> PAGEREF _Toc89950965 \h </w:instrText>
        </w:r>
        <w:r w:rsidR="00340A6F">
          <w:rPr>
            <w:webHidden/>
          </w:rPr>
        </w:r>
        <w:r w:rsidR="00340A6F">
          <w:rPr>
            <w:webHidden/>
          </w:rPr>
          <w:fldChar w:fldCharType="separate"/>
        </w:r>
        <w:r w:rsidR="00340A6F">
          <w:rPr>
            <w:webHidden/>
          </w:rPr>
          <w:t>15</w:t>
        </w:r>
        <w:r w:rsidR="00340A6F">
          <w:rPr>
            <w:webHidden/>
          </w:rPr>
          <w:fldChar w:fldCharType="end"/>
        </w:r>
      </w:hyperlink>
    </w:p>
    <w:p w14:paraId="13CCDE76" w14:textId="4DB0D964" w:rsidR="00340A6F" w:rsidRDefault="00A54239">
      <w:pPr>
        <w:pStyle w:val="TOC3"/>
        <w:rPr>
          <w:rFonts w:asciiTheme="minorHAnsi" w:eastAsiaTheme="minorEastAsia" w:hAnsiTheme="minorHAnsi" w:cstheme="minorBidi"/>
          <w:sz w:val="22"/>
          <w:szCs w:val="22"/>
        </w:rPr>
      </w:pPr>
      <w:hyperlink w:anchor="_Toc89950966" w:history="1">
        <w:r w:rsidR="00340A6F" w:rsidRPr="00294D0F">
          <w:rPr>
            <w:rStyle w:val="Hyperlink"/>
          </w:rPr>
          <w:t>Financial capacity</w:t>
        </w:r>
        <w:r w:rsidR="00340A6F">
          <w:rPr>
            <w:webHidden/>
          </w:rPr>
          <w:tab/>
        </w:r>
        <w:r w:rsidR="00340A6F">
          <w:rPr>
            <w:webHidden/>
          </w:rPr>
          <w:fldChar w:fldCharType="begin"/>
        </w:r>
        <w:r w:rsidR="00340A6F">
          <w:rPr>
            <w:webHidden/>
          </w:rPr>
          <w:instrText xml:space="preserve"> PAGEREF _Toc89950966 \h </w:instrText>
        </w:r>
        <w:r w:rsidR="00340A6F">
          <w:rPr>
            <w:webHidden/>
          </w:rPr>
        </w:r>
        <w:r w:rsidR="00340A6F">
          <w:rPr>
            <w:webHidden/>
          </w:rPr>
          <w:fldChar w:fldCharType="separate"/>
        </w:r>
        <w:r w:rsidR="00340A6F">
          <w:rPr>
            <w:webHidden/>
          </w:rPr>
          <w:t>15</w:t>
        </w:r>
        <w:r w:rsidR="00340A6F">
          <w:rPr>
            <w:webHidden/>
          </w:rPr>
          <w:fldChar w:fldCharType="end"/>
        </w:r>
      </w:hyperlink>
    </w:p>
    <w:p w14:paraId="357F0C77" w14:textId="02389226" w:rsidR="00340A6F" w:rsidRDefault="00A54239">
      <w:pPr>
        <w:pStyle w:val="TOC3"/>
        <w:rPr>
          <w:rFonts w:asciiTheme="minorHAnsi" w:eastAsiaTheme="minorEastAsia" w:hAnsiTheme="minorHAnsi" w:cstheme="minorBidi"/>
          <w:sz w:val="22"/>
          <w:szCs w:val="22"/>
        </w:rPr>
      </w:pPr>
      <w:hyperlink w:anchor="_Toc89950967" w:history="1">
        <w:r w:rsidR="00340A6F" w:rsidRPr="00294D0F">
          <w:rPr>
            <w:rStyle w:val="Hyperlink"/>
          </w:rPr>
          <w:t>Operational capacity</w:t>
        </w:r>
        <w:r w:rsidR="00340A6F">
          <w:rPr>
            <w:webHidden/>
          </w:rPr>
          <w:tab/>
        </w:r>
        <w:r w:rsidR="00340A6F">
          <w:rPr>
            <w:webHidden/>
          </w:rPr>
          <w:fldChar w:fldCharType="begin"/>
        </w:r>
        <w:r w:rsidR="00340A6F">
          <w:rPr>
            <w:webHidden/>
          </w:rPr>
          <w:instrText xml:space="preserve"> PAGEREF _Toc89950967 \h </w:instrText>
        </w:r>
        <w:r w:rsidR="00340A6F">
          <w:rPr>
            <w:webHidden/>
          </w:rPr>
        </w:r>
        <w:r w:rsidR="00340A6F">
          <w:rPr>
            <w:webHidden/>
          </w:rPr>
          <w:fldChar w:fldCharType="separate"/>
        </w:r>
        <w:r w:rsidR="00340A6F">
          <w:rPr>
            <w:webHidden/>
          </w:rPr>
          <w:t>16</w:t>
        </w:r>
        <w:r w:rsidR="00340A6F">
          <w:rPr>
            <w:webHidden/>
          </w:rPr>
          <w:fldChar w:fldCharType="end"/>
        </w:r>
      </w:hyperlink>
    </w:p>
    <w:p w14:paraId="660E0287" w14:textId="0EB99A8D" w:rsidR="00340A6F" w:rsidRDefault="00A54239">
      <w:pPr>
        <w:pStyle w:val="TOC3"/>
        <w:rPr>
          <w:rFonts w:asciiTheme="minorHAnsi" w:eastAsiaTheme="minorEastAsia" w:hAnsiTheme="minorHAnsi" w:cstheme="minorBidi"/>
          <w:sz w:val="22"/>
          <w:szCs w:val="22"/>
        </w:rPr>
      </w:pPr>
      <w:hyperlink w:anchor="_Toc89950968" w:history="1">
        <w:r w:rsidR="00340A6F" w:rsidRPr="00294D0F">
          <w:rPr>
            <w:rStyle w:val="Hyperlink"/>
          </w:rPr>
          <w:t>Exclusion</w:t>
        </w:r>
        <w:r w:rsidR="00340A6F">
          <w:rPr>
            <w:webHidden/>
          </w:rPr>
          <w:tab/>
        </w:r>
        <w:r w:rsidR="00340A6F">
          <w:rPr>
            <w:webHidden/>
          </w:rPr>
          <w:fldChar w:fldCharType="begin"/>
        </w:r>
        <w:r w:rsidR="00340A6F">
          <w:rPr>
            <w:webHidden/>
          </w:rPr>
          <w:instrText xml:space="preserve"> PAGEREF _Toc89950968 \h </w:instrText>
        </w:r>
        <w:r w:rsidR="00340A6F">
          <w:rPr>
            <w:webHidden/>
          </w:rPr>
        </w:r>
        <w:r w:rsidR="00340A6F">
          <w:rPr>
            <w:webHidden/>
          </w:rPr>
          <w:fldChar w:fldCharType="separate"/>
        </w:r>
        <w:r w:rsidR="00340A6F">
          <w:rPr>
            <w:webHidden/>
          </w:rPr>
          <w:t>17</w:t>
        </w:r>
        <w:r w:rsidR="00340A6F">
          <w:rPr>
            <w:webHidden/>
          </w:rPr>
          <w:fldChar w:fldCharType="end"/>
        </w:r>
      </w:hyperlink>
    </w:p>
    <w:p w14:paraId="4283D1F4" w14:textId="13AA91E7" w:rsidR="00340A6F" w:rsidRDefault="00A54239">
      <w:pPr>
        <w:pStyle w:val="TOC1"/>
        <w:rPr>
          <w:rFonts w:asciiTheme="minorHAnsi" w:eastAsiaTheme="minorEastAsia" w:hAnsiTheme="minorHAnsi" w:cstheme="minorBidi"/>
          <w:sz w:val="22"/>
          <w:szCs w:val="22"/>
        </w:rPr>
      </w:pPr>
      <w:hyperlink w:anchor="_Toc89950969" w:history="1">
        <w:r w:rsidR="00340A6F" w:rsidRPr="00294D0F">
          <w:rPr>
            <w:rStyle w:val="Hyperlink"/>
          </w:rPr>
          <w:t>8.</w:t>
        </w:r>
        <w:r w:rsidR="00340A6F">
          <w:rPr>
            <w:rFonts w:asciiTheme="minorHAnsi" w:eastAsiaTheme="minorEastAsia" w:hAnsiTheme="minorHAnsi" w:cstheme="minorBidi"/>
            <w:sz w:val="22"/>
            <w:szCs w:val="22"/>
          </w:rPr>
          <w:tab/>
        </w:r>
        <w:r w:rsidR="00340A6F" w:rsidRPr="00294D0F">
          <w:rPr>
            <w:rStyle w:val="Hyperlink"/>
          </w:rPr>
          <w:t>Evaluation and award procedure</w:t>
        </w:r>
        <w:r w:rsidR="00340A6F">
          <w:rPr>
            <w:webHidden/>
          </w:rPr>
          <w:tab/>
        </w:r>
        <w:r w:rsidR="00340A6F">
          <w:rPr>
            <w:webHidden/>
          </w:rPr>
          <w:fldChar w:fldCharType="begin"/>
        </w:r>
        <w:r w:rsidR="00340A6F">
          <w:rPr>
            <w:webHidden/>
          </w:rPr>
          <w:instrText xml:space="preserve"> PAGEREF _Toc89950969 \h </w:instrText>
        </w:r>
        <w:r w:rsidR="00340A6F">
          <w:rPr>
            <w:webHidden/>
          </w:rPr>
        </w:r>
        <w:r w:rsidR="00340A6F">
          <w:rPr>
            <w:webHidden/>
          </w:rPr>
          <w:fldChar w:fldCharType="separate"/>
        </w:r>
        <w:r w:rsidR="00340A6F">
          <w:rPr>
            <w:webHidden/>
          </w:rPr>
          <w:t>18</w:t>
        </w:r>
        <w:r w:rsidR="00340A6F">
          <w:rPr>
            <w:webHidden/>
          </w:rPr>
          <w:fldChar w:fldCharType="end"/>
        </w:r>
      </w:hyperlink>
    </w:p>
    <w:p w14:paraId="561A6078" w14:textId="19963CB4" w:rsidR="00340A6F" w:rsidRDefault="00A54239">
      <w:pPr>
        <w:pStyle w:val="TOC1"/>
        <w:rPr>
          <w:rFonts w:asciiTheme="minorHAnsi" w:eastAsiaTheme="minorEastAsia" w:hAnsiTheme="minorHAnsi" w:cstheme="minorBidi"/>
          <w:sz w:val="22"/>
          <w:szCs w:val="22"/>
        </w:rPr>
      </w:pPr>
      <w:hyperlink w:anchor="_Toc89950970" w:history="1">
        <w:r w:rsidR="00340A6F" w:rsidRPr="00294D0F">
          <w:rPr>
            <w:rStyle w:val="Hyperlink"/>
          </w:rPr>
          <w:t>9.</w:t>
        </w:r>
        <w:r w:rsidR="00340A6F">
          <w:rPr>
            <w:rFonts w:asciiTheme="minorHAnsi" w:eastAsiaTheme="minorEastAsia" w:hAnsiTheme="minorHAnsi" w:cstheme="minorBidi"/>
            <w:sz w:val="22"/>
            <w:szCs w:val="22"/>
          </w:rPr>
          <w:tab/>
        </w:r>
        <w:r w:rsidR="00340A6F" w:rsidRPr="00294D0F">
          <w:rPr>
            <w:rStyle w:val="Hyperlink"/>
          </w:rPr>
          <w:t>Award criteria</w:t>
        </w:r>
        <w:r w:rsidR="00340A6F">
          <w:rPr>
            <w:webHidden/>
          </w:rPr>
          <w:tab/>
        </w:r>
        <w:r w:rsidR="00340A6F">
          <w:rPr>
            <w:webHidden/>
          </w:rPr>
          <w:fldChar w:fldCharType="begin"/>
        </w:r>
        <w:r w:rsidR="00340A6F">
          <w:rPr>
            <w:webHidden/>
          </w:rPr>
          <w:instrText xml:space="preserve"> PAGEREF _Toc89950970 \h </w:instrText>
        </w:r>
        <w:r w:rsidR="00340A6F">
          <w:rPr>
            <w:webHidden/>
          </w:rPr>
        </w:r>
        <w:r w:rsidR="00340A6F">
          <w:rPr>
            <w:webHidden/>
          </w:rPr>
          <w:fldChar w:fldCharType="separate"/>
        </w:r>
        <w:r w:rsidR="00340A6F">
          <w:rPr>
            <w:webHidden/>
          </w:rPr>
          <w:t>18</w:t>
        </w:r>
        <w:r w:rsidR="00340A6F">
          <w:rPr>
            <w:webHidden/>
          </w:rPr>
          <w:fldChar w:fldCharType="end"/>
        </w:r>
      </w:hyperlink>
    </w:p>
    <w:p w14:paraId="4CF3CBD6" w14:textId="686DAC27" w:rsidR="00340A6F" w:rsidRDefault="00A54239">
      <w:pPr>
        <w:pStyle w:val="TOC1"/>
        <w:rPr>
          <w:rFonts w:asciiTheme="minorHAnsi" w:eastAsiaTheme="minorEastAsia" w:hAnsiTheme="minorHAnsi" w:cstheme="minorBidi"/>
          <w:sz w:val="22"/>
          <w:szCs w:val="22"/>
        </w:rPr>
      </w:pPr>
      <w:hyperlink w:anchor="_Toc89950971" w:history="1">
        <w:r w:rsidR="00340A6F" w:rsidRPr="00294D0F">
          <w:rPr>
            <w:rStyle w:val="Hyperlink"/>
          </w:rPr>
          <w:t>10.</w:t>
        </w:r>
        <w:r w:rsidR="00340A6F">
          <w:rPr>
            <w:rFonts w:asciiTheme="minorHAnsi" w:eastAsiaTheme="minorEastAsia" w:hAnsiTheme="minorHAnsi" w:cstheme="minorBidi"/>
            <w:sz w:val="22"/>
            <w:szCs w:val="22"/>
          </w:rPr>
          <w:tab/>
        </w:r>
        <w:r w:rsidR="00340A6F" w:rsidRPr="00294D0F">
          <w:rPr>
            <w:rStyle w:val="Hyperlink"/>
          </w:rPr>
          <w:t>Legal and financial set-up of the Grant Agreements</w:t>
        </w:r>
        <w:r w:rsidR="00340A6F">
          <w:rPr>
            <w:webHidden/>
          </w:rPr>
          <w:tab/>
        </w:r>
        <w:r w:rsidR="00340A6F">
          <w:rPr>
            <w:webHidden/>
          </w:rPr>
          <w:fldChar w:fldCharType="begin"/>
        </w:r>
        <w:r w:rsidR="00340A6F">
          <w:rPr>
            <w:webHidden/>
          </w:rPr>
          <w:instrText xml:space="preserve"> PAGEREF _Toc89950971 \h </w:instrText>
        </w:r>
        <w:r w:rsidR="00340A6F">
          <w:rPr>
            <w:webHidden/>
          </w:rPr>
        </w:r>
        <w:r w:rsidR="00340A6F">
          <w:rPr>
            <w:webHidden/>
          </w:rPr>
          <w:fldChar w:fldCharType="separate"/>
        </w:r>
        <w:r w:rsidR="00340A6F">
          <w:rPr>
            <w:webHidden/>
          </w:rPr>
          <w:t>19</w:t>
        </w:r>
        <w:r w:rsidR="00340A6F">
          <w:rPr>
            <w:webHidden/>
          </w:rPr>
          <w:fldChar w:fldCharType="end"/>
        </w:r>
      </w:hyperlink>
    </w:p>
    <w:p w14:paraId="3FDFAE54" w14:textId="437350D4" w:rsidR="00340A6F" w:rsidRDefault="00A54239">
      <w:pPr>
        <w:pStyle w:val="TOC3"/>
        <w:rPr>
          <w:rFonts w:asciiTheme="minorHAnsi" w:eastAsiaTheme="minorEastAsia" w:hAnsiTheme="minorHAnsi" w:cstheme="minorBidi"/>
          <w:sz w:val="22"/>
          <w:szCs w:val="22"/>
        </w:rPr>
      </w:pPr>
      <w:hyperlink w:anchor="_Toc89950972" w:history="1">
        <w:r w:rsidR="00340A6F" w:rsidRPr="00294D0F">
          <w:rPr>
            <w:rStyle w:val="Hyperlink"/>
          </w:rPr>
          <w:t>Starting date and project duration</w:t>
        </w:r>
        <w:r w:rsidR="00340A6F">
          <w:rPr>
            <w:webHidden/>
          </w:rPr>
          <w:tab/>
        </w:r>
        <w:r w:rsidR="00340A6F">
          <w:rPr>
            <w:webHidden/>
          </w:rPr>
          <w:fldChar w:fldCharType="begin"/>
        </w:r>
        <w:r w:rsidR="00340A6F">
          <w:rPr>
            <w:webHidden/>
          </w:rPr>
          <w:instrText xml:space="preserve"> PAGEREF _Toc89950972 \h </w:instrText>
        </w:r>
        <w:r w:rsidR="00340A6F">
          <w:rPr>
            <w:webHidden/>
          </w:rPr>
        </w:r>
        <w:r w:rsidR="00340A6F">
          <w:rPr>
            <w:webHidden/>
          </w:rPr>
          <w:fldChar w:fldCharType="separate"/>
        </w:r>
        <w:r w:rsidR="00340A6F">
          <w:rPr>
            <w:webHidden/>
          </w:rPr>
          <w:t>19</w:t>
        </w:r>
        <w:r w:rsidR="00340A6F">
          <w:rPr>
            <w:webHidden/>
          </w:rPr>
          <w:fldChar w:fldCharType="end"/>
        </w:r>
      </w:hyperlink>
    </w:p>
    <w:p w14:paraId="032FA157" w14:textId="3211595C" w:rsidR="00340A6F" w:rsidRDefault="00A54239">
      <w:pPr>
        <w:pStyle w:val="TOC3"/>
        <w:rPr>
          <w:rFonts w:asciiTheme="minorHAnsi" w:eastAsiaTheme="minorEastAsia" w:hAnsiTheme="minorHAnsi" w:cstheme="minorBidi"/>
          <w:sz w:val="22"/>
          <w:szCs w:val="22"/>
        </w:rPr>
      </w:pPr>
      <w:hyperlink w:anchor="_Toc89950973" w:history="1">
        <w:r w:rsidR="00340A6F" w:rsidRPr="00294D0F">
          <w:rPr>
            <w:rStyle w:val="Hyperlink"/>
          </w:rPr>
          <w:t>Milestones and deliverables</w:t>
        </w:r>
        <w:r w:rsidR="00340A6F">
          <w:rPr>
            <w:webHidden/>
          </w:rPr>
          <w:tab/>
        </w:r>
        <w:r w:rsidR="00340A6F">
          <w:rPr>
            <w:webHidden/>
          </w:rPr>
          <w:fldChar w:fldCharType="begin"/>
        </w:r>
        <w:r w:rsidR="00340A6F">
          <w:rPr>
            <w:webHidden/>
          </w:rPr>
          <w:instrText xml:space="preserve"> PAGEREF _Toc89950973 \h </w:instrText>
        </w:r>
        <w:r w:rsidR="00340A6F">
          <w:rPr>
            <w:webHidden/>
          </w:rPr>
        </w:r>
        <w:r w:rsidR="00340A6F">
          <w:rPr>
            <w:webHidden/>
          </w:rPr>
          <w:fldChar w:fldCharType="separate"/>
        </w:r>
        <w:r w:rsidR="00340A6F">
          <w:rPr>
            <w:webHidden/>
          </w:rPr>
          <w:t>20</w:t>
        </w:r>
        <w:r w:rsidR="00340A6F">
          <w:rPr>
            <w:webHidden/>
          </w:rPr>
          <w:fldChar w:fldCharType="end"/>
        </w:r>
      </w:hyperlink>
    </w:p>
    <w:p w14:paraId="554D2B65" w14:textId="5E4BC4CA" w:rsidR="00340A6F" w:rsidRDefault="00A54239">
      <w:pPr>
        <w:pStyle w:val="TOC3"/>
        <w:rPr>
          <w:rFonts w:asciiTheme="minorHAnsi" w:eastAsiaTheme="minorEastAsia" w:hAnsiTheme="minorHAnsi" w:cstheme="minorBidi"/>
          <w:sz w:val="22"/>
          <w:szCs w:val="22"/>
        </w:rPr>
      </w:pPr>
      <w:hyperlink w:anchor="_Toc89950974" w:history="1">
        <w:r w:rsidR="00340A6F" w:rsidRPr="00294D0F">
          <w:rPr>
            <w:rStyle w:val="Hyperlink"/>
          </w:rPr>
          <w:t>Form of grant, funding rate and maximum grant amount</w:t>
        </w:r>
        <w:r w:rsidR="00340A6F">
          <w:rPr>
            <w:webHidden/>
          </w:rPr>
          <w:tab/>
        </w:r>
        <w:r w:rsidR="00340A6F">
          <w:rPr>
            <w:webHidden/>
          </w:rPr>
          <w:fldChar w:fldCharType="begin"/>
        </w:r>
        <w:r w:rsidR="00340A6F">
          <w:rPr>
            <w:webHidden/>
          </w:rPr>
          <w:instrText xml:space="preserve"> PAGEREF _Toc89950974 \h </w:instrText>
        </w:r>
        <w:r w:rsidR="00340A6F">
          <w:rPr>
            <w:webHidden/>
          </w:rPr>
        </w:r>
        <w:r w:rsidR="00340A6F">
          <w:rPr>
            <w:webHidden/>
          </w:rPr>
          <w:fldChar w:fldCharType="separate"/>
        </w:r>
        <w:r w:rsidR="00340A6F">
          <w:rPr>
            <w:webHidden/>
          </w:rPr>
          <w:t>20</w:t>
        </w:r>
        <w:r w:rsidR="00340A6F">
          <w:rPr>
            <w:webHidden/>
          </w:rPr>
          <w:fldChar w:fldCharType="end"/>
        </w:r>
      </w:hyperlink>
    </w:p>
    <w:p w14:paraId="0C86A2A8" w14:textId="75980718" w:rsidR="00340A6F" w:rsidRDefault="00A54239">
      <w:pPr>
        <w:pStyle w:val="TOC3"/>
        <w:rPr>
          <w:rFonts w:asciiTheme="minorHAnsi" w:eastAsiaTheme="minorEastAsia" w:hAnsiTheme="minorHAnsi" w:cstheme="minorBidi"/>
          <w:sz w:val="22"/>
          <w:szCs w:val="22"/>
        </w:rPr>
      </w:pPr>
      <w:hyperlink w:anchor="_Toc89950975" w:history="1">
        <w:r w:rsidR="00340A6F" w:rsidRPr="00294D0F">
          <w:rPr>
            <w:rStyle w:val="Hyperlink"/>
          </w:rPr>
          <w:t>Budget categories and cost eligibility rules</w:t>
        </w:r>
        <w:r w:rsidR="00340A6F">
          <w:rPr>
            <w:webHidden/>
          </w:rPr>
          <w:tab/>
        </w:r>
        <w:r w:rsidR="00340A6F">
          <w:rPr>
            <w:webHidden/>
          </w:rPr>
          <w:fldChar w:fldCharType="begin"/>
        </w:r>
        <w:r w:rsidR="00340A6F">
          <w:rPr>
            <w:webHidden/>
          </w:rPr>
          <w:instrText xml:space="preserve"> PAGEREF _Toc89950975 \h </w:instrText>
        </w:r>
        <w:r w:rsidR="00340A6F">
          <w:rPr>
            <w:webHidden/>
          </w:rPr>
        </w:r>
        <w:r w:rsidR="00340A6F">
          <w:rPr>
            <w:webHidden/>
          </w:rPr>
          <w:fldChar w:fldCharType="separate"/>
        </w:r>
        <w:r w:rsidR="00340A6F">
          <w:rPr>
            <w:webHidden/>
          </w:rPr>
          <w:t>20</w:t>
        </w:r>
        <w:r w:rsidR="00340A6F">
          <w:rPr>
            <w:webHidden/>
          </w:rPr>
          <w:fldChar w:fldCharType="end"/>
        </w:r>
      </w:hyperlink>
    </w:p>
    <w:p w14:paraId="241AACCC" w14:textId="455F9016" w:rsidR="00340A6F" w:rsidRDefault="00A54239">
      <w:pPr>
        <w:pStyle w:val="TOC3"/>
        <w:rPr>
          <w:rFonts w:asciiTheme="minorHAnsi" w:eastAsiaTheme="minorEastAsia" w:hAnsiTheme="minorHAnsi" w:cstheme="minorBidi"/>
          <w:sz w:val="22"/>
          <w:szCs w:val="22"/>
        </w:rPr>
      </w:pPr>
      <w:hyperlink w:anchor="_Toc89950976" w:history="1">
        <w:r w:rsidR="00340A6F" w:rsidRPr="00294D0F">
          <w:rPr>
            <w:rStyle w:val="Hyperlink"/>
          </w:rPr>
          <w:t>Reporting and payment arrangements</w:t>
        </w:r>
        <w:r w:rsidR="00340A6F">
          <w:rPr>
            <w:webHidden/>
          </w:rPr>
          <w:tab/>
        </w:r>
        <w:r w:rsidR="00340A6F">
          <w:rPr>
            <w:webHidden/>
          </w:rPr>
          <w:fldChar w:fldCharType="begin"/>
        </w:r>
        <w:r w:rsidR="00340A6F">
          <w:rPr>
            <w:webHidden/>
          </w:rPr>
          <w:instrText xml:space="preserve"> PAGEREF _Toc89950976 \h </w:instrText>
        </w:r>
        <w:r w:rsidR="00340A6F">
          <w:rPr>
            <w:webHidden/>
          </w:rPr>
        </w:r>
        <w:r w:rsidR="00340A6F">
          <w:rPr>
            <w:webHidden/>
          </w:rPr>
          <w:fldChar w:fldCharType="separate"/>
        </w:r>
        <w:r w:rsidR="00340A6F">
          <w:rPr>
            <w:webHidden/>
          </w:rPr>
          <w:t>20</w:t>
        </w:r>
        <w:r w:rsidR="00340A6F">
          <w:rPr>
            <w:webHidden/>
          </w:rPr>
          <w:fldChar w:fldCharType="end"/>
        </w:r>
      </w:hyperlink>
    </w:p>
    <w:p w14:paraId="2E63D691" w14:textId="2B1910F0" w:rsidR="00340A6F" w:rsidRDefault="00A54239">
      <w:pPr>
        <w:pStyle w:val="TOC3"/>
        <w:rPr>
          <w:rFonts w:asciiTheme="minorHAnsi" w:eastAsiaTheme="minorEastAsia" w:hAnsiTheme="minorHAnsi" w:cstheme="minorBidi"/>
          <w:sz w:val="22"/>
          <w:szCs w:val="22"/>
        </w:rPr>
      </w:pPr>
      <w:hyperlink w:anchor="_Toc89950977" w:history="1">
        <w:r w:rsidR="00340A6F" w:rsidRPr="00294D0F">
          <w:rPr>
            <w:rStyle w:val="Hyperlink"/>
          </w:rPr>
          <w:t>Prefinancing guarantees</w:t>
        </w:r>
        <w:r w:rsidR="00340A6F">
          <w:rPr>
            <w:webHidden/>
          </w:rPr>
          <w:tab/>
        </w:r>
        <w:r w:rsidR="00340A6F">
          <w:rPr>
            <w:webHidden/>
          </w:rPr>
          <w:fldChar w:fldCharType="begin"/>
        </w:r>
        <w:r w:rsidR="00340A6F">
          <w:rPr>
            <w:webHidden/>
          </w:rPr>
          <w:instrText xml:space="preserve"> PAGEREF _Toc89950977 \h </w:instrText>
        </w:r>
        <w:r w:rsidR="00340A6F">
          <w:rPr>
            <w:webHidden/>
          </w:rPr>
        </w:r>
        <w:r w:rsidR="00340A6F">
          <w:rPr>
            <w:webHidden/>
          </w:rPr>
          <w:fldChar w:fldCharType="separate"/>
        </w:r>
        <w:r w:rsidR="00340A6F">
          <w:rPr>
            <w:webHidden/>
          </w:rPr>
          <w:t>21</w:t>
        </w:r>
        <w:r w:rsidR="00340A6F">
          <w:rPr>
            <w:webHidden/>
          </w:rPr>
          <w:fldChar w:fldCharType="end"/>
        </w:r>
      </w:hyperlink>
    </w:p>
    <w:p w14:paraId="472B44F4" w14:textId="476FBDCF" w:rsidR="00340A6F" w:rsidRDefault="00A54239">
      <w:pPr>
        <w:pStyle w:val="TOC3"/>
        <w:rPr>
          <w:rFonts w:asciiTheme="minorHAnsi" w:eastAsiaTheme="minorEastAsia" w:hAnsiTheme="minorHAnsi" w:cstheme="minorBidi"/>
          <w:sz w:val="22"/>
          <w:szCs w:val="22"/>
        </w:rPr>
      </w:pPr>
      <w:hyperlink w:anchor="_Toc89950978" w:history="1">
        <w:r w:rsidR="00340A6F" w:rsidRPr="00294D0F">
          <w:rPr>
            <w:rStyle w:val="Hyperlink"/>
          </w:rPr>
          <w:t>Certificates</w:t>
        </w:r>
        <w:r w:rsidR="00340A6F">
          <w:rPr>
            <w:webHidden/>
          </w:rPr>
          <w:tab/>
        </w:r>
        <w:r w:rsidR="00340A6F">
          <w:rPr>
            <w:webHidden/>
          </w:rPr>
          <w:fldChar w:fldCharType="begin"/>
        </w:r>
        <w:r w:rsidR="00340A6F">
          <w:rPr>
            <w:webHidden/>
          </w:rPr>
          <w:instrText xml:space="preserve"> PAGEREF _Toc89950978 \h </w:instrText>
        </w:r>
        <w:r w:rsidR="00340A6F">
          <w:rPr>
            <w:webHidden/>
          </w:rPr>
        </w:r>
        <w:r w:rsidR="00340A6F">
          <w:rPr>
            <w:webHidden/>
          </w:rPr>
          <w:fldChar w:fldCharType="separate"/>
        </w:r>
        <w:r w:rsidR="00340A6F">
          <w:rPr>
            <w:webHidden/>
          </w:rPr>
          <w:t>21</w:t>
        </w:r>
        <w:r w:rsidR="00340A6F">
          <w:rPr>
            <w:webHidden/>
          </w:rPr>
          <w:fldChar w:fldCharType="end"/>
        </w:r>
      </w:hyperlink>
    </w:p>
    <w:p w14:paraId="62011B08" w14:textId="1328D1D2" w:rsidR="00340A6F" w:rsidRDefault="00A54239">
      <w:pPr>
        <w:pStyle w:val="TOC3"/>
        <w:rPr>
          <w:rFonts w:asciiTheme="minorHAnsi" w:eastAsiaTheme="minorEastAsia" w:hAnsiTheme="minorHAnsi" w:cstheme="minorBidi"/>
          <w:sz w:val="22"/>
          <w:szCs w:val="22"/>
        </w:rPr>
      </w:pPr>
      <w:hyperlink w:anchor="_Toc89950979" w:history="1">
        <w:r w:rsidR="00340A6F" w:rsidRPr="00294D0F">
          <w:rPr>
            <w:rStyle w:val="Hyperlink"/>
          </w:rPr>
          <w:t>Liability regime for recoveries</w:t>
        </w:r>
        <w:r w:rsidR="00340A6F">
          <w:rPr>
            <w:webHidden/>
          </w:rPr>
          <w:tab/>
        </w:r>
        <w:r w:rsidR="00340A6F">
          <w:rPr>
            <w:webHidden/>
          </w:rPr>
          <w:fldChar w:fldCharType="begin"/>
        </w:r>
        <w:r w:rsidR="00340A6F">
          <w:rPr>
            <w:webHidden/>
          </w:rPr>
          <w:instrText xml:space="preserve"> PAGEREF _Toc89950979 \h </w:instrText>
        </w:r>
        <w:r w:rsidR="00340A6F">
          <w:rPr>
            <w:webHidden/>
          </w:rPr>
        </w:r>
        <w:r w:rsidR="00340A6F">
          <w:rPr>
            <w:webHidden/>
          </w:rPr>
          <w:fldChar w:fldCharType="separate"/>
        </w:r>
        <w:r w:rsidR="00340A6F">
          <w:rPr>
            <w:webHidden/>
          </w:rPr>
          <w:t>22</w:t>
        </w:r>
        <w:r w:rsidR="00340A6F">
          <w:rPr>
            <w:webHidden/>
          </w:rPr>
          <w:fldChar w:fldCharType="end"/>
        </w:r>
      </w:hyperlink>
    </w:p>
    <w:p w14:paraId="5F76EC4E" w14:textId="464B4E59" w:rsidR="00340A6F" w:rsidRDefault="00A54239">
      <w:pPr>
        <w:pStyle w:val="TOC3"/>
        <w:rPr>
          <w:rFonts w:asciiTheme="minorHAnsi" w:eastAsiaTheme="minorEastAsia" w:hAnsiTheme="minorHAnsi" w:cstheme="minorBidi"/>
          <w:sz w:val="22"/>
          <w:szCs w:val="22"/>
        </w:rPr>
      </w:pPr>
      <w:hyperlink w:anchor="_Toc89950980" w:history="1">
        <w:r w:rsidR="00340A6F" w:rsidRPr="00294D0F">
          <w:rPr>
            <w:rStyle w:val="Hyperlink"/>
          </w:rPr>
          <w:t>Provisions concerning the project implementation</w:t>
        </w:r>
        <w:r w:rsidR="00340A6F">
          <w:rPr>
            <w:webHidden/>
          </w:rPr>
          <w:tab/>
        </w:r>
        <w:r w:rsidR="00340A6F">
          <w:rPr>
            <w:webHidden/>
          </w:rPr>
          <w:fldChar w:fldCharType="begin"/>
        </w:r>
        <w:r w:rsidR="00340A6F">
          <w:rPr>
            <w:webHidden/>
          </w:rPr>
          <w:instrText xml:space="preserve"> PAGEREF _Toc89950980 \h </w:instrText>
        </w:r>
        <w:r w:rsidR="00340A6F">
          <w:rPr>
            <w:webHidden/>
          </w:rPr>
        </w:r>
        <w:r w:rsidR="00340A6F">
          <w:rPr>
            <w:webHidden/>
          </w:rPr>
          <w:fldChar w:fldCharType="separate"/>
        </w:r>
        <w:r w:rsidR="00340A6F">
          <w:rPr>
            <w:webHidden/>
          </w:rPr>
          <w:t>22</w:t>
        </w:r>
        <w:r w:rsidR="00340A6F">
          <w:rPr>
            <w:webHidden/>
          </w:rPr>
          <w:fldChar w:fldCharType="end"/>
        </w:r>
      </w:hyperlink>
    </w:p>
    <w:p w14:paraId="7054437A" w14:textId="2EA22411" w:rsidR="00340A6F" w:rsidRDefault="00A54239">
      <w:pPr>
        <w:pStyle w:val="TOC3"/>
        <w:rPr>
          <w:rFonts w:asciiTheme="minorHAnsi" w:eastAsiaTheme="minorEastAsia" w:hAnsiTheme="minorHAnsi" w:cstheme="minorBidi"/>
          <w:sz w:val="22"/>
          <w:szCs w:val="22"/>
        </w:rPr>
      </w:pPr>
      <w:hyperlink w:anchor="_Toc89950981" w:history="1">
        <w:r w:rsidR="00340A6F" w:rsidRPr="00294D0F">
          <w:rPr>
            <w:rStyle w:val="Hyperlink"/>
          </w:rPr>
          <w:t>Other specificities</w:t>
        </w:r>
        <w:r w:rsidR="00340A6F">
          <w:rPr>
            <w:webHidden/>
          </w:rPr>
          <w:tab/>
        </w:r>
        <w:r w:rsidR="00340A6F">
          <w:rPr>
            <w:webHidden/>
          </w:rPr>
          <w:fldChar w:fldCharType="begin"/>
        </w:r>
        <w:r w:rsidR="00340A6F">
          <w:rPr>
            <w:webHidden/>
          </w:rPr>
          <w:instrText xml:space="preserve"> PAGEREF _Toc89950981 \h </w:instrText>
        </w:r>
        <w:r w:rsidR="00340A6F">
          <w:rPr>
            <w:webHidden/>
          </w:rPr>
        </w:r>
        <w:r w:rsidR="00340A6F">
          <w:rPr>
            <w:webHidden/>
          </w:rPr>
          <w:fldChar w:fldCharType="separate"/>
        </w:r>
        <w:r w:rsidR="00340A6F">
          <w:rPr>
            <w:webHidden/>
          </w:rPr>
          <w:t>22</w:t>
        </w:r>
        <w:r w:rsidR="00340A6F">
          <w:rPr>
            <w:webHidden/>
          </w:rPr>
          <w:fldChar w:fldCharType="end"/>
        </w:r>
      </w:hyperlink>
    </w:p>
    <w:p w14:paraId="6BAD82AC" w14:textId="0BE6C907" w:rsidR="00340A6F" w:rsidRDefault="00A54239">
      <w:pPr>
        <w:pStyle w:val="TOC3"/>
        <w:rPr>
          <w:rFonts w:asciiTheme="minorHAnsi" w:eastAsiaTheme="minorEastAsia" w:hAnsiTheme="minorHAnsi" w:cstheme="minorBidi"/>
          <w:sz w:val="22"/>
          <w:szCs w:val="22"/>
        </w:rPr>
      </w:pPr>
      <w:hyperlink w:anchor="_Toc89950982" w:history="1">
        <w:r w:rsidR="00340A6F" w:rsidRPr="00294D0F">
          <w:rPr>
            <w:rStyle w:val="Hyperlink"/>
          </w:rPr>
          <w:t>Non-compliance and breach of contract</w:t>
        </w:r>
        <w:r w:rsidR="00340A6F">
          <w:rPr>
            <w:webHidden/>
          </w:rPr>
          <w:tab/>
        </w:r>
        <w:r w:rsidR="00340A6F">
          <w:rPr>
            <w:webHidden/>
          </w:rPr>
          <w:fldChar w:fldCharType="begin"/>
        </w:r>
        <w:r w:rsidR="00340A6F">
          <w:rPr>
            <w:webHidden/>
          </w:rPr>
          <w:instrText xml:space="preserve"> PAGEREF _Toc89950982 \h </w:instrText>
        </w:r>
        <w:r w:rsidR="00340A6F">
          <w:rPr>
            <w:webHidden/>
          </w:rPr>
        </w:r>
        <w:r w:rsidR="00340A6F">
          <w:rPr>
            <w:webHidden/>
          </w:rPr>
          <w:fldChar w:fldCharType="separate"/>
        </w:r>
        <w:r w:rsidR="00340A6F">
          <w:rPr>
            <w:webHidden/>
          </w:rPr>
          <w:t>22</w:t>
        </w:r>
        <w:r w:rsidR="00340A6F">
          <w:rPr>
            <w:webHidden/>
          </w:rPr>
          <w:fldChar w:fldCharType="end"/>
        </w:r>
      </w:hyperlink>
    </w:p>
    <w:p w14:paraId="7A7AFB4A" w14:textId="458011DC" w:rsidR="00340A6F" w:rsidRDefault="00A54239">
      <w:pPr>
        <w:pStyle w:val="TOC1"/>
        <w:rPr>
          <w:rFonts w:asciiTheme="minorHAnsi" w:eastAsiaTheme="minorEastAsia" w:hAnsiTheme="minorHAnsi" w:cstheme="minorBidi"/>
          <w:sz w:val="22"/>
          <w:szCs w:val="22"/>
        </w:rPr>
      </w:pPr>
      <w:hyperlink w:anchor="_Toc89950983" w:history="1">
        <w:r w:rsidR="00340A6F" w:rsidRPr="00294D0F">
          <w:rPr>
            <w:rStyle w:val="Hyperlink"/>
          </w:rPr>
          <w:t>11.</w:t>
        </w:r>
        <w:r w:rsidR="00340A6F">
          <w:rPr>
            <w:rFonts w:asciiTheme="minorHAnsi" w:eastAsiaTheme="minorEastAsia" w:hAnsiTheme="minorHAnsi" w:cstheme="minorBidi"/>
            <w:sz w:val="22"/>
            <w:szCs w:val="22"/>
          </w:rPr>
          <w:tab/>
        </w:r>
        <w:r w:rsidR="00340A6F" w:rsidRPr="00294D0F">
          <w:rPr>
            <w:rStyle w:val="Hyperlink"/>
          </w:rPr>
          <w:t>How to submit an application</w:t>
        </w:r>
        <w:r w:rsidR="00340A6F">
          <w:rPr>
            <w:webHidden/>
          </w:rPr>
          <w:tab/>
        </w:r>
        <w:r w:rsidR="00340A6F">
          <w:rPr>
            <w:webHidden/>
          </w:rPr>
          <w:fldChar w:fldCharType="begin"/>
        </w:r>
        <w:r w:rsidR="00340A6F">
          <w:rPr>
            <w:webHidden/>
          </w:rPr>
          <w:instrText xml:space="preserve"> PAGEREF _Toc89950983 \h </w:instrText>
        </w:r>
        <w:r w:rsidR="00340A6F">
          <w:rPr>
            <w:webHidden/>
          </w:rPr>
        </w:r>
        <w:r w:rsidR="00340A6F">
          <w:rPr>
            <w:webHidden/>
          </w:rPr>
          <w:fldChar w:fldCharType="separate"/>
        </w:r>
        <w:r w:rsidR="00340A6F">
          <w:rPr>
            <w:webHidden/>
          </w:rPr>
          <w:t>22</w:t>
        </w:r>
        <w:r w:rsidR="00340A6F">
          <w:rPr>
            <w:webHidden/>
          </w:rPr>
          <w:fldChar w:fldCharType="end"/>
        </w:r>
      </w:hyperlink>
    </w:p>
    <w:p w14:paraId="5B073AFF" w14:textId="64C64682" w:rsidR="00340A6F" w:rsidRDefault="00A54239">
      <w:pPr>
        <w:pStyle w:val="TOC1"/>
        <w:rPr>
          <w:rFonts w:asciiTheme="minorHAnsi" w:eastAsiaTheme="minorEastAsia" w:hAnsiTheme="minorHAnsi" w:cstheme="minorBidi"/>
          <w:sz w:val="22"/>
          <w:szCs w:val="22"/>
        </w:rPr>
      </w:pPr>
      <w:hyperlink w:anchor="_Toc89950984" w:history="1">
        <w:r w:rsidR="00340A6F" w:rsidRPr="00294D0F">
          <w:rPr>
            <w:rStyle w:val="Hyperlink"/>
          </w:rPr>
          <w:t>12.</w:t>
        </w:r>
        <w:r w:rsidR="00340A6F">
          <w:rPr>
            <w:rFonts w:asciiTheme="minorHAnsi" w:eastAsiaTheme="minorEastAsia" w:hAnsiTheme="minorHAnsi" w:cstheme="minorBidi"/>
            <w:sz w:val="22"/>
            <w:szCs w:val="22"/>
          </w:rPr>
          <w:tab/>
        </w:r>
        <w:r w:rsidR="00340A6F" w:rsidRPr="00294D0F">
          <w:rPr>
            <w:rStyle w:val="Hyperlink"/>
          </w:rPr>
          <w:t>Help</w:t>
        </w:r>
        <w:r w:rsidR="00340A6F">
          <w:rPr>
            <w:webHidden/>
          </w:rPr>
          <w:tab/>
        </w:r>
        <w:r w:rsidR="00340A6F">
          <w:rPr>
            <w:webHidden/>
          </w:rPr>
          <w:fldChar w:fldCharType="begin"/>
        </w:r>
        <w:r w:rsidR="00340A6F">
          <w:rPr>
            <w:webHidden/>
          </w:rPr>
          <w:instrText xml:space="preserve"> PAGEREF _Toc89950984 \h </w:instrText>
        </w:r>
        <w:r w:rsidR="00340A6F">
          <w:rPr>
            <w:webHidden/>
          </w:rPr>
        </w:r>
        <w:r w:rsidR="00340A6F">
          <w:rPr>
            <w:webHidden/>
          </w:rPr>
          <w:fldChar w:fldCharType="separate"/>
        </w:r>
        <w:r w:rsidR="00340A6F">
          <w:rPr>
            <w:webHidden/>
          </w:rPr>
          <w:t>23</w:t>
        </w:r>
        <w:r w:rsidR="00340A6F">
          <w:rPr>
            <w:webHidden/>
          </w:rPr>
          <w:fldChar w:fldCharType="end"/>
        </w:r>
      </w:hyperlink>
    </w:p>
    <w:p w14:paraId="3F6F1EE1" w14:textId="50F5816C" w:rsidR="00340A6F" w:rsidRDefault="00A54239">
      <w:pPr>
        <w:pStyle w:val="TOC1"/>
        <w:rPr>
          <w:rFonts w:asciiTheme="minorHAnsi" w:eastAsiaTheme="minorEastAsia" w:hAnsiTheme="minorHAnsi" w:cstheme="minorBidi"/>
          <w:sz w:val="22"/>
          <w:szCs w:val="22"/>
        </w:rPr>
      </w:pPr>
      <w:hyperlink w:anchor="_Toc89950985" w:history="1">
        <w:r w:rsidR="00340A6F" w:rsidRPr="00294D0F">
          <w:rPr>
            <w:rStyle w:val="Hyperlink"/>
          </w:rPr>
          <w:t>13.</w:t>
        </w:r>
        <w:r w:rsidR="00340A6F">
          <w:rPr>
            <w:rFonts w:asciiTheme="minorHAnsi" w:eastAsiaTheme="minorEastAsia" w:hAnsiTheme="minorHAnsi" w:cstheme="minorBidi"/>
            <w:sz w:val="22"/>
            <w:szCs w:val="22"/>
          </w:rPr>
          <w:tab/>
        </w:r>
        <w:r w:rsidR="00340A6F" w:rsidRPr="00294D0F">
          <w:rPr>
            <w:rStyle w:val="Hyperlink"/>
          </w:rPr>
          <w:t>Important</w:t>
        </w:r>
        <w:r w:rsidR="00340A6F">
          <w:rPr>
            <w:webHidden/>
          </w:rPr>
          <w:tab/>
        </w:r>
        <w:r w:rsidR="00340A6F">
          <w:rPr>
            <w:webHidden/>
          </w:rPr>
          <w:fldChar w:fldCharType="begin"/>
        </w:r>
        <w:r w:rsidR="00340A6F">
          <w:rPr>
            <w:webHidden/>
          </w:rPr>
          <w:instrText xml:space="preserve"> PAGEREF _Toc89950985 \h </w:instrText>
        </w:r>
        <w:r w:rsidR="00340A6F">
          <w:rPr>
            <w:webHidden/>
          </w:rPr>
        </w:r>
        <w:r w:rsidR="00340A6F">
          <w:rPr>
            <w:webHidden/>
          </w:rPr>
          <w:fldChar w:fldCharType="separate"/>
        </w:r>
        <w:r w:rsidR="00340A6F">
          <w:rPr>
            <w:webHidden/>
          </w:rPr>
          <w:t>25</w:t>
        </w:r>
        <w:r w:rsidR="00340A6F">
          <w:rPr>
            <w:webHidden/>
          </w:rPr>
          <w:fldChar w:fldCharType="end"/>
        </w:r>
      </w:hyperlink>
    </w:p>
    <w:p w14:paraId="4D152A2B" w14:textId="2C32B403"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1" w:name="_Toc89950946"/>
      <w:r>
        <w:lastRenderedPageBreak/>
        <w:t>Úvod</w:t>
      </w:r>
      <w:bookmarkEnd w:id="1"/>
    </w:p>
    <w:p w14:paraId="1281A2B9" w14:textId="4F8BAA46" w:rsidR="00526CED" w:rsidRPr="00B7199D" w:rsidRDefault="00494E0C" w:rsidP="00AD584E">
      <w:pPr>
        <w:widowControl w:val="0"/>
      </w:pPr>
      <w:r>
        <w:t xml:space="preserve">Tento dokument je výzva k podávání návrhů na </w:t>
      </w:r>
      <w:r>
        <w:rPr>
          <w:b/>
          <w:bCs/>
        </w:rPr>
        <w:t>granty EU na akce</w:t>
      </w:r>
      <w:r>
        <w:t xml:space="preserve"> v oblasti Angažovanost a účast občanů v rámci programu </w:t>
      </w:r>
      <w:r>
        <w:rPr>
          <w:b/>
          <w:bCs/>
        </w:rPr>
        <w:t>Občané, rovnost, práva a hodnoty (CERV)</w:t>
      </w:r>
      <w:r>
        <w:t>. Regulační rámec pro tento program financování EU je stanoven v těchto právních předpisech:</w:t>
      </w:r>
    </w:p>
    <w:p w14:paraId="124C55BF" w14:textId="77777777" w:rsidR="00526CED" w:rsidRPr="00666B16" w:rsidRDefault="00526CED" w:rsidP="00584316">
      <w:pPr>
        <w:numPr>
          <w:ilvl w:val="0"/>
          <w:numId w:val="32"/>
        </w:numPr>
        <w:spacing w:after="120"/>
        <w:ind w:left="568" w:hanging="284"/>
      </w:pPr>
      <w:r>
        <w:t>nařízení 2018/1046 (</w:t>
      </w:r>
      <w:hyperlink r:id="rId21" w:history="1">
        <w:r>
          <w:rPr>
            <w:rStyle w:val="Hyperlink"/>
          </w:rPr>
          <w:t>finanční nařízení EU</w:t>
        </w:r>
      </w:hyperlink>
      <w:r>
        <w:t>),</w:t>
      </w:r>
    </w:p>
    <w:p w14:paraId="15823F41" w14:textId="7B4B942A" w:rsidR="00526CED" w:rsidRPr="008814FB" w:rsidRDefault="00526CED" w:rsidP="42BB08A3">
      <w:pPr>
        <w:numPr>
          <w:ilvl w:val="0"/>
          <w:numId w:val="32"/>
        </w:numPr>
        <w:ind w:left="568" w:hanging="284"/>
        <w:rPr>
          <w:u w:val="single"/>
        </w:rPr>
      </w:pPr>
      <w:r>
        <w:t xml:space="preserve">základní právní akt (nařízení (EU) </w:t>
      </w:r>
      <w:hyperlink r:id="rId22" w:history="1">
        <w:r>
          <w:rPr>
            <w:rStyle w:val="Hyperlink"/>
          </w:rPr>
          <w:t>2021/692</w:t>
        </w:r>
      </w:hyperlink>
      <w:r w:rsidR="000D6EA6" w:rsidRPr="00541B01">
        <w:rPr>
          <w:rStyle w:val="FootnoteReference"/>
        </w:rPr>
        <w:footnoteReference w:id="2"/>
      </w:r>
      <w:r>
        <w:t xml:space="preserve"> o programu CERV).</w:t>
      </w:r>
    </w:p>
    <w:p w14:paraId="12AD4BB0" w14:textId="464B2AA2" w:rsidR="0000139E" w:rsidRPr="000807A9" w:rsidRDefault="00526CED" w:rsidP="0000139E">
      <w:pPr>
        <w:autoSpaceDE w:val="0"/>
        <w:autoSpaceDN w:val="0"/>
        <w:adjustRightInd w:val="0"/>
        <w:rPr>
          <w:bCs/>
          <w:color w:val="000000"/>
        </w:rPr>
      </w:pPr>
      <w:r>
        <w:t>Tato výzva byla vypsána v souladu s pracovním programem na období 2021–2022</w:t>
      </w:r>
      <w:r w:rsidR="00494E0C" w:rsidRPr="00EC2EA5">
        <w:rPr>
          <w:vertAlign w:val="superscript"/>
        </w:rPr>
        <w:footnoteReference w:id="3"/>
      </w:r>
      <w:r>
        <w:t xml:space="preserve"> a bude spravována </w:t>
      </w:r>
      <w:r>
        <w:rPr>
          <w:b/>
        </w:rPr>
        <w:t>Evropskou výkonnou agenturou pro vzdělávání a kulturu (EACEA)</w:t>
      </w:r>
      <w:r>
        <w:t xml:space="preserve"> (dále jen „agentura“).</w:t>
      </w:r>
    </w:p>
    <w:p w14:paraId="03C747D1" w14:textId="54C3BAAB" w:rsidR="00494E0C" w:rsidRPr="006F58BD" w:rsidRDefault="00330493" w:rsidP="00CC2315">
      <w:pPr>
        <w:spacing w:after="120"/>
      </w:pPr>
      <w:r>
        <w:t xml:space="preserve">Výzva se týká těchto </w:t>
      </w:r>
      <w:r>
        <w:rPr>
          <w:b/>
        </w:rPr>
        <w:t>témat</w:t>
      </w:r>
      <w:r>
        <w:t>:</w:t>
      </w:r>
    </w:p>
    <w:p w14:paraId="0F1AE17D" w14:textId="55D45AD3" w:rsidR="00AD584E" w:rsidRPr="006F58BD" w:rsidRDefault="00AD584E" w:rsidP="42BB08A3">
      <w:pPr>
        <w:numPr>
          <w:ilvl w:val="0"/>
          <w:numId w:val="29"/>
        </w:numPr>
        <w:rPr>
          <w:b/>
          <w:bCs/>
        </w:rPr>
      </w:pPr>
      <w:r>
        <w:rPr>
          <w:b/>
          <w:bCs/>
          <w:color w:val="A50021"/>
        </w:rPr>
        <w:t>CERV-2022-CITIZENS-TOWN-TT (téma 1)</w:t>
      </w:r>
      <w:r>
        <w:rPr>
          <w:b/>
          <w:bCs/>
        </w:rPr>
        <w:t xml:space="preserve"> – Partnerství měst</w:t>
      </w:r>
    </w:p>
    <w:p w14:paraId="1549339B" w14:textId="4EAD4397" w:rsidR="00AD584E" w:rsidRPr="006F58BD" w:rsidRDefault="00AD584E" w:rsidP="42BB08A3">
      <w:pPr>
        <w:numPr>
          <w:ilvl w:val="0"/>
          <w:numId w:val="29"/>
        </w:numPr>
      </w:pPr>
      <w:r>
        <w:rPr>
          <w:b/>
          <w:bCs/>
          <w:color w:val="A50021"/>
        </w:rPr>
        <w:t>CERV-2022-CITIZENS-TOWN-NT (téma 2)</w:t>
      </w:r>
      <w:r>
        <w:rPr>
          <w:b/>
          <w:bCs/>
        </w:rPr>
        <w:t xml:space="preserve"> – Sítě měst</w:t>
      </w:r>
    </w:p>
    <w:p w14:paraId="52501F07" w14:textId="77777777" w:rsidR="00743E49" w:rsidRDefault="00743E49" w:rsidP="00743E49">
      <w:pPr>
        <w:autoSpaceDE w:val="0"/>
        <w:autoSpaceDN w:val="0"/>
        <w:adjustRightInd w:val="0"/>
        <w:rPr>
          <w:rFonts w:cs="Verdana"/>
          <w:color w:val="000000"/>
        </w:rPr>
      </w:pPr>
      <w:r>
        <w:t>Každá projektová žádost v rámci této výzvy se musí týkat pouze jednoho z těchto témat. Předkladatelé, kteří chtějí podat návrh týkající se více než jednoho tématu, musí podat ke každému tématu samostatný návrh.</w:t>
      </w:r>
    </w:p>
    <w:p w14:paraId="043E9BF0" w14:textId="361D296B" w:rsidR="004D29DC" w:rsidRDefault="004D29DC" w:rsidP="004D29DC">
      <w:pPr>
        <w:autoSpaceDE w:val="0"/>
        <w:autoSpaceDN w:val="0"/>
        <w:adjustRightInd w:val="0"/>
        <w:rPr>
          <w:rFonts w:cs="Verdana"/>
          <w:color w:val="000000"/>
        </w:rPr>
      </w:pPr>
      <w:r>
        <w:t xml:space="preserve">Vyzýváme vás k pozornému přečtení </w:t>
      </w:r>
      <w:r w:rsidRPr="002E1A79">
        <w:rPr>
          <w:b/>
          <w:color w:val="000000"/>
        </w:rPr>
        <w:t>dokumentace výzvy</w:t>
      </w:r>
      <w:r>
        <w:t xml:space="preserve">, a zejména tohoto dokumentu k výzvě, vzorové grantové dohody, </w:t>
      </w:r>
      <w:hyperlink r:id="rId23" w:history="1">
        <w:r>
          <w:rPr>
            <w:rStyle w:val="Hyperlink"/>
          </w:rPr>
          <w:t>on-line příručky k portálu EU pro financování a nabídková řízení</w:t>
        </w:r>
      </w:hyperlink>
      <w:r>
        <w:t xml:space="preserve"> a </w:t>
      </w:r>
      <w:hyperlink r:id="rId24" w:history="1">
        <w:r>
          <w:rPr>
            <w:rStyle w:val="Hyperlink"/>
          </w:rPr>
          <w:t>anotované grantové dohody pro granty EU</w:t>
        </w:r>
      </w:hyperlink>
      <w: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Tyto dokumenty poskytují vysvětlení a odpovědi na otázky, které můžete mít při přípravě žádosti: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u w:val="single"/>
        </w:rPr>
        <w:t>dokument k výzvě</w:t>
      </w:r>
      <w:r>
        <w:rPr>
          <w:color w:val="000000"/>
        </w:rPr>
        <w:t xml:space="preserve"> uvádí: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základní informace, cíle, rozsah, činnosti, které lze financovat, a očekávané výsledky (oddíly 1 a 2),</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harmonogram a dostupný rozpočet (oddíly 3 a 4),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přípustnost a podmínky způsobilosti (včetně povinných dokumentů, oddíly 5 a 6),</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kritéria pro finanční a provozní způsobilost a vyloučení (oddíl 7),</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hodnocení a řízení o udělení grantu (oddíl 8),</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kritéria pro udělení grantu (oddíl 9),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právní a finanční uspořádání grantových dohod (oddíl 10),</w:t>
      </w:r>
    </w:p>
    <w:p w14:paraId="0FC91E8C" w14:textId="77777777" w:rsidR="00604FA0" w:rsidRPr="00F114D2" w:rsidRDefault="00604FA0" w:rsidP="008B1F42">
      <w:pPr>
        <w:numPr>
          <w:ilvl w:val="1"/>
          <w:numId w:val="41"/>
        </w:numPr>
        <w:autoSpaceDE w:val="0"/>
        <w:autoSpaceDN w:val="0"/>
        <w:adjustRightInd w:val="0"/>
        <w:rPr>
          <w:rFonts w:cs="Verdana"/>
          <w:color w:val="000000"/>
        </w:rPr>
      </w:pPr>
      <w:r>
        <w:t>jak žádost podat (oddíl 11),</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u w:val="single"/>
        </w:rPr>
        <w:t>on-line příručka</w:t>
      </w:r>
      <w:r>
        <w:rPr>
          <w:color w:val="000000"/>
        </w:rPr>
        <w:t xml:space="preserve"> uvádí: </w:t>
      </w:r>
    </w:p>
    <w:p w14:paraId="3985E9EA" w14:textId="77777777" w:rsidR="00494E0C" w:rsidRPr="00524F18" w:rsidRDefault="00494E0C" w:rsidP="008B1F42">
      <w:pPr>
        <w:numPr>
          <w:ilvl w:val="1"/>
          <w:numId w:val="41"/>
        </w:numPr>
        <w:autoSpaceDE w:val="0"/>
        <w:autoSpaceDN w:val="0"/>
        <w:adjustRightInd w:val="0"/>
        <w:rPr>
          <w:rFonts w:cs="Verdana"/>
        </w:rPr>
      </w:pPr>
      <w:r>
        <w:lastRenderedPageBreak/>
        <w:t xml:space="preserve">postupy registrace a podávání návrhů on-line prostřednictvím portálu EU pro financování a nabídková řízení (dále jen „portál“),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t>doporučení pro přípravu žádosti,</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u w:val="single"/>
        </w:rPr>
        <w:t>anotovaná grantová dohoda</w:t>
      </w:r>
      <w:r>
        <w:rPr>
          <w:color w:val="000000"/>
        </w:rPr>
        <w:t xml:space="preserve"> obsahuje:</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podrobné poznámky ke všem ustanovením grantové dohody, kterou je nezbytné před získáním grantu podepsat </w:t>
      </w:r>
      <w:r>
        <w:rPr>
          <w:i/>
          <w:color w:val="000000"/>
        </w:rPr>
        <w:t>(včetně způsobilosti nákladů, harmonogramu plateb, doplňkových povinností atd.)</w:t>
      </w:r>
      <w:r>
        <w:rPr>
          <w:color w:val="000000"/>
        </w:rPr>
        <w:t xml:space="preserve">. </w:t>
      </w:r>
    </w:p>
    <w:p w14:paraId="635FC1D8" w14:textId="285C54B8" w:rsidR="00774448" w:rsidRPr="00A32077" w:rsidRDefault="00526CED" w:rsidP="42BB08A3">
      <w:pPr>
        <w:autoSpaceDE w:val="0"/>
        <w:autoSpaceDN w:val="0"/>
        <w:adjustRightInd w:val="0"/>
        <w:rPr>
          <w:rFonts w:cs="Verdana"/>
          <w:color w:val="000000"/>
        </w:rPr>
      </w:pPr>
      <w:r>
        <w:rPr>
          <w:color w:val="000000"/>
        </w:rPr>
        <w:t>Doporučujeme vám také navštívit</w:t>
      </w:r>
      <w:r>
        <w:t xml:space="preserve"> </w:t>
      </w:r>
      <w:hyperlink r:id="rId25" w:history="1">
        <w:r>
          <w:rPr>
            <w:rStyle w:val="Hyperlink"/>
          </w:rPr>
          <w:t>webovou stránku s výsledky projektu programu Evropa pro občany</w:t>
        </w:r>
      </w:hyperlink>
      <w:r>
        <w:rPr>
          <w:color w:val="000000"/>
        </w:rPr>
        <w:t xml:space="preserve">, </w:t>
      </w:r>
      <w:hyperlink r:id="rId26" w:history="1">
        <w:r>
          <w:rPr>
            <w:rStyle w:val="Hyperlink"/>
          </w:rPr>
          <w:t>webovou stránku s výsledky programu REC</w:t>
        </w:r>
      </w:hyperlink>
      <w:r>
        <w:rPr>
          <w:color w:val="000000"/>
        </w:rPr>
        <w:t xml:space="preserve"> a </w:t>
      </w:r>
      <w:hyperlink r:id="rId27" w:history="1">
        <w:r>
          <w:rPr>
            <w:rStyle w:val="Hyperlink"/>
          </w:rPr>
          <w:t>sadu nástrojů Daphne</w:t>
        </w:r>
      </w:hyperlink>
      <w:r>
        <w:t>, kde najdete seznam dříve financovaných projektů.</w:t>
      </w:r>
      <w:r>
        <w:rPr>
          <w:color w:val="000000"/>
        </w:rPr>
        <w:t xml:space="preserve"> </w:t>
      </w:r>
    </w:p>
    <w:p w14:paraId="6B9C566E" w14:textId="6F44641E" w:rsidR="00B57534" w:rsidRPr="00494E0C" w:rsidRDefault="00B57534" w:rsidP="00623078">
      <w:pPr>
        <w:pStyle w:val="Heading1"/>
        <w:numPr>
          <w:ilvl w:val="0"/>
          <w:numId w:val="54"/>
        </w:numPr>
        <w:tabs>
          <w:tab w:val="left" w:pos="284"/>
        </w:tabs>
        <w:ind w:left="0" w:firstLine="0"/>
      </w:pPr>
      <w:bookmarkStart w:id="2" w:name="_Toc89950947"/>
      <w:r>
        <w:t>Souvislosti</w:t>
      </w:r>
      <w:bookmarkEnd w:id="2"/>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Program Občané, rovnost, práva a hodnoty poskytuje financování na podporu angažovanosti občanů, rovnosti pro všechny a provádění práv a hodnot EU. Program Občané, rovnost, práva a hodnoty (dále jen „program“) v sobě slučuje někdejší programy Práva, rovnost a občanství</w:t>
      </w:r>
      <w:r>
        <w:rPr>
          <w:rFonts w:ascii="Verdana" w:hAnsi="Verdana"/>
          <w:sz w:val="20"/>
          <w:szCs w:val="20"/>
          <w:lang w:val="en-GB"/>
        </w:rPr>
        <w:footnoteReference w:id="4"/>
      </w:r>
      <w:r>
        <w:rPr>
          <w:rFonts w:ascii="Verdana" w:hAnsi="Verdana"/>
          <w:sz w:val="20"/>
          <w:szCs w:val="20"/>
        </w:rPr>
        <w:t xml:space="preserve"> a Evropa pro občany</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Program podporuje výměny mezi lidmi z různých zemí, posiluje vzájemné porozumění a toleranci a nabízí lidem příležitost rozšířit si obzory a nabýt pocitu evropské sounáležitosti a identity prostřednictvím partnerství měst a sítí měst. Program zachovává přístup zdola nahoru a současně nabízí, zejména sítím měst, příležitost zaměřit se na priority EU. Cílem je například zlepšit znalosti občanů o Listině základních práv EU, přispět k vyšší volební účasti a větší inkluzivitě kandidatury ve volbách do Evropského parlamentu a zvýšit povědomí o diskriminaci, rasismu a jejich důsledcích.</w:t>
      </w:r>
    </w:p>
    <w:p w14:paraId="65A00F56" w14:textId="4DA47FF4" w:rsidR="009A57EA" w:rsidRDefault="008B1F42" w:rsidP="0062273B">
      <w:pPr>
        <w:spacing w:after="0"/>
        <w:rPr>
          <w:rFonts w:eastAsia="Verdana" w:cs="Verdana"/>
        </w:rPr>
      </w:pPr>
      <w:r>
        <w:t>Tato výzva k podávání návrhů má za cíl podpořit tyto politické iniciativy: Akční plán pro evropskou demokracii</w:t>
      </w:r>
      <w:r>
        <w:rPr>
          <w:rStyle w:val="FootnoteReference"/>
          <w:rFonts w:eastAsia="Verdana" w:cs="Verdana"/>
        </w:rPr>
        <w:footnoteReference w:id="6"/>
      </w:r>
      <w:r>
        <w:t>, strategický rámec EU pro rovnost, začleňování a účast Romů</w:t>
      </w:r>
      <w:r>
        <w:rPr>
          <w:rStyle w:val="FootnoteReference"/>
          <w:rFonts w:eastAsia="Verdana" w:cs="Verdana"/>
        </w:rPr>
        <w:footnoteReference w:id="7"/>
      </w:r>
      <w:r>
        <w:t>, strategie EU na posílení uplatňování Listiny základních práv v EU</w:t>
      </w:r>
      <w:r>
        <w:rPr>
          <w:rStyle w:val="FootnoteReference"/>
          <w:rFonts w:eastAsia="Verdana" w:cs="Verdana"/>
        </w:rPr>
        <w:footnoteReference w:id="8"/>
      </w:r>
      <w:r>
        <w:t>, zpráva o občanství EU za rok 2020</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623078">
      <w:pPr>
        <w:pStyle w:val="Heading1"/>
        <w:numPr>
          <w:ilvl w:val="0"/>
          <w:numId w:val="54"/>
        </w:numPr>
        <w:tabs>
          <w:tab w:val="left" w:pos="284"/>
        </w:tabs>
        <w:ind w:left="0" w:firstLine="0"/>
      </w:pPr>
      <w:bookmarkStart w:id="3" w:name="_Toc89950948"/>
      <w:r>
        <w:t>Cíle – témata a priority – činnosti, které lze financovat – očekávaný dopad</w:t>
      </w:r>
      <w:bookmarkEnd w:id="3"/>
    </w:p>
    <w:p w14:paraId="10C94222" w14:textId="3D5C2B6B" w:rsidR="008B1F42" w:rsidRDefault="00BF7239" w:rsidP="008B1F42">
      <w:pPr>
        <w:widowControl w:val="0"/>
        <w:outlineLvl w:val="1"/>
        <w:rPr>
          <w:b/>
          <w:bCs/>
          <w:color w:val="A50021"/>
          <w:u w:val="single"/>
        </w:rPr>
      </w:pPr>
      <w:r>
        <w:rPr>
          <w:b/>
          <w:bCs/>
          <w:color w:val="A50021"/>
          <w:u w:val="single"/>
        </w:rPr>
        <w:t>CERV-2022-CITIZENS-TOWN-TT – Partnerství měst</w:t>
      </w:r>
    </w:p>
    <w:p w14:paraId="13FAC18F" w14:textId="77777777" w:rsidR="008B1F42" w:rsidRDefault="008B1F42" w:rsidP="008B1F42">
      <w:pPr>
        <w:pStyle w:val="Heading3"/>
      </w:pPr>
      <w:bookmarkStart w:id="4" w:name="_Toc89950949"/>
      <w:r>
        <w:t>Cíle</w:t>
      </w:r>
      <w:bookmarkEnd w:id="4"/>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propagovat výměny mezi občany různých zemí,</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umožnit občanům objevit kulturní rozmanitost Evropské unie a přimět je, aby si uvědomili, že evropské hodnoty a kulturní dědictví tvoří základ společné budoucnosti,</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zaručit mírové vztahy mezi Evropany a zajistit jejich aktivní angažovanost na místní úrovni,</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posílit vzájemné porozumění a přátelství mezi evropskými občany,</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podporovat spolupráci mezi obcemi a výměnu osvědčených postupů,</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podporovat dobrou místní správu věcí veřejných a posílit úlohu místních a regionálních orgánů v procesu evropské integrace.</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Očekává se, že projekty partnerství měst budou odrážet projekt Nový příběh pro Evropu, který je orientován na občany, prosazuje rovnost, hledí do budoucnosti a je konstruktivní, a činí tudíž Evropu mnohem lákavější zejména pro mladší generaci. Projekty mohou být založeny na výsledcích konzultací občanů a mohou vést k diskusím o konkrétních způsobech, jak vytvořit demokratičtější Unii s cílem umožnit občanům znovu se zapojit do dění v EU a získat silný pocit odpovědnosti za evropský projekt.</w:t>
      </w:r>
    </w:p>
    <w:p w14:paraId="6C324617" w14:textId="7DEA1873" w:rsidR="008B1F42" w:rsidRDefault="008B1F42" w:rsidP="008B1F42">
      <w:pPr>
        <w:pStyle w:val="Heading3"/>
      </w:pPr>
      <w:bookmarkStart w:id="5" w:name="_Toc89950950"/>
      <w:r>
        <w:t>Témata a priority (oblast působnosti)</w:t>
      </w:r>
      <w:bookmarkEnd w:id="5"/>
    </w:p>
    <w:p w14:paraId="5FB7D970" w14:textId="77777777" w:rsidR="008B1F42" w:rsidRDefault="008B1F42" w:rsidP="008B1F42">
      <w:pPr>
        <w:numPr>
          <w:ilvl w:val="0"/>
          <w:numId w:val="48"/>
        </w:numPr>
        <w:rPr>
          <w:rFonts w:eastAsia="Verdana" w:cs="Verdana"/>
        </w:rPr>
      </w:pPr>
      <w:r>
        <w:rPr>
          <w:b/>
          <w:bCs/>
        </w:rPr>
        <w:t>Zvýšení povědomí o bohatství kulturního a jazykového prostředí v Evropě</w:t>
      </w:r>
    </w:p>
    <w:p w14:paraId="2B1D8BE9" w14:textId="77777777" w:rsidR="008B1F42" w:rsidRPr="008F0D17" w:rsidRDefault="008B1F42" w:rsidP="008B1F42">
      <w:pPr>
        <w:rPr>
          <w:rFonts w:eastAsia="Verdana" w:cs="Verdana"/>
        </w:rPr>
      </w:pPr>
      <w:r>
        <w:t xml:space="preserve">Program přispívá k prosazování mezikulturního dialogu tím, že sdružuje lidi různých státních příslušností hovořící různými jazyky, a tím, že jim nabízí příležitost zapojit se do společných činností. V této souvislosti by projekty partnerství měst měly zvýšit povědomí o bohatství kulturního a jazykového prostředí v Evropě a propagovat vzájemné porozumění a toleranci, čímž přispějí k osvojení uctivé, dynamické a mnohostranné evropské identity a k respektování společných hodnot, demokracie a základních práv. </w:t>
      </w:r>
    </w:p>
    <w:p w14:paraId="278D248A" w14:textId="77777777" w:rsidR="008B1F42" w:rsidRDefault="008B1F42" w:rsidP="008B1F42">
      <w:pPr>
        <w:numPr>
          <w:ilvl w:val="0"/>
          <w:numId w:val="48"/>
        </w:numPr>
        <w:rPr>
          <w:rFonts w:eastAsia="Verdana" w:cs="Verdana"/>
        </w:rPr>
      </w:pPr>
      <w:r>
        <w:rPr>
          <w:b/>
          <w:bCs/>
        </w:rPr>
        <w:t>Zvyšování povědomí o významu posilování procesu evropské integrace založeného na solidaritě</w:t>
      </w:r>
    </w:p>
    <w:p w14:paraId="6CBF9321" w14:textId="77777777" w:rsidR="008B1F42" w:rsidRDefault="008B1F42" w:rsidP="008B1F42">
      <w:pPr>
        <w:rPr>
          <w:rFonts w:eastAsia="Verdana" w:cs="Verdana"/>
        </w:rPr>
      </w:pPr>
      <w:r>
        <w:t>Evropská unie je založena na solidaritě: solidaritě mezi občany, přeshraniční solidaritě mezi členskými státy a solidaritě prostřednictvím podpůrných opatření v rámci Unie i mimo ni. Solidarita je sdílenou hodnotou, která vytváří soudržnost a reaguje na společenské výzvy. Projekty partnerství měst by měly přispívat k překonání vnitrostátního vnímání tím, že se podpoří společné porozumění a vytvoří se fóra, na kterých bude možné konstruktivně diskutovat o společných řešeních. Jejich cílem by mělo být zvyšování povědomí o významu posilování procesu evropské integrace založeného na solidaritě a společných hodnotách.</w:t>
      </w:r>
    </w:p>
    <w:p w14:paraId="0C7C4065" w14:textId="77777777" w:rsidR="008B1F42" w:rsidRDefault="008B1F42" w:rsidP="008B1F42">
      <w:pPr>
        <w:numPr>
          <w:ilvl w:val="0"/>
          <w:numId w:val="48"/>
        </w:numPr>
        <w:rPr>
          <w:rFonts w:eastAsia="Verdana" w:cs="Verdana"/>
        </w:rPr>
      </w:pPr>
      <w:r>
        <w:rPr>
          <w:b/>
          <w:bCs/>
        </w:rPr>
        <w:t xml:space="preserve">Pěstování pocitu sounáležitosti s Evropou prostřednictvím podpory debaty o budoucnosti Evropy </w:t>
      </w:r>
    </w:p>
    <w:p w14:paraId="1B7C766D" w14:textId="77777777" w:rsidR="008B1F42" w:rsidRDefault="008B1F42" w:rsidP="008B1F42">
      <w:pPr>
        <w:rPr>
          <w:rFonts w:eastAsia="Verdana" w:cs="Verdana"/>
        </w:rPr>
      </w:pPr>
      <w:r>
        <w:t>Projekty partnerství měst by měly občanům nabídnout příležitost vyjádřit se, jakou Evropu chtějí. Debaty podporované v rámci partnerství měst by měly vycházet z konkrétních úspěchů Evropské unie a z ponaučení vyvozených z dějin. Tyto debaty by měly rovněž odrážet současné trendy a umožňovat účastníkům zpochybnit euroskepticismus tím, že navrhnou možné kroky, které by Evropská unie mohla podniknout na podporu pocitu sounáležitosti s Evropou, na podporu porozumění výhodám Evropské unie a na posílení sociální a politické soudržnosti EU. Obce, které spolu uzavřou partnerství, se vybízejí, aby reagovaly na cíle Konference o budoucnosti Evropy</w:t>
      </w:r>
      <w:r>
        <w:rPr>
          <w:rStyle w:val="FootnoteReference"/>
          <w:rFonts w:eastAsia="Verdana" w:cs="Verdana"/>
        </w:rPr>
        <w:footnoteReference w:id="10"/>
      </w:r>
      <w:r>
        <w:t>. Kromě toho by debaty měly prosazovat kulturu demokratické výměny, ve které jsou názory všech účastníků ceněny stejnou měrou bez ohledu na pohlaví, věk nebo etnických původ.</w:t>
      </w:r>
    </w:p>
    <w:p w14:paraId="10D7F696" w14:textId="77777777" w:rsidR="008B1F42" w:rsidRDefault="008B1F42" w:rsidP="008B1F42">
      <w:pPr>
        <w:numPr>
          <w:ilvl w:val="0"/>
          <w:numId w:val="48"/>
        </w:numPr>
        <w:rPr>
          <w:rFonts w:eastAsia="Verdana" w:cs="Verdana"/>
          <w:b/>
          <w:bCs/>
        </w:rPr>
      </w:pPr>
      <w:r>
        <w:rPr>
          <w:b/>
          <w:bCs/>
        </w:rPr>
        <w:t>Zamyšlení se nad dopadem pandemie COVID-19 na místní komunity</w:t>
      </w:r>
    </w:p>
    <w:p w14:paraId="481B9ACE" w14:textId="77777777" w:rsidR="008B1F42" w:rsidRDefault="008B1F42" w:rsidP="008B1F42">
      <w:pPr>
        <w:rPr>
          <w:rFonts w:eastAsia="Verdana" w:cs="Verdana"/>
        </w:rPr>
      </w:pPr>
      <w:r>
        <w:lastRenderedPageBreak/>
        <w:t>Pandemie COVID-19 ovlivnila způsob fungování demokracií a aktivního občanství. Nutnost zabránit šíření nákazy vedla k uložení přísných omezení individuální i kolektivní svobody. Vybízí se, aby projekty partnerství měst zahrnovaly zamyšlení se nad dopadem pandemie COVID-19 na život v místních komunitách a na jejich fungování, jakož i na formy, kterých nabylo aktivní občanství za krize COVID-19.</w:t>
      </w:r>
    </w:p>
    <w:p w14:paraId="36719A73" w14:textId="77777777" w:rsidR="008B1F42" w:rsidRDefault="008B1F42" w:rsidP="008B1F42">
      <w:pPr>
        <w:widowControl w:val="0"/>
        <w:outlineLvl w:val="1"/>
        <w:rPr>
          <w:i/>
          <w:color w:val="A50021"/>
          <w:u w:val="single"/>
        </w:rPr>
      </w:pPr>
      <w:r>
        <w:rPr>
          <w:i/>
          <w:color w:val="A50021"/>
          <w:u w:val="single"/>
        </w:rPr>
        <w:t>Činnosti, které lze financovat (oblast působnosti)</w:t>
      </w:r>
    </w:p>
    <w:p w14:paraId="3F3EFBB4" w14:textId="77777777" w:rsidR="008B1F42" w:rsidRDefault="008B1F42" w:rsidP="008B1F42">
      <w:pPr>
        <w:widowControl w:val="0"/>
        <w:outlineLvl w:val="1"/>
      </w:pPr>
      <w:r>
        <w:t>Může jít mimo jiné o tyto činnosti:</w:t>
      </w:r>
    </w:p>
    <w:p w14:paraId="6E4AFEA1" w14:textId="2D94E985" w:rsidR="008B1F42" w:rsidRPr="00BF5947" w:rsidRDefault="008B1F42" w:rsidP="008B1F42">
      <w:pPr>
        <w:pStyle w:val="Text3"/>
        <w:numPr>
          <w:ilvl w:val="0"/>
          <w:numId w:val="48"/>
        </w:numPr>
        <w:tabs>
          <w:tab w:val="left" w:pos="567"/>
        </w:tabs>
        <w:ind w:left="567" w:hanging="207"/>
      </w:pPr>
      <w:r>
        <w:t>workshopy, semináře, konference, školení, setkání odborníků, webináře, osvětová činnost, shromažďování údajů a konzultace, vypracování, výměna a šíření osvědčených postupů v rámci orgánů veřejné moci a organizací občanské společnosti, vývoj komunikačních nástrojů a používání sociálních médií.</w:t>
      </w:r>
    </w:p>
    <w:p w14:paraId="44CF613E" w14:textId="055AEA4F" w:rsidR="00BF5947" w:rsidRDefault="00BF5947" w:rsidP="00CC2315">
      <w:pPr>
        <w:widowControl w:val="0"/>
      </w:pPr>
      <w:r>
        <w:t xml:space="preserve">Hledisko rovnosti žen a mužů by mělo být zohledněno při navrhování „formátu“ činností, aby bylo zajištěno, že bude přístupný ženám a mužům za stejných podmínek a že se na činnostech budou moci podílet ženy i muži. </w:t>
      </w:r>
    </w:p>
    <w:p w14:paraId="4E176950" w14:textId="7F1D3AA0" w:rsidR="008B1F42" w:rsidRPr="00CC2315" w:rsidRDefault="008B1F42" w:rsidP="008B1F42">
      <w:pPr>
        <w:widowControl w:val="0"/>
        <w:outlineLvl w:val="1"/>
        <w:rPr>
          <w:i/>
          <w:color w:val="A50021"/>
          <w:u w:val="single"/>
        </w:rPr>
      </w:pPr>
      <w:r>
        <w:rPr>
          <w:i/>
          <w:color w:val="A50021"/>
          <w:u w:val="single"/>
        </w:rPr>
        <w:t>Očekávaný dopad</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zvýšit a podpořit vzájemné porozumění a přátelství mezi rozmanitým spektrem občanů na místní úrovni,</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zapojit zkušenosti rozmanitého spektra občanů z místních komunit a uznat přidanou hodnotu, kterou poskytuje EU prostřednictvím místního přístupu,</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podporovat větší pocit sounáležitosti s EU.</w:t>
      </w:r>
    </w:p>
    <w:p w14:paraId="3816CD76" w14:textId="7A8224D0" w:rsidR="008B1F42" w:rsidRDefault="00BF7239" w:rsidP="008B1F42">
      <w:pPr>
        <w:widowControl w:val="0"/>
        <w:outlineLvl w:val="1"/>
        <w:rPr>
          <w:b/>
          <w:bCs/>
          <w:color w:val="A50021"/>
        </w:rPr>
      </w:pPr>
      <w:r>
        <w:rPr>
          <w:b/>
          <w:bCs/>
          <w:color w:val="A50021"/>
          <w:u w:val="single"/>
        </w:rPr>
        <w:t>CERV-2022-CITIZENS-TOWN-NT – Sítě měst</w:t>
      </w:r>
      <w:r>
        <w:rPr>
          <w:b/>
          <w:bCs/>
          <w:color w:val="A50021"/>
        </w:rPr>
        <w:t xml:space="preserve"> </w:t>
      </w:r>
    </w:p>
    <w:p w14:paraId="5DD50407" w14:textId="77777777" w:rsidR="008B1F42" w:rsidRDefault="008B1F42" w:rsidP="008B1F42">
      <w:pPr>
        <w:pStyle w:val="Heading3"/>
      </w:pPr>
      <w:bookmarkStart w:id="6" w:name="_Toc89950951"/>
      <w:r>
        <w:t>Cíle</w:t>
      </w:r>
      <w:bookmarkEnd w:id="6"/>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propagovat výměny mezi občany různých zemí,</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umožnit občanům objevit kulturní rozmanitost Evropské unie a přimět je, aby si uvědomili, že evropské hodnoty a kulturní dědictví tvoří základ společné budoucnosti,</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zaručit mírové vztahy mezi Evropany a zajistit jejich aktivní angažovanost na místní úrovni,</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posílit vzájemné porozumění a přátelství mezi evropskými občany,</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podporovat spolupráci mezi obcemi a výměnu osvědčených postupů,</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podporovat dobrou místní správu věcí veřejných a posílit úlohu místních a regionálních orgánů v procesu evropské integrace.</w:t>
      </w:r>
    </w:p>
    <w:p w14:paraId="79BB4ACA" w14:textId="77777777" w:rsidR="008B1F42" w:rsidRDefault="008B1F42" w:rsidP="008B1F42">
      <w:pPr>
        <w:rPr>
          <w:rFonts w:eastAsia="Verdana" w:cs="Verdana"/>
        </w:rPr>
      </w:pPr>
      <w:r>
        <w:t>Očekává se, že projekty sítí měst budou odrážet projekt Nový příběh pro Evropu, který je orientován na občany, prosazuje rovnost, hledí do budoucnosti a je konstruktivní, a činí tudíž Evropu mnohem lákavější zejména pro mladší generaci. Projekty mohou být založeny na výsledcích konzultací občanů a mohou vést k diskusím o konkrétních způsobech, jak vytvořit demokratičtější Unii s cílem umožnit občanům znovu se zapojit do dění v EU a získat silný pocit odpovědnosti za evropský projekt.</w:t>
      </w:r>
    </w:p>
    <w:p w14:paraId="21311993" w14:textId="77777777" w:rsidR="008B1F42" w:rsidRDefault="008B1F42" w:rsidP="008B1F42">
      <w:pPr>
        <w:rPr>
          <w:rFonts w:eastAsia="Verdana" w:cs="Verdana"/>
        </w:rPr>
      </w:pPr>
      <w:r>
        <w:t>Sítě měst by měly nabídnout městům a obcím možnost prohloubit a posílit jejich spolupráci a debatu z dlouhodobého hlediska, rozvíjet udržitelné sítě a nastínit jejich dlouhodobou vizi budoucnosti evropské integrace.</w:t>
      </w:r>
    </w:p>
    <w:p w14:paraId="73AEEF58" w14:textId="77777777" w:rsidR="008B1F42" w:rsidRDefault="008B1F42" w:rsidP="008B1F42">
      <w:pPr>
        <w:pStyle w:val="Heading3"/>
      </w:pPr>
      <w:bookmarkStart w:id="7" w:name="_Toc89950952"/>
      <w:r>
        <w:t>Témata a priority (oblast působnosti)</w:t>
      </w:r>
      <w:bookmarkEnd w:id="7"/>
    </w:p>
    <w:p w14:paraId="19210619" w14:textId="5F6CD73A" w:rsidR="008B1F42" w:rsidRDefault="008B1F42" w:rsidP="008B1F42">
      <w:pPr>
        <w:pStyle w:val="Text3"/>
        <w:ind w:left="0"/>
        <w:rPr>
          <w:rFonts w:eastAsia="Verdana" w:cs="Verdana"/>
        </w:rPr>
      </w:pPr>
      <w:r>
        <w:t>Při zachování přístupu zdola nahoru je třeba klást zvláštní důraz na následující:</w:t>
      </w:r>
    </w:p>
    <w:p w14:paraId="0114D3C8" w14:textId="77777777" w:rsidR="00DF1A7E" w:rsidRPr="007472BE" w:rsidRDefault="00DF1A7E" w:rsidP="00DF1A7E">
      <w:pPr>
        <w:numPr>
          <w:ilvl w:val="0"/>
          <w:numId w:val="48"/>
        </w:numPr>
        <w:rPr>
          <w:rFonts w:eastAsia="Verdana" w:cs="Verdana"/>
        </w:rPr>
      </w:pPr>
      <w:r>
        <w:rPr>
          <w:b/>
        </w:rPr>
        <w:t>Posílení evropského a demokratického rozměru rozhodovacího procesu EU</w:t>
      </w:r>
    </w:p>
    <w:p w14:paraId="170D5575" w14:textId="591CBCC7" w:rsidR="00DF1A7E" w:rsidRDefault="00DF1A7E" w:rsidP="00DF1A7E">
      <w:r>
        <w:lastRenderedPageBreak/>
        <w:t>Sítě měst se vyzývají, aby vyvíjely projekty, které posílí demokratickou správu věcí veřejných podporou aktivního zapojení občanů do evropského politického života a výkonu jejich volebních práv. Tyto projekty by pomohly čelit nízké volební účasti, populismu, dezinformacím a výzvám, kterým občanská společnost čelí.</w:t>
      </w:r>
    </w:p>
    <w:p w14:paraId="75942D03" w14:textId="57AAA631" w:rsidR="00DF1A7E" w:rsidRPr="00732A4F" w:rsidRDefault="00DF1A7E" w:rsidP="00DF1A7E">
      <w:pPr>
        <w:numPr>
          <w:ilvl w:val="0"/>
          <w:numId w:val="48"/>
        </w:numPr>
        <w:rPr>
          <w:rFonts w:eastAsia="Verdana" w:cs="Verdana"/>
          <w:b/>
        </w:rPr>
      </w:pPr>
      <w:r>
        <w:rPr>
          <w:b/>
        </w:rPr>
        <w:t>Podpora svobodných a spravedlivých voleb v Evropě</w:t>
      </w:r>
    </w:p>
    <w:p w14:paraId="508FCAAE" w14:textId="13093283" w:rsidR="00DF1A7E" w:rsidRPr="00623078" w:rsidRDefault="00DF1A7E" w:rsidP="00DF1A7E">
      <w:pPr>
        <w:rPr>
          <w:rFonts w:eastAsia="Verdana" w:cs="Verdana"/>
        </w:rPr>
      </w:pPr>
      <w:r>
        <w:t>S ohledem na evropské volby v roce 2024 se sítě měst vyzývají, aby pracovaly na zachování demokratických institucí EU a na účasti občanů v nich. Koordinace v rámci příslušných sítí a mezi nimi by mohla vést zejména k vytvoření společných pracovních metod, budování kapacit pro odhalování a řešení hrozeb pro volby, vypracování modelů osvědčených postupů a pokynů.</w:t>
      </w:r>
    </w:p>
    <w:p w14:paraId="609BDE0C" w14:textId="77777777" w:rsidR="00DF1A7E" w:rsidRPr="009109D5" w:rsidRDefault="00DF1A7E" w:rsidP="00DF1A7E">
      <w:pPr>
        <w:numPr>
          <w:ilvl w:val="0"/>
          <w:numId w:val="48"/>
        </w:numPr>
        <w:rPr>
          <w:rFonts w:eastAsia="Verdana" w:cs="Verdana"/>
        </w:rPr>
      </w:pPr>
      <w:r>
        <w:rPr>
          <w:b/>
          <w:bCs/>
        </w:rPr>
        <w:t xml:space="preserve">Pěstování pocitu sounáležitosti s Evropou prostřednictvím podpory debaty o budoucnosti Evropy </w:t>
      </w:r>
    </w:p>
    <w:p w14:paraId="56A249A6" w14:textId="404D5832" w:rsidR="00DF1A7E" w:rsidRDefault="00DF1A7E" w:rsidP="00DF1A7E">
      <w:pPr>
        <w:rPr>
          <w:rFonts w:eastAsia="Verdana" w:cs="Verdana"/>
        </w:rPr>
      </w:pPr>
      <w:r>
        <w:t>Sítě měst by měly občanům nabídnout příležitost vyjádřit se, jakou Evropu chtějí. Debaty by měly vycházet z konkrétních úspěchů Evropské unie a z ponaučení vyvozených z dějin. Tyto debaty mohou navrhnout možné kroky, které by Evropská unie mohla podniknout na podporu pocitu sounáležitosti s Evropou, na podporu porozumění výhodám Evropské unie a na posílení sociální a politické soudržnosti EU. Sítě měst se vybízejí, aby reagovaly na cíle Konference o budoucnosti Evropy.</w:t>
      </w:r>
    </w:p>
    <w:p w14:paraId="2AF05699" w14:textId="77777777" w:rsidR="00DF1A7E" w:rsidRPr="000A6611" w:rsidRDefault="00DF1A7E" w:rsidP="00DF1A7E">
      <w:pPr>
        <w:numPr>
          <w:ilvl w:val="0"/>
          <w:numId w:val="48"/>
        </w:numPr>
        <w:rPr>
          <w:rFonts w:eastAsia="Verdana" w:cs="Verdana"/>
          <w:b/>
          <w:bCs/>
        </w:rPr>
      </w:pPr>
      <w:r>
        <w:rPr>
          <w:b/>
          <w:bCs/>
        </w:rPr>
        <w:t>Zamyšlení se nad dopadem pandemie COVID-19 na místní komunity</w:t>
      </w:r>
    </w:p>
    <w:p w14:paraId="4F1B2504" w14:textId="23705276" w:rsidR="00DF1A7E" w:rsidRPr="006F58BD" w:rsidRDefault="00DF1A7E" w:rsidP="006F58BD">
      <w:pPr>
        <w:pStyle w:val="Text3"/>
        <w:ind w:left="0"/>
        <w:rPr>
          <w:rFonts w:eastAsia="Verdana" w:cs="Verdana"/>
        </w:rPr>
      </w:pPr>
      <w:r>
        <w:t>Pandemie COVID-19 ovlivnila způsob fungování demokracií a aktivního občanství. Nutnost zabránit šíření nákazy vedla k uložení přísných omezení individuální i kolektivní svobody. Sítě měst se vybízejí, aby se zamyslely nad dopadem pandemie COVID-19 na život v místních komunitách a na jejich fungování, jakož i na formy, kterých nabylo aktivní občanství za krize COVID-19.</w:t>
      </w:r>
    </w:p>
    <w:p w14:paraId="67B84D45" w14:textId="5CF8C7F0" w:rsidR="008B1F42" w:rsidRDefault="008B1F42" w:rsidP="008B1F42">
      <w:pPr>
        <w:pStyle w:val="Heading3"/>
      </w:pPr>
      <w:bookmarkStart w:id="8" w:name="_Toc89950953"/>
      <w:r>
        <w:t>Činnosti, které lze financovat (oblast působnosti)</w:t>
      </w:r>
      <w:bookmarkEnd w:id="8"/>
    </w:p>
    <w:p w14:paraId="24792C88" w14:textId="77777777" w:rsidR="008B1F42" w:rsidRDefault="008B1F42" w:rsidP="008B1F42">
      <w:pPr>
        <w:widowControl w:val="0"/>
        <w:outlineLvl w:val="1"/>
      </w:pPr>
      <w:r>
        <w:t>Může jít mimo jiné o tyto činnosti:</w:t>
      </w:r>
    </w:p>
    <w:p w14:paraId="31F23C7A" w14:textId="77777777" w:rsidR="008B1F42" w:rsidRDefault="008B1F42" w:rsidP="008B1F42">
      <w:pPr>
        <w:pStyle w:val="Text3"/>
        <w:numPr>
          <w:ilvl w:val="0"/>
          <w:numId w:val="48"/>
        </w:numPr>
        <w:tabs>
          <w:tab w:val="left" w:pos="567"/>
        </w:tabs>
        <w:ind w:left="567" w:hanging="207"/>
      </w:pPr>
      <w:r>
        <w:t>workshopy, semináře, konference, školení, setkání odborníků, webináře, osvětová činnost, shromažďování údajů a konzultace, vypracování, výměna a šíření osvědčených postupů v rámci orgánů veřejné moci a organizací občanské společnosti, vývoj komunikačních nástrojů a používání sociálních médií.</w:t>
      </w:r>
    </w:p>
    <w:p w14:paraId="4FBCD5D4" w14:textId="58457A61" w:rsidR="00E83685" w:rsidRPr="006F58BD" w:rsidRDefault="00E83685" w:rsidP="00E83685">
      <w:pPr>
        <w:widowControl w:val="0"/>
      </w:pPr>
      <w:r>
        <w:t xml:space="preserve">Hledisko rovnosti žen a mužů by mělo být zohledněno při navrhování „formátu“ činností, aby bylo zajištěno, že bude přístupný ženám a mužům za stejných podmínek a že se na činnostech budou moci podílet ženy i muži. </w:t>
      </w:r>
    </w:p>
    <w:p w14:paraId="60B4B3FC" w14:textId="77777777" w:rsidR="00BF5947" w:rsidRPr="00732A4F" w:rsidRDefault="00BF5947" w:rsidP="00BF5947">
      <w:pPr>
        <w:widowControl w:val="0"/>
      </w:pPr>
      <w:r>
        <w:t>Očekává se, že návrh a realizace projektů bude podporovat rovnost žen a mužů a začleňování hlediska nediskriminace. Žadatelé by například mohli provést genderovou analýzu, která by zmapovala různé potenciální dopady projektu a jeho aktivit na ženy a muže, stejně jako na dívky a chlapce v celé jejich rozmanitosti, a zahrnout tuto analýzu do svého návrhu. Tím by bylo možné předejít nezamýšleným negativním účinkům intervence na obě pohlaví (přístup neubližování).</w:t>
      </w:r>
      <w:r w:rsidRPr="00732A4F">
        <w:rPr>
          <w:rStyle w:val="FootnoteReference"/>
        </w:rPr>
        <w:footnoteReference w:id="11"/>
      </w:r>
    </w:p>
    <w:p w14:paraId="363A4BA3" w14:textId="77777777" w:rsidR="008B1F42" w:rsidRDefault="008B1F42" w:rsidP="008B1F42">
      <w:pPr>
        <w:pStyle w:val="Heading3"/>
      </w:pPr>
      <w:bookmarkStart w:id="9" w:name="_Toc89950954"/>
      <w:r>
        <w:t>Očekávaný dopad</w:t>
      </w:r>
      <w:bookmarkEnd w:id="9"/>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umožnit městům a obcím vypracovat rozsáhlejší projekty s cílem zvýšit dopad a udržitelnost projektů,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umožnit příjemcům, aby vypracovali více tematických projektů souvisejících s politikou,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vytvořit trvalé vazby na partnerské organizace,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lastRenderedPageBreak/>
        <w:t xml:space="preserve">zvýšit povědomí o přínosech rozmanitosti a bojovat proti diskriminaci a rasismu,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posílit a povzbudit vzájemné porozumění a přijetí, pokud jde o evropské menšiny, jako jsou Romové,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zvýšit povědomí o Listině základních práv EU a jejím uplatňování a podporovat kulturu základních práv,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zlepšit informovanost o právech vyplývajících z občanství EU a jejich uplatňování v členských státech,</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zvýšit povědomí a zlepšit poskytování informací mobilním občanům EU a jejich rodinným příslušníkům o jejich právech vyplývajících z občanství EU.</w:t>
      </w:r>
    </w:p>
    <w:p w14:paraId="0EC8E6E1" w14:textId="77777777" w:rsidR="001E6C28" w:rsidRPr="008E1695"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10" w:name="_Toc89950955"/>
      <w:r>
        <w:t>Dostupný rozpočet</w:t>
      </w:r>
      <w:bookmarkEnd w:id="10"/>
    </w:p>
    <w:p w14:paraId="0930E03A" w14:textId="36C575EE" w:rsidR="003D5D72" w:rsidRPr="00884C69" w:rsidRDefault="008246AA" w:rsidP="00F114D2">
      <w:r>
        <w:t xml:space="preserve">Dostupný rozpočet pro tuto výzvu činí </w:t>
      </w:r>
      <w:r>
        <w:rPr>
          <w:b/>
        </w:rPr>
        <w:t>11 000 000 EUR</w:t>
      </w:r>
      <w:r>
        <w:t>.</w:t>
      </w:r>
    </w:p>
    <w:p w14:paraId="0AD2884B" w14:textId="156487E9" w:rsidR="003D5D72" w:rsidRPr="00F114D2" w:rsidRDefault="003D5D72" w:rsidP="003D5D72">
      <w:pPr>
        <w:spacing w:after="240"/>
      </w:pPr>
      <w:r>
        <w:t>Konkrétní informace o rozpočtu pro jednotlivá témata naleznete v tabulce níže.</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Téma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Rozpočet pro jednotlivá témata</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t>1 – Partnerství měst</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4 500 000 EUR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Sítě měst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6 500 000 EUR </w:t>
            </w:r>
          </w:p>
        </w:tc>
      </w:tr>
    </w:tbl>
    <w:p w14:paraId="24AC267A" w14:textId="77777777" w:rsidR="003D5D72" w:rsidRDefault="003D5D72" w:rsidP="000579AF">
      <w:pPr>
        <w:spacing w:after="0"/>
      </w:pPr>
    </w:p>
    <w:p w14:paraId="5155AA30" w14:textId="193C0ACA" w:rsidR="008246AA" w:rsidRDefault="005764E8" w:rsidP="000579AF">
      <w:pPr>
        <w:spacing w:after="0"/>
      </w:pPr>
      <w:r>
        <w:t xml:space="preserve">Vyhrazujeme si právo nepřidělit všechny finanční prostředky, které jsou k dispozici, nebo je přerozdělit mezi témata výzvy v závislosti na přijatých návrzích a výsledcích hodnocení. </w:t>
      </w:r>
    </w:p>
    <w:p w14:paraId="2F76B7EF" w14:textId="77777777" w:rsidR="00E17677" w:rsidRPr="008E1695" w:rsidRDefault="00E17677" w:rsidP="00623078">
      <w:pPr>
        <w:pStyle w:val="ListParagraph"/>
        <w:snapToGrid w:val="0"/>
        <w:rPr>
          <w:rFonts w:eastAsia="Verdana" w:cs="Verdana"/>
          <w:sz w:val="20"/>
          <w:szCs w:val="20"/>
        </w:rPr>
      </w:pPr>
    </w:p>
    <w:p w14:paraId="443BB5FD" w14:textId="3369C3E2" w:rsidR="0081075D" w:rsidRPr="00975A34" w:rsidRDefault="0081075D" w:rsidP="00623078">
      <w:pPr>
        <w:pStyle w:val="Heading1"/>
        <w:numPr>
          <w:ilvl w:val="0"/>
          <w:numId w:val="54"/>
        </w:numPr>
        <w:tabs>
          <w:tab w:val="left" w:pos="284"/>
        </w:tabs>
        <w:ind w:left="0" w:firstLine="0"/>
      </w:pPr>
      <w:bookmarkStart w:id="11" w:name="_Toc89950956"/>
      <w:r>
        <w:t>Harmonogram a lhůty</w:t>
      </w:r>
      <w:bookmarkEnd w:id="11"/>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Harmonogram a lhůty (orientační)</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Zahájení výzvy k podávání návrhů:</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16. listopadu 2021</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Uzávěrka pro podání návrhů:</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24. března 2022, 17:00:00 SEČ (bruselského času)</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Hodnocení:</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březen–červen 2022</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Poskytnutí informací o výsledcích hodnocení:</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červen–červenec 2022</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Podpis grantové dohody:</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srpen–listopad 2022</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2" w:name="_Toc89950957"/>
      <w:r>
        <w:t>Přípustnost a dokumenty</w:t>
      </w:r>
      <w:bookmarkEnd w:id="12"/>
    </w:p>
    <w:p w14:paraId="1E55A5E3" w14:textId="4F37B5A9" w:rsidR="00C41E84" w:rsidRPr="00B57534" w:rsidRDefault="000A7529" w:rsidP="00C41E84">
      <w:pPr>
        <w:pStyle w:val="Text1"/>
        <w:tabs>
          <w:tab w:val="clear" w:pos="2160"/>
        </w:tabs>
        <w:ind w:left="0"/>
        <w:rPr>
          <w:rFonts w:cs="Arial"/>
          <w:iCs/>
        </w:rPr>
      </w:pPr>
      <w:r>
        <w:t xml:space="preserve">Návrhy musí být podány před </w:t>
      </w:r>
      <w:r>
        <w:rPr>
          <w:b/>
          <w:iCs/>
        </w:rPr>
        <w:t>uzávěrkou pro podání návrhů</w:t>
      </w:r>
      <w:r>
        <w:t xml:space="preserve"> </w:t>
      </w:r>
      <w:r>
        <w:rPr>
          <w:i/>
          <w:iCs/>
        </w:rPr>
        <w:t>(viz harmonogram v oddíle 4)</w:t>
      </w:r>
      <w:r>
        <w:t>.</w:t>
      </w:r>
    </w:p>
    <w:p w14:paraId="56C9BCF2" w14:textId="69382FEF" w:rsidR="00C41E84" w:rsidRPr="00B57534" w:rsidRDefault="000A7529" w:rsidP="00C41E84">
      <w:pPr>
        <w:rPr>
          <w:rFonts w:cs="Arial"/>
        </w:rPr>
      </w:pPr>
      <w:r>
        <w:t xml:space="preserve">Návrhy musí být podány </w:t>
      </w:r>
      <w:r>
        <w:rPr>
          <w:b/>
          <w:iCs/>
        </w:rPr>
        <w:t>elektronicky</w:t>
      </w:r>
      <w:r>
        <w:t xml:space="preserve"> prostřednictvím systému pro elektronické podávání návrhů na portálu pro financování a nabídková řízení (k dispozici na stránce Topic (Téma) v oddíle </w:t>
      </w:r>
      <w:hyperlink r:id="rId28" w:history="1">
        <w:r>
          <w:rPr>
            <w:rStyle w:val="Hyperlink"/>
          </w:rPr>
          <w:t>Search Funding &amp; Tenders</w:t>
        </w:r>
      </w:hyperlink>
      <w:r>
        <w:t xml:space="preserve"> (Vyhledávat financování a nabídková řízení)). Návrhy NELZE podávat v tištěné podobě.</w:t>
      </w:r>
    </w:p>
    <w:p w14:paraId="146274B2" w14:textId="31716E89" w:rsidR="004A47F3" w:rsidRDefault="000A7529" w:rsidP="004A47F3">
      <w:pPr>
        <w:pStyle w:val="Text1"/>
        <w:tabs>
          <w:tab w:val="clear" w:pos="2160"/>
        </w:tabs>
        <w:ind w:left="0"/>
        <w:rPr>
          <w:rFonts w:cs="Arial"/>
          <w:iCs/>
        </w:rPr>
      </w:pPr>
      <w:r>
        <w:lastRenderedPageBreak/>
        <w:t xml:space="preserve">Návrhy (včetně příloh a podkladů) musí být podány na formulářích poskytnutých </w:t>
      </w:r>
      <w:r>
        <w:rPr>
          <w:i/>
          <w:iCs/>
        </w:rPr>
        <w:t>v rámci</w:t>
      </w:r>
      <w:r>
        <w:t xml:space="preserve"> systému pro podávání návrhů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NIKOLI na dokumentech dostupných na stránce Topic (Téma) – ty jsou určeny pouze pro informaci).</w:t>
      </w:r>
    </w:p>
    <w:p w14:paraId="2EA1C106" w14:textId="77777777" w:rsidR="00615B82" w:rsidRPr="00F96E2C" w:rsidRDefault="00615B82" w:rsidP="00615B82">
      <w:pPr>
        <w:pStyle w:val="Body"/>
      </w:pPr>
      <w:r>
        <w:t xml:space="preserve">Návrhy musí být </w:t>
      </w:r>
      <w:r>
        <w:rPr>
          <w:b/>
        </w:rPr>
        <w:t>úplné</w:t>
      </w:r>
      <w:r>
        <w:t xml:space="preserve"> a musí obsahovat všechny požadované informace a veškeré povinné přílohy a podpůrné dokumenty: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část A formuláře žádosti – obsahuje administrativní informace o účastnících (budoucí koordinátor, příjemci a přidružené subjekty) a shrnutí rozpočtu projektu </w:t>
      </w:r>
      <w:r>
        <w:rPr>
          <w:i/>
          <w:sz w:val="20"/>
          <w:szCs w:val="20"/>
        </w:rPr>
        <w:t>(je třeba vyplnit přímo on-line)</w:t>
      </w:r>
      <w:r>
        <w:rPr>
          <w:sz w:val="20"/>
          <w:szCs w:val="20"/>
        </w:rPr>
        <w:t>,</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část B formuláře žádosti – obsahuje technický popis projektu </w:t>
      </w:r>
      <w:r>
        <w:rPr>
          <w:i/>
          <w:sz w:val="20"/>
          <w:szCs w:val="20"/>
        </w:rPr>
        <w:t>(je třeba stáhnout ze systému pro podávání návrhů na portálu, vyplnit a pak zkompletovat a znovu nahrát)</w:t>
      </w:r>
      <w:r>
        <w:rPr>
          <w:sz w:val="20"/>
          <w:szCs w:val="20"/>
        </w:rPr>
        <w:t>,</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část C </w:t>
      </w:r>
      <w:r>
        <w:rPr>
          <w:i/>
          <w:sz w:val="20"/>
          <w:szCs w:val="20"/>
        </w:rPr>
        <w:t>(je třeba vyplnit přímo on-line)</w:t>
      </w:r>
      <w:r>
        <w:rPr>
          <w:sz w:val="20"/>
          <w:szCs w:val="20"/>
        </w:rPr>
        <w:t xml:space="preserve"> – obsahuje další údaje o projektu, včetně povinných ukazatelů,</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povinné přílohy a podpůrné dokumenty</w:t>
      </w:r>
      <w:r>
        <w:rPr>
          <w:sz w:val="20"/>
          <w:szCs w:val="20"/>
        </w:rPr>
        <w:t xml:space="preserve"> </w:t>
      </w:r>
      <w:r>
        <w:rPr>
          <w:i/>
          <w:sz w:val="20"/>
          <w:szCs w:val="20"/>
        </w:rPr>
        <w:t>(je třeba nahrát)</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t xml:space="preserve">podrobná rozpočtová tabulka: </w:t>
      </w:r>
      <w:r>
        <w:rPr>
          <w:rFonts w:ascii="Verdana" w:hAnsi="Verdana"/>
          <w:i/>
          <w:iCs/>
          <w:sz w:val="20"/>
          <w:szCs w:val="20"/>
        </w:rPr>
        <w:t>nepoužije se</w:t>
      </w:r>
      <w:r>
        <w:rPr>
          <w:rFonts w:ascii="Verdana" w:hAnsi="Verdana"/>
          <w:sz w:val="20"/>
          <w:szCs w:val="20"/>
        </w:rPr>
        <w:t>,</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životopisy členů hlavního projektového týmu: </w:t>
      </w:r>
      <w:r>
        <w:rPr>
          <w:rFonts w:ascii="Verdana" w:hAnsi="Verdana"/>
          <w:i/>
          <w:iCs/>
          <w:color w:val="auto"/>
          <w:sz w:val="20"/>
          <w:szCs w:val="20"/>
        </w:rPr>
        <w:t>nepoužije se</w:t>
      </w:r>
      <w:r>
        <w:rPr>
          <w:rFonts w:ascii="Verdana" w:hAnsi="Verdana"/>
          <w:color w:val="auto"/>
          <w:sz w:val="20"/>
          <w:szCs w:val="20"/>
        </w:rPr>
        <w:t>,</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zprávy o činnosti za poslední rok: </w:t>
      </w:r>
      <w:r>
        <w:rPr>
          <w:rFonts w:ascii="Verdana" w:hAnsi="Verdana"/>
          <w:i/>
          <w:iCs/>
          <w:color w:val="auto"/>
          <w:sz w:val="20"/>
          <w:szCs w:val="20"/>
        </w:rPr>
        <w:t>nepoužije se</w:t>
      </w:r>
      <w:r>
        <w:rPr>
          <w:rFonts w:ascii="Verdana" w:hAnsi="Verdana"/>
          <w:color w:val="auto"/>
          <w:sz w:val="20"/>
          <w:szCs w:val="20"/>
        </w:rPr>
        <w:t>,</w:t>
      </w:r>
    </w:p>
    <w:p w14:paraId="14276D93" w14:textId="5EFB3A3D" w:rsidR="0046713C" w:rsidRPr="0062273B" w:rsidRDefault="0046713C"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seznam předchozích projektů (klíčové projekty za poslední čtyři roky) (</w:t>
      </w:r>
      <w:r>
        <w:rPr>
          <w:rFonts w:ascii="Verdana" w:hAnsi="Verdana"/>
          <w:i/>
          <w:iCs/>
          <w:color w:val="auto"/>
          <w:sz w:val="20"/>
          <w:szCs w:val="20"/>
        </w:rPr>
        <w:t>vzor k dispozici v části B</w:t>
      </w:r>
      <w:r>
        <w:rPr>
          <w:rFonts w:ascii="Verdana" w:hAnsi="Verdana"/>
          <w:color w:val="auto"/>
          <w:sz w:val="20"/>
          <w:szCs w:val="20"/>
        </w:rPr>
        <w:t>)</w:t>
      </w:r>
    </w:p>
    <w:p w14:paraId="38848BCB" w14:textId="0AC50279" w:rsidR="00BF64FB" w:rsidRPr="006F58BD" w:rsidRDefault="00BF64FB" w:rsidP="008B1F42">
      <w:pPr>
        <w:pStyle w:val="ListParagraph"/>
        <w:numPr>
          <w:ilvl w:val="1"/>
          <w:numId w:val="42"/>
        </w:numPr>
        <w:spacing w:after="200"/>
        <w:jc w:val="both"/>
        <w:rPr>
          <w:sz w:val="20"/>
          <w:szCs w:val="20"/>
        </w:rPr>
      </w:pPr>
      <w:r>
        <w:rPr>
          <w:sz w:val="20"/>
          <w:szCs w:val="20"/>
        </w:rPr>
        <w:t xml:space="preserve">Pro účastníky s činnostmi zahrnujícími děti: jejich politika ochrany dítěte, která zahrnuje čtyři oblasti popsané v dokumentu </w:t>
      </w:r>
      <w:hyperlink r:id="rId30" w:history="1">
        <w:r>
          <w:rPr>
            <w:rStyle w:val="Hyperlink"/>
            <w:sz w:val="20"/>
            <w:szCs w:val="20"/>
          </w:rPr>
          <w:t>organizace Keeping Children Safe s názvem Child Safeguarding Standards (Normy na ochranu dětí)</w:t>
        </w:r>
      </w:hyperlink>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t>kalkulačka paušální částky,</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dopis s vyjádřením podpory podepsaný obcí (týká se žadatelů a partnerů v rámci kategorie „nezisková organizace zastupující místní orgán“).</w:t>
      </w:r>
    </w:p>
    <w:p w14:paraId="2F01E376" w14:textId="2EF943E2" w:rsidR="00510B7E" w:rsidRPr="00683BCF" w:rsidRDefault="00510B7E" w:rsidP="00831954">
      <w:pPr>
        <w:spacing w:after="120"/>
        <w:rPr>
          <w:rFonts w:cs="Arial"/>
        </w:rPr>
      </w:pPr>
      <w:r>
        <w:t xml:space="preserve">Při podávání návrhu budete muset potvrdit, že máte </w:t>
      </w:r>
      <w:r>
        <w:rPr>
          <w:b/>
        </w:rPr>
        <w:t>pověření k jednání</w:t>
      </w:r>
      <w:r>
        <w:t xml:space="preserve"> za všechny žadatele. Kromě toho budete muset potvrdit, že informace uvedené v žádosti jsou správné a úplné a že účastníci splňují podmínky pro získání financování z EU (zejména pokud jde o způsobilost, finanční a provozní způsobilost, vyloučení atd.). Před podpisem grantové dohody bude muset každý příjemce a přidružený subjekt tuto skutečnost znovu potvrdit podepsáním čestného prohlášení. Návrhy bez kompletních podpůrných dokumentů budou zamítnuty.</w:t>
      </w:r>
    </w:p>
    <w:p w14:paraId="767FE960" w14:textId="3E689F5D" w:rsidR="00C41E84" w:rsidRDefault="00D37706" w:rsidP="00C41E84">
      <w:pPr>
        <w:pStyle w:val="Text1"/>
        <w:tabs>
          <w:tab w:val="clear" w:pos="2160"/>
        </w:tabs>
        <w:ind w:left="0"/>
        <w:rPr>
          <w:rFonts w:cs="Arial"/>
          <w:iCs/>
        </w:rPr>
      </w:pPr>
      <w:r>
        <w:t xml:space="preserve">Vaše žádost musí být </w:t>
      </w:r>
      <w:r>
        <w:rPr>
          <w:b/>
          <w:iCs/>
        </w:rPr>
        <w:t>čitelná, dostupná a tisknutelná</w:t>
      </w:r>
      <w:r>
        <w:t>.</w:t>
      </w:r>
    </w:p>
    <w:p w14:paraId="7BB5113A" w14:textId="29ADC151" w:rsidR="00D37706" w:rsidRPr="00683BCF" w:rsidRDefault="00D37706" w:rsidP="42BB08A3">
      <w:pPr>
        <w:pStyle w:val="Text1"/>
        <w:tabs>
          <w:tab w:val="clear" w:pos="2160"/>
        </w:tabs>
        <w:ind w:left="0"/>
        <w:rPr>
          <w:rFonts w:cs="Arial"/>
        </w:rPr>
      </w:pPr>
      <w:r>
        <w:t xml:space="preserve">Návrhy nesmí mít více než </w:t>
      </w:r>
      <w:r>
        <w:rPr>
          <w:b/>
        </w:rPr>
        <w:t xml:space="preserve">40 stran v případě tématu Partnerství měst </w:t>
      </w:r>
      <w:r>
        <w:t>(část B)</w:t>
      </w:r>
      <w:r>
        <w:rPr>
          <w:b/>
        </w:rPr>
        <w:t xml:space="preserve"> a 70 stran v případě tématu Sítě měst</w:t>
      </w:r>
      <w:r>
        <w:t xml:space="preserve"> (část B). Hodnotitelé nebudou zohledňovat žádné další strany.</w:t>
      </w:r>
    </w:p>
    <w:p w14:paraId="709B3081" w14:textId="77777777" w:rsidR="00510B7E" w:rsidRDefault="00510B7E" w:rsidP="00510B7E">
      <w:r>
        <w:t xml:space="preserve">Později můžete být požádáni o další dokumenty </w:t>
      </w:r>
      <w:r>
        <w:rPr>
          <w:i/>
        </w:rPr>
        <w:t>(pro ověření právního subjektu, kontrolu finanční způsobilosti, ověření bankovního účtu atd.)</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Více informací o postupu podávání návrhů (včetně aspektů IT) naleznete v </w:t>
      </w:r>
      <w:hyperlink r:id="rId32">
        <w:r>
          <w:rPr>
            <w:rStyle w:val="Hyperlink"/>
          </w:rPr>
          <w:t>on-line příručce</w:t>
        </w:r>
      </w:hyperlink>
      <w:r>
        <w:rPr>
          <w:rStyle w:val="Hyperlink"/>
          <w:color w:val="auto"/>
          <w:u w:val="none"/>
        </w:rPr>
        <w:t>.</w:t>
      </w:r>
    </w:p>
    <w:p w14:paraId="0B8E5F40" w14:textId="0D29000C" w:rsidR="00B612F2" w:rsidRPr="00975A34" w:rsidRDefault="00B612F2" w:rsidP="000579AF">
      <w:pPr>
        <w:pStyle w:val="Heading1"/>
        <w:numPr>
          <w:ilvl w:val="0"/>
          <w:numId w:val="54"/>
        </w:numPr>
        <w:tabs>
          <w:tab w:val="left" w:pos="284"/>
        </w:tabs>
        <w:ind w:left="0" w:firstLine="0"/>
      </w:pPr>
      <w:bookmarkStart w:id="13" w:name="_Toc89950958"/>
      <w:r>
        <w:t>Způsobilost</w:t>
      </w:r>
      <w:bookmarkEnd w:id="13"/>
      <w:r>
        <w:t xml:space="preserve"> </w:t>
      </w:r>
    </w:p>
    <w:p w14:paraId="4EF2E3B8" w14:textId="77777777" w:rsidR="00B57534" w:rsidRPr="00510B7E" w:rsidRDefault="00736C6F" w:rsidP="00FC6FD4">
      <w:pPr>
        <w:pStyle w:val="Heading3"/>
      </w:pPr>
      <w:bookmarkStart w:id="14" w:name="_Toc89950959"/>
      <w:r>
        <w:lastRenderedPageBreak/>
        <w:t>Způsobilí účastníci (způsobilé země)</w:t>
      </w:r>
      <w:bookmarkEnd w:id="14"/>
    </w:p>
    <w:p w14:paraId="5716E987" w14:textId="39C30B39" w:rsidR="00D11251" w:rsidRPr="00B57534" w:rsidRDefault="00D11251" w:rsidP="00D11251">
      <w:pPr>
        <w:pStyle w:val="Text1"/>
        <w:tabs>
          <w:tab w:val="clear" w:pos="2160"/>
        </w:tabs>
        <w:spacing w:after="120"/>
        <w:ind w:left="0"/>
        <w:rPr>
          <w:rFonts w:cs="Arial"/>
        </w:rPr>
      </w:pPr>
      <w:r>
        <w:t>Aby žadatelé (příjemci a přidružené subjekty) byli způsobilí, musí:</w:t>
      </w:r>
    </w:p>
    <w:p w14:paraId="2509B829" w14:textId="78B5B051" w:rsidR="00D11251" w:rsidRPr="00C07C07" w:rsidRDefault="00D9492C" w:rsidP="008B1F42">
      <w:pPr>
        <w:widowControl w:val="0"/>
        <w:numPr>
          <w:ilvl w:val="0"/>
          <w:numId w:val="36"/>
        </w:numPr>
        <w:spacing w:after="120"/>
        <w:ind w:left="709"/>
        <w:rPr>
          <w:rFonts w:cs="Arial"/>
        </w:rPr>
      </w:pPr>
      <w:r>
        <w:t xml:space="preserve">být právními subjekty (soukromými nebo veřejnými),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mít sídlo v jedné ze způsobilých zemí, tj.: </w:t>
      </w:r>
    </w:p>
    <w:p w14:paraId="0BDBB030" w14:textId="1328DBCC" w:rsidR="00D11251" w:rsidRPr="001F0FF9" w:rsidRDefault="00D11251" w:rsidP="008B1F42">
      <w:pPr>
        <w:widowControl w:val="0"/>
        <w:numPr>
          <w:ilvl w:val="0"/>
          <w:numId w:val="37"/>
        </w:numPr>
        <w:spacing w:after="120"/>
        <w:ind w:left="1276"/>
        <w:jc w:val="left"/>
        <w:rPr>
          <w:rFonts w:cs="Arial"/>
        </w:rPr>
      </w:pPr>
      <w:r>
        <w:t>v členských státech EU (včetně zámořských zemí a území),</w:t>
      </w:r>
    </w:p>
    <w:p w14:paraId="346FD509" w14:textId="0BF8D141" w:rsidR="00D11251" w:rsidRPr="00D77F61" w:rsidRDefault="00D11251" w:rsidP="008B1F42">
      <w:pPr>
        <w:widowControl w:val="0"/>
        <w:numPr>
          <w:ilvl w:val="0"/>
          <w:numId w:val="37"/>
        </w:numPr>
        <w:spacing w:after="120"/>
        <w:ind w:left="1276"/>
        <w:jc w:val="left"/>
        <w:rPr>
          <w:rFonts w:cs="Arial"/>
        </w:rPr>
      </w:pPr>
      <w:r>
        <w:t>v zemích mimo EU:</w:t>
      </w:r>
    </w:p>
    <w:p w14:paraId="414C90BD" w14:textId="2D46C06E" w:rsidR="004F0F5C" w:rsidRPr="006F58BD" w:rsidRDefault="004F0F5C" w:rsidP="008B1F42">
      <w:pPr>
        <w:pStyle w:val="Text1"/>
        <w:numPr>
          <w:ilvl w:val="0"/>
          <w:numId w:val="38"/>
        </w:numPr>
        <w:tabs>
          <w:tab w:val="clear" w:pos="2160"/>
        </w:tabs>
        <w:spacing w:after="120"/>
        <w:ind w:left="1701"/>
        <w:rPr>
          <w:rFonts w:cs="Arial"/>
        </w:rPr>
      </w:pPr>
      <w:r>
        <w:t>v zemích přidružených k programu CERV nebo v zemích, které právě vedou jednání o dohodě o přidružení a v nichž tato dohoda vstoupí v platnost před podpisem grantové dohody (</w:t>
      </w:r>
      <w:hyperlink r:id="rId33" w:history="1">
        <w:r>
          <w:rPr>
            <w:rStyle w:val="Hyperlink"/>
          </w:rPr>
          <w:t>seznam účastnících se zemí</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další podmínky způsobilosti:</w:t>
      </w:r>
    </w:p>
    <w:p w14:paraId="3403588B" w14:textId="671BC073" w:rsidR="00E85E35" w:rsidRPr="00F50F6A" w:rsidRDefault="00E85E35" w:rsidP="0062273B">
      <w:pPr>
        <w:widowControl w:val="0"/>
        <w:ind w:firstLine="720"/>
        <w:rPr>
          <w:b/>
          <w:bCs/>
        </w:rPr>
      </w:pPr>
      <w:r>
        <w:rPr>
          <w:b/>
          <w:color w:val="A50021"/>
        </w:rPr>
        <w:t>CERV-2022-CITIZENS-TOWN-TT – Partnerství měst:</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t>pro žadatele: být veřejným subjektem nebo neziskovou organizací: městy/obcemi a/nebo jinými úrovněmi místních orgánů a jejich výbory pro partnerství nebo neziskovými organizacemi zastupujícími místní orgány,</w:t>
      </w:r>
    </w:p>
    <w:p w14:paraId="6386E76B" w14:textId="10829B1A" w:rsidR="000159B8" w:rsidRPr="000159B8" w:rsidRDefault="000159B8" w:rsidP="00E85E35">
      <w:pPr>
        <w:widowControl w:val="0"/>
        <w:numPr>
          <w:ilvl w:val="1"/>
          <w:numId w:val="36"/>
        </w:numPr>
        <w:spacing w:after="120"/>
        <w:ind w:left="1418" w:hanging="416"/>
        <w:jc w:val="left"/>
        <w:rPr>
          <w:rFonts w:cs="Arial"/>
        </w:rPr>
      </w:pPr>
      <w:r>
        <w:t>projekt musí zahrnovat obce z nejméně dvou způsobilých zemí, z nichž alespoň jedna je členským státem EU,</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činnosti se musí konat v jedné ze způsobilých zemí účastnících se projektu,</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akce v rámci partnerství měst musí zahrnovat nejméně 50 přímých účastníků, z nichž nejméně 25 jsou „pozvaní účastníci</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Sítě měst</w:t>
      </w:r>
    </w:p>
    <w:p w14:paraId="7034CCF5" w14:textId="383FF38D" w:rsidR="000159B8" w:rsidRDefault="000159B8" w:rsidP="000159B8">
      <w:pPr>
        <w:widowControl w:val="0"/>
        <w:numPr>
          <w:ilvl w:val="1"/>
          <w:numId w:val="36"/>
        </w:numPr>
        <w:spacing w:after="120"/>
        <w:ind w:left="1418" w:hanging="416"/>
        <w:jc w:val="left"/>
        <w:rPr>
          <w:rFonts w:cs="Arial"/>
        </w:rPr>
      </w:pPr>
      <w:r>
        <w:t>Pro žadatele</w:t>
      </w:r>
      <w:r>
        <w:rPr>
          <w:rStyle w:val="FootnoteReference"/>
          <w:rFonts w:cs="Arial"/>
        </w:rPr>
        <w:footnoteReference w:id="13"/>
      </w:r>
      <w:r>
        <w:t xml:space="preserve"> a partnery: být veřejným subjektem nebo neziskovou organizací: městy/obcemi a/nebo jinými úrovněmi místních orgánů a jejich výbory pro partnerství nebo neziskovými organizacemi zastupujícími místní orgány,</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projekt musí zahrnovat obce z nejméně pěti způsobilých zemí, z nichž nejméně tři jsou členskými státy EU,</w:t>
      </w:r>
    </w:p>
    <w:p w14:paraId="7F71F908" w14:textId="79ED681A" w:rsidR="000159B8" w:rsidRDefault="000159B8" w:rsidP="000159B8">
      <w:pPr>
        <w:widowControl w:val="0"/>
        <w:numPr>
          <w:ilvl w:val="1"/>
          <w:numId w:val="36"/>
        </w:numPr>
        <w:spacing w:after="120"/>
        <w:ind w:left="1418" w:right="227" w:hanging="142"/>
        <w:jc w:val="left"/>
      </w:pPr>
      <w:r>
        <w:t>činnosti se musí konat nejméně ve dvou různých způsobilých zemích zapojených do programu.</w:t>
      </w:r>
    </w:p>
    <w:p w14:paraId="690454F4" w14:textId="7E4FF5F7" w:rsidR="00D11251" w:rsidRDefault="00EF14AD" w:rsidP="00D11251">
      <w:pPr>
        <w:rPr>
          <w:rFonts w:cs="Arial"/>
        </w:rPr>
      </w:pPr>
      <w:r>
        <w:t>Příjemci a přidružené subjekty se musí zaregistrovat v </w:t>
      </w:r>
      <w:hyperlink r:id="rId34" w:history="1">
        <w:r>
          <w:rPr>
            <w:rStyle w:val="Hyperlink"/>
          </w:rPr>
          <w:t>rejstříku účastníků</w:t>
        </w:r>
      </w:hyperlink>
      <w:r>
        <w:t xml:space="preserve"> – a to před podáním návrhu – a projít procesem validace prováděným centrální validační službou (validace REA). Za účelem ověření budou požádáni o nahrání dokumentů prokazujících jejich právní postavení a původ.</w:t>
      </w:r>
    </w:p>
    <w:p w14:paraId="663BF90B" w14:textId="77777777" w:rsidR="00D11251" w:rsidRDefault="00D11251" w:rsidP="00D11251">
      <w:pPr>
        <w:rPr>
          <w:iCs/>
        </w:rPr>
      </w:pPr>
      <w:r>
        <w:t xml:space="preserve">Další subjekty se mohou účastnit v rámci jiných úloh v konsorciu, například jako přidružení partneři, subdodavatelé, třetí strany poskytující věcné plnění atd. </w:t>
      </w:r>
      <w:r>
        <w:rPr>
          <w:i/>
          <w:iCs/>
        </w:rPr>
        <w:t>(viz oddíl 13)</w:t>
      </w:r>
      <w:r>
        <w:t>.</w:t>
      </w:r>
    </w:p>
    <w:p w14:paraId="4C122898" w14:textId="77777777" w:rsidR="00D11251" w:rsidRPr="000B3314" w:rsidRDefault="00D11251" w:rsidP="00D11251">
      <w:pPr>
        <w:rPr>
          <w:i/>
          <w:color w:val="A50021"/>
          <w:highlight w:val="yellow"/>
        </w:rPr>
      </w:pPr>
      <w:r>
        <w:rPr>
          <w:i/>
          <w:color w:val="A50021"/>
        </w:rPr>
        <w:t>Zvláštní případy</w:t>
      </w:r>
      <w:r>
        <w:rPr>
          <w:i/>
          <w:color w:val="A50021"/>
          <w:highlight w:val="yellow"/>
        </w:rPr>
        <w:t xml:space="preserve"> </w:t>
      </w:r>
    </w:p>
    <w:p w14:paraId="7C0C81EC" w14:textId="3519175F" w:rsidR="00D11251" w:rsidRPr="00F556B0" w:rsidRDefault="00D11251" w:rsidP="00D11251">
      <w:pPr>
        <w:rPr>
          <w:rFonts w:cs="Arial"/>
        </w:rPr>
      </w:pPr>
      <w:r>
        <w:lastRenderedPageBreak/>
        <w:t>Fyzické osoby – fyzické osoby NEJSOU způsobilé (s výjimkou osob samostatně výdělečně činných, tj. živnostníků, pokud společnost nemá právní subjektivitu odlišnou od fyzické osoby).</w:t>
      </w:r>
    </w:p>
    <w:p w14:paraId="06E140DC" w14:textId="5B93CEEF" w:rsidR="00D11251" w:rsidRPr="00F556B0" w:rsidRDefault="00D51B6C" w:rsidP="00D11251">
      <w:pPr>
        <w:rPr>
          <w:rFonts w:cs="Arial"/>
        </w:rPr>
      </w:pPr>
      <w:r>
        <w:t>Mezinárodní organizace – mezinárodní organizace jsou způsobilé. Pravidla týkající se způsobilých zemí se na ně nepoužijí.</w:t>
      </w:r>
    </w:p>
    <w:p w14:paraId="45271331" w14:textId="77777777" w:rsidR="00D11251" w:rsidRDefault="00D11251" w:rsidP="00D11251">
      <w:pPr>
        <w:rPr>
          <w:rFonts w:cs="Arial"/>
          <w:iCs/>
        </w:rPr>
      </w:pPr>
      <w:r>
        <w:t>Subjekty bez právní subjektivity – subjekty, které podle příslušného vnitrostátního práva nemají právní subjektivitu, se mohou výjimečně zúčastnit za předpokladu, že jejich zástupci mají způsobilost přijímat právní povinnosti jejich jménem a že tyto subjekty poskytují stejnou záruku ochrany finančních zájmů EU jako právnické osoby</w:t>
      </w:r>
      <w:r>
        <w:rPr>
          <w:rStyle w:val="FootnoteReference"/>
          <w:rFonts w:cs="Arial"/>
          <w:iCs/>
        </w:rPr>
        <w:footnoteReference w:id="14"/>
      </w:r>
      <w:r>
        <w:t>.</w:t>
      </w:r>
    </w:p>
    <w:p w14:paraId="42989BB3" w14:textId="77777777" w:rsidR="00D11251" w:rsidRDefault="00D11251" w:rsidP="00D11251">
      <w:pPr>
        <w:rPr>
          <w:rFonts w:eastAsia="Verdana" w:cs="Verdana"/>
        </w:rPr>
      </w:pPr>
      <w:r>
        <w:t>Subjekty EU – subjekty EU (s výjimkou Společného výzkumného střediska Evropské komise) se NEMOHOU stát členy konsorcia.</w:t>
      </w:r>
    </w:p>
    <w:p w14:paraId="73A5993C" w14:textId="5CAF4A75" w:rsidR="005056C4" w:rsidRDefault="6C7DCFD5" w:rsidP="42BB08A3">
      <w:pPr>
        <w:rPr>
          <w:rFonts w:cs="Arial"/>
        </w:rPr>
      </w:pPr>
      <w:r>
        <w:t>Sdružení a zájmová sdružení – subjekty složené z členů se mohou účastnit jako „jediní příjemci“ nebo „příjemci bez právní subjektivity“</w:t>
      </w:r>
      <w:r w:rsidR="00D11251" w:rsidRPr="2B2EF0EE">
        <w:rPr>
          <w:rStyle w:val="FootnoteReference"/>
        </w:rPr>
        <w:footnoteReference w:id="15"/>
      </w:r>
      <w:r>
        <w:t xml:space="preserve">. </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Upozorňujeme, že pokud budou akci provádět členové, měli by se také zúčastnit (buď jako příjemci, nebo jako přidružené subjekty, jinak jejich náklady NEBUDOU způsobilé).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Kontaktní místa programu – jsou způsobilá jako koordinátor nebo příjemce v otevřených výzvách, pokud mají postupy, jak oddělit funkce projektového řízení a poskytování informací, a pokud jsou schopna prokázat oddělené náklady (tj. že jejich projektové granty nepokrývají žádné náklady, na které se vztahují jiné granty jim udělené). To vyžaduje: </w:t>
      </w:r>
    </w:p>
    <w:p w14:paraId="21178116" w14:textId="4EF7788A" w:rsidR="00DC3A61" w:rsidRPr="00FB72CA" w:rsidRDefault="00DC3A61" w:rsidP="008B1F42">
      <w:pPr>
        <w:numPr>
          <w:ilvl w:val="0"/>
          <w:numId w:val="45"/>
        </w:numPr>
        <w:rPr>
          <w:color w:val="000000"/>
        </w:rPr>
      </w:pPr>
      <w:r>
        <w:rPr>
          <w:color w:val="000000"/>
        </w:rPr>
        <w:t xml:space="preserve">používání analytického účetnictví, které umožňuje řízení nákladového účetnictví s klíči pro přidělování nákladů a kódy pro nákladové účetnictví A ZÁROVEŇ uplatnění těchto klíčů a kódů k určení a rozdělení nákladů (tj. přidělit je k jednomu ze dvou grantů), </w:t>
      </w:r>
    </w:p>
    <w:p w14:paraId="1DBFDF05" w14:textId="5BA07C46" w:rsidR="00DC3A61" w:rsidRPr="00FB72CA" w:rsidRDefault="00DC3A61" w:rsidP="008B1F42">
      <w:pPr>
        <w:numPr>
          <w:ilvl w:val="0"/>
          <w:numId w:val="45"/>
        </w:numPr>
        <w:rPr>
          <w:color w:val="000000"/>
        </w:rPr>
      </w:pPr>
      <w:r>
        <w:rPr>
          <w:color w:val="000000"/>
        </w:rPr>
        <w:t xml:space="preserve">zaznamenávání všech skutečných nákladů vzniklých u činností, které nejsou pokryty žádným z obou grantů (včetně nepřímých nákladů), </w:t>
      </w:r>
    </w:p>
    <w:p w14:paraId="08082F37" w14:textId="6D2FEB8E" w:rsidR="00832213" w:rsidRPr="00F556B0" w:rsidRDefault="00DC3A61" w:rsidP="008B1F42">
      <w:pPr>
        <w:numPr>
          <w:ilvl w:val="0"/>
          <w:numId w:val="45"/>
        </w:numPr>
        <w:rPr>
          <w:rFonts w:cs="Arial"/>
        </w:rPr>
      </w:pPr>
      <w:r>
        <w:rPr>
          <w:color w:val="000000"/>
        </w:rPr>
        <w:t>přidělení nákladů způsobem, který vede ke spravedlivému, objektivnímu a realistickému výsledku.</w:t>
      </w:r>
    </w:p>
    <w:p w14:paraId="63646EA9" w14:textId="75D8A1BB" w:rsidR="00F556B0" w:rsidRPr="00F556B0" w:rsidRDefault="00F556B0" w:rsidP="00202AF1">
      <w:pPr>
        <w:rPr>
          <w:iCs/>
        </w:rPr>
      </w:pPr>
      <w:r>
        <w:t xml:space="preserve">Země, které v současnosti vyjednávají dohody o přidružení – příjemci ze zemí, se kterými probíhají jednání </w:t>
      </w:r>
      <w:r>
        <w:rPr>
          <w:i/>
          <w:szCs w:val="18"/>
        </w:rPr>
        <w:t>(viz výše)</w:t>
      </w:r>
      <w:r>
        <w:t>, se mohou výzvy zúčastnit a podepsat granty, pokud budou jednání uzavřena před podpisem grantové dohody (se zpětnou účinností, pokud je tak stanoveno v dohodě).</w:t>
      </w:r>
    </w:p>
    <w:p w14:paraId="6FC8312B" w14:textId="09DE72CC" w:rsidR="000F4465" w:rsidRPr="00FE2BCA" w:rsidRDefault="00FE2BCA" w:rsidP="00D11251">
      <w:pPr>
        <w:pStyle w:val="Text1"/>
        <w:tabs>
          <w:tab w:val="clear" w:pos="2160"/>
        </w:tabs>
        <w:spacing w:after="120"/>
        <w:ind w:left="0"/>
      </w:pPr>
      <w:r>
        <w:t xml:space="preserve">Omezující opatření EU – pro určité subjekty platí zvláštní pravidla </w:t>
      </w:r>
      <w:r>
        <w:rPr>
          <w:i/>
        </w:rPr>
        <w:t>(např. subjekty, pro které platí</w:t>
      </w:r>
      <w:r>
        <w:t xml:space="preserve"> </w:t>
      </w:r>
      <w:hyperlink r:id="rId36" w:history="1">
        <w:r>
          <w:rPr>
            <w:rStyle w:val="Hyperlink"/>
            <w:i/>
          </w:rPr>
          <w:t>omezující opatření EU</w:t>
        </w:r>
      </w:hyperlink>
      <w:r>
        <w:rPr>
          <w:i/>
        </w:rPr>
        <w:t xml:space="preserve"> podle článku 29 Smlouvy o Evropské unii a článku 215 Smlouvy o fungování EU </w:t>
      </w:r>
      <w:r w:rsidRPr="003A715F">
        <w:rPr>
          <w:rFonts w:eastAsia="Arial Unicode MS" w:cs="Arial"/>
          <w:i/>
          <w:vertAlign w:val="superscript"/>
          <w:lang w:eastAsia="en-GB"/>
        </w:rPr>
        <w:footnoteReference w:id="16"/>
      </w:r>
      <w:r>
        <w:rPr>
          <w:i/>
        </w:rPr>
        <w:t>, a subjekty, na které se vztahují pokyny Komise č. </w:t>
      </w:r>
      <w:hyperlink r:id="rId37" w:history="1">
        <w:r>
          <w:rPr>
            <w:rStyle w:val="Hyperlink"/>
            <w:i/>
          </w:rPr>
          <w:t>2013/C 205/05</w:t>
        </w:r>
      </w:hyperlink>
      <w:r w:rsidRPr="002A2349">
        <w:rPr>
          <w:rStyle w:val="FootnoteReference"/>
          <w:rFonts w:cs="Arial"/>
          <w:i/>
        </w:rPr>
        <w:footnoteReference w:id="17"/>
      </w:r>
      <w:r>
        <w:rPr>
          <w:i/>
        </w:rPr>
        <w:t>)</w:t>
      </w:r>
      <w:r>
        <w:t>. Tyto subjekty nejsou žádným způsobem způsobilé k účasti, a to ani jako příjemci, přidružené subjekty, přidružení partneři, subdodavatelé nebo příjemci finanční podpory třetím stranám (v příslušných případech).</w:t>
      </w:r>
    </w:p>
    <w:p w14:paraId="718A4FB8" w14:textId="0781935B" w:rsidR="00736C6F" w:rsidRPr="00F61588" w:rsidRDefault="005A3754" w:rsidP="00736C6F">
      <w:pPr>
        <w:autoSpaceDE w:val="0"/>
        <w:autoSpaceDN w:val="0"/>
        <w:adjustRightInd w:val="0"/>
        <w:rPr>
          <w:rFonts w:cs="Verdana"/>
        </w:rPr>
      </w:pPr>
      <w:r>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Více informací </w:t>
      </w:r>
      <w:r>
        <w:rPr>
          <w:i/>
          <w:iCs/>
        </w:rPr>
        <w:t>naleznete v </w:t>
      </w:r>
      <w:hyperlink r:id="rId38">
        <w:r>
          <w:rPr>
            <w:rStyle w:val="Hyperlink"/>
            <w:i/>
            <w:iCs/>
          </w:rPr>
          <w:t>pravidlech pro ověřování právního subjektu, jmenování pověřeného zástupce právního subjektu a posouzení finanční způsobilosti</w:t>
        </w:r>
      </w:hyperlink>
      <w:r>
        <w:t xml:space="preserve">. </w:t>
      </w:r>
    </w:p>
    <w:p w14:paraId="1DD70A2C" w14:textId="78969716" w:rsidR="00027143" w:rsidRDefault="00736C6F" w:rsidP="00CC2315">
      <w:pPr>
        <w:pStyle w:val="Heading3"/>
      </w:pPr>
      <w:bookmarkStart w:id="15" w:name="_Toc89950960"/>
      <w:r>
        <w:lastRenderedPageBreak/>
        <w:t>Složení konsorcia</w:t>
      </w:r>
      <w:bookmarkEnd w:id="15"/>
    </w:p>
    <w:p w14:paraId="667D29A2" w14:textId="1ADD61B2" w:rsidR="007903BC" w:rsidRDefault="007903BC" w:rsidP="007903BC">
      <w:pPr>
        <w:widowControl w:val="0"/>
        <w:rPr>
          <w:b/>
          <w:bCs/>
        </w:rPr>
      </w:pPr>
      <w:r>
        <w:rPr>
          <w:b/>
          <w:color w:val="A50021"/>
        </w:rPr>
        <w:t>CERV-2022-CITIZENS-TOWN-TT – Partnerství měst:</w:t>
      </w:r>
      <w:r>
        <w:rPr>
          <w:b/>
          <w:bCs/>
        </w:rPr>
        <w:t xml:space="preserve"> </w:t>
      </w:r>
    </w:p>
    <w:p w14:paraId="1CC7CA67" w14:textId="27B50492" w:rsidR="007903BC" w:rsidRDefault="007903BC" w:rsidP="007903BC">
      <w:pPr>
        <w:widowControl w:val="0"/>
        <w:rPr>
          <w:i/>
          <w:iCs/>
        </w:rPr>
      </w:pPr>
      <w:r>
        <w:t>Žádosti jednotlivých žadatelů jsou povoleny.</w:t>
      </w:r>
    </w:p>
    <w:p w14:paraId="37AC9AD9" w14:textId="64A403D2" w:rsidR="007903BC" w:rsidRDefault="007903BC" w:rsidP="007903BC">
      <w:pPr>
        <w:pStyle w:val="Text3"/>
        <w:tabs>
          <w:tab w:val="left" w:pos="567"/>
        </w:tabs>
        <w:ind w:left="0"/>
        <w:rPr>
          <w:rFonts w:eastAsia="Verdana" w:cs="Verdana"/>
        </w:rPr>
      </w:pPr>
      <w:r>
        <w:t>Projekty partnerství měst musí zahrnovat obce z nejméně dvou způsobilých zemí, z nichž alespoň jedna je členským státem EU.</w:t>
      </w:r>
    </w:p>
    <w:p w14:paraId="5B216039" w14:textId="203107A8" w:rsidR="007903BC" w:rsidRDefault="007903BC" w:rsidP="007903BC">
      <w:pPr>
        <w:widowControl w:val="0"/>
        <w:rPr>
          <w:b/>
          <w:color w:val="A50021"/>
        </w:rPr>
      </w:pPr>
      <w:r>
        <w:rPr>
          <w:b/>
          <w:color w:val="A50021"/>
        </w:rPr>
        <w:t>CERV-2022-CITIZENS-TOWN-NT – Sítě měst</w:t>
      </w:r>
    </w:p>
    <w:p w14:paraId="2A754E5D" w14:textId="17B8FF9F" w:rsidR="007903BC" w:rsidRDefault="007903BC" w:rsidP="007903BC">
      <w:pPr>
        <w:widowControl w:val="0"/>
      </w:pPr>
      <w:r>
        <w:t xml:space="preserve">Návrhy musí být předloženy konsorciem nejméně pěti žadatelů (příjemců, nikoliv přidružených subjektů), kteří splňují tyto podmínky: </w:t>
      </w:r>
    </w:p>
    <w:p w14:paraId="683D723D" w14:textId="1473FE2C" w:rsidR="007903BC" w:rsidRPr="00B57534" w:rsidRDefault="007903BC" w:rsidP="007903BC">
      <w:pPr>
        <w:numPr>
          <w:ilvl w:val="0"/>
          <w:numId w:val="53"/>
        </w:numPr>
        <w:ind w:left="360"/>
      </w:pPr>
      <w:r>
        <w:t>subjekty jsou obce z nejméně pěti způsobilých zemí, z nichž nejméně tři jsou členskými státy EU.</w:t>
      </w:r>
    </w:p>
    <w:p w14:paraId="4E8B42AB" w14:textId="77777777" w:rsidR="00656CD7" w:rsidRPr="00510B7E" w:rsidRDefault="00736C6F" w:rsidP="00510B7E">
      <w:pPr>
        <w:pStyle w:val="Heading3"/>
      </w:pPr>
      <w:bookmarkStart w:id="16" w:name="_Toc89950961"/>
      <w:r>
        <w:t>Způsobilé činnosti</w:t>
      </w:r>
      <w:bookmarkEnd w:id="16"/>
    </w:p>
    <w:p w14:paraId="5C9A0D56" w14:textId="6D5E2AD2" w:rsidR="000159B8" w:rsidRPr="006F58BD" w:rsidRDefault="00656CD7" w:rsidP="00656CD7">
      <w:r>
        <w:t>Způsobilé činnosti jsou činnosti uvedené výše v oddíle 2.</w:t>
      </w:r>
    </w:p>
    <w:p w14:paraId="4DCC9648" w14:textId="77777777" w:rsidR="00656CD7" w:rsidRPr="006F58BD" w:rsidRDefault="00267836" w:rsidP="00656CD7">
      <w:r>
        <w:t>Projekty by měly zohledňovat výsledky projektů podpořených jinými programy financovanými EU. Doplňkovost musí být popsána v návrzích projektů (část B formuláře žádosti).</w:t>
      </w:r>
    </w:p>
    <w:p w14:paraId="3CAE18EE" w14:textId="77777777" w:rsidR="00C96229" w:rsidRPr="008D7360" w:rsidRDefault="00C96229" w:rsidP="00656CD7">
      <w:r>
        <w:t xml:space="preserve">Projekty musí být v souladu s politickými zájmy a prioritami EU </w:t>
      </w:r>
      <w:r>
        <w:rPr>
          <w:i/>
        </w:rPr>
        <w:t>(například v oblasti životního prostředí, sociálního zabezpečení, průmyslové a obchodní politiky atd.)</w:t>
      </w:r>
      <w:r>
        <w:t>.</w:t>
      </w:r>
    </w:p>
    <w:p w14:paraId="23359E9F" w14:textId="69E0A675" w:rsidR="00557219" w:rsidRPr="00D07DE8" w:rsidRDefault="004A47F3" w:rsidP="0075170E">
      <w:pPr>
        <w:rPr>
          <w:highlight w:val="yellow"/>
        </w:rPr>
      </w:pPr>
      <w:r>
        <w:t>Finanční podpora třetím stranám není povolena.</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Partnerství měst:</w:t>
      </w:r>
    </w:p>
    <w:p w14:paraId="2607B279" w14:textId="77777777" w:rsidR="00942BB9" w:rsidRPr="00C83A32" w:rsidRDefault="00942BB9" w:rsidP="00942BB9">
      <w:pPr>
        <w:pStyle w:val="Text3"/>
        <w:tabs>
          <w:tab w:val="clear" w:pos="2160"/>
          <w:tab w:val="left" w:pos="567"/>
        </w:tabs>
        <w:ind w:left="0"/>
        <w:rPr>
          <w:rFonts w:eastAsia="Verdana" w:cs="Verdana"/>
        </w:rPr>
      </w:pPr>
      <w:r>
        <w:t>Akce v rámci partnerství měst musí zahrnovat nejméně 50 přímých účastníků, z nichž nejméně 25 jsou „pozvaní účastníci“. „Pozvaní účastníci“ jsou cestující delegace ze způsobilých partnerských zemí projektů s výjimkou země, která akci v rámci partnerství měst hostí.</w:t>
      </w:r>
    </w:p>
    <w:p w14:paraId="09E75F68" w14:textId="77777777" w:rsidR="00500DB3" w:rsidRPr="00510B7E" w:rsidRDefault="00330493" w:rsidP="00510B7E">
      <w:pPr>
        <w:pStyle w:val="Heading3"/>
      </w:pPr>
      <w:bookmarkStart w:id="17" w:name="_Toc89950962"/>
      <w:r>
        <w:t>Zeměpisná poloha (cílové země)</w:t>
      </w:r>
      <w:bookmarkEnd w:id="17"/>
    </w:p>
    <w:p w14:paraId="0C43BD80" w14:textId="6FE81E62" w:rsidR="00C76084" w:rsidRDefault="00C76084" w:rsidP="00C76084">
      <w:r>
        <w:t xml:space="preserve">Návrhy se musí týkat činností, které se konají ve způsobilých zemích </w:t>
      </w:r>
      <w:r>
        <w:rPr>
          <w:i/>
        </w:rPr>
        <w:t>(viz výše)</w:t>
      </w:r>
      <w:r>
        <w:t>.</w:t>
      </w:r>
    </w:p>
    <w:p w14:paraId="2B7201A8" w14:textId="071CD026" w:rsidR="0075170E" w:rsidRDefault="0075170E" w:rsidP="0075170E">
      <w:pPr>
        <w:pStyle w:val="Text3"/>
        <w:tabs>
          <w:tab w:val="left" w:pos="567"/>
        </w:tabs>
        <w:ind w:left="0"/>
        <w:rPr>
          <w:b/>
          <w:color w:val="A50021"/>
        </w:rPr>
      </w:pPr>
      <w:r>
        <w:rPr>
          <w:b/>
          <w:color w:val="A50021"/>
        </w:rPr>
        <w:t>CERV-2022-CITIZENS-TOWN-TT – Partnerství měst</w:t>
      </w:r>
    </w:p>
    <w:p w14:paraId="4FB65ED9" w14:textId="729AC7F7" w:rsidR="0075170E" w:rsidRDefault="0075170E" w:rsidP="0075170E">
      <w:pPr>
        <w:pStyle w:val="Text3"/>
        <w:tabs>
          <w:tab w:val="left" w:pos="567"/>
        </w:tabs>
        <w:ind w:left="0"/>
        <w:rPr>
          <w:rFonts w:eastAsia="Verdana" w:cs="Verdana"/>
        </w:rPr>
      </w:pPr>
      <w:r>
        <w:t>Činnosti se musí konat v jedné ze způsobilých zemí účastnících se projektu.</w:t>
      </w:r>
    </w:p>
    <w:p w14:paraId="22619C5A" w14:textId="1782A5E2" w:rsidR="0075170E" w:rsidRDefault="0075170E" w:rsidP="0075170E">
      <w:pPr>
        <w:pStyle w:val="Text3"/>
        <w:tabs>
          <w:tab w:val="left" w:pos="567"/>
        </w:tabs>
        <w:ind w:left="0"/>
        <w:rPr>
          <w:b/>
          <w:color w:val="A50021"/>
        </w:rPr>
      </w:pPr>
      <w:r>
        <w:rPr>
          <w:b/>
          <w:color w:val="A50021"/>
        </w:rPr>
        <w:t>CERV-2022-CITIZENS-TOWN-NT – Sítě měst</w:t>
      </w:r>
    </w:p>
    <w:p w14:paraId="15B7E34B" w14:textId="77777777" w:rsidR="0075170E" w:rsidRDefault="0075170E" w:rsidP="0075170E">
      <w:r>
        <w:t>Činnosti se musí konat nejméně ve dvou různých způsobilých zemích zapojených do programu.</w:t>
      </w:r>
    </w:p>
    <w:p w14:paraId="5ED1FBB4" w14:textId="5B3FEB91" w:rsidR="0075170E" w:rsidRDefault="00312A94" w:rsidP="00CC2315">
      <w:pPr>
        <w:pStyle w:val="Heading3"/>
      </w:pPr>
      <w:bookmarkStart w:id="18" w:name="_Toc89950963"/>
      <w:r>
        <w:t>Doba trvání</w:t>
      </w:r>
      <w:bookmarkEnd w:id="18"/>
    </w:p>
    <w:p w14:paraId="2932A4E8" w14:textId="57A7E390" w:rsidR="0075170E" w:rsidRDefault="0075170E" w:rsidP="0075170E">
      <w:pPr>
        <w:pStyle w:val="Text3"/>
        <w:tabs>
          <w:tab w:val="left" w:pos="567"/>
        </w:tabs>
        <w:ind w:left="0"/>
        <w:rPr>
          <w:b/>
          <w:color w:val="A50021"/>
        </w:rPr>
      </w:pPr>
      <w:r>
        <w:rPr>
          <w:b/>
          <w:color w:val="A50021"/>
        </w:rPr>
        <w:t>CERV-2022-CITIZENS-TOWN-TT – Partnerství měst</w:t>
      </w:r>
    </w:p>
    <w:p w14:paraId="16ED1FD7" w14:textId="77777777" w:rsidR="0075170E" w:rsidRDefault="0075170E" w:rsidP="0075170E">
      <w:r>
        <w:t>Doba trvání projektů by obvykle měla být nejvýše 12 měsíců (prodloužení je možné, pokud je řádně odůvodněno a provede se prostřednictvím změny).</w:t>
      </w:r>
    </w:p>
    <w:p w14:paraId="21EB407E" w14:textId="02DDA381" w:rsidR="0075170E" w:rsidRDefault="0075170E" w:rsidP="0075170E">
      <w:pPr>
        <w:pStyle w:val="Text3"/>
        <w:tabs>
          <w:tab w:val="left" w:pos="567"/>
        </w:tabs>
        <w:ind w:left="0"/>
        <w:rPr>
          <w:b/>
          <w:color w:val="A50021"/>
        </w:rPr>
      </w:pPr>
      <w:r>
        <w:rPr>
          <w:b/>
          <w:color w:val="A50021"/>
        </w:rPr>
        <w:t xml:space="preserve">CERV-2022-CITIZENS-TOWN-NT – Sítě měst </w:t>
      </w:r>
    </w:p>
    <w:p w14:paraId="5915DCE4" w14:textId="705101FA" w:rsidR="0075170E" w:rsidRPr="00163978" w:rsidRDefault="00D37706" w:rsidP="0075170E">
      <w:r>
        <w:t>Doba trvání projektů by obvykle měla být 12 až 24 měsíců (prodloužení je možné, pokud je řádně odůvodněno a provede se prostřednictvím změny).</w:t>
      </w:r>
    </w:p>
    <w:p w14:paraId="6E47F135" w14:textId="56E7A647" w:rsidR="007926FA" w:rsidRPr="00F61588" w:rsidRDefault="007926FA" w:rsidP="00510B7E">
      <w:pPr>
        <w:pStyle w:val="Heading3"/>
      </w:pPr>
      <w:bookmarkStart w:id="19" w:name="_Toc89950964"/>
      <w:r>
        <w:lastRenderedPageBreak/>
        <w:t>Etika a hodnoty EU</w:t>
      </w:r>
      <w:bookmarkEnd w:id="19"/>
    </w:p>
    <w:p w14:paraId="58FD832D" w14:textId="77777777" w:rsidR="007926FA" w:rsidRPr="00F61588" w:rsidRDefault="007926FA" w:rsidP="007926FA">
      <w:pPr>
        <w:pStyle w:val="Text3"/>
        <w:ind w:left="0"/>
        <w:rPr>
          <w:rFonts w:eastAsia="Calibri"/>
          <w:color w:val="000000"/>
        </w:rPr>
      </w:pPr>
      <w:r>
        <w:t>Projekty musí být v souladu s:</w:t>
      </w:r>
    </w:p>
    <w:p w14:paraId="109E382E" w14:textId="1126BB4E" w:rsidR="00B703B7" w:rsidRPr="00F61588" w:rsidRDefault="009E08C3" w:rsidP="008B1F42">
      <w:pPr>
        <w:numPr>
          <w:ilvl w:val="0"/>
          <w:numId w:val="33"/>
        </w:numPr>
        <w:spacing w:after="120"/>
        <w:ind w:left="709"/>
        <w:jc w:val="left"/>
      </w:pPr>
      <w:r>
        <w:t xml:space="preserve">nejvyššími etickými normami, </w:t>
      </w:r>
    </w:p>
    <w:p w14:paraId="20DE0698" w14:textId="52F85922" w:rsidR="00B703B7" w:rsidRPr="00F61588" w:rsidRDefault="00B703B7" w:rsidP="008B1F42">
      <w:pPr>
        <w:numPr>
          <w:ilvl w:val="0"/>
          <w:numId w:val="33"/>
        </w:numPr>
        <w:spacing w:after="120"/>
        <w:ind w:left="709"/>
        <w:jc w:val="left"/>
        <w:rPr>
          <w:sz w:val="24"/>
          <w:szCs w:val="24"/>
        </w:rPr>
      </w:pPr>
      <w:r>
        <w:tab/>
        <w:t xml:space="preserve">hodnotami EU podle článku 2 Smlouvy o Evropské unii a článku 21 Listiny základních práv EU a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 xml:space="preserve">jinými platnými právními předpisy EU, mezinárodními a vnitrostátními právními předpisy (včetně obecného nařízení o ochraně osobních údajů </w:t>
      </w:r>
      <w:hyperlink r:id="rId39" w:history="1">
        <w:r>
          <w:rPr>
            <w:rStyle w:val="Hyperlink"/>
          </w:rPr>
          <w:t>2016/679</w:t>
        </w:r>
      </w:hyperlink>
      <w:r>
        <w:t>).</w:t>
      </w:r>
    </w:p>
    <w:p w14:paraId="4377E80A" w14:textId="33D29FF8" w:rsidR="00E95AAC" w:rsidRPr="00A32077" w:rsidRDefault="00E95AAC" w:rsidP="42BB08A3">
      <w:pPr>
        <w:widowControl w:val="0"/>
        <w:rPr>
          <w:rFonts w:eastAsia="Calibri"/>
          <w:color w:val="000000"/>
        </w:rPr>
      </w:pPr>
      <w:r>
        <w:t xml:space="preserve">Projekty musí usilovat o podporu začleňování hlediska rovnosti žen a mužů a nediskriminace v souladu se </w:t>
      </w:r>
      <w:hyperlink r:id="rId40" w:history="1">
        <w:r>
          <w:rPr>
            <w:rStyle w:val="Hyperlink"/>
          </w:rPr>
          <w:t>sadou nástrojů pro začleňování hlediska rovnosti žen a mužů</w:t>
        </w:r>
      </w:hyperlink>
      <w:r>
        <w:t>.</w:t>
      </w:r>
      <w:r>
        <w:rPr>
          <w:color w:val="000000"/>
        </w:rPr>
        <w:t xml:space="preserve"> </w:t>
      </w:r>
      <w:r>
        <w:t xml:space="preserve">Projektové činnosti by měly přispívat k rovnoprávnému posílení postavení žen a mužů v celé jejich rozmanitosti, čímž se zajistí, že dosáhnou svého plného potenciálu a budou se těšit týmž právům </w:t>
      </w:r>
      <w:r>
        <w:rPr>
          <w:i/>
          <w:iCs/>
        </w:rPr>
        <w:t xml:space="preserve">(viz </w:t>
      </w:r>
      <w:hyperlink r:id="rId41" w:anchor=":~:text=Non-discrimination%20mainstreaming%20is%20about%20%E2%80%98placing%20equality%20considerations%20at,the%20EU-%20wide%20network%20of%20specialised%20equality%20bodies%29." w:history="1">
        <w:r>
          <w:rPr>
            <w:rStyle w:val="Hyperlink"/>
            <w:i/>
            <w:iCs/>
          </w:rPr>
          <w:t>Non-discrimination mainstreaming instruments, case studies and ways forward (Nástroje, případové studie a cesty vpřed v oblasti začleňování nediskriminace)</w:t>
        </w:r>
      </w:hyperlink>
      <w:r>
        <w:rPr>
          <w:i/>
          <w:iCs/>
        </w:rPr>
        <w:t>)</w:t>
      </w:r>
      <w:r>
        <w:t>.</w:t>
      </w:r>
      <w:r>
        <w:rPr>
          <w:color w:val="000000"/>
        </w:rPr>
        <w:t xml:space="preserve"> Měly by usilovat o snížení míry diskriminace, již zakoušejí konkrétní skupiny (jakož i ti, kteří jsou ohroženi vícenásobnou diskriminací) a o zlepšení situace v oblasti rovnosti pro jednotlivce</w:t>
      </w:r>
      <w:r w:rsidRPr="00F61588">
        <w:rPr>
          <w:rStyle w:val="FootnoteReference"/>
          <w:rFonts w:eastAsia="Calibri"/>
          <w:color w:val="000000"/>
          <w:lang w:val="en-IE" w:eastAsia="en-GB"/>
        </w:rPr>
        <w:footnoteReference w:id="18"/>
      </w:r>
      <w:r>
        <w:rPr>
          <w:color w:val="000000"/>
        </w:rPr>
        <w:t xml:space="preserve">. Návrhy by měly začleňovat aspekty genderové rovnosti a nediskriminace a vytknout si za cíl vyvážené zastoupení žen a mužů v projektových týmech a činnostech. </w:t>
      </w:r>
      <w:r>
        <w:t>Rovněž je důležité, aby individuální údaje shromážděné příjemci byly, je-li to možné, roztříděny podle pohlaví</w:t>
      </w:r>
      <w:r>
        <w:rPr>
          <w:color w:val="000000"/>
        </w:rPr>
        <w:t xml:space="preserve"> </w:t>
      </w:r>
      <w:r>
        <w:rPr>
          <w:i/>
          <w:iCs/>
          <w:color w:val="000000"/>
        </w:rPr>
        <w:t>(</w:t>
      </w:r>
      <w:hyperlink r:id="rId42" w:history="1">
        <w:r>
          <w:rPr>
            <w:rStyle w:val="Hyperlink"/>
            <w:i/>
            <w:iCs/>
          </w:rPr>
          <w:t>údaje rozčleněné podle pohlaví</w:t>
        </w:r>
      </w:hyperlink>
      <w:r>
        <w:rPr>
          <w:i/>
          <w:iCs/>
          <w:color w:val="000000"/>
        </w:rPr>
        <w:t>)</w:t>
      </w:r>
      <w:r>
        <w:rPr>
          <w:color w:val="000000"/>
        </w:rPr>
        <w:t xml:space="preserve">, zdravotního postižení nebo věku. </w:t>
      </w:r>
    </w:p>
    <w:p w14:paraId="28266E90" w14:textId="10C9CFF0" w:rsidR="00E95AAC" w:rsidRDefault="00E95AAC" w:rsidP="42BB08A3">
      <w:pPr>
        <w:widowControl w:val="0"/>
        <w:rPr>
          <w:rFonts w:eastAsia="Calibri"/>
          <w:color w:val="000000"/>
        </w:rPr>
      </w:pPr>
      <w:r>
        <w:t>Žadatelé musí ve své žádosti prokázat, že dodržují etické zásady a hodnoty EU podle článku 2 Smlouvy o Evropské unii a článku 21 Listiny základních práv EU.</w:t>
      </w:r>
      <w:r>
        <w:rPr>
          <w:color w:val="000000"/>
        </w:rPr>
        <w:t xml:space="preserve"> </w:t>
      </w:r>
    </w:p>
    <w:p w14:paraId="293AE190" w14:textId="10223E7A" w:rsidR="008C58B6" w:rsidRPr="00A32077" w:rsidRDefault="008C58B6" w:rsidP="42BB08A3">
      <w:pPr>
        <w:widowControl w:val="0"/>
        <w:rPr>
          <w:rFonts w:eastAsia="Calibri"/>
          <w:color w:val="000000"/>
        </w:rPr>
      </w:pPr>
      <w:r>
        <w:t xml:space="preserve">Účastníci s činnostmi zahrnujícími děti musí mít navíc politiku ochrany dítěte, která zahrnuje čtyři oblasti popsané v dokumentu </w:t>
      </w:r>
      <w:hyperlink r:id="rId43" w:history="1">
        <w:r>
          <w:rPr>
            <w:rStyle w:val="Hyperlink"/>
          </w:rPr>
          <w:t>organizace Keeping Children Safe s názvem Child Safeguarding Standards (Normy na ochranu dětí)</w:t>
        </w:r>
      </w:hyperlink>
      <w:r>
        <w:rPr>
          <w:rStyle w:val="Hyperlink"/>
          <w:color w:val="auto"/>
          <w:u w:val="none"/>
        </w:rPr>
        <w:t>.</w:t>
      </w:r>
      <w:r>
        <w:t xml:space="preserve"> Tato politika musí být dostupná on-line a transparentní pro každého, kdo přichází do styku s danou organizací. Musí obsahovat jasné informace o náboru zaměstnanců (včetně stážistů a dobrovolníků) a zahrnovat ověření spolehlivosti (prověrky). Musí rovněž uvádět jasné postupy a pravidla pro zaměstnance, včetně pravidel pro vykazování, a pro další vzdělávání.</w:t>
      </w:r>
    </w:p>
    <w:p w14:paraId="53A471EE" w14:textId="683081E0" w:rsidR="00656CD7" w:rsidRPr="00975A34" w:rsidRDefault="007926FA" w:rsidP="000579AF">
      <w:pPr>
        <w:pStyle w:val="Heading1"/>
        <w:numPr>
          <w:ilvl w:val="0"/>
          <w:numId w:val="54"/>
        </w:numPr>
        <w:tabs>
          <w:tab w:val="left" w:pos="284"/>
        </w:tabs>
        <w:ind w:left="0" w:firstLine="0"/>
      </w:pPr>
      <w:bookmarkStart w:id="20" w:name="_Toc89950965"/>
      <w:r>
        <w:t>Finanční a provozní způsobilost a vyloučení</w:t>
      </w:r>
      <w:bookmarkEnd w:id="20"/>
    </w:p>
    <w:p w14:paraId="66B3A3A8" w14:textId="77777777" w:rsidR="006E2A2A" w:rsidRPr="00510B7E" w:rsidRDefault="006E2A2A" w:rsidP="00510B7E">
      <w:pPr>
        <w:pStyle w:val="Heading3"/>
      </w:pPr>
      <w:bookmarkStart w:id="21" w:name="_Toc89950966"/>
      <w:r>
        <w:t>Finanční způsobilost</w:t>
      </w:r>
      <w:bookmarkEnd w:id="21"/>
    </w:p>
    <w:p w14:paraId="149A48F6" w14:textId="77777777" w:rsidR="006E2A2A" w:rsidRPr="00163978" w:rsidRDefault="00C3565C" w:rsidP="006E2A2A">
      <w:pPr>
        <w:autoSpaceDE w:val="0"/>
        <w:autoSpaceDN w:val="0"/>
        <w:adjustRightInd w:val="0"/>
        <w:rPr>
          <w:rFonts w:cs="Verdana"/>
        </w:rPr>
      </w:pPr>
      <w:r>
        <w:t xml:space="preserve">Žadatelé musí mít </w:t>
      </w:r>
      <w:r>
        <w:rPr>
          <w:b/>
        </w:rPr>
        <w:t>stabilní a dostatečné zdroje</w:t>
      </w:r>
      <w:r>
        <w:t xml:space="preserve"> pro úspěšné provádění projektů a přispění svým podílem. Organizace účastnící se několika projektů musí mít dostatečnou způsobilost k provádění všech těchto projektů.</w:t>
      </w:r>
    </w:p>
    <w:p w14:paraId="7DEDD28A" w14:textId="77777777" w:rsidR="006E2A2A" w:rsidRPr="00B57534" w:rsidRDefault="006E2A2A" w:rsidP="006E2A2A">
      <w:pPr>
        <w:autoSpaceDE w:val="0"/>
        <w:autoSpaceDN w:val="0"/>
        <w:adjustRightInd w:val="0"/>
        <w:rPr>
          <w:rFonts w:cs="Verdana"/>
        </w:rPr>
      </w:pPr>
      <w:r>
        <w:t xml:space="preserve">Kontrola finanční způsobilosti bude provedena na základě dokumentů, o jejichž nahrání do </w:t>
      </w:r>
      <w:hyperlink r:id="rId44" w:history="1">
        <w:r>
          <w:rPr>
            <w:rStyle w:val="Hyperlink"/>
          </w:rPr>
          <w:t>rejstříku účastníků</w:t>
        </w:r>
      </w:hyperlink>
      <w:r>
        <w:t xml:space="preserve"> budete požádáni během přípravy grantu </w:t>
      </w:r>
      <w:r>
        <w:rPr>
          <w:i/>
        </w:rPr>
        <w:t>(např. výkaz zisků a ztrát a rozvaha, podnikatelský plán, zpráva o auditu vypracovaná schváleným externím auditorem, osvědčující správnost účetní závěrky za poslední uzavřené účetní období atd.)</w:t>
      </w:r>
      <w:r>
        <w:t>. Analýza bude vycházet z neutrálních finančních ukazatelů, zohlední však také další aspekty, jako je závislost na financování EU a schodek a příjmy v předchozích letech.</w:t>
      </w:r>
    </w:p>
    <w:p w14:paraId="27B2FBC9" w14:textId="77777777" w:rsidR="006E2A2A" w:rsidRPr="00B57534" w:rsidRDefault="00736C6F" w:rsidP="006E2A2A">
      <w:pPr>
        <w:autoSpaceDE w:val="0"/>
        <w:autoSpaceDN w:val="0"/>
        <w:adjustRightInd w:val="0"/>
        <w:spacing w:after="120"/>
        <w:rPr>
          <w:rFonts w:cs="Verdana"/>
        </w:rPr>
      </w:pPr>
      <w:r>
        <w:t xml:space="preserve">Kontrola se obvykle provede u všech příjemců, s výjimkou: </w:t>
      </w:r>
    </w:p>
    <w:p w14:paraId="1872070B" w14:textId="6F724904" w:rsidR="006E2A2A" w:rsidRPr="00B57534" w:rsidRDefault="006E2A2A" w:rsidP="008B1F42">
      <w:pPr>
        <w:widowControl w:val="0"/>
        <w:numPr>
          <w:ilvl w:val="0"/>
          <w:numId w:val="34"/>
        </w:numPr>
        <w:spacing w:after="120"/>
        <w:ind w:left="709"/>
        <w:jc w:val="left"/>
        <w:rPr>
          <w:rFonts w:cs="Verdana"/>
        </w:rPr>
      </w:pPr>
      <w:r>
        <w:t xml:space="preserve">veřejných subjektů (subjektů zřízených jako veřejné subjekty podle </w:t>
      </w:r>
      <w:r>
        <w:lastRenderedPageBreak/>
        <w:t>vnitrostátního práva, včetně místních, regionálních nebo vnitrostátních orgánů) nebo mezinárodních organizací,</w:t>
      </w:r>
    </w:p>
    <w:p w14:paraId="6984ED3C" w14:textId="77777777" w:rsidR="006E2A2A" w:rsidRDefault="006E2A2A" w:rsidP="008B1F42">
      <w:pPr>
        <w:widowControl w:val="0"/>
        <w:numPr>
          <w:ilvl w:val="0"/>
          <w:numId w:val="34"/>
        </w:numPr>
        <w:ind w:left="709" w:hanging="357"/>
        <w:rPr>
          <w:rFonts w:cs="Verdana"/>
        </w:rPr>
      </w:pPr>
      <w:r>
        <w:t>případů, kdy jednotlivá požadovaná výše grantu nepřesahuje 60 000 EUR.</w:t>
      </w:r>
    </w:p>
    <w:p w14:paraId="2B8E1880" w14:textId="77777777" w:rsidR="008D31F6" w:rsidRPr="00B57534" w:rsidRDefault="008D31F6" w:rsidP="008D31F6">
      <w:pPr>
        <w:autoSpaceDE w:val="0"/>
        <w:autoSpaceDN w:val="0"/>
        <w:adjustRightInd w:val="0"/>
        <w:rPr>
          <w:rFonts w:cs="Verdana"/>
        </w:rPr>
      </w:pPr>
      <w:r>
        <w:t>V případě potřeby se může provést i u přidružených subjektů.</w:t>
      </w:r>
    </w:p>
    <w:p w14:paraId="054EAA17" w14:textId="77777777" w:rsidR="006E2A2A" w:rsidRPr="00B57534" w:rsidRDefault="006E2A2A" w:rsidP="006E2A2A">
      <w:pPr>
        <w:autoSpaceDE w:val="0"/>
        <w:autoSpaceDN w:val="0"/>
        <w:adjustRightInd w:val="0"/>
        <w:spacing w:after="120"/>
        <w:rPr>
          <w:rFonts w:cs="Verdana"/>
        </w:rPr>
      </w:pPr>
      <w:r>
        <w:t>Pokud usoudíme, že vaše finanční způsobilost není uspokojivá, můžeme požadovat:</w:t>
      </w:r>
    </w:p>
    <w:p w14:paraId="35DFE1B0" w14:textId="77777777" w:rsidR="006E2A2A" w:rsidRPr="00B57534" w:rsidRDefault="006E2A2A" w:rsidP="008B1F42">
      <w:pPr>
        <w:widowControl w:val="0"/>
        <w:numPr>
          <w:ilvl w:val="0"/>
          <w:numId w:val="35"/>
        </w:numPr>
        <w:spacing w:after="120"/>
        <w:jc w:val="left"/>
        <w:rPr>
          <w:rFonts w:cs="Verdana"/>
        </w:rPr>
      </w:pPr>
      <w:r>
        <w:t>další informace,</w:t>
      </w:r>
    </w:p>
    <w:p w14:paraId="68E1F2A7" w14:textId="77777777" w:rsidR="006E2A2A" w:rsidRPr="003B1582" w:rsidRDefault="006E2A2A" w:rsidP="008B1F42">
      <w:pPr>
        <w:widowControl w:val="0"/>
        <w:numPr>
          <w:ilvl w:val="0"/>
          <w:numId w:val="35"/>
        </w:numPr>
        <w:spacing w:after="120"/>
        <w:jc w:val="left"/>
        <w:rPr>
          <w:rFonts w:cs="Verdana"/>
        </w:rPr>
      </w:pPr>
      <w:r>
        <w:t xml:space="preserve">posílený režim finanční odpovědnosti, tj. společnou a nerozdílnou odpovědnost pro všechny příjemce nebo společnou a nerozdílnou odpovědnost přidružených subjektů </w:t>
      </w:r>
      <w:r>
        <w:rPr>
          <w:i/>
        </w:rPr>
        <w:t>(viz oddíl 10 níže)</w:t>
      </w:r>
      <w:r>
        <w:t>,</w:t>
      </w:r>
    </w:p>
    <w:p w14:paraId="3F26E914" w14:textId="77777777" w:rsidR="006E2A2A" w:rsidRPr="003B1582" w:rsidRDefault="006E2A2A" w:rsidP="008B1F42">
      <w:pPr>
        <w:widowControl w:val="0"/>
        <w:numPr>
          <w:ilvl w:val="0"/>
          <w:numId w:val="35"/>
        </w:numPr>
        <w:spacing w:after="120"/>
        <w:jc w:val="left"/>
        <w:rPr>
          <w:rFonts w:cs="Verdana"/>
        </w:rPr>
      </w:pPr>
      <w:r>
        <w:t xml:space="preserve">předběžné financování uhrazené ve splátkách, </w:t>
      </w:r>
    </w:p>
    <w:p w14:paraId="52C87A22" w14:textId="77777777" w:rsidR="006E2A2A" w:rsidRPr="003B1582" w:rsidRDefault="006E2A2A" w:rsidP="008B1F42">
      <w:pPr>
        <w:widowControl w:val="0"/>
        <w:numPr>
          <w:ilvl w:val="0"/>
          <w:numId w:val="35"/>
        </w:numPr>
        <w:spacing w:after="120"/>
        <w:jc w:val="left"/>
        <w:rPr>
          <w:rFonts w:cs="Verdana"/>
        </w:rPr>
      </w:pPr>
      <w:r>
        <w:t xml:space="preserve">(jednu nebo více) záruk za předběžné financování </w:t>
      </w:r>
      <w:r>
        <w:rPr>
          <w:i/>
        </w:rPr>
        <w:t>(viz oddíl 10 níže)</w:t>
      </w:r>
      <w:r>
        <w:t>,</w:t>
      </w:r>
    </w:p>
    <w:p w14:paraId="70024A55" w14:textId="77777777" w:rsidR="006E2A2A" w:rsidRPr="003B1582" w:rsidRDefault="006E2A2A" w:rsidP="006526A5">
      <w:pPr>
        <w:autoSpaceDE w:val="0"/>
        <w:autoSpaceDN w:val="0"/>
        <w:adjustRightInd w:val="0"/>
        <w:spacing w:after="120"/>
        <w:ind w:left="360"/>
        <w:rPr>
          <w:rFonts w:cs="Verdana"/>
        </w:rPr>
      </w:pPr>
      <w:r>
        <w:t>nebo</w:t>
      </w:r>
    </w:p>
    <w:p w14:paraId="22EA92DF" w14:textId="77777777" w:rsidR="006E2A2A" w:rsidRPr="003B1582" w:rsidRDefault="00F82473" w:rsidP="008B1F42">
      <w:pPr>
        <w:widowControl w:val="0"/>
        <w:numPr>
          <w:ilvl w:val="0"/>
          <w:numId w:val="35"/>
        </w:numPr>
        <w:spacing w:after="120"/>
        <w:jc w:val="left"/>
        <w:rPr>
          <w:rFonts w:cs="Verdana"/>
        </w:rPr>
      </w:pPr>
      <w:r>
        <w:t>můžeme navrhnout, že předběžné financování nebude poskytnuto,</w:t>
      </w:r>
    </w:p>
    <w:p w14:paraId="1C112F62" w14:textId="77777777" w:rsidR="004872A5" w:rsidRPr="003B1582" w:rsidRDefault="00F82473" w:rsidP="008B1F42">
      <w:pPr>
        <w:widowControl w:val="0"/>
        <w:numPr>
          <w:ilvl w:val="0"/>
          <w:numId w:val="35"/>
        </w:numPr>
        <w:ind w:left="714" w:hanging="357"/>
        <w:jc w:val="left"/>
        <w:rPr>
          <w:rFonts w:cs="Verdana"/>
        </w:rPr>
      </w:pPr>
      <w:r>
        <w:t>můžeme požádat, abyste byli nahrazeni, nebo v případě potřeby zamítnout celý návrh.</w:t>
      </w:r>
    </w:p>
    <w:p w14:paraId="51C2ADF5" w14:textId="266ECE2F" w:rsidR="004872A5" w:rsidRPr="004872A5" w:rsidRDefault="005A3754" w:rsidP="004872A5">
      <w:pPr>
        <w:autoSpaceDE w:val="0"/>
        <w:autoSpaceDN w:val="0"/>
        <w:adjustRightInd w:val="0"/>
        <w:rPr>
          <w:rFonts w:cs="Verdana"/>
        </w:rPr>
      </w:pPr>
      <w:r>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Více informací </w:t>
      </w:r>
      <w:r>
        <w:rPr>
          <w:i/>
          <w:iCs/>
        </w:rPr>
        <w:t>naleznete v </w:t>
      </w:r>
      <w:hyperlink r:id="rId45">
        <w:r>
          <w:rPr>
            <w:rStyle w:val="Hyperlink"/>
            <w:i/>
            <w:iCs/>
          </w:rPr>
          <w:t>pravidlech pro ověřování právního subjektu, jmenování pověřeného zástupce právního subjektu a posouzení finanční způsobilosti</w:t>
        </w:r>
      </w:hyperlink>
      <w:r>
        <w:t xml:space="preserve">. </w:t>
      </w:r>
    </w:p>
    <w:p w14:paraId="3ACB9AAA" w14:textId="77777777" w:rsidR="006E2A2A" w:rsidRPr="00510B7E" w:rsidRDefault="006E2A2A" w:rsidP="00510B7E">
      <w:pPr>
        <w:pStyle w:val="Heading3"/>
      </w:pPr>
      <w:bookmarkStart w:id="22" w:name="_Toc89950967"/>
      <w:r>
        <w:t>Provozní způsobilost</w:t>
      </w:r>
      <w:bookmarkEnd w:id="22"/>
    </w:p>
    <w:p w14:paraId="2FF93796" w14:textId="77777777" w:rsidR="006E2A2A" w:rsidRDefault="00C3565C" w:rsidP="006E2A2A">
      <w:pPr>
        <w:pStyle w:val="Text3"/>
        <w:ind w:left="0"/>
      </w:pPr>
      <w:r>
        <w:t xml:space="preserve">Žadatelé musí mít k dispozici </w:t>
      </w:r>
      <w:r>
        <w:rPr>
          <w:b/>
          <w:bCs/>
        </w:rPr>
        <w:t>know-how, kvalifikace</w:t>
      </w:r>
      <w:r>
        <w:t xml:space="preserve"> a </w:t>
      </w:r>
      <w:r>
        <w:rPr>
          <w:b/>
          <w:bCs/>
        </w:rPr>
        <w:t>zdroje</w:t>
      </w:r>
      <w:r>
        <w:t xml:space="preserve"> pro úspěšné provádění projektů a přispění svým podílem (včetně dostatečných zkušeností s projekty srovnatelné velikosti a povahy). </w:t>
      </w:r>
    </w:p>
    <w:p w14:paraId="2201BC88" w14:textId="782EDE19" w:rsidR="00ED6A73" w:rsidRPr="000540F7" w:rsidRDefault="00B63826" w:rsidP="00B63826">
      <w:pPr>
        <w:pStyle w:val="Text3"/>
        <w:ind w:left="0"/>
      </w:pPr>
      <w:r>
        <w:t xml:space="preserve">Tato způsobilost bude hodnocena spolu s kritériem pro udělení grantu „Kvalita“ na základě odborné způsobilosti a zkušeností žadatelů a jejich projektových týmů, včetně provozních zdrojů (lidských, technických a jiných) nebo výjimečně opatření navržených k jejich získání do doby, než bude úkol zahájen. </w:t>
      </w:r>
    </w:p>
    <w:p w14:paraId="4FA70017" w14:textId="4406A1FB" w:rsidR="00B63826" w:rsidRPr="000540F7" w:rsidRDefault="00B63826" w:rsidP="00B63826">
      <w:pPr>
        <w:pStyle w:val="Text3"/>
        <w:ind w:left="0"/>
        <w:rPr>
          <w:iCs/>
        </w:rPr>
      </w:pPr>
      <w:r>
        <w:t xml:space="preserve">Pokud je hodnocení kritéria pro udělení grantu kladné, má se za to, že žadatelé mají dostatečnou provozní způsobilost. </w:t>
      </w:r>
    </w:p>
    <w:p w14:paraId="100BC74F" w14:textId="210545B4" w:rsidR="006E2A2A" w:rsidRPr="00B57534" w:rsidRDefault="006E2A2A" w:rsidP="006E2A2A">
      <w:pPr>
        <w:pStyle w:val="Text3"/>
        <w:spacing w:after="120"/>
        <w:ind w:left="0"/>
        <w:rPr>
          <w:iCs/>
        </w:rPr>
      </w:pPr>
      <w:r>
        <w:t>Žadatelé budou muset prokázat svou způsobilost prostřednictvím těchto informací:</w:t>
      </w:r>
    </w:p>
    <w:p w14:paraId="2EE9C956" w14:textId="77777777" w:rsidR="006E2A2A" w:rsidRPr="008B2566" w:rsidRDefault="006E2A2A" w:rsidP="008B1F42">
      <w:pPr>
        <w:widowControl w:val="0"/>
        <w:numPr>
          <w:ilvl w:val="0"/>
          <w:numId w:val="39"/>
        </w:numPr>
        <w:spacing w:after="120"/>
        <w:ind w:left="709"/>
        <w:rPr>
          <w:iCs/>
        </w:rPr>
      </w:pPr>
      <w:r>
        <w:t>obecné profily (kvalifikace a zkušenosti) zaměstnanců odpovědných za řízení a provádění projektu,</w:t>
      </w:r>
    </w:p>
    <w:p w14:paraId="59DDC574" w14:textId="11BA162A" w:rsidR="006E2A2A" w:rsidRPr="00B57534" w:rsidRDefault="003D41B5" w:rsidP="008B1F42">
      <w:pPr>
        <w:widowControl w:val="0"/>
        <w:numPr>
          <w:ilvl w:val="0"/>
          <w:numId w:val="39"/>
        </w:numPr>
        <w:spacing w:after="120"/>
        <w:ind w:left="709"/>
        <w:jc w:val="left"/>
        <w:rPr>
          <w:iCs/>
        </w:rPr>
      </w:pPr>
      <w:r>
        <w:t>(případně) popis účastníků konsorcia,</w:t>
      </w:r>
    </w:p>
    <w:p w14:paraId="636FD13C" w14:textId="34E49CF9" w:rsidR="0091480A" w:rsidRPr="0049436F" w:rsidRDefault="009F0186" w:rsidP="008B1F42">
      <w:pPr>
        <w:widowControl w:val="0"/>
        <w:numPr>
          <w:ilvl w:val="0"/>
          <w:numId w:val="39"/>
        </w:numPr>
        <w:spacing w:after="120"/>
        <w:ind w:left="709"/>
        <w:jc w:val="left"/>
        <w:rPr>
          <w:iCs/>
        </w:rPr>
      </w:pPr>
      <w:r>
        <w:t>seznam předchozích projektů (klíčové projekty za poslední čtyři roky).</w:t>
      </w:r>
    </w:p>
    <w:p w14:paraId="4146F9AB" w14:textId="77777777" w:rsidR="00500DB3" w:rsidRDefault="00FD4F03" w:rsidP="006E2A2A">
      <w:pPr>
        <w:pStyle w:val="Text3"/>
        <w:ind w:left="0"/>
        <w:rPr>
          <w:iCs/>
        </w:rPr>
      </w:pPr>
      <w:r>
        <w:t>V případě potřeby mohou být požadovány další podpůrné dokumenty k potvrzení provozní způsobilosti žadatele.</w:t>
      </w:r>
    </w:p>
    <w:p w14:paraId="5AE4F088" w14:textId="4829F045" w:rsidR="006E2A2A" w:rsidRDefault="006E2A2A" w:rsidP="006E2A2A">
      <w:pPr>
        <w:pStyle w:val="Text3"/>
        <w:ind w:left="0"/>
        <w:rPr>
          <w:iCs/>
        </w:rPr>
      </w:pPr>
      <w:r>
        <w:t xml:space="preserve">Veřejné subjekty, organizace členských států a mezinárodní organizace jsou od ověření provozní způsobilosti osvobozeny. </w:t>
      </w:r>
    </w:p>
    <w:p w14:paraId="66520A48" w14:textId="77777777" w:rsidR="00276AD7" w:rsidRPr="00510B7E" w:rsidRDefault="00267836" w:rsidP="00510B7E">
      <w:pPr>
        <w:pStyle w:val="Heading3"/>
      </w:pPr>
      <w:bookmarkStart w:id="23" w:name="_Toc89950968"/>
      <w:r>
        <w:t>Vyloučení</w:t>
      </w:r>
      <w:bookmarkEnd w:id="23"/>
    </w:p>
    <w:p w14:paraId="746153C7" w14:textId="77777777" w:rsidR="00267836" w:rsidRPr="00163978" w:rsidRDefault="0030065F" w:rsidP="002B5DFF">
      <w:pPr>
        <w:pStyle w:val="Text1"/>
        <w:spacing w:after="120"/>
        <w:ind w:left="0"/>
        <w:rPr>
          <w:rFonts w:eastAsia="Calibri"/>
        </w:rPr>
      </w:pPr>
      <w:r>
        <w:lastRenderedPageBreak/>
        <w:t xml:space="preserve">Žadatelé, na které se vztahuje </w:t>
      </w:r>
      <w:r>
        <w:rPr>
          <w:b/>
        </w:rPr>
        <w:t>rozhodnutí EU o vyloučení</w:t>
      </w:r>
      <w:r>
        <w:t xml:space="preserve"> nebo kteří se nacházejí v jedné z níže uvedených </w:t>
      </w:r>
      <w:r>
        <w:rPr>
          <w:b/>
          <w:bCs/>
        </w:rPr>
        <w:t>situací zakládajících vyloučení</w:t>
      </w:r>
      <w:r>
        <w:t>, které jim brání v získání financování z EU, se NEMOHOU zúčastnit</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t>úpadek, likvidace, podnikání podléhající soudní správě, dohoda s věřiteli o vyrovnání, pozastavení obchodní činnosti nebo jiná podobná řízení (včetně řízení pro osoby s neomezeným osobním ručením za dluhy žadatele),</w:t>
      </w:r>
    </w:p>
    <w:p w14:paraId="1ECF36A2" w14:textId="77777777" w:rsidR="00267836" w:rsidRPr="006E2A2A" w:rsidRDefault="00267836" w:rsidP="00584316">
      <w:pPr>
        <w:numPr>
          <w:ilvl w:val="2"/>
          <w:numId w:val="20"/>
        </w:numPr>
        <w:snapToGrid w:val="0"/>
        <w:spacing w:after="120"/>
        <w:ind w:left="709"/>
        <w:rPr>
          <w:rFonts w:eastAsia="Calibri"/>
        </w:rPr>
      </w:pPr>
      <w:r>
        <w:t>porušení povinností týkajících se placení příspěvků na sociální zabezpečení nebo daní (včetně případů, kdy k němu došlo osobami s neomezeným osobním ručením za dluhy žadatele),</w:t>
      </w:r>
    </w:p>
    <w:p w14:paraId="0E6FACB6" w14:textId="32F9B49C" w:rsidR="00267836" w:rsidRPr="00FE58D1" w:rsidRDefault="00267836" w:rsidP="00584316">
      <w:pPr>
        <w:numPr>
          <w:ilvl w:val="2"/>
          <w:numId w:val="20"/>
        </w:numPr>
        <w:snapToGrid w:val="0"/>
        <w:spacing w:after="120"/>
        <w:ind w:left="709"/>
        <w:rPr>
          <w:rFonts w:eastAsia="Calibri"/>
        </w:rPr>
      </w:pPr>
      <w:r>
        <w:t>dopuštění se vážného profesního pochybení</w:t>
      </w:r>
      <w:r w:rsidRPr="006E2A2A">
        <w:rPr>
          <w:rFonts w:eastAsia="Calibri"/>
          <w:vertAlign w:val="superscript"/>
          <w:lang w:eastAsia="zh-CN"/>
        </w:rPr>
        <w:footnoteReference w:id="20"/>
      </w:r>
      <w:r>
        <w:t xml:space="preserve"> (včetně případů, kdy se jej dopustily osoby s oprávněním zastupovat, rozhodovat nebo řídit, skuteční majitelé nebo osoby, které jsou nezbytné pro udělení/provádění grantu), </w:t>
      </w:r>
    </w:p>
    <w:p w14:paraId="0465AD17" w14:textId="74F042D4" w:rsidR="00267836" w:rsidRPr="006E38A9" w:rsidRDefault="00FE58D1" w:rsidP="00584316">
      <w:pPr>
        <w:numPr>
          <w:ilvl w:val="2"/>
          <w:numId w:val="20"/>
        </w:numPr>
        <w:snapToGrid w:val="0"/>
        <w:spacing w:after="120"/>
        <w:ind w:left="709"/>
        <w:rPr>
          <w:rFonts w:eastAsia="Calibri"/>
        </w:rPr>
      </w:pPr>
      <w:r>
        <w:t>dopuštění se podvodu, korupce, vazby na zločinecké organizace, praní peněz, trestné činy související s terorismem (včetně financování terorismu), dětská práce nebo obchodování s lidmi (včetně případů, kdy se jej dopustily osoby s oprávněním zastupovat, rozhodovat nebo řídit, skuteční majitelé nebo osoby, které jsou nezbytné pro udělení/provádění grantu),</w:t>
      </w:r>
    </w:p>
    <w:p w14:paraId="4BAE0C78" w14:textId="1064C024" w:rsidR="00267836" w:rsidRPr="006E38A9" w:rsidRDefault="00267836" w:rsidP="00584316">
      <w:pPr>
        <w:numPr>
          <w:ilvl w:val="1"/>
          <w:numId w:val="19"/>
        </w:numPr>
        <w:snapToGrid w:val="0"/>
        <w:spacing w:after="120"/>
        <w:ind w:left="709" w:hanging="357"/>
        <w:rPr>
          <w:rFonts w:eastAsia="Calibri"/>
        </w:rPr>
      </w:pPr>
      <w:r>
        <w:t>prokázané významné nedostatky při plnění hlavních povinností vyplývajících ze smlouvy o veřejné zakázce EU, grantové dohody, ceny, smlouvy s odborníkem apod. (a to i ze strany osob s oprávněním zastupovat, rozhodovat nebo řídit, skutečných majitelů nebo osob, které jsou nezbytné pro udělení/provádění grantu),</w:t>
      </w:r>
    </w:p>
    <w:p w14:paraId="6F212B83" w14:textId="62D42E8A" w:rsidR="00E94DFF" w:rsidRDefault="00267836" w:rsidP="00584316">
      <w:pPr>
        <w:numPr>
          <w:ilvl w:val="1"/>
          <w:numId w:val="19"/>
        </w:numPr>
        <w:snapToGrid w:val="0"/>
        <w:ind w:left="709" w:hanging="357"/>
        <w:rPr>
          <w:rFonts w:eastAsia="Calibri"/>
        </w:rPr>
      </w:pPr>
      <w:r>
        <w:t>dopuštění se nesrovnalostí ve smyslu čl. 1 odst. 2 nařízení č. </w:t>
      </w:r>
      <w:hyperlink r:id="rId46" w:history="1">
        <w:r>
          <w:rPr>
            <w:rStyle w:val="Hyperlink"/>
          </w:rPr>
          <w:t>2988/95</w:t>
        </w:r>
      </w:hyperlink>
      <w:r>
        <w:t xml:space="preserve"> (a to i ze strany osob s oprávněním zastupovat, rozhodovat nebo řídit, skutečných majitelů nebo osob, které jsou nezbytné pro udělení/provádění grantu),</w:t>
      </w:r>
    </w:p>
    <w:p w14:paraId="668F2B36" w14:textId="65F190E1" w:rsidR="00276AD7" w:rsidRDefault="00E94DFF" w:rsidP="00584316">
      <w:pPr>
        <w:numPr>
          <w:ilvl w:val="1"/>
          <w:numId w:val="19"/>
        </w:numPr>
        <w:snapToGrid w:val="0"/>
        <w:ind w:left="709" w:hanging="357"/>
        <w:rPr>
          <w:rFonts w:eastAsia="Calibri"/>
        </w:rPr>
      </w:pPr>
      <w:r>
        <w:t>založení pod jinou jurisdikcí s úmyslem obejít daňové, sociální nebo jiné právní závazky v zemi původu nebo založení jiného subjektu za tímto účelem (a to i ze strany osob s oprávněním zastupovat, rozhodovat nebo řídit, skutečných majitelů nebo osob, které jsou nezbytné pro udělení/provádění grantu).</w:t>
      </w:r>
    </w:p>
    <w:p w14:paraId="1D79A2BE" w14:textId="77777777" w:rsidR="000844D0" w:rsidRPr="00B57534" w:rsidRDefault="000844D0" w:rsidP="00F81E91">
      <w:pPr>
        <w:snapToGrid w:val="0"/>
      </w:pPr>
      <w:r>
        <w:t>Žadatelé budou rovněž zamítnuti, pokud se prokáže, že</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během řízení o udělení grantu poskytli vědomě nesprávné informace vyžadované jakožto podmínka pro účast nebo takové informace vůbec neposkytli,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byli zapojeni do přípravy výzvy k podávání návrhů a tato skutečnost znamená narušení hospodářské soutěže, které nelze napravit jiným způsobem (střet zájmů).</w:t>
      </w:r>
    </w:p>
    <w:p w14:paraId="52FA627E" w14:textId="6564E345" w:rsidR="0076737E" w:rsidRPr="00975A34" w:rsidRDefault="00510B7E" w:rsidP="000579AF">
      <w:pPr>
        <w:pStyle w:val="Heading1"/>
        <w:numPr>
          <w:ilvl w:val="0"/>
          <w:numId w:val="54"/>
        </w:numPr>
        <w:tabs>
          <w:tab w:val="left" w:pos="284"/>
        </w:tabs>
        <w:ind w:left="0" w:firstLine="0"/>
      </w:pPr>
      <w:bookmarkStart w:id="24" w:name="_Toc89950969"/>
      <w:r>
        <w:t>Hodnocení a řízení o udělení grantu</w:t>
      </w:r>
      <w:bookmarkEnd w:id="24"/>
    </w:p>
    <w:p w14:paraId="4AEDF33E" w14:textId="2A21C125" w:rsidR="001A2CE3" w:rsidRPr="001A2CE3" w:rsidRDefault="001E6C28" w:rsidP="001A2CE3">
      <w:r>
        <w:t xml:space="preserve">Návrhy se budou muset řídit </w:t>
      </w:r>
      <w:r>
        <w:rPr>
          <w:b/>
        </w:rPr>
        <w:t>standardním postupem podávání návrhů a hodnocení</w:t>
      </w:r>
      <w:r>
        <w:t xml:space="preserve"> (jednofázový postup podávání + jednofázový postup hodnocení). </w:t>
      </w:r>
    </w:p>
    <w:p w14:paraId="1D076F53" w14:textId="1FE6714E" w:rsidR="00BD67F7" w:rsidRPr="00163978" w:rsidRDefault="00593F0C" w:rsidP="0015357F">
      <w:r>
        <w:rPr>
          <w:b/>
        </w:rPr>
        <w:t>Hodnotící komise</w:t>
      </w:r>
      <w:r>
        <w:t xml:space="preserve"> (s pomocí nezávislých vnějších odborníků) posoudí všechny žádosti. U návrhů se nejprve zkontrolují formální náležitosti (přípustnost a způsobilost, </w:t>
      </w:r>
      <w:r>
        <w:rPr>
          <w:i/>
        </w:rPr>
        <w:t>viz oddíly 5 a 6</w:t>
      </w:r>
      <w:r>
        <w:t xml:space="preserve">). Návrhy, které budou shledány přípustnými a způsobilými (pro každé </w:t>
      </w:r>
      <w:r>
        <w:lastRenderedPageBreak/>
        <w:t xml:space="preserve">téma), budou hodnoceny z hlediska provozní způsobilosti a kritérií pro udělení grantu </w:t>
      </w:r>
      <w:r>
        <w:rPr>
          <w:i/>
        </w:rPr>
        <w:t>(viz oddíly 7 a 9)</w:t>
      </w:r>
      <w:r>
        <w:t xml:space="preserve"> a následně budou seřazeny podle bodového hodnocení.</w:t>
      </w:r>
    </w:p>
    <w:p w14:paraId="4BC27C4D" w14:textId="77777777" w:rsidR="00BE09D3" w:rsidRDefault="00500DB3" w:rsidP="00211623">
      <w:pPr>
        <w:autoSpaceDE w:val="0"/>
        <w:autoSpaceDN w:val="0"/>
        <w:adjustRightInd w:val="0"/>
        <w:rPr>
          <w:rFonts w:cs="Arial"/>
        </w:rPr>
      </w:pPr>
      <w:r>
        <w:t xml:space="preserve">U návrhů se stejným bodovým hodnocením (v rámci stejného tématu nebo rozpočtového krytí) bude </w:t>
      </w:r>
      <w:r>
        <w:rPr>
          <w:b/>
        </w:rPr>
        <w:t>prioritní pořadí</w:t>
      </w:r>
      <w:r>
        <w:t xml:space="preserve"> stanoveno takto: </w:t>
      </w:r>
    </w:p>
    <w:p w14:paraId="7F276C70" w14:textId="4CF76B9F" w:rsidR="00500DB3" w:rsidRPr="009945CC" w:rsidRDefault="00BE09D3" w:rsidP="00BD5FB0">
      <w:pPr>
        <w:autoSpaceDE w:val="0"/>
        <w:autoSpaceDN w:val="0"/>
        <w:adjustRightInd w:val="0"/>
        <w:ind w:left="284"/>
        <w:rPr>
          <w:rFonts w:cs="Arial"/>
        </w:rPr>
      </w:pPr>
      <w:r>
        <w:t xml:space="preserve">Postupně pro každou skupinu návrhů </w:t>
      </w:r>
      <w:r>
        <w:rPr>
          <w:i/>
          <w:iCs/>
        </w:rPr>
        <w:t>ex aequo</w:t>
      </w:r>
      <w:r>
        <w:t xml:space="preserve"> – počínaje skupinou s nejvyšším bodovým hodnocením a dále v sestupném pořadí: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Návrhy ex aequo v rámci téhož tématu budou upřednostněny podle bodového hodnocení, kterého dosáhly v kritériu pro udělení grantu „relevantnost“. Pokud budou tato bodová hodnocení stejná, bude priorita vycházet z jejich bodového hodnocení u kritéria „kvalita“. Pokud budou tato bodová hodnocení stejná, bude priorita vycházet z jejich bodového hodnocení u kritéria „dopad“. </w:t>
      </w:r>
    </w:p>
    <w:p w14:paraId="309BB099" w14:textId="0A549492" w:rsidR="00A53E20" w:rsidRDefault="00510B7E" w:rsidP="00A32077">
      <w:pPr>
        <w:shd w:val="clear" w:color="auto" w:fill="FFFFFF"/>
      </w:pPr>
      <w:r>
        <w:t>O výsledku hodnocení budeme informovat u všech návrhů (</w:t>
      </w:r>
      <w:r>
        <w:rPr>
          <w:b/>
          <w:bCs/>
        </w:rPr>
        <w:t>dopis o výsledku hodnocení</w:t>
      </w:r>
      <w:r>
        <w:t xml:space="preserve">). U úspěšných návrhů vyzveme k přípravě grantu, ostatní budou zařazeny na rezervní seznam nebo zamítnuty. </w:t>
      </w:r>
    </w:p>
    <w:p w14:paraId="300D5057" w14:textId="45043F45" w:rsidR="006004D2" w:rsidRPr="006F137B" w:rsidRDefault="005A3754" w:rsidP="006004D2">
      <w:pPr>
        <w:ind w:right="-31"/>
      </w:pPr>
      <w:r>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Žádný závazek k financování — výzva k přípravě grantu NEPŘEDSTAVUJE formální závazek k financování. Před udělením grantu budeme muset provést různé právní kontroly: </w:t>
      </w:r>
      <w:r>
        <w:rPr>
          <w:i/>
          <w:iCs/>
        </w:rPr>
        <w:t>ověření právního subjektu a finanční způsobilosti, kontrola kritérií pro vyloučení atd.</w:t>
      </w:r>
    </w:p>
    <w:p w14:paraId="3A6DC8C6" w14:textId="25AE1349" w:rsidR="002B5DFF" w:rsidRDefault="002B5DFF" w:rsidP="002B5DFF">
      <w:pPr>
        <w:ind w:right="-31"/>
      </w:pPr>
      <w:r>
        <w:t xml:space="preserve">Během </w:t>
      </w:r>
      <w:r>
        <w:rPr>
          <w:b/>
        </w:rPr>
        <w:t>přípravy grantu</w:t>
      </w:r>
      <w:r>
        <w:t xml:space="preserve"> s vámi budeme komunikovat s cílem doladit technické nebo finanční aspekty projektu a můžeme požadovat poskytnutí dalších informací z vaší strany, což může zahrnovat také úpravy návrhu s cílem zohlednit doporučení hodnotící komise nebo jiné připomínky. Nezbytnou podmínkou pro podepsání grantu je dodržení předpisů.</w:t>
      </w:r>
    </w:p>
    <w:p w14:paraId="20BC1964" w14:textId="77777777" w:rsidR="006004D2" w:rsidRPr="002B5DFF" w:rsidRDefault="006004D2" w:rsidP="002B5DFF">
      <w:pPr>
        <w:ind w:right="-31"/>
      </w:pPr>
      <w:r>
        <w:t xml:space="preserve">Pokud se domníváte, že postup hodnocení vykazuje nesrovnalosti, můžete podat </w:t>
      </w:r>
      <w:r>
        <w:rPr>
          <w:b/>
        </w:rPr>
        <w:t>stížnost</w:t>
      </w:r>
      <w:r>
        <w:t xml:space="preserve"> (podle lhůt a postupů stanovených v dopise o výsledku hodnocení). Upozorňujeme, že oznámení, která nebyla otevřena do deseti dnů od odeslání, se považují za přečtená, a že lhůty se počítají od otevření/přečtení </w:t>
      </w:r>
      <w:r>
        <w:rPr>
          <w:i/>
        </w:rPr>
        <w:t xml:space="preserve">(viz také </w:t>
      </w:r>
      <w:hyperlink r:id="rId47" w:history="1">
        <w:r>
          <w:rPr>
            <w:rStyle w:val="Hyperlink"/>
            <w:i/>
          </w:rPr>
          <w:t>podmínky portálu pro financování a nabídková řízení</w:t>
        </w:r>
      </w:hyperlink>
      <w:r>
        <w:rPr>
          <w:i/>
        </w:rPr>
        <w:t>)</w:t>
      </w:r>
      <w:r>
        <w:t>. Rovněž upozorňujeme, že v případě stížností předložených elektronicky může být omezen počet znaků.</w:t>
      </w:r>
    </w:p>
    <w:p w14:paraId="6B26D36A" w14:textId="263DE822" w:rsidR="00417F25" w:rsidRPr="00975A34" w:rsidRDefault="00417F25" w:rsidP="000579AF">
      <w:pPr>
        <w:pStyle w:val="Heading1"/>
        <w:numPr>
          <w:ilvl w:val="0"/>
          <w:numId w:val="54"/>
        </w:numPr>
        <w:tabs>
          <w:tab w:val="left" w:pos="284"/>
        </w:tabs>
        <w:ind w:left="0" w:firstLine="0"/>
      </w:pPr>
      <w:bookmarkStart w:id="25" w:name="_Toc89950970"/>
      <w:r>
        <w:t>Kritéria pro udělení grantu</w:t>
      </w:r>
      <w:bookmarkEnd w:id="25"/>
    </w:p>
    <w:p w14:paraId="71E5D15E" w14:textId="6A12DD70" w:rsidR="00417F25" w:rsidRDefault="00510B7E" w:rsidP="00417F25">
      <w:pPr>
        <w:pStyle w:val="Text1"/>
        <w:ind w:left="0"/>
        <w:rPr>
          <w:rFonts w:cs="Arial"/>
        </w:rPr>
      </w:pPr>
      <w:r>
        <w:rPr>
          <w:b/>
        </w:rPr>
        <w:t xml:space="preserve">Kritéria pro udělení grantu </w:t>
      </w:r>
      <w:r>
        <w:t>jsou v rámci této výzvy k podávání návrhů tato:</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Relevantnost:</w:t>
      </w:r>
      <w:r>
        <w:t xml:space="preserve"> míra, v jaké návrh odpovídá prioritám a cílům výzvy; jasně vymezené potřeby a solidní posouzení potřeb; jasně definovaná cílová skupina náležitě zohledňující genderové hledisko; příspěvek ke strategickému a legislativnímu kontextu EU; evropský/nadnárodní rozměr; dopad/zájem pro řadu zemí (EU nebo způsobilých zemí mimo EU); možnost využít výsledky v jiných zemích (potenciál pro předávání osvědčených postupů); potenciál pro posilování vzájemné důvěry / přeshraniční spolupráce. </w:t>
      </w:r>
      <w:r>
        <w:rPr>
          <w:color w:val="4AA55B"/>
          <w:sz w:val="19"/>
          <w:szCs w:val="19"/>
        </w:rPr>
        <w:t>(40 bodů)</w:t>
      </w:r>
    </w:p>
    <w:p w14:paraId="0B54B54E" w14:textId="5C3C8A79" w:rsidR="0036370D" w:rsidRPr="0036370D" w:rsidRDefault="00C3341E" w:rsidP="42BB08A3">
      <w:pPr>
        <w:numPr>
          <w:ilvl w:val="0"/>
          <w:numId w:val="22"/>
        </w:numPr>
        <w:ind w:left="720"/>
        <w:rPr>
          <w:rFonts w:cs="Arial"/>
        </w:rPr>
      </w:pPr>
      <w:r>
        <w:rPr>
          <w:b/>
          <w:bCs/>
          <w:color w:val="A50021"/>
        </w:rPr>
        <w:t>Kvalita:</w:t>
      </w:r>
      <w:r>
        <w:t xml:space="preserve"> jasnost a soudržnost projektu; logické vazby mezi zjištěnými problémy, potřebami a navrhovanými řešeními (logický rámcový přístup); metodika pro provádění projektu při náležitém zohlednění genderového hlediska (organizace práce, harmonogram, rozdělení zdrojů a úkolů mezi partnery, rizika a jejich řízení, monitorování a hodnocení); řešení etických otázek; proveditelnost projektu v rámci navrhovaného časového rámce. </w:t>
      </w:r>
      <w:r>
        <w:rPr>
          <w:color w:val="4AA55B"/>
          <w:sz w:val="19"/>
          <w:szCs w:val="19"/>
        </w:rPr>
        <w:t>(40 bodů)</w:t>
      </w:r>
    </w:p>
    <w:p w14:paraId="245A3914" w14:textId="174240EB" w:rsidR="00417F25" w:rsidRPr="0072792C" w:rsidRDefault="00C3341E" w:rsidP="42BB08A3">
      <w:pPr>
        <w:numPr>
          <w:ilvl w:val="0"/>
          <w:numId w:val="22"/>
        </w:numPr>
        <w:ind w:left="720"/>
        <w:rPr>
          <w:rFonts w:cs="Arial"/>
        </w:rPr>
      </w:pPr>
      <w:r>
        <w:rPr>
          <w:b/>
          <w:bCs/>
          <w:color w:val="A50021"/>
        </w:rPr>
        <w:t>Dopad:</w:t>
      </w:r>
      <w:r>
        <w:rPr>
          <w:color w:val="A50021"/>
        </w:rPr>
        <w:t xml:space="preserve"> </w:t>
      </w:r>
      <w:r>
        <w:t xml:space="preserve">ambice a očekávaný dlouhodobý dopad výsledků na cílové skupiny / širokou veřejnost; vhodná strategie šíření informací pro zajištění udržitelnosti </w:t>
      </w:r>
      <w:r>
        <w:lastRenderedPageBreak/>
        <w:t xml:space="preserve">a dlouhodobého dopadu; potenciál pro kladný multiplikační účinek; udržitelnost výsledků po skončení financování EU. </w:t>
      </w:r>
      <w:r>
        <w:rPr>
          <w:color w:val="4AA55B"/>
          <w:sz w:val="19"/>
          <w:szCs w:val="19"/>
        </w:rPr>
        <w:t>(20 bodů)</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35"/>
        <w:gridCol w:w="1299"/>
        <w:gridCol w:w="1305"/>
      </w:tblGrid>
      <w:tr w:rsidR="00417F25" w14:paraId="40C13E7F" w14:textId="77777777" w:rsidTr="0010264F">
        <w:tc>
          <w:tcPr>
            <w:tcW w:w="593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45683492" w:rsidR="00F33FDA" w:rsidRDefault="00417F25" w:rsidP="00417F25">
            <w:pPr>
              <w:spacing w:before="120" w:after="120"/>
              <w:rPr>
                <w:rFonts w:cs="Arial"/>
                <w:color w:val="595959"/>
                <w:sz w:val="16"/>
                <w:szCs w:val="16"/>
              </w:rPr>
            </w:pPr>
            <w:r>
              <w:rPr>
                <w:b/>
                <w:bCs/>
                <w:color w:val="000000"/>
                <w:sz w:val="16"/>
                <w:szCs w:val="16"/>
              </w:rPr>
              <w:t>Kritéria pro udělení grantu</w:t>
            </w:r>
          </w:p>
          <w:p w14:paraId="49B59549" w14:textId="77777777" w:rsidR="00417F25" w:rsidRPr="00F33FDA" w:rsidRDefault="00417F25" w:rsidP="00F33FDA">
            <w:pPr>
              <w:jc w:val="center"/>
              <w:rPr>
                <w:rFonts w:cs="Arial"/>
                <w:sz w:val="16"/>
                <w:szCs w:val="16"/>
              </w:rPr>
            </w:pPr>
          </w:p>
        </w:tc>
        <w:tc>
          <w:tcPr>
            <w:tcW w:w="1299"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B85204" w:rsidRDefault="00417F25" w:rsidP="7EABDF9A">
            <w:pPr>
              <w:spacing w:before="120" w:after="120"/>
              <w:jc w:val="center"/>
              <w:rPr>
                <w:rFonts w:cs="Arial"/>
                <w:b/>
                <w:bCs/>
                <w:color w:val="595959"/>
                <w:sz w:val="16"/>
                <w:szCs w:val="16"/>
              </w:rPr>
            </w:pPr>
            <w:r>
              <w:rPr>
                <w:b/>
                <w:bCs/>
                <w:color w:val="000000"/>
                <w:sz w:val="16"/>
                <w:szCs w:val="16"/>
              </w:rPr>
              <w:t>Požadované minimální bodové hodnocení</w:t>
            </w:r>
          </w:p>
        </w:tc>
        <w:tc>
          <w:tcPr>
            <w:tcW w:w="130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B85204" w:rsidRDefault="00417F25" w:rsidP="00417F25">
            <w:pPr>
              <w:spacing w:before="120" w:after="120"/>
              <w:jc w:val="center"/>
              <w:rPr>
                <w:rFonts w:cs="Arial"/>
                <w:b/>
                <w:bCs/>
                <w:color w:val="595959"/>
                <w:sz w:val="16"/>
              </w:rPr>
            </w:pPr>
            <w:r>
              <w:rPr>
                <w:b/>
                <w:bCs/>
                <w:color w:val="595959"/>
                <w:sz w:val="16"/>
              </w:rPr>
              <w:t>Maximální bodové hodnocení</w:t>
            </w:r>
          </w:p>
        </w:tc>
      </w:tr>
      <w:tr w:rsidR="0010264F" w14:paraId="46BB364E" w14:textId="77777777" w:rsidTr="0010264F">
        <w:tc>
          <w:tcPr>
            <w:tcW w:w="593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487AF85E" w:rsidR="0010264F" w:rsidRPr="00B85204" w:rsidRDefault="0010264F" w:rsidP="0010264F">
            <w:pPr>
              <w:tabs>
                <w:tab w:val="left" w:pos="4135"/>
              </w:tabs>
              <w:spacing w:before="120" w:after="120"/>
              <w:rPr>
                <w:rFonts w:cs="Arial"/>
                <w:color w:val="595959"/>
                <w:sz w:val="16"/>
              </w:rPr>
            </w:pPr>
            <w:r>
              <w:rPr>
                <w:color w:val="595959"/>
                <w:sz w:val="16"/>
              </w:rPr>
              <w:t xml:space="preserve">Relevantnost </w:t>
            </w:r>
            <w:r>
              <w:rPr>
                <w:color w:val="595959"/>
                <w:sz w:val="16"/>
              </w:rPr>
              <w:tab/>
            </w:r>
          </w:p>
        </w:tc>
        <w:tc>
          <w:tcPr>
            <w:tcW w:w="1299"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31D56D4F" w:rsidR="0010264F" w:rsidRPr="00163978" w:rsidRDefault="0010264F" w:rsidP="0010264F">
            <w:pPr>
              <w:spacing w:before="120" w:after="120"/>
              <w:jc w:val="center"/>
              <w:rPr>
                <w:rFonts w:cs="Arial"/>
                <w:vanish/>
                <w:color w:val="595959"/>
                <w:sz w:val="16"/>
                <w:szCs w:val="16"/>
              </w:rPr>
            </w:pPr>
            <w:r w:rsidRPr="00200E29">
              <w:rPr>
                <w:color w:val="595959"/>
                <w:sz w:val="16"/>
                <w:szCs w:val="16"/>
              </w:rPr>
              <w:t>25</w:t>
            </w:r>
          </w:p>
        </w:tc>
        <w:tc>
          <w:tcPr>
            <w:tcW w:w="130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F794502" w:rsidR="0010264F" w:rsidRPr="00163978" w:rsidRDefault="0010264F" w:rsidP="0010264F">
            <w:pPr>
              <w:spacing w:before="120" w:after="120" w:line="259" w:lineRule="auto"/>
              <w:jc w:val="center"/>
              <w:rPr>
                <w:vanish/>
                <w:sz w:val="16"/>
                <w:szCs w:val="16"/>
              </w:rPr>
            </w:pPr>
            <w:r w:rsidRPr="00200E29">
              <w:rPr>
                <w:color w:val="000000"/>
                <w:sz w:val="16"/>
                <w:szCs w:val="16"/>
              </w:rPr>
              <w:t>40</w:t>
            </w:r>
          </w:p>
        </w:tc>
      </w:tr>
      <w:tr w:rsidR="0010264F" w14:paraId="3973431E" w14:textId="77777777" w:rsidTr="0010264F">
        <w:tc>
          <w:tcPr>
            <w:tcW w:w="593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10264F" w:rsidRPr="00B85204" w:rsidRDefault="0010264F" w:rsidP="0010264F">
            <w:pPr>
              <w:spacing w:before="120" w:after="120"/>
              <w:rPr>
                <w:rFonts w:cs="Arial"/>
                <w:color w:val="595959"/>
                <w:sz w:val="16"/>
                <w:vertAlign w:val="superscript"/>
              </w:rPr>
            </w:pPr>
            <w:r>
              <w:rPr>
                <w:color w:val="595959"/>
                <w:sz w:val="16"/>
              </w:rPr>
              <w:t>Kvalita – koncepce projektů a jejich provádění</w:t>
            </w:r>
          </w:p>
        </w:tc>
        <w:tc>
          <w:tcPr>
            <w:tcW w:w="1299"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3CAB9C36" w:rsidR="0010264F" w:rsidRPr="00A32077" w:rsidRDefault="0010264F" w:rsidP="0010264F">
            <w:pPr>
              <w:spacing w:before="120" w:after="120"/>
              <w:jc w:val="center"/>
              <w:rPr>
                <w:rFonts w:cs="Arial"/>
                <w:color w:val="595959"/>
                <w:sz w:val="16"/>
                <w:szCs w:val="16"/>
              </w:rPr>
            </w:pPr>
            <w:r>
              <w:rPr>
                <w:color w:val="000000"/>
                <w:sz w:val="16"/>
                <w:szCs w:val="16"/>
              </w:rPr>
              <w:t>neuplatňuje se</w:t>
            </w:r>
          </w:p>
        </w:tc>
        <w:tc>
          <w:tcPr>
            <w:tcW w:w="130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18994E10" w:rsidR="0010264F" w:rsidRPr="00163978" w:rsidRDefault="0010264F" w:rsidP="0010264F">
            <w:pPr>
              <w:spacing w:before="120" w:after="120" w:line="259" w:lineRule="auto"/>
              <w:jc w:val="center"/>
              <w:rPr>
                <w:vanish/>
                <w:sz w:val="16"/>
                <w:szCs w:val="16"/>
              </w:rPr>
            </w:pPr>
            <w:r w:rsidRPr="00200E29">
              <w:rPr>
                <w:color w:val="595959"/>
                <w:sz w:val="16"/>
                <w:szCs w:val="16"/>
              </w:rPr>
              <w:t>40</w:t>
            </w:r>
          </w:p>
        </w:tc>
      </w:tr>
      <w:tr w:rsidR="0010264F" w14:paraId="57E68FC8" w14:textId="77777777" w:rsidTr="0010264F">
        <w:tc>
          <w:tcPr>
            <w:tcW w:w="593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10264F" w:rsidRPr="00B85204" w:rsidRDefault="0010264F" w:rsidP="0010264F">
            <w:pPr>
              <w:spacing w:before="120" w:after="120"/>
              <w:rPr>
                <w:rFonts w:cs="Arial"/>
                <w:color w:val="595959"/>
                <w:sz w:val="16"/>
              </w:rPr>
            </w:pPr>
            <w:r>
              <w:rPr>
                <w:color w:val="595959"/>
                <w:sz w:val="16"/>
              </w:rPr>
              <w:t>Dopad</w:t>
            </w:r>
          </w:p>
        </w:tc>
        <w:tc>
          <w:tcPr>
            <w:tcW w:w="1299"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1B063050" w:rsidR="0010264F" w:rsidRPr="00A32077" w:rsidRDefault="0010264F" w:rsidP="0010264F">
            <w:pPr>
              <w:spacing w:before="120" w:after="120"/>
              <w:jc w:val="center"/>
              <w:rPr>
                <w:rFonts w:cs="Arial"/>
                <w:color w:val="595959"/>
                <w:sz w:val="16"/>
                <w:szCs w:val="16"/>
              </w:rPr>
            </w:pPr>
            <w:r>
              <w:rPr>
                <w:color w:val="000000"/>
                <w:sz w:val="16"/>
                <w:szCs w:val="16"/>
              </w:rPr>
              <w:t>neuplatňuje se</w:t>
            </w:r>
          </w:p>
        </w:tc>
        <w:tc>
          <w:tcPr>
            <w:tcW w:w="1305"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2AEF9AE3" w:rsidR="0010264F" w:rsidRPr="00163978" w:rsidRDefault="0010264F" w:rsidP="0010264F">
            <w:pPr>
              <w:spacing w:before="120" w:after="120" w:line="259" w:lineRule="auto"/>
              <w:jc w:val="center"/>
              <w:rPr>
                <w:vanish/>
                <w:sz w:val="16"/>
                <w:szCs w:val="16"/>
              </w:rPr>
            </w:pPr>
            <w:r w:rsidRPr="00200E29">
              <w:rPr>
                <w:color w:val="595959"/>
                <w:sz w:val="16"/>
                <w:szCs w:val="16"/>
              </w:rPr>
              <w:t>20</w:t>
            </w:r>
          </w:p>
        </w:tc>
      </w:tr>
      <w:tr w:rsidR="0010264F" w14:paraId="112E5C23" w14:textId="77777777" w:rsidTr="0010264F">
        <w:tc>
          <w:tcPr>
            <w:tcW w:w="593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10264F" w:rsidRPr="00B85204" w:rsidRDefault="0010264F" w:rsidP="0010264F">
            <w:pPr>
              <w:spacing w:before="120" w:after="120"/>
              <w:rPr>
                <w:rFonts w:cs="Arial"/>
                <w:color w:val="595959"/>
                <w:sz w:val="16"/>
              </w:rPr>
            </w:pPr>
            <w:r>
              <w:rPr>
                <w:b/>
                <w:bCs/>
                <w:color w:val="595959"/>
                <w:sz w:val="16"/>
              </w:rPr>
              <w:t>Celkové (požadované) bodové hodnocení</w:t>
            </w:r>
          </w:p>
        </w:tc>
        <w:tc>
          <w:tcPr>
            <w:tcW w:w="1299"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6D24FD33" w:rsidR="0010264F" w:rsidRPr="00163978" w:rsidRDefault="0010264F" w:rsidP="0010264F">
            <w:pPr>
              <w:spacing w:before="120" w:after="120"/>
              <w:jc w:val="center"/>
              <w:rPr>
                <w:rFonts w:cs="Arial"/>
                <w:vanish/>
                <w:color w:val="595959"/>
                <w:sz w:val="16"/>
                <w:szCs w:val="16"/>
              </w:rPr>
            </w:pPr>
            <w:r w:rsidRPr="00200E29">
              <w:rPr>
                <w:b/>
                <w:bCs/>
                <w:color w:val="000000"/>
                <w:sz w:val="16"/>
                <w:szCs w:val="16"/>
                <w:lang w:eastAsia="en-GB"/>
              </w:rPr>
              <w:t>70</w:t>
            </w:r>
          </w:p>
        </w:tc>
        <w:tc>
          <w:tcPr>
            <w:tcW w:w="1305"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45109979" w:rsidR="0010264F" w:rsidRPr="00163978" w:rsidRDefault="0010264F" w:rsidP="0010264F">
            <w:pPr>
              <w:spacing w:before="120" w:after="120"/>
              <w:jc w:val="center"/>
              <w:rPr>
                <w:rFonts w:cs="Arial"/>
                <w:b/>
                <w:bCs/>
                <w:vanish/>
                <w:color w:val="595959"/>
                <w:sz w:val="16"/>
              </w:rPr>
            </w:pPr>
            <w:r w:rsidRPr="00200E29">
              <w:rPr>
                <w:b/>
                <w:bCs/>
                <w:color w:val="595959"/>
                <w:sz w:val="16"/>
              </w:rPr>
              <w:t>100</w:t>
            </w:r>
          </w:p>
        </w:tc>
      </w:tr>
    </w:tbl>
    <w:p w14:paraId="3A91549A" w14:textId="77777777" w:rsidR="00417F25" w:rsidRDefault="00417F25"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Maximální bodové hodnocení: 100 bodů</w:t>
      </w:r>
    </w:p>
    <w:p w14:paraId="54D540AD" w14:textId="25B25F2B" w:rsidR="00417F25" w:rsidRPr="00142C5E" w:rsidRDefault="00417F25" w:rsidP="42BB08A3">
      <w:pPr>
        <w:pStyle w:val="Text1"/>
        <w:ind w:left="0"/>
        <w:rPr>
          <w:rFonts w:cs="Arial"/>
        </w:rPr>
      </w:pPr>
      <w:r>
        <w:t>Prahová hodnota pro kritérium „relevantnost“: 25/40 bodů</w:t>
      </w:r>
    </w:p>
    <w:p w14:paraId="088F1A3D" w14:textId="77777777" w:rsidR="00417F25" w:rsidRDefault="00417F25" w:rsidP="00417F25">
      <w:pPr>
        <w:pStyle w:val="Text1"/>
        <w:ind w:left="0"/>
        <w:rPr>
          <w:rFonts w:cs="Arial"/>
        </w:rPr>
      </w:pPr>
      <w:r>
        <w:t xml:space="preserve">Celková prahová hodnota: 70 bodů </w:t>
      </w:r>
    </w:p>
    <w:p w14:paraId="743867A2" w14:textId="5FB32EC7" w:rsidR="00417F25" w:rsidRDefault="000A7529" w:rsidP="42BB08A3">
      <w:pPr>
        <w:pStyle w:val="Text1"/>
        <w:ind w:left="0"/>
        <w:rPr>
          <w:rFonts w:cs="Arial"/>
        </w:rPr>
      </w:pPr>
      <w:r>
        <w:t xml:space="preserve">Financování bude zvažováno u návrhů, které v rámci jednotlivých kritérií překročí prahovou hodnotu u kritéria „relevantnost“ A ZÁROVEŇ celkem získají více bodů, než je celková prahová hodnota – v mezích dostupného rozpočtu pro výzvu k podávání návrhů. Ostatní návrhy budou zamítnuty. </w:t>
      </w:r>
    </w:p>
    <w:p w14:paraId="32ECB61A" w14:textId="407D4955" w:rsidR="00276AD7" w:rsidRPr="00975A34" w:rsidRDefault="00276AD7" w:rsidP="000579AF">
      <w:pPr>
        <w:pStyle w:val="Heading1"/>
        <w:numPr>
          <w:ilvl w:val="0"/>
          <w:numId w:val="54"/>
        </w:numPr>
        <w:tabs>
          <w:tab w:val="left" w:pos="426"/>
        </w:tabs>
        <w:ind w:left="0" w:firstLine="0"/>
      </w:pPr>
      <w:bookmarkStart w:id="26" w:name="_Toc89950971"/>
      <w:r>
        <w:t>Právní a finanční uspořádání grantových dohod</w:t>
      </w:r>
      <w:bookmarkEnd w:id="26"/>
    </w:p>
    <w:p w14:paraId="3E12CDD9" w14:textId="77777777" w:rsidR="00F468B9" w:rsidRPr="00F468B9" w:rsidRDefault="00510B7E" w:rsidP="00F468B9">
      <w:r>
        <w:t xml:space="preserve">Pokud uspějete v hodnocení, uskuteční se v souvislosti s vaším projektem příprava grantu, přičemž budete požádáni o přípravu grantové dohody ve spolupráci s projektovým pracovníkem EU. </w:t>
      </w:r>
    </w:p>
    <w:p w14:paraId="726FE5D4" w14:textId="77777777" w:rsidR="00A55E10" w:rsidRDefault="009A4762" w:rsidP="00F468B9">
      <w:r>
        <w:t xml:space="preserve">Tato grantová dohoda stanoví rámec pro váš grant a jeho podmínky, zejména pokud jde o výstupy, vykazování a platby. </w:t>
      </w:r>
    </w:p>
    <w:p w14:paraId="49D0FAB7" w14:textId="77777777" w:rsidR="00F468B9" w:rsidRPr="009A4762" w:rsidRDefault="004E3F9E" w:rsidP="00F468B9">
      <w:r>
        <w:t>Vzorovou grantovou dohodu, která bude použita (a všechny další příslušné vzory a pokyny), naleznete v </w:t>
      </w:r>
      <w:hyperlink r:id="rId48" w:history="1">
        <w:r>
          <w:rPr>
            <w:rStyle w:val="Hyperlink"/>
          </w:rPr>
          <w:t>referenčních dokumentech portálu</w:t>
        </w:r>
      </w:hyperlink>
      <w:r>
        <w:t>.</w:t>
      </w:r>
    </w:p>
    <w:p w14:paraId="712F0C54" w14:textId="77777777" w:rsidR="00F468B9" w:rsidRPr="00510B7E" w:rsidRDefault="00EF5018" w:rsidP="00510B7E">
      <w:pPr>
        <w:pStyle w:val="Heading3"/>
      </w:pPr>
      <w:bookmarkStart w:id="27" w:name="_Toc89950972"/>
      <w:r>
        <w:t>Datum zahájení a doba trvání projektu</w:t>
      </w:r>
      <w:bookmarkEnd w:id="27"/>
      <w:r>
        <w:t xml:space="preserve"> </w:t>
      </w:r>
    </w:p>
    <w:p w14:paraId="34F8E827" w14:textId="193AA9A8" w:rsidR="00EF5018" w:rsidRDefault="00EF5018" w:rsidP="00EF5018">
      <w:r>
        <w:t xml:space="preserve">Datum zahájení a doba trvání projektu budou stanoveny v grantové dohodě </w:t>
      </w:r>
      <w:r>
        <w:rPr>
          <w:i/>
          <w:iCs/>
        </w:rPr>
        <w:t>(přehled údajů, bod 1)</w:t>
      </w:r>
      <w:r>
        <w:t>. Projekt je obvykle zahájen po podpisu grantové dohody. V řádně odůvodněných případech lze grant výjimečně udělit zpětně – nikdy však na období před datem podání návrhu.</w:t>
      </w:r>
    </w:p>
    <w:p w14:paraId="15D66063" w14:textId="51D1D632" w:rsidR="00CB07A3" w:rsidRDefault="00CB07A3" w:rsidP="00EF5018">
      <w:pPr>
        <w:rPr>
          <w:rFonts w:cs="Arial"/>
        </w:rPr>
      </w:pPr>
      <w:r>
        <w:t xml:space="preserve">Doba trvání projektu: </w:t>
      </w:r>
    </w:p>
    <w:p w14:paraId="2429D9A2" w14:textId="7FD8DB37" w:rsidR="00273AA8" w:rsidRPr="00C83A32" w:rsidRDefault="00273AA8" w:rsidP="00273AA8">
      <w:pPr>
        <w:rPr>
          <w:rFonts w:cs="Arial"/>
        </w:rPr>
      </w:pPr>
      <w:r>
        <w:rPr>
          <w:color w:val="A50021"/>
        </w:rPr>
        <w:t>CERV-2022-CITIZENS-TOWN-TT – Partnerství měst:</w:t>
      </w:r>
      <w:r>
        <w:t xml:space="preserve"> nejvýše 12 měsíců</w:t>
      </w:r>
    </w:p>
    <w:p w14:paraId="748ED34C" w14:textId="21136B02" w:rsidR="00273AA8" w:rsidRDefault="00273AA8" w:rsidP="00273AA8">
      <w:pPr>
        <w:rPr>
          <w:rFonts w:cs="Arial"/>
        </w:rPr>
      </w:pPr>
      <w:r>
        <w:rPr>
          <w:color w:val="A50021"/>
        </w:rPr>
        <w:t>CERV-2022-CITIZENS-TOWN-NT – Sítě měst:</w:t>
      </w:r>
      <w:r>
        <w:t xml:space="preserve"> 12 až 24 měsíců </w:t>
      </w:r>
    </w:p>
    <w:p w14:paraId="264CF456" w14:textId="407B2FF3" w:rsidR="00273AA8" w:rsidRDefault="00273AA8" w:rsidP="00273AA8">
      <w:pPr>
        <w:rPr>
          <w:rFonts w:cs="Arial"/>
        </w:rPr>
      </w:pPr>
      <w:r>
        <w:t>(Prodloužení bude možné pouze výjimečně, z řádně odůvodněných důvodů a prostřednictvím změny.)</w:t>
      </w:r>
    </w:p>
    <w:p w14:paraId="77CA20A6" w14:textId="77777777" w:rsidR="002D1390" w:rsidRPr="0019779F" w:rsidRDefault="002D1390" w:rsidP="00510B7E">
      <w:pPr>
        <w:pStyle w:val="Heading3"/>
      </w:pPr>
      <w:bookmarkStart w:id="28" w:name="_Toc89950973"/>
      <w:r>
        <w:t>Milníky a výstupy</w:t>
      </w:r>
      <w:bookmarkEnd w:id="28"/>
    </w:p>
    <w:p w14:paraId="2053727F" w14:textId="77777777" w:rsidR="002D1390" w:rsidRDefault="002D1390" w:rsidP="002D1390">
      <w:pPr>
        <w:rPr>
          <w:rFonts w:cs="Arial"/>
        </w:rPr>
      </w:pPr>
      <w:r>
        <w:lastRenderedPageBreak/>
        <w:t>Milníky a výstupy pro jednotlivé projekty budou spravovány prostřednictvím systému pro správu grantů na portálu a budou zohledněny v příloze 1 grantové dohody.</w:t>
      </w:r>
    </w:p>
    <w:p w14:paraId="14B285DB" w14:textId="77777777" w:rsidR="00F468B9" w:rsidRPr="0019779F" w:rsidRDefault="00D20E76" w:rsidP="00510B7E">
      <w:pPr>
        <w:pStyle w:val="Heading3"/>
      </w:pPr>
      <w:bookmarkStart w:id="29" w:name="_Toc89950974"/>
      <w:r>
        <w:t>Forma grantu, míra financování a maximální výše grantu</w:t>
      </w:r>
      <w:bookmarkEnd w:id="29"/>
    </w:p>
    <w:p w14:paraId="1FC5D80F" w14:textId="77777777" w:rsidR="00F243C2" w:rsidRPr="00F243C2" w:rsidRDefault="002D1390" w:rsidP="009C7F6F">
      <w:r>
        <w:t xml:space="preserve">Parametry grantu </w:t>
      </w:r>
      <w:r>
        <w:rPr>
          <w:i/>
        </w:rPr>
        <w:t>(maximální výše grantu, míra financování, celkové způsobilé náklady atd.)</w:t>
      </w:r>
      <w:r>
        <w:t xml:space="preserve"> budou stanoveny v grantové dohodě </w:t>
      </w:r>
      <w:r>
        <w:rPr>
          <w:i/>
        </w:rPr>
        <w:t>(přehled údajů, bod 3 a článek 5)</w:t>
      </w:r>
      <w:r>
        <w:t>.</w:t>
      </w:r>
    </w:p>
    <w:p w14:paraId="6D2C45B2" w14:textId="73D0FA7A" w:rsidR="00273AA8" w:rsidRDefault="00CB07A3" w:rsidP="009C7F6F">
      <w:r>
        <w:t xml:space="preserve">Rozpočet projektu (maximální výše grantu): </w:t>
      </w:r>
    </w:p>
    <w:p w14:paraId="7C5032A3" w14:textId="32B40F6F" w:rsidR="00273AA8" w:rsidRPr="00C83A32" w:rsidRDefault="00273AA8" w:rsidP="00273AA8">
      <w:r>
        <w:rPr>
          <w:b/>
          <w:bCs/>
          <w:color w:val="A50021"/>
        </w:rPr>
        <w:t>CERV-2022-CITIZENS-TOWN-TT – Partnerství měst</w:t>
      </w:r>
      <w:r>
        <w:t>: 30 000 EUR na každý projekt.</w:t>
      </w:r>
    </w:p>
    <w:p w14:paraId="2BB38450" w14:textId="044F40F5" w:rsidR="00273AA8" w:rsidRPr="00C83A32" w:rsidRDefault="00E81CEB" w:rsidP="00273AA8">
      <w:pPr>
        <w:rPr>
          <w:b/>
          <w:color w:val="A50021"/>
        </w:rPr>
      </w:pPr>
      <w:r>
        <w:rPr>
          <w:b/>
          <w:bCs/>
          <w:color w:val="A50021"/>
        </w:rPr>
        <w:t>CERV-2022-CITIZENS-TOWN-NT – Sítě měst</w:t>
      </w:r>
      <w:r>
        <w:t xml:space="preserve">: Bez omezení. </w:t>
      </w:r>
    </w:p>
    <w:p w14:paraId="03FE8574" w14:textId="5AC33A9A" w:rsidR="009C7F6F" w:rsidRDefault="009C7F6F" w:rsidP="009C7F6F">
      <w:r>
        <w:t>Udělený grant může být nižší než požadovaná částka.</w:t>
      </w:r>
      <w:r>
        <w:rPr>
          <w:highlight w:val="yellow"/>
        </w:rPr>
        <w:t xml:space="preserve"> </w:t>
      </w:r>
    </w:p>
    <w:p w14:paraId="032903FC" w14:textId="762E8A78" w:rsidR="009C7F6F" w:rsidRDefault="002D1390" w:rsidP="00EF5018">
      <w:r>
        <w:t>Jedná se o paušální grant. To znamená, že bude vyplacen jako pevně stanovená částka formou paušální sumy nebo financování, které není spojeno s náklady. Částka bude určena orgánem udělujícím grant na základě proměnných částek, které předem stanovil, a odhadů uvedených příjemci v rozpočtu projektu.</w:t>
      </w:r>
    </w:p>
    <w:p w14:paraId="23ACF302" w14:textId="77777777" w:rsidR="00C35FDF" w:rsidRPr="0019779F" w:rsidRDefault="002D1390" w:rsidP="00510B7E">
      <w:pPr>
        <w:pStyle w:val="Heading3"/>
      </w:pPr>
      <w:bookmarkStart w:id="30" w:name="_Toc89950975"/>
      <w:r>
        <w:t>Kategorie rozpočtu a pravidla pro způsobilost nákladů</w:t>
      </w:r>
      <w:bookmarkEnd w:id="30"/>
    </w:p>
    <w:p w14:paraId="0D9CC84A" w14:textId="222E6896" w:rsidR="00965369" w:rsidRDefault="00965369" w:rsidP="00C35FDF">
      <w:pPr>
        <w:rPr>
          <w:szCs w:val="21"/>
        </w:rPr>
      </w:pPr>
      <w:r>
        <w:t xml:space="preserve">Kategorie rozpočtu a pravidla pro způsobilost nákladů jsou stanoveny v grantové dohodě </w:t>
      </w:r>
      <w:r>
        <w:rPr>
          <w:i/>
          <w:szCs w:val="21"/>
        </w:rPr>
        <w:t>(přehled údajů, bod 3, článek 6 a příloha 2)</w:t>
      </w:r>
      <w:r>
        <w:t>.</w:t>
      </w:r>
    </w:p>
    <w:p w14:paraId="09C2A6BD" w14:textId="77777777" w:rsidR="00E85C9D" w:rsidRDefault="00E85C9D" w:rsidP="00E85C9D">
      <w:pPr>
        <w:spacing w:after="120"/>
        <w:rPr>
          <w:i/>
        </w:rPr>
      </w:pPr>
      <w:r>
        <w:rPr>
          <w:i/>
        </w:rPr>
        <w:t>Kategorie rozpočtu v rámci této výzvy k podávání návrhů:</w:t>
      </w:r>
    </w:p>
    <w:p w14:paraId="5AA85092" w14:textId="5699AD8F" w:rsidR="00273AA8" w:rsidRPr="00273AA8" w:rsidRDefault="00E85C9D" w:rsidP="00273AA8">
      <w:pPr>
        <w:widowControl w:val="0"/>
        <w:numPr>
          <w:ilvl w:val="0"/>
          <w:numId w:val="31"/>
        </w:numPr>
        <w:ind w:left="709" w:hanging="357"/>
        <w:jc w:val="left"/>
        <w:rPr>
          <w:b/>
        </w:rPr>
      </w:pPr>
      <w:r>
        <w:rPr>
          <w:b/>
        </w:rPr>
        <w:t>příspěvky vyplacené formou paušální částky</w:t>
      </w:r>
      <w:r w:rsidR="00D77F61" w:rsidRPr="00273AA8">
        <w:rPr>
          <w:rStyle w:val="FootnoteReference"/>
          <w:b/>
        </w:rPr>
        <w:footnoteReference w:id="22"/>
      </w:r>
      <w:r>
        <w:rPr>
          <w:b/>
        </w:rPr>
        <w:t>.</w:t>
      </w:r>
    </w:p>
    <w:p w14:paraId="1DFE5A16" w14:textId="4F08AA43" w:rsidR="00273AA8" w:rsidRPr="00C83A32" w:rsidRDefault="00273AA8" w:rsidP="00273AA8">
      <w:pPr>
        <w:spacing w:after="120"/>
        <w:rPr>
          <w:b/>
          <w:bCs/>
          <w:color w:val="A50021"/>
        </w:rPr>
      </w:pPr>
      <w:r>
        <w:rPr>
          <w:b/>
          <w:bCs/>
          <w:color w:val="A50021"/>
        </w:rPr>
        <w:t>CERV-2022-CITIZENS-TOWN-TT – Partnerství měst</w:t>
      </w:r>
    </w:p>
    <w:p w14:paraId="41D2CC4B" w14:textId="306D1EAA" w:rsidR="00273AA8" w:rsidRDefault="00273AA8" w:rsidP="00273AA8">
      <w:pPr>
        <w:spacing w:after="120"/>
        <w:rPr>
          <w:rFonts w:eastAsia="Verdana" w:cs="Verdana"/>
          <w:iCs/>
        </w:rPr>
      </w:pPr>
      <w:r>
        <w:t>Výpočet paušální částky vychází z jednoho parametru: počtu mezinárodních (nebo „pozvaných“) účastníků (počtu účastníků cestujících ze způsobilých zemí účastnících se projektu s výjimkou země, která je hostitelem akce partnerství měst).</w:t>
      </w:r>
    </w:p>
    <w:p w14:paraId="0241D98C" w14:textId="3AC60288" w:rsidR="00273AA8" w:rsidRPr="00170A7A" w:rsidRDefault="00273AA8" w:rsidP="00273AA8">
      <w:pPr>
        <w:spacing w:after="120"/>
      </w:pPr>
      <w:r>
        <w:t>Jedna akce odpovídá jednomu pracovnímu balíčku ve formuláři žádosti.</w:t>
      </w:r>
      <w:r w:rsidR="00AF72B4">
        <w:t xml:space="preserve"> </w:t>
      </w:r>
    </w:p>
    <w:p w14:paraId="653E3972" w14:textId="3455AC2B" w:rsidR="00273AA8" w:rsidRPr="00273AA8" w:rsidRDefault="00273AA8" w:rsidP="00273AA8">
      <w:pPr>
        <w:widowControl w:val="0"/>
        <w:jc w:val="left"/>
      </w:pPr>
      <w:r>
        <w:t>1 pracovní balíček = 1 akce = jedna nebo několik činností</w:t>
      </w:r>
      <w:r w:rsidR="00AF72B4">
        <w:t xml:space="preserve"> </w:t>
      </w:r>
    </w:p>
    <w:p w14:paraId="4EF42BF7" w14:textId="56AB1036" w:rsidR="00273AA8" w:rsidRDefault="00273AA8" w:rsidP="00273AA8">
      <w:pPr>
        <w:spacing w:after="120"/>
        <w:rPr>
          <w:rFonts w:eastAsia="Verdana" w:cs="Verdana"/>
          <w:iCs/>
        </w:rPr>
      </w:pPr>
      <w:r>
        <w:rPr>
          <w:b/>
          <w:bCs/>
          <w:color w:val="A50021"/>
        </w:rPr>
        <w:t>CERV-2022-CITIZENS-TOWN-NT – Sítě měst</w:t>
      </w:r>
    </w:p>
    <w:p w14:paraId="084790F4" w14:textId="77777777" w:rsidR="00273AA8" w:rsidRPr="00170A7A" w:rsidRDefault="00273AA8" w:rsidP="00273AA8">
      <w:pPr>
        <w:spacing w:after="120"/>
      </w:pPr>
      <w:r>
        <w:t>Výpočet paušální částky vychází ze dvou parametrů: počtu přímých účastníků a počtu způsobilých zemí pro danou akci (in situ nebo on-line).</w:t>
      </w:r>
    </w:p>
    <w:p w14:paraId="3C909B89" w14:textId="77777777" w:rsidR="00273AA8" w:rsidRPr="00170A7A" w:rsidRDefault="00273AA8" w:rsidP="00273AA8">
      <w:pPr>
        <w:spacing w:after="120"/>
      </w:pPr>
      <w:r>
        <w:t xml:space="preserve">Akce se koná ve stanoveném časovém rámci a může zahrnovat různé druhy činností (konference, workshopy, školení, semináře, debaty, webináře, výstavy, promítání/natáčení filmů, kampaně, publikace, průzkumy, výzkum, flash moby atd.). </w:t>
      </w:r>
    </w:p>
    <w:p w14:paraId="12ABA7C5" w14:textId="77E4DE29" w:rsidR="00273AA8" w:rsidRPr="00170A7A" w:rsidRDefault="00273AA8" w:rsidP="00273AA8">
      <w:pPr>
        <w:spacing w:after="120"/>
      </w:pPr>
      <w:r>
        <w:t>Jedna akce odpovídá jednomu pracovnímu balíčku ve formuláři žádosti.</w:t>
      </w:r>
      <w:r w:rsidR="00AF72B4">
        <w:t xml:space="preserve"> </w:t>
      </w:r>
    </w:p>
    <w:p w14:paraId="757C1A00" w14:textId="01FC33C9" w:rsidR="00273AA8" w:rsidRPr="008814FB" w:rsidRDefault="00273AA8" w:rsidP="00273AA8">
      <w:pPr>
        <w:widowControl w:val="0"/>
        <w:jc w:val="left"/>
      </w:pPr>
      <w:r>
        <w:t>1 pracovní balíček = 1 akce = jedna nebo několik činností</w:t>
      </w:r>
      <w:r w:rsidR="00AF72B4">
        <w:t xml:space="preserve"> </w:t>
      </w:r>
    </w:p>
    <w:p w14:paraId="14EC2EA5" w14:textId="14E12378" w:rsidR="00741682" w:rsidRPr="0019779F" w:rsidRDefault="00F243C2" w:rsidP="00510B7E">
      <w:pPr>
        <w:pStyle w:val="Heading3"/>
      </w:pPr>
      <w:bookmarkStart w:id="31" w:name="_Toc89950976"/>
      <w:r>
        <w:t>Vykazování a platební podmínky</w:t>
      </w:r>
      <w:bookmarkEnd w:id="31"/>
      <w:r>
        <w:t xml:space="preserve"> </w:t>
      </w:r>
    </w:p>
    <w:p w14:paraId="43C62C09" w14:textId="0BF1CA1B" w:rsidR="00F243C2" w:rsidRDefault="00F243C2" w:rsidP="00741682">
      <w:pPr>
        <w:pStyle w:val="Text2"/>
        <w:ind w:left="0"/>
        <w:rPr>
          <w:rFonts w:cs="Arial"/>
        </w:rPr>
      </w:pPr>
      <w:r>
        <w:t xml:space="preserve">Vykazování a platební podmínky jsou stanoveny v grantové dohodě </w:t>
      </w:r>
      <w:r>
        <w:rPr>
          <w:i/>
        </w:rPr>
        <w:t>(přehled údajů, bod 4 a články 21 a 22)</w:t>
      </w:r>
      <w:r>
        <w:t>.</w:t>
      </w:r>
    </w:p>
    <w:p w14:paraId="03D37E60" w14:textId="6DF5E4B5" w:rsidR="00273AA8" w:rsidRPr="00C83A32" w:rsidRDefault="00273AA8" w:rsidP="00273AA8">
      <w:pPr>
        <w:spacing w:after="120"/>
        <w:rPr>
          <w:b/>
          <w:bCs/>
          <w:color w:val="A50021"/>
        </w:rPr>
      </w:pPr>
      <w:r>
        <w:rPr>
          <w:b/>
          <w:bCs/>
          <w:color w:val="A50021"/>
        </w:rPr>
        <w:t>CERV-2022-CITIZENS-TOWN-TT – Partnerství měst</w:t>
      </w:r>
    </w:p>
    <w:p w14:paraId="63A3CB57" w14:textId="77777777" w:rsidR="00273AA8" w:rsidRPr="00C83A32" w:rsidRDefault="00273AA8" w:rsidP="00273AA8">
      <w:pPr>
        <w:pStyle w:val="Text2"/>
        <w:ind w:left="0"/>
      </w:pPr>
      <w:r>
        <w:lastRenderedPageBreak/>
        <w:t>Po podpisu grantové dohody neobdržíte žádné předběžné financování.</w:t>
      </w:r>
    </w:p>
    <w:p w14:paraId="1DBCB7BA" w14:textId="77777777" w:rsidR="00273AA8" w:rsidRPr="00C83A32" w:rsidRDefault="00273AA8" w:rsidP="00273AA8">
      <w:r>
        <w:t>Výplata zůstatku: Na konci projektu vypočítáme konečnou výši grantu. Bude-li celková výše veškerých předchozích plateb vyšší než konečná výše grantu, budeme od vás (vašeho koordinátora) požadovat vrácení rozdílu.</w:t>
      </w:r>
    </w:p>
    <w:p w14:paraId="6BE11C5B" w14:textId="5E8F163B" w:rsidR="00273AA8" w:rsidRPr="00C83A32" w:rsidRDefault="00273AA8" w:rsidP="00273AA8">
      <w:pPr>
        <w:spacing w:after="120"/>
        <w:rPr>
          <w:b/>
          <w:bCs/>
          <w:color w:val="A50021"/>
        </w:rPr>
      </w:pPr>
      <w:r>
        <w:rPr>
          <w:b/>
          <w:bCs/>
          <w:color w:val="A50021"/>
        </w:rPr>
        <w:t xml:space="preserve">CERV-2022-CITIZENS-TOWN-NT – Sítě měst </w:t>
      </w:r>
    </w:p>
    <w:p w14:paraId="55E312F9" w14:textId="696F180F" w:rsidR="00273AA8" w:rsidRDefault="00273AA8" w:rsidP="00273AA8">
      <w:pPr>
        <w:widowControl w:val="0"/>
        <w:rPr>
          <w:rFonts w:cs="Arial"/>
        </w:rPr>
      </w:pPr>
      <w:r>
        <w:t xml:space="preserve">Po podpisu grantové dohody obvykle obdržíte </w:t>
      </w:r>
      <w:r>
        <w:rPr>
          <w:b/>
        </w:rPr>
        <w:t>předběžné financování</w:t>
      </w:r>
      <w:r>
        <w:t xml:space="preserve">, abyste mohli začít pracovat na projektu (počáteční částka obvykle ve výši </w:t>
      </w:r>
      <w:r>
        <w:rPr>
          <w:b/>
          <w:bCs/>
        </w:rPr>
        <w:t>60 %</w:t>
      </w:r>
      <w:r>
        <w:t xml:space="preserve"> maximální výše grantu; výjimečně nižší nebo žádné předběžné financování). Předběžné financování bude vyplaceno 30 dnů od vstupu grantové dohody v platnost / od poskytnutí finanční záruky (je-li požadována) – podle toho, co nastane později.</w:t>
      </w:r>
    </w:p>
    <w:p w14:paraId="6177614D" w14:textId="40FBA4EA" w:rsidR="00741682" w:rsidRDefault="00AE5C30" w:rsidP="00741682">
      <w:pPr>
        <w:pStyle w:val="Text2"/>
        <w:ind w:left="0"/>
        <w:rPr>
          <w:rFonts w:cs="Arial"/>
        </w:rPr>
      </w:pPr>
      <w:r>
        <w:rPr>
          <w:b/>
          <w:bCs/>
        </w:rPr>
        <w:t>Výplata zůstatku:</w:t>
      </w:r>
      <w:r>
        <w:t xml:space="preserve"> Na konci projektu vypočítáme konečnou výši grantu. Bude-li celková výše předchozích plateb vyšší než konečná výše grantu, budeme od vás (vašeho koordinátora) požadovat vrácení rozdílu.</w:t>
      </w:r>
    </w:p>
    <w:p w14:paraId="3BDCBF75" w14:textId="77777777" w:rsidR="00B21F85" w:rsidRDefault="00B21F85" w:rsidP="00741682">
      <w:pPr>
        <w:pStyle w:val="Text2"/>
        <w:ind w:left="0"/>
      </w:pPr>
      <w:r>
        <w:t>Všechny platby budou vyplaceny koordinátorovi.</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Upozorňujeme, že platby budou automaticky sníženy, pokud má jeden z členů vašeho konsorcia nesplacené dluhy vůči EU (vůči orgánu udělujícímu grant nebo jinému orgánu EU). Takové dluhy námi budou kompenzovány – v souladu s podmínkami stanovenými v grantové dohodě (</w:t>
      </w:r>
      <w:r>
        <w:rPr>
          <w:i/>
          <w:iCs/>
        </w:rPr>
        <w:t>viz čl. 22</w:t>
      </w:r>
      <w:r>
        <w:t>).</w:t>
      </w:r>
    </w:p>
    <w:p w14:paraId="1EA9C858" w14:textId="1424599E" w:rsidR="000C6DE8" w:rsidRPr="00B57534" w:rsidRDefault="000C6DE8" w:rsidP="00A82A58">
      <w:pPr>
        <w:pStyle w:val="Text2"/>
        <w:ind w:left="0"/>
        <w:rPr>
          <w:rFonts w:cs="Arial"/>
        </w:rPr>
      </w:pPr>
      <w:r>
        <w:t xml:space="preserve">Upozorňujeme také, že jste zodpovědní za vedení záznamů o veškeré provedené činnosti. </w:t>
      </w:r>
    </w:p>
    <w:p w14:paraId="6F7B0297" w14:textId="77777777" w:rsidR="00C038C5" w:rsidRPr="0019779F" w:rsidRDefault="00C038C5" w:rsidP="00C038C5">
      <w:pPr>
        <w:pStyle w:val="Heading3"/>
      </w:pPr>
      <w:bookmarkStart w:id="32" w:name="_Toc89950977"/>
      <w:r>
        <w:t>Záruky za předběžné financování</w:t>
      </w:r>
      <w:bookmarkEnd w:id="32"/>
      <w:r>
        <w:t xml:space="preserve"> </w:t>
      </w:r>
    </w:p>
    <w:p w14:paraId="5D1F5E81" w14:textId="77777777" w:rsidR="00C038C5" w:rsidRDefault="00C038C5" w:rsidP="00C038C5">
      <w:pPr>
        <w:pStyle w:val="Text2"/>
        <w:ind w:left="0"/>
      </w:pPr>
      <w:r>
        <w:t xml:space="preserve">Je-li požadována záruka za předběžné financování, bude stanovena v grantové dohodě </w:t>
      </w:r>
      <w:r>
        <w:rPr>
          <w:i/>
        </w:rPr>
        <w:t>(přehled údajů, bod 4)</w:t>
      </w:r>
      <w:r>
        <w:t>. Výše záruky bude stanovena během přípravy grantu a bude obvykle stejná jako předběžné financování vašeho grantu nebo nižší.</w:t>
      </w:r>
    </w:p>
    <w:p w14:paraId="17795A40" w14:textId="77777777" w:rsidR="00C038C5" w:rsidRDefault="00C038C5" w:rsidP="00C038C5">
      <w:pPr>
        <w:pStyle w:val="Text2"/>
        <w:ind w:left="0"/>
      </w:pPr>
      <w:r>
        <w:t>Záruka by měla být v eurech a vystavena schválenou bankou / finanční institucí usazenou v členském státě EU. Pokud jste usazeni v zemi mimo EU a chtěli byste předložit záruku od banky / finanční instituce ve vaší zemi, kontaktujte nás (toto opatření může být výjimečně schváleno, pokud nabízí rovnocenné zajištění).</w:t>
      </w:r>
    </w:p>
    <w:p w14:paraId="2588057F" w14:textId="77777777" w:rsidR="00C038C5" w:rsidRPr="00C75E22" w:rsidRDefault="00C038C5" w:rsidP="00C038C5">
      <w:pPr>
        <w:pStyle w:val="Text2"/>
        <w:ind w:left="0"/>
      </w:pPr>
      <w:r>
        <w:t>Částky blokované na bankovních účtech NEBUDOU jako finanční záruky akceptovány.</w:t>
      </w:r>
    </w:p>
    <w:p w14:paraId="6E478E1C" w14:textId="77777777" w:rsidR="00C038C5" w:rsidRPr="001F0FF9" w:rsidRDefault="00C038C5" w:rsidP="00C038C5">
      <w:pPr>
        <w:pStyle w:val="Text2"/>
        <w:ind w:left="0"/>
      </w:pPr>
      <w:r>
        <w:t xml:space="preserve">Záruky za předběžné financování NEJSOU formálně spojeny s jednotlivými členy konsorcia, což znamená, že můžete svobodně zajistit způsob poskytnutí výše záruky </w:t>
      </w:r>
      <w:r>
        <w:rPr>
          <w:i/>
        </w:rPr>
        <w:t>(v případě celkové výše jedním nebo několika příjemci nebo v případě několika záruk na dílčí částky dotčeným příjemcem nebo jiným příjemcem atd.)</w:t>
      </w:r>
      <w:r>
        <w:t>. Je však důležité, aby byla pokryta požadovaná částka a aby nám byly záruky zaslány včas, abychom mohli provést předběžné financování (naskenovaná kopie zaslaná prostřednictvím portálu A ZÁROVEŇ originál zaslaný poštou).</w:t>
      </w:r>
    </w:p>
    <w:p w14:paraId="5675231B" w14:textId="77777777" w:rsidR="00C038C5" w:rsidRPr="00B57534" w:rsidRDefault="00C038C5" w:rsidP="00C038C5">
      <w:pPr>
        <w:pStyle w:val="Text2"/>
        <w:ind w:left="0"/>
      </w:pPr>
      <w:r>
        <w:t>Po dohodě s námi může být bankovní záruka nahrazena zárukou od třetí strany.</w:t>
      </w:r>
    </w:p>
    <w:p w14:paraId="66D0A676" w14:textId="77777777" w:rsidR="00C038C5" w:rsidRPr="00B57534" w:rsidRDefault="00C038C5" w:rsidP="00C038C5">
      <w:pPr>
        <w:pStyle w:val="Text2"/>
        <w:ind w:left="0"/>
      </w:pPr>
      <w:r>
        <w:t>Záruka bude uvolněna na konci platnosti grantu v souladu s podmínkami stanovenými v grantové dohodě.</w:t>
      </w:r>
    </w:p>
    <w:p w14:paraId="6D8EED08" w14:textId="77777777" w:rsidR="00EE2BCF" w:rsidRPr="00EE2BCF" w:rsidRDefault="00EE2BCF" w:rsidP="00510B7E">
      <w:pPr>
        <w:pStyle w:val="Heading3"/>
      </w:pPr>
      <w:bookmarkStart w:id="33" w:name="_Toc89950978"/>
      <w:r>
        <w:t>Osvědčení</w:t>
      </w:r>
      <w:bookmarkEnd w:id="33"/>
    </w:p>
    <w:p w14:paraId="1F2848E4" w14:textId="48031B10" w:rsidR="005224A7" w:rsidRPr="005224A7" w:rsidRDefault="005224A7" w:rsidP="00D16BC1">
      <w:pPr>
        <w:spacing w:after="120"/>
        <w:rPr>
          <w:highlight w:val="yellow"/>
        </w:rPr>
      </w:pPr>
      <w:r>
        <w:t xml:space="preserve">V závislosti na typu akce, velikosti grantu a typu příjemců můžete být požádáni o předložení různých osvědčení. Typy, harmonogramy a prahové hodnoty pro jednotlivá osvědčení jsou stanoveny v grantové dohodě </w:t>
      </w:r>
      <w:r>
        <w:rPr>
          <w:i/>
        </w:rPr>
        <w:t>(přehled údajů, bod 4 a článek 24)</w:t>
      </w:r>
      <w:r>
        <w:t>.</w:t>
      </w:r>
    </w:p>
    <w:p w14:paraId="67810567" w14:textId="77777777" w:rsidR="007C1E0D" w:rsidRPr="0019779F" w:rsidRDefault="007C1E0D" w:rsidP="00510B7E">
      <w:pPr>
        <w:pStyle w:val="Heading3"/>
      </w:pPr>
      <w:bookmarkStart w:id="34" w:name="_Toc89950979"/>
      <w:r>
        <w:lastRenderedPageBreak/>
        <w:t>Úprava odpovědnosti za navrácení</w:t>
      </w:r>
      <w:bookmarkEnd w:id="34"/>
    </w:p>
    <w:p w14:paraId="5BB9318F" w14:textId="77777777" w:rsidR="002D1390" w:rsidRPr="00C75E22" w:rsidRDefault="007C1E0D" w:rsidP="0015357F">
      <w:pPr>
        <w:widowControl w:val="0"/>
        <w:spacing w:after="120"/>
        <w:rPr>
          <w:i/>
        </w:rPr>
      </w:pPr>
      <w:r>
        <w:t xml:space="preserve">Odpovědnost za navrácení bude stanovena v grantové dohodě </w:t>
      </w:r>
      <w:r>
        <w:rPr>
          <w:i/>
        </w:rPr>
        <w:t>(přehled údajů, bod 4.4 a článek 22).</w:t>
      </w:r>
    </w:p>
    <w:p w14:paraId="6AAF1F6D" w14:textId="78BE0A71" w:rsidR="007C1E0D" w:rsidRPr="00C75E22" w:rsidRDefault="00196064" w:rsidP="0015357F">
      <w:pPr>
        <w:widowControl w:val="0"/>
        <w:spacing w:after="120"/>
      </w:pPr>
      <w:r>
        <w:t>Pro příjemce jde o jednu z těchto možností:</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omezená společná a nerozdílná odpovědnost s individuálními stropy — </w:t>
      </w:r>
      <w:r>
        <w:rPr>
          <w:i/>
        </w:rPr>
        <w:t xml:space="preserve">pro každého příjemce </w:t>
      </w:r>
      <w:r>
        <w:t>až do maximální výše jeho grantu,</w:t>
      </w:r>
    </w:p>
    <w:p w14:paraId="22A8F057" w14:textId="77777777" w:rsidR="007C1E0D" w:rsidRPr="00C75E22" w:rsidRDefault="007C1E0D" w:rsidP="00584316">
      <w:pPr>
        <w:widowControl w:val="0"/>
        <w:numPr>
          <w:ilvl w:val="0"/>
          <w:numId w:val="31"/>
        </w:numPr>
        <w:spacing w:after="120"/>
        <w:ind w:left="709"/>
        <w:jc w:val="left"/>
        <w:rPr>
          <w:bCs/>
        </w:rPr>
      </w:pPr>
      <w:r>
        <w:t xml:space="preserve">bezpodmínečná společná a nerozdílná odpovědnost — </w:t>
      </w:r>
      <w:r>
        <w:rPr>
          <w:i/>
          <w:szCs w:val="18"/>
        </w:rPr>
        <w:t>pro každého příjemce až do maximální výše grantu na akci</w:t>
      </w:r>
      <w:r>
        <w:t xml:space="preserve"> </w:t>
      </w:r>
    </w:p>
    <w:p w14:paraId="46190429" w14:textId="77777777" w:rsidR="00E85905" w:rsidRPr="00C75E22" w:rsidRDefault="00E85905" w:rsidP="00E85905">
      <w:pPr>
        <w:widowControl w:val="0"/>
        <w:spacing w:after="120"/>
        <w:ind w:left="435"/>
        <w:rPr>
          <w:bCs/>
        </w:rPr>
      </w:pPr>
      <w:r>
        <w:t>nebo</w:t>
      </w:r>
    </w:p>
    <w:p w14:paraId="48C16878" w14:textId="2DA3851E" w:rsidR="007C1E0D" w:rsidRPr="00C75E22" w:rsidRDefault="007C1E0D" w:rsidP="00584316">
      <w:pPr>
        <w:widowControl w:val="0"/>
        <w:numPr>
          <w:ilvl w:val="0"/>
          <w:numId w:val="31"/>
        </w:numPr>
        <w:spacing w:after="120"/>
        <w:ind w:left="709"/>
        <w:jc w:val="left"/>
        <w:rPr>
          <w:bCs/>
        </w:rPr>
      </w:pPr>
      <w:r>
        <w:t xml:space="preserve">individuální finanční odpovědnost — </w:t>
      </w:r>
      <w:r>
        <w:rPr>
          <w:i/>
          <w:szCs w:val="18"/>
        </w:rPr>
        <w:t>pro každého příjemce pouze za jeho vlastní dluhy</w:t>
      </w:r>
      <w:r>
        <w:t xml:space="preserve">. </w:t>
      </w:r>
    </w:p>
    <w:p w14:paraId="3ED199B0" w14:textId="77777777" w:rsidR="00196064" w:rsidRDefault="00196064" w:rsidP="00196064">
      <w:pPr>
        <w:widowControl w:val="0"/>
        <w:rPr>
          <w:bCs/>
        </w:rPr>
      </w:pPr>
      <w:r>
        <w:t>Kromě toho může orgán udělující grant požadovat společnou a nerozdílnou odpovědnost přidružených subjektů (spolu s jejich příjemcem).</w:t>
      </w:r>
    </w:p>
    <w:p w14:paraId="0A01C377" w14:textId="77777777" w:rsidR="002D1390" w:rsidRPr="0019779F" w:rsidRDefault="002D1390" w:rsidP="00510B7E">
      <w:pPr>
        <w:pStyle w:val="Heading3"/>
      </w:pPr>
      <w:bookmarkStart w:id="35" w:name="_Toc89950980"/>
      <w:r>
        <w:t>Ustanovení týkající se provádění projektu</w:t>
      </w:r>
      <w:bookmarkEnd w:id="35"/>
    </w:p>
    <w:p w14:paraId="41C36EDF" w14:textId="77777777" w:rsidR="00C36932" w:rsidRDefault="00C36932" w:rsidP="00C36932">
      <w:pPr>
        <w:widowControl w:val="0"/>
        <w:rPr>
          <w:bCs/>
          <w:i/>
        </w:rPr>
      </w:pPr>
      <w:r>
        <w:t xml:space="preserve">Pravidla týkající se práv duševního vlastnictví: </w:t>
      </w:r>
      <w:r>
        <w:rPr>
          <w:bCs/>
          <w:i/>
        </w:rPr>
        <w:t>viz vzorová grantová dohoda (článek 16 a příloha 5):</w:t>
      </w:r>
    </w:p>
    <w:p w14:paraId="255EA0A4" w14:textId="769E98BA" w:rsidR="00C36932" w:rsidRPr="00310A7B" w:rsidRDefault="00C36932" w:rsidP="008C3D9D">
      <w:pPr>
        <w:widowControl w:val="0"/>
        <w:numPr>
          <w:ilvl w:val="0"/>
          <w:numId w:val="31"/>
        </w:numPr>
        <w:ind w:left="709"/>
        <w:jc w:val="left"/>
        <w:rPr>
          <w:bCs/>
        </w:rPr>
      </w:pPr>
      <w:r>
        <w:t>užívací práva k výsledkům: ano</w:t>
      </w:r>
    </w:p>
    <w:p w14:paraId="1203D3C9" w14:textId="77777777" w:rsidR="00C36932" w:rsidRPr="00310A7B" w:rsidRDefault="00C36932" w:rsidP="008C3D9D">
      <w:pPr>
        <w:widowControl w:val="0"/>
        <w:rPr>
          <w:bCs/>
          <w:i/>
        </w:rPr>
      </w:pPr>
      <w:r>
        <w:t xml:space="preserve">Komunikace, šíření a viditelnost financování: </w:t>
      </w:r>
      <w:r>
        <w:rPr>
          <w:bCs/>
          <w:i/>
        </w:rPr>
        <w:t>viz vzorová grantová dohoda (článek 17 a příloha 5):</w:t>
      </w:r>
    </w:p>
    <w:p w14:paraId="3B53DB48" w14:textId="3BE8BC8F" w:rsidR="006C2D98" w:rsidRPr="00310A7B" w:rsidRDefault="006C2D98" w:rsidP="008C3D9D">
      <w:pPr>
        <w:widowControl w:val="0"/>
        <w:numPr>
          <w:ilvl w:val="0"/>
          <w:numId w:val="31"/>
        </w:numPr>
        <w:ind w:left="709" w:hanging="357"/>
        <w:jc w:val="left"/>
        <w:rPr>
          <w:bCs/>
          <w:i/>
        </w:rPr>
      </w:pPr>
      <w:r>
        <w:t>další činnosti v oblasti komunikace a šíření: ano</w:t>
      </w:r>
    </w:p>
    <w:p w14:paraId="79092A73" w14:textId="77777777" w:rsidR="00E752E3" w:rsidRPr="002D1390" w:rsidRDefault="00E752E3" w:rsidP="00510B7E">
      <w:pPr>
        <w:pStyle w:val="Heading3"/>
      </w:pPr>
      <w:bookmarkStart w:id="36" w:name="_Toc89950981"/>
      <w:r>
        <w:t>Další specifika</w:t>
      </w:r>
      <w:bookmarkEnd w:id="36"/>
      <w:r>
        <w:t xml:space="preserve"> </w:t>
      </w:r>
    </w:p>
    <w:p w14:paraId="6FAE6CF8" w14:textId="3320AC1C" w:rsidR="006C2D98" w:rsidRDefault="006C2D98" w:rsidP="006C2D98">
      <w:pPr>
        <w:widowControl w:val="0"/>
        <w:rPr>
          <w:bCs/>
        </w:rPr>
      </w:pPr>
      <w:r>
        <w:t>Neuplatňuje se.</w:t>
      </w:r>
    </w:p>
    <w:p w14:paraId="550096E5" w14:textId="77777777" w:rsidR="00E752E3" w:rsidRPr="0019779F" w:rsidRDefault="00E752E3" w:rsidP="00510B7E">
      <w:pPr>
        <w:pStyle w:val="Heading3"/>
      </w:pPr>
      <w:bookmarkStart w:id="37" w:name="_Toc89950982"/>
      <w:r>
        <w:t>Nedodržení předpisů a porušení smlouvy</w:t>
      </w:r>
      <w:bookmarkEnd w:id="37"/>
    </w:p>
    <w:p w14:paraId="12A9A690" w14:textId="77777777" w:rsidR="00E85C9D" w:rsidRPr="00E85C9D" w:rsidRDefault="00E752E3" w:rsidP="00E85C9D">
      <w:pPr>
        <w:widowControl w:val="0"/>
        <w:rPr>
          <w:bCs/>
        </w:rPr>
      </w:pPr>
      <w:r>
        <w:t>Grantová dohoda (kapitola 5) stanoví opatření, která můžeme přijmout v případě porušení smlouvy (a dalších záležitostí souvisejících s nedodržováním předpisů).</w:t>
      </w:r>
    </w:p>
    <w:p w14:paraId="11678DD9" w14:textId="1C3D0D2D" w:rsidR="00E752E3" w:rsidRPr="00E752E3" w:rsidRDefault="005A3754" w:rsidP="00E752E3">
      <w:pPr>
        <w:autoSpaceDE w:val="0"/>
        <w:autoSpaceDN w:val="0"/>
        <w:adjustRightInd w:val="0"/>
        <w:rPr>
          <w:rFonts w:cs="Verdana"/>
        </w:rPr>
      </w:pPr>
      <w:r>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Více informací naleznete v </w:t>
      </w:r>
      <w:hyperlink r:id="rId49">
        <w:r>
          <w:rPr>
            <w:rStyle w:val="Hyperlink"/>
            <w:i/>
            <w:iCs/>
          </w:rPr>
          <w:t>anotované grantové dohodě</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89950983"/>
      <w:r>
        <w:t>Podání žádosti</w:t>
      </w:r>
      <w:bookmarkEnd w:id="38"/>
    </w:p>
    <w:p w14:paraId="761BA98F" w14:textId="77777777" w:rsidR="00A82A58" w:rsidRPr="00173BD7" w:rsidRDefault="00A82A58" w:rsidP="00A82A58">
      <w:pPr>
        <w:widowControl w:val="0"/>
      </w:pPr>
      <w:r>
        <w:t xml:space="preserve">Všechny návrhy musí být podány přímo on-line prostřednictvím systému pro elektronické podávání návrhů na portálu pro financování a nabídková řízení. Žádosti v tištěné podobě NEJSOU AKCEPTOVÁNY. </w:t>
      </w:r>
    </w:p>
    <w:p w14:paraId="1E44B7CE" w14:textId="77777777" w:rsidR="00A82A58" w:rsidRPr="00173BD7" w:rsidRDefault="00A82A58" w:rsidP="00A82A58">
      <w:r>
        <w:t xml:space="preserve">Podání návrhu probíhá ve </w:t>
      </w:r>
      <w:r>
        <w:rPr>
          <w:b/>
          <w:bCs/>
        </w:rPr>
        <w:t>dvou krocích</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vytvoření uživatelského účtu a registrace organizace</w:t>
      </w:r>
      <w:r>
        <w:rPr>
          <w:sz w:val="20"/>
          <w:szCs w:val="20"/>
        </w:rPr>
        <w:t xml:space="preserve"> </w:t>
      </w:r>
    </w:p>
    <w:p w14:paraId="7C7BE724" w14:textId="77777777" w:rsidR="00A82A58" w:rsidRPr="00173BD7" w:rsidRDefault="00A82A58" w:rsidP="00965369">
      <w:r>
        <w:t xml:space="preserve">Všichni účastníci, kteří chtějí používat systém pro podávání návrhů (což je jediný způsob, jak podat žádost), si musí </w:t>
      </w:r>
      <w:hyperlink r:id="rId50" w:history="1">
        <w:r>
          <w:rPr>
            <w:color w:val="0088CC"/>
            <w:u w:val="single"/>
          </w:rPr>
          <w:t>vytvořit uživatelský účet EU Login</w:t>
        </w:r>
      </w:hyperlink>
      <w:r>
        <w:t>.</w:t>
      </w:r>
    </w:p>
    <w:p w14:paraId="385F4D22" w14:textId="77777777" w:rsidR="00A82A58" w:rsidRPr="00173BD7" w:rsidRDefault="00A82A58" w:rsidP="00A82A58">
      <w:r>
        <w:t xml:space="preserve">Jakmile máte účet EU Login, můžete </w:t>
      </w:r>
      <w:hyperlink r:id="rId51" w:history="1">
        <w:r>
          <w:rPr>
            <w:color w:val="0088CC"/>
            <w:u w:val="single"/>
          </w:rPr>
          <w:t>zaregistrovat svou organizaci</w:t>
        </w:r>
      </w:hyperlink>
      <w:r>
        <w:t xml:space="preserve"> v rejstříku účastníků. Po dokončení registrace obdržíte 9místný identifikační kód účastníka (PIC).</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podání návrhu</w:t>
      </w:r>
    </w:p>
    <w:p w14:paraId="2D1D3DDF" w14:textId="77777777" w:rsidR="00A82A58" w:rsidRPr="00965369" w:rsidRDefault="00A82A58" w:rsidP="00A82A58">
      <w:pPr>
        <w:tabs>
          <w:tab w:val="left" w:pos="142"/>
        </w:tabs>
      </w:pPr>
      <w:r>
        <w:lastRenderedPageBreak/>
        <w:t xml:space="preserve">Vstupte do systému pro elektronické podávání návrhů prostřednictvím stránky Topic (Téma) v oddíle </w:t>
      </w:r>
      <w:hyperlink r:id="rId52" w:history="1">
        <w:r>
          <w:rPr>
            <w:rStyle w:val="Hyperlink"/>
          </w:rPr>
          <w:t>Search Funding &amp; Tenders</w:t>
        </w:r>
      </w:hyperlink>
      <w:r>
        <w:t xml:space="preserve"> (Vyhledávat financování a nabídková řízení) (nebo v případě výzev zaslaných formou vyzvání k podání návrhu prostřednictvím odkazu uvedeného ve zvacím dopise).</w:t>
      </w:r>
    </w:p>
    <w:p w14:paraId="55DB4E61" w14:textId="04712426" w:rsidR="00A82A58" w:rsidRPr="00173BD7" w:rsidRDefault="00A82A58" w:rsidP="00A82A58">
      <w:r>
        <w:t xml:space="preserve">Podejte svůj návrh ve čtyřech částech, a to takto: </w:t>
      </w:r>
    </w:p>
    <w:p w14:paraId="595ACC2F" w14:textId="77777777" w:rsidR="00A82A58" w:rsidRPr="00173BD7" w:rsidRDefault="00A82A58" w:rsidP="00A82A58">
      <w:pPr>
        <w:numPr>
          <w:ilvl w:val="0"/>
          <w:numId w:val="20"/>
        </w:numPr>
        <w:tabs>
          <w:tab w:val="num" w:pos="765"/>
        </w:tabs>
        <w:ind w:left="765"/>
      </w:pPr>
      <w:r>
        <w:t>Část A obsahuje administrativní informace o žádajících organizacích (budoucí koordinátor, příjemci, přidružené subjekty a přidružení partneři) a shrnutí rozpočtu návrhu. Vyplňte ji přímo on-line.</w:t>
      </w:r>
    </w:p>
    <w:p w14:paraId="0B5804F7" w14:textId="77777777" w:rsidR="00A82A58" w:rsidRPr="00173BD7" w:rsidRDefault="00A82A58" w:rsidP="00A82A58">
      <w:pPr>
        <w:numPr>
          <w:ilvl w:val="0"/>
          <w:numId w:val="20"/>
        </w:numPr>
        <w:tabs>
          <w:tab w:val="num" w:pos="765"/>
        </w:tabs>
        <w:ind w:left="765"/>
      </w:pPr>
      <w:r>
        <w:t>Část B (popis činnosti) se týká technického obsahu návrhu. Ze systému pro podávání návrhů si stáhněte povinnou šablonu ve formátu Word, vyplňte ji a nahrajte ji jako soubor ve formátu PDF.</w:t>
      </w:r>
    </w:p>
    <w:p w14:paraId="4AC31BB2" w14:textId="303BF488" w:rsidR="00A82A58" w:rsidRPr="00173BD7" w:rsidRDefault="00A82A58" w:rsidP="00A82A58">
      <w:pPr>
        <w:numPr>
          <w:ilvl w:val="0"/>
          <w:numId w:val="20"/>
        </w:numPr>
        <w:tabs>
          <w:tab w:val="num" w:pos="765"/>
        </w:tabs>
        <w:ind w:left="765"/>
      </w:pPr>
      <w:r>
        <w:t>Část C obsahuje další údaje o projektu. Vyplňuje se přímo online.</w:t>
      </w:r>
    </w:p>
    <w:p w14:paraId="3A0A5CB2" w14:textId="77777777" w:rsidR="00A82A58" w:rsidRPr="00173BD7" w:rsidRDefault="00A82A58" w:rsidP="00A82A58">
      <w:pPr>
        <w:numPr>
          <w:ilvl w:val="0"/>
          <w:numId w:val="20"/>
        </w:numPr>
        <w:tabs>
          <w:tab w:val="num" w:pos="765"/>
        </w:tabs>
        <w:ind w:left="765"/>
      </w:pPr>
      <w:r>
        <w:t xml:space="preserve">Přílohy </w:t>
      </w:r>
      <w:r>
        <w:rPr>
          <w:i/>
        </w:rPr>
        <w:t>(viz oddíl 5)</w:t>
      </w:r>
      <w:r>
        <w:t xml:space="preserve">. Nahrajte je jako soubor ve formátu PDF (jeden nebo více v závislosti na slotech). Nahrání souboru ve formátu Excel je někdy možné v závislosti na typu souboru. </w:t>
      </w:r>
    </w:p>
    <w:p w14:paraId="3A92FB1F" w14:textId="77777777" w:rsidR="00A82A58" w:rsidRPr="000564AA" w:rsidRDefault="00A82A58" w:rsidP="00A82A58">
      <w:r>
        <w:t xml:space="preserve">Návrh musí dodržovat </w:t>
      </w:r>
      <w:r>
        <w:rPr>
          <w:b/>
        </w:rPr>
        <w:t>omezení počtu stran</w:t>
      </w:r>
      <w:r>
        <w:t xml:space="preserve"> </w:t>
      </w:r>
      <w:r>
        <w:rPr>
          <w:i/>
        </w:rPr>
        <w:t>(viz oddíl 5)</w:t>
      </w:r>
      <w:r>
        <w:t xml:space="preserve">; nadpočetné stránky budou ignorovány. </w:t>
      </w:r>
    </w:p>
    <w:p w14:paraId="20D3A891" w14:textId="3BD2430A" w:rsidR="00774448" w:rsidRPr="000564AA" w:rsidRDefault="00774448" w:rsidP="00A82A58">
      <w:r>
        <w:t xml:space="preserve">Dokumenty musí být nahrány do </w:t>
      </w:r>
      <w:r>
        <w:rPr>
          <w:b/>
        </w:rPr>
        <w:t>správné kategorie</w:t>
      </w:r>
      <w:r>
        <w:t xml:space="preserve"> v systému pro podávání návrhů. Pokud se tak nestane, může být návrh považován za neúplný, a tudíž nepřípustný.</w:t>
      </w:r>
    </w:p>
    <w:p w14:paraId="72F683C9" w14:textId="77777777" w:rsidR="00774448" w:rsidRPr="000564AA" w:rsidRDefault="00774448" w:rsidP="00774448">
      <w:r>
        <w:t xml:space="preserve">Návrh musí být podán </w:t>
      </w:r>
      <w:r>
        <w:rPr>
          <w:b/>
        </w:rPr>
        <w:t>před uzávěrkou pro podání návrhů</w:t>
      </w:r>
      <w:r>
        <w:t xml:space="preserve"> </w:t>
      </w:r>
      <w:r>
        <w:rPr>
          <w:i/>
        </w:rPr>
        <w:t>(viz oddíl 4)</w:t>
      </w:r>
      <w:r>
        <w:t xml:space="preserve">. Po této uzávěrce bude systém uzavřen a návrhy již nebude možné podávat. </w:t>
      </w:r>
    </w:p>
    <w:p w14:paraId="762AB04D" w14:textId="77777777" w:rsidR="00774448" w:rsidRPr="000564AA" w:rsidRDefault="00774448" w:rsidP="00774448">
      <w:r>
        <w:t xml:space="preserve">Jakmile bude návrh podán, obdržíte </w:t>
      </w:r>
      <w:r>
        <w:rPr>
          <w:b/>
        </w:rPr>
        <w:t>potvrzující e-mail</w:t>
      </w:r>
      <w:r>
        <w:t xml:space="preserve"> (obsahující datum a čas podání žádosti). Pokud tento potvrzující e-mail neobdržíte, znamená to, že návrh NEBYL podán. Pokud se domníváte, že tuto situaci zapříčinila chyba systému pro podávání návrhů, měli byste okamžitě prostřednictvím </w:t>
      </w:r>
      <w:hyperlink r:id="rId53" w:history="1">
        <w:r>
          <w:rPr>
            <w:color w:val="0088CC"/>
            <w:u w:val="single"/>
          </w:rPr>
          <w:t>webového formuláře asistenční služby IT</w:t>
        </w:r>
      </w:hyperlink>
      <w:r>
        <w:t xml:space="preserve"> podat stížnost, v níž vysvětlíte okolnosti a přiložíte kopii návrhu (a případně snímek obrazovky, abyste doložili, co se stalo).</w:t>
      </w:r>
    </w:p>
    <w:p w14:paraId="5EBA6498" w14:textId="2BFF4472" w:rsidR="00774448" w:rsidRDefault="00774448" w:rsidP="00774448">
      <w:r>
        <w:t>Podrobnosti o procesech a postupech jsou popsány v </w:t>
      </w:r>
      <w:hyperlink r:id="rId54" w:history="1">
        <w:r>
          <w:rPr>
            <w:rStyle w:val="Hyperlink"/>
          </w:rPr>
          <w:t>on-line příručce</w:t>
        </w:r>
      </w:hyperlink>
      <w:r>
        <w:t>. On-line příručka obsahuje rovněž odkazy na často kladené dotazy a podrobné pokyny k systému pro elektronickou výměnu informací na portálu.</w:t>
      </w:r>
    </w:p>
    <w:p w14:paraId="2FB20757" w14:textId="11484925" w:rsidR="002D1390" w:rsidRPr="00975A34" w:rsidRDefault="002D1390" w:rsidP="000579AF">
      <w:pPr>
        <w:pStyle w:val="Heading1"/>
        <w:numPr>
          <w:ilvl w:val="0"/>
          <w:numId w:val="54"/>
        </w:numPr>
        <w:tabs>
          <w:tab w:val="left" w:pos="426"/>
        </w:tabs>
        <w:ind w:left="0" w:firstLine="0"/>
      </w:pPr>
      <w:bookmarkStart w:id="39" w:name="_Toc89950984"/>
      <w:r>
        <w:t>Pomoc</w:t>
      </w:r>
      <w:bookmarkEnd w:id="39"/>
    </w:p>
    <w:p w14:paraId="5BD07290" w14:textId="77777777" w:rsidR="00B870D7" w:rsidRDefault="00B870D7" w:rsidP="00B870D7">
      <w:pPr>
        <w:spacing w:after="120"/>
        <w:rPr>
          <w:szCs w:val="21"/>
        </w:rPr>
      </w:pPr>
      <w:r>
        <w:t xml:space="preserve">Pokud je to možné, </w:t>
      </w:r>
      <w:r>
        <w:rPr>
          <w:b/>
          <w:i/>
          <w:szCs w:val="21"/>
        </w:rPr>
        <w:t>pokuste se nalézt potřebné odpovědi sami</w:t>
      </w:r>
      <w:r>
        <w:t>, a to v tomto dokumentu a další dokumentaci (máme omezené zdroje pro vyřizování přímých dotazů):</w:t>
      </w:r>
    </w:p>
    <w:p w14:paraId="66C7F5F9" w14:textId="77777777" w:rsidR="00B870D7" w:rsidRPr="000F5190" w:rsidRDefault="00A54239" w:rsidP="00584316">
      <w:pPr>
        <w:widowControl w:val="0"/>
        <w:numPr>
          <w:ilvl w:val="0"/>
          <w:numId w:val="31"/>
        </w:numPr>
        <w:spacing w:after="120"/>
        <w:ind w:left="709"/>
        <w:jc w:val="left"/>
        <w:rPr>
          <w:szCs w:val="21"/>
        </w:rPr>
      </w:pPr>
      <w:hyperlink r:id="rId55" w:history="1">
        <w:r w:rsidR="00D9124D">
          <w:rPr>
            <w:rStyle w:val="Hyperlink"/>
          </w:rPr>
          <w:t>on-line příručka</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Časté dotazy na stránce Téma (pro dotazy týkající se otevřených výzev; nevztahuje se na akce na základě pozvání)</w:t>
      </w:r>
    </w:p>
    <w:p w14:paraId="15BC9D11" w14:textId="77777777" w:rsidR="00B870D7" w:rsidRPr="00310A7B" w:rsidRDefault="00A54239" w:rsidP="00584316">
      <w:pPr>
        <w:widowControl w:val="0"/>
        <w:numPr>
          <w:ilvl w:val="0"/>
          <w:numId w:val="31"/>
        </w:numPr>
        <w:ind w:left="709" w:hanging="357"/>
        <w:jc w:val="left"/>
        <w:rPr>
          <w:szCs w:val="21"/>
          <w:u w:val="single"/>
        </w:rPr>
      </w:pPr>
      <w:hyperlink r:id="rId56" w:history="1">
        <w:r w:rsidR="00D9124D">
          <w:rPr>
            <w:rStyle w:val="Hyperlink"/>
          </w:rPr>
          <w:t>často kladené dotazy k portálu</w:t>
        </w:r>
      </w:hyperlink>
      <w:r w:rsidR="00D9124D">
        <w:t xml:space="preserve"> (v případě obecných dotazů).</w:t>
      </w:r>
    </w:p>
    <w:p w14:paraId="7FE24C65" w14:textId="77777777" w:rsidR="00A53E20" w:rsidRPr="00310A7B" w:rsidRDefault="00A53E20" w:rsidP="00A53E20">
      <w:pPr>
        <w:rPr>
          <w:color w:val="000000"/>
          <w:szCs w:val="21"/>
        </w:rPr>
      </w:pPr>
      <w:r>
        <w:rPr>
          <w:color w:val="000000"/>
          <w:szCs w:val="21"/>
        </w:rPr>
        <w:t>Pravidelně také navštěvujte stránku Topic (Téma), protože ji použijeme ke zveřejňování aktualizací výzvy k podávání návrhů. (V případě vyzvání k podání návrhů vás v případě aktualizace výzvy oslovíme přímo.)</w:t>
      </w:r>
    </w:p>
    <w:p w14:paraId="2799B9E0" w14:textId="77777777" w:rsidR="00A53E20" w:rsidRPr="002D1390" w:rsidRDefault="00A53E20" w:rsidP="00A53E20">
      <w:pPr>
        <w:widowControl w:val="0"/>
        <w:rPr>
          <w:i/>
        </w:rPr>
      </w:pPr>
      <w:r>
        <w:rPr>
          <w:i/>
        </w:rPr>
        <w:t>Kontakt</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lastRenderedPageBreak/>
        <w:t xml:space="preserve">Máte-li konkrétní dotazy týkající se systému pro podávání návrhů na portálu, obraťte se na </w:t>
      </w:r>
      <w:hyperlink r:id="rId57" w:history="1">
        <w:r>
          <w:rPr>
            <w:rStyle w:val="Hyperlink"/>
            <w:rFonts w:ascii="Verdana" w:hAnsi="Verdana"/>
            <w:sz w:val="20"/>
            <w:szCs w:val="20"/>
          </w:rPr>
          <w:t>asistenční službu IT</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t xml:space="preserve">Dotazy, které se netýkají IT, je třeba zaslat na tuto e-mailovou adresu: </w:t>
      </w:r>
    </w:p>
    <w:p w14:paraId="78E7C8FF" w14:textId="75E2D1C4" w:rsidR="00CD6C4F" w:rsidRDefault="00A54239"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Jasně uveďte referenční číslo výzvy k podávání návrhů a tématu, kterého se váš dotaz týká </w:t>
      </w:r>
      <w:r>
        <w:rPr>
          <w:i/>
        </w:rPr>
        <w:t>(viz titulní strana)</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89950985"/>
      <w:r>
        <w:lastRenderedPageBreak/>
        <w:t>Důležité</w:t>
      </w:r>
      <w:bookmarkEnd w:id="40"/>
    </w:p>
    <w:p w14:paraId="27573CC2" w14:textId="66C18F3F" w:rsidR="000579AF" w:rsidRDefault="00E02E47" w:rsidP="00DC47B2">
      <w:pPr>
        <w:widowControl w:val="0"/>
        <w:ind w:right="366"/>
        <w:rPr>
          <w:b/>
          <w:color w:val="595959"/>
          <w:sz w:val="18"/>
          <w:szCs w:val="18"/>
        </w:rPr>
      </w:pPr>
      <w:r>
        <w:rPr>
          <w:noProof/>
          <w:lang w:val="en-IE" w:eastAsia="en-IE"/>
        </w:rPr>
        <mc:AlternateContent>
          <mc:Choice Requires="wps">
            <w:drawing>
              <wp:inline distT="0" distB="0" distL="0" distR="0" wp14:anchorId="2AA15A6D" wp14:editId="5CC0050E">
                <wp:extent cx="5473065" cy="8172450"/>
                <wp:effectExtent l="0" t="0" r="13335" b="19050"/>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72450"/>
                        </a:xfrm>
                        <a:prstGeom prst="rect">
                          <a:avLst/>
                        </a:prstGeom>
                        <a:solidFill>
                          <a:srgbClr val="F2F2F2"/>
                        </a:solidFill>
                        <a:ln w="19050">
                          <a:solidFill>
                            <a:srgbClr val="BFBFBF"/>
                          </a:solidFill>
                          <a:miter lim="800000"/>
                          <a:headEnd/>
                          <a:tailEnd/>
                        </a:ln>
                      </wps:spPr>
                      <wps:txbx>
                        <w:txbxContent>
                          <w:p w14:paraId="6B03D364" w14:textId="77777777" w:rsidR="00E02E47" w:rsidRPr="00310A7B" w:rsidRDefault="00E02E47" w:rsidP="00E02E47">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DŮLEŽITÉ </w:t>
                            </w:r>
                          </w:p>
                          <w:p w14:paraId="0CD199A5" w14:textId="77777777" w:rsidR="00E02E47" w:rsidRPr="00310A7B" w:rsidRDefault="00E02E47" w:rsidP="00E02E47">
                            <w:pPr>
                              <w:numPr>
                                <w:ilvl w:val="0"/>
                                <w:numId w:val="25"/>
                              </w:numPr>
                              <w:spacing w:after="120"/>
                              <w:ind w:left="567" w:right="79" w:hanging="447"/>
                              <w:rPr>
                                <w:color w:val="595959"/>
                                <w:sz w:val="18"/>
                                <w:szCs w:val="18"/>
                              </w:rPr>
                            </w:pPr>
                            <w:r>
                              <w:rPr>
                                <w:b/>
                                <w:color w:val="595959"/>
                                <w:sz w:val="18"/>
                                <w:szCs w:val="18"/>
                              </w:rPr>
                              <w:t>Neodkládejte podání na poslední chvíli</w:t>
                            </w:r>
                            <w:r>
                              <w:rPr>
                                <w:color w:val="595959"/>
                                <w:sz w:val="18"/>
                                <w:szCs w:val="18"/>
                              </w:rPr>
                              <w:t xml:space="preserve"> – vyplňte žádost s dostatečným předstihem před uplynutím lhůty, abyste předešli </w:t>
                            </w:r>
                            <w:r>
                              <w:rPr>
                                <w:b/>
                                <w:color w:val="595959"/>
                                <w:sz w:val="18"/>
                                <w:szCs w:val="18"/>
                              </w:rPr>
                              <w:t>technickým problémům</w:t>
                            </w:r>
                            <w:r>
                              <w:rPr>
                                <w:color w:val="595959"/>
                                <w:sz w:val="18"/>
                                <w:szCs w:val="18"/>
                              </w:rPr>
                              <w:t xml:space="preserve">, které se mohou vyskytnout na poslední chvíli. Přebíráte veškeré riziko související s problémy způsobenými podáním návrhu na poslední chvíli </w:t>
                            </w:r>
                            <w:r>
                              <w:rPr>
                                <w:i/>
                                <w:color w:val="595959"/>
                                <w:sz w:val="18"/>
                                <w:szCs w:val="18"/>
                              </w:rPr>
                              <w:t>(např. přetížení atd.)</w:t>
                            </w:r>
                            <w:r>
                              <w:rPr>
                                <w:color w:val="595959"/>
                                <w:sz w:val="18"/>
                                <w:szCs w:val="18"/>
                              </w:rPr>
                              <w:t>. Uzávěrky pro podání návrhů NELZE prodloužit.</w:t>
                            </w:r>
                          </w:p>
                          <w:p w14:paraId="5FFFFB39" w14:textId="77777777" w:rsidR="00E02E47" w:rsidRPr="006E643A" w:rsidRDefault="00E02E47" w:rsidP="00E02E47">
                            <w:pPr>
                              <w:numPr>
                                <w:ilvl w:val="0"/>
                                <w:numId w:val="25"/>
                              </w:numPr>
                              <w:ind w:left="567" w:right="79" w:hanging="447"/>
                              <w:rPr>
                                <w:color w:val="595959"/>
                                <w:sz w:val="18"/>
                                <w:szCs w:val="18"/>
                              </w:rPr>
                            </w:pPr>
                            <w:r>
                              <w:rPr>
                                <w:b/>
                                <w:color w:val="595959"/>
                                <w:sz w:val="18"/>
                                <w:szCs w:val="18"/>
                              </w:rPr>
                              <w:t>Navštěvujte</w:t>
                            </w:r>
                            <w:r>
                              <w:rPr>
                                <w:color w:val="595959"/>
                                <w:sz w:val="18"/>
                                <w:szCs w:val="18"/>
                              </w:rPr>
                              <w:t xml:space="preserve"> pravidelně stránku Topic (Téma) portálu. Budeme ji používat ke zveřejňování aktualizací a dalších informací o výzvě k podávání návrhů (aktualizace výzvy a témat).</w:t>
                            </w:r>
                          </w:p>
                          <w:p w14:paraId="7A55A0F4" w14:textId="77777777" w:rsidR="00E02E47" w:rsidRPr="00F701D1" w:rsidRDefault="00E02E47" w:rsidP="00E02E47">
                            <w:pPr>
                              <w:numPr>
                                <w:ilvl w:val="0"/>
                                <w:numId w:val="25"/>
                              </w:numPr>
                              <w:ind w:left="567" w:right="79" w:hanging="447"/>
                              <w:rPr>
                                <w:rFonts w:cs="Arial"/>
                                <w:color w:val="595959"/>
                                <w:sz w:val="18"/>
                                <w:szCs w:val="18"/>
                              </w:rPr>
                            </w:pPr>
                            <w:r>
                              <w:rPr>
                                <w:color w:val="595959"/>
                                <w:sz w:val="18"/>
                                <w:szCs w:val="18"/>
                              </w:rPr>
                              <w:t>Systém pro elektronickou výměnu informací na portálu pro financování a nabídková řízení -</w:t>
                            </w:r>
                            <w:r>
                              <w:rPr>
                                <w:color w:val="595959"/>
                              </w:rPr>
                              <w:t xml:space="preserve"> odesláním žádosti všichni účastníci </w:t>
                            </w:r>
                            <w:r>
                              <w:rPr>
                                <w:b/>
                                <w:color w:val="595959"/>
                              </w:rPr>
                              <w:t>souhlasí</w:t>
                            </w:r>
                            <w:r>
                              <w:rPr>
                                <w:color w:val="595959"/>
                              </w:rPr>
                              <w:t xml:space="preserve"> s používáním systému pro elektronickou výměnu informací v souladu s </w:t>
                            </w:r>
                            <w:hyperlink r:id="rId59" w:history="1">
                              <w:r>
                                <w:rPr>
                                  <w:rStyle w:val="Hyperlink"/>
                                  <w:sz w:val="18"/>
                                  <w:szCs w:val="18"/>
                                </w:rPr>
                                <w:t>podmínkami portálu</w:t>
                              </w:r>
                            </w:hyperlink>
                            <w:r>
                              <w:rPr>
                                <w:color w:val="7F7F7F"/>
                                <w:sz w:val="18"/>
                                <w:szCs w:val="18"/>
                              </w:rPr>
                              <w:t>.</w:t>
                            </w:r>
                          </w:p>
                          <w:p w14:paraId="420CBC62" w14:textId="77777777" w:rsidR="00E02E47" w:rsidRPr="00F701D1" w:rsidRDefault="00E02E47" w:rsidP="00E02E47">
                            <w:pPr>
                              <w:numPr>
                                <w:ilvl w:val="0"/>
                                <w:numId w:val="25"/>
                              </w:numPr>
                              <w:ind w:left="567" w:right="79" w:hanging="447"/>
                              <w:rPr>
                                <w:rFonts w:cs="Arial"/>
                                <w:color w:val="595959"/>
                                <w:sz w:val="18"/>
                                <w:szCs w:val="18"/>
                              </w:rPr>
                            </w:pPr>
                            <w:r>
                              <w:rPr>
                                <w:b/>
                                <w:color w:val="595959"/>
                                <w:sz w:val="18"/>
                                <w:szCs w:val="18"/>
                              </w:rPr>
                              <w:t>Registrace</w:t>
                            </w:r>
                            <w:r>
                              <w:rPr>
                                <w:color w:val="595959"/>
                                <w:sz w:val="18"/>
                                <w:szCs w:val="18"/>
                              </w:rPr>
                              <w:t xml:space="preserve"> - před podáním žádosti musí být žádost, všichni příjemci, přidružené subjekty a přidružení partneři zaregistrováni v </w:t>
                            </w:r>
                            <w:hyperlink r:id="rId60" w:history="1">
                              <w:r>
                                <w:rPr>
                                  <w:rStyle w:val="Hyperlink"/>
                                  <w:sz w:val="18"/>
                                  <w:szCs w:val="18"/>
                                </w:rPr>
                                <w:t>rejstříku účastníků</w:t>
                              </w:r>
                            </w:hyperlink>
                            <w:r>
                              <w:rPr>
                                <w:color w:val="595959"/>
                                <w:sz w:val="18"/>
                                <w:szCs w:val="18"/>
                              </w:rPr>
                              <w:t>. Pro formulář žádosti je vyžadován identifikační kód účastníka (PIC) (jeden na účastníka).</w:t>
                            </w:r>
                          </w:p>
                          <w:p w14:paraId="7DA3CC4C" w14:textId="77777777" w:rsidR="00E02E47" w:rsidRPr="00F701D1" w:rsidRDefault="00E02E47" w:rsidP="00E02E47">
                            <w:pPr>
                              <w:numPr>
                                <w:ilvl w:val="0"/>
                                <w:numId w:val="25"/>
                              </w:numPr>
                              <w:spacing w:after="120"/>
                              <w:ind w:left="567" w:right="79" w:hanging="445"/>
                              <w:rPr>
                                <w:rFonts w:cs="Arial"/>
                                <w:iCs/>
                                <w:color w:val="595959"/>
                                <w:sz w:val="18"/>
                                <w:szCs w:val="18"/>
                              </w:rPr>
                            </w:pPr>
                            <w:r>
                              <w:rPr>
                                <w:b/>
                                <w:iCs/>
                                <w:color w:val="595959"/>
                                <w:sz w:val="18"/>
                                <w:szCs w:val="18"/>
                              </w:rPr>
                              <w:t>Úlohy v konsorciu</w:t>
                            </w:r>
                            <w:r>
                              <w:rPr>
                                <w:iCs/>
                                <w:color w:val="595959"/>
                                <w:sz w:val="18"/>
                                <w:szCs w:val="18"/>
                              </w:rPr>
                              <w:t xml:space="preserve"> – při vytváření konsorcia byste měli oslovit organizace, které vám pomohou dosáhnout cílů a vyřešit problémy.</w:t>
                            </w:r>
                          </w:p>
                          <w:p w14:paraId="0FE17181" w14:textId="77777777" w:rsidR="00E02E47" w:rsidRPr="00F701D1" w:rsidRDefault="00E02E47" w:rsidP="00E02E47">
                            <w:pPr>
                              <w:spacing w:after="120"/>
                              <w:ind w:left="567" w:right="79"/>
                              <w:rPr>
                                <w:rFonts w:eastAsia="Calibri"/>
                                <w:sz w:val="18"/>
                                <w:szCs w:val="18"/>
                              </w:rPr>
                            </w:pPr>
                            <w:r>
                              <w:rPr>
                                <w:color w:val="595959"/>
                                <w:sz w:val="18"/>
                                <w:szCs w:val="18"/>
                              </w:rPr>
                              <w:t xml:space="preserve">Úlohy by měly být přiděleny podle míry účasti na projektu. Hlavní účastníci by se měli účastnit jako </w:t>
                            </w:r>
                            <w:r>
                              <w:rPr>
                                <w:b/>
                                <w:color w:val="595959"/>
                                <w:sz w:val="18"/>
                                <w:szCs w:val="18"/>
                              </w:rPr>
                              <w:t>příjemci</w:t>
                            </w:r>
                            <w:r>
                              <w:rPr>
                                <w:color w:val="595959"/>
                                <w:sz w:val="18"/>
                                <w:szCs w:val="18"/>
                              </w:rPr>
                              <w:t xml:space="preserve"> nebo </w:t>
                            </w:r>
                            <w:r>
                              <w:rPr>
                                <w:b/>
                                <w:color w:val="595959"/>
                                <w:sz w:val="18"/>
                                <w:szCs w:val="18"/>
                              </w:rPr>
                              <w:t>přidružené subjekty</w:t>
                            </w:r>
                            <w:r>
                              <w:rPr>
                                <w:color w:val="595959"/>
                                <w:sz w:val="18"/>
                                <w:szCs w:val="18"/>
                              </w:rPr>
                              <w:t xml:space="preserve">, ostatní subjekty se mohou účastnit jako přidružení partneři, subdodavatelé či třetí strany poskytující věcné plnění. </w:t>
                            </w:r>
                            <w:r>
                              <w:rPr>
                                <w:b/>
                                <w:color w:val="595959"/>
                                <w:sz w:val="18"/>
                                <w:szCs w:val="18"/>
                              </w:rPr>
                              <w:t>Přidružení partneři</w:t>
                            </w:r>
                            <w:r>
                              <w:rPr>
                                <w:color w:val="595959"/>
                                <w:sz w:val="18"/>
                                <w:szCs w:val="18"/>
                              </w:rPr>
                              <w:t xml:space="preserve"> a třetí strany poskytující věcné plnění by měli nést své vlastní náklady (nestanou se formálními příjemci financování EU). </w:t>
                            </w:r>
                            <w:r>
                              <w:rPr>
                                <w:b/>
                                <w:color w:val="595959"/>
                                <w:sz w:val="18"/>
                                <w:szCs w:val="18"/>
                              </w:rPr>
                              <w:t>Subdodávky</w:t>
                            </w:r>
                            <w:r>
                              <w:rPr>
                                <w:color w:val="595959"/>
                                <w:sz w:val="18"/>
                                <w:szCs w:val="18"/>
                              </w:rPr>
                              <w:t xml:space="preserve"> by obvykle měly představovat omezenou část a musí je zajišťovat třetí strany (nikoliv jeden z příjemců / přidružených subjektů). Subdodávky překračující 30 % celkových způsobilých nákladů musí být v žádosti odůvodněny.</w:t>
                            </w:r>
                          </w:p>
                          <w:p w14:paraId="56CC18EF" w14:textId="77777777" w:rsidR="00E02E47" w:rsidRPr="00072FAA" w:rsidRDefault="00E02E47" w:rsidP="00E02E47">
                            <w:pPr>
                              <w:numPr>
                                <w:ilvl w:val="0"/>
                                <w:numId w:val="25"/>
                              </w:numPr>
                              <w:ind w:left="567" w:right="78" w:hanging="445"/>
                              <w:rPr>
                                <w:rFonts w:cs="Arial"/>
                                <w:iCs/>
                                <w:color w:val="595959"/>
                                <w:sz w:val="18"/>
                                <w:szCs w:val="18"/>
                              </w:rPr>
                            </w:pPr>
                            <w:r>
                              <w:rPr>
                                <w:b/>
                                <w:color w:val="595959"/>
                                <w:sz w:val="18"/>
                                <w:szCs w:val="18"/>
                              </w:rPr>
                              <w:t>Koordinátor</w:t>
                            </w:r>
                            <w:r>
                              <w:rPr>
                                <w:color w:val="595959"/>
                                <w:sz w:val="18"/>
                                <w:szCs w:val="18"/>
                              </w:rPr>
                              <w:t xml:space="preserve"> – v případě grantů pro více příjemců se příjemci účastní jako konsorcium (skupina příjemců). Budou muset zvolit koordinátora, který zajistí řízení a koordinaci projektu a bude zastupovat konsorcium vůči orgánu udělujícímu grant. U grantů pro jednoho příjemce se koordinátorem stává automaticky jediný příjemce.</w:t>
                            </w:r>
                          </w:p>
                          <w:p w14:paraId="6EE57611"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Přidružené subjekty</w:t>
                            </w:r>
                            <w:r>
                              <w:rPr>
                                <w:color w:val="595959"/>
                                <w:sz w:val="18"/>
                                <w:szCs w:val="18"/>
                              </w:rPr>
                              <w:t xml:space="preserve"> – žadatelé se mohou účastnit spolu s přidruženými subjekty (tj. subjekty spojenými s příjemcem, které se účastní akce a mají podobná práva a povinnosti jako příjemci, ale nepodepsaly grantovou dohodu, a proto se nestaly samotnými příjemci). Získají část grantových prostředků, a musí proto splňovat všechny podmínky výzvy a musí být ověřeny (stejně jako příjemci), ale nejsou zahrnuty pro účely (případných) minimálních kritérií způsobilosti pro složení konsorcia.</w:t>
                            </w:r>
                          </w:p>
                          <w:p w14:paraId="73EF63EE" w14:textId="77777777" w:rsidR="00E02E47" w:rsidRPr="00310A7B" w:rsidRDefault="00E02E47" w:rsidP="00E02E47">
                            <w:pPr>
                              <w:numPr>
                                <w:ilvl w:val="0"/>
                                <w:numId w:val="25"/>
                              </w:numPr>
                              <w:ind w:left="567" w:right="78" w:hanging="445"/>
                              <w:rPr>
                                <w:rFonts w:eastAsia="Verdana" w:cs="Verdana"/>
                                <w:color w:val="595959"/>
                                <w:sz w:val="18"/>
                                <w:szCs w:val="18"/>
                              </w:rPr>
                            </w:pPr>
                            <w:r>
                              <w:rPr>
                                <w:b/>
                                <w:color w:val="595959"/>
                                <w:sz w:val="18"/>
                                <w:szCs w:val="18"/>
                              </w:rPr>
                              <w:t>Přidružení partneři</w:t>
                            </w:r>
                            <w:r>
                              <w:rPr>
                                <w:color w:val="595959"/>
                                <w:sz w:val="18"/>
                                <w:szCs w:val="18"/>
                              </w:rPr>
                              <w:t xml:space="preserve"> – žadatelé se mohou účastnit s přidruženými partnery (tj. partnerskými organizacemi, které se akce účastní, ale bez práva na získání grantových prostředků). Účastní se, aniž by jim byly poskytovány finanční prostředky, a proto není nutné je ověřovat.</w:t>
                            </w:r>
                          </w:p>
                          <w:p w14:paraId="41D9A81B" w14:textId="77777777" w:rsidR="00E02E47" w:rsidRPr="00F43CEE" w:rsidRDefault="00E02E47" w:rsidP="00E02E47">
                            <w:pPr>
                              <w:numPr>
                                <w:ilvl w:val="0"/>
                                <w:numId w:val="25"/>
                              </w:numPr>
                              <w:ind w:left="567" w:right="79" w:hanging="445"/>
                              <w:rPr>
                                <w:rFonts w:cs="Arial"/>
                                <w:color w:val="595959"/>
                                <w:sz w:val="18"/>
                                <w:szCs w:val="18"/>
                              </w:rPr>
                            </w:pPr>
                            <w:r>
                              <w:rPr>
                                <w:b/>
                                <w:color w:val="595959"/>
                                <w:sz w:val="18"/>
                                <w:szCs w:val="18"/>
                              </w:rPr>
                              <w:t>Dohoda o konsorciu</w:t>
                            </w:r>
                            <w:r>
                              <w:rPr>
                                <w:color w:val="595959"/>
                                <w:sz w:val="18"/>
                                <w:szCs w:val="18"/>
                              </w:rPr>
                              <w:t xml:space="preserve"> – z praktických a právních důvodů se doporučuje zavést interní ujednání, která vám umožní vypořádat se s výjimečnými nebo nepředvídanými okolnostmi (a to ve všech případech, i když to není podle grantové dohody povinné). Dohoda o konsorciu vám také umožňuje přerozdělit grantové prostředky podle vašich vlastních interních zásad a parametrů konsorcia (například jeden příjemce může přidělit své grantové prostředky jinému příjemci). Dohoda o konsorciu vám takto umožňuje přizpůsobit grant EU potřebám v rámci vašeho konsorcia a může vám také pomoci se chránit v případě sporů.</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2AA15A6D">
                <v:stroke joinstyle="miter"/>
                <v:path gradientshapeok="t" o:connecttype="rect"/>
              </v:shapetype>
              <v:shape id="Text Box 85" style="width:430.95pt;height:643.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">
                <v:textbox>
                  <w:txbxContent>
                    <w:p w:rsidRPr="00310A7B" w:rsidR="00E02E47" w:rsidP="00E02E47" w:rsidRDefault="00E02E47" w14:paraId="6B03D364" w14:textId="77777777">
                      <w:pPr>
                        <w:pStyle w:val="Text1"/>
                        <w:spacing w:before="120" w:after="120"/>
                        <w:ind w:left="0"/>
                        <w:rPr>
                          <w:rFonts w:cs="Arial"/>
                          <w:color w:val="595959"/>
                          <w:sz w:val="16"/>
                          <w:szCs w:val="18"/>
                        </w:rPr>
                      </w:pPr>
                      <w:r>
                        <w:rPr>
                          <w:b/>
                          <w:noProof/>
                          <w:color w:val="7F7F7F"/>
                          <w:sz w:val="18"/>
                          <w:szCs w:val="21"/>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DŮLEŽITÉ </w:t>
                      </w:r>
                    </w:p>
                    <w:p w:rsidRPr="00310A7B" w:rsidR="00E02E47" w:rsidP="00E02E47" w:rsidRDefault="00E02E47" w14:paraId="0CD199A5" w14:textId="77777777">
                      <w:pPr>
                        <w:numPr>
                          <w:ilvl w:val="0"/>
                          <w:numId w:val="25"/>
                        </w:numPr>
                        <w:spacing w:after="120"/>
                        <w:ind w:left="567" w:right="79" w:hanging="447"/>
                        <w:rPr>
                          <w:color w:val="595959"/>
                          <w:sz w:val="18"/>
                          <w:szCs w:val="18"/>
                        </w:rPr>
                      </w:pPr>
                      <w:r>
                        <w:rPr>
                          <w:b/>
                          <w:color w:val="595959"/>
                          <w:sz w:val="18"/>
                          <w:szCs w:val="18"/>
                        </w:rPr>
                        <w:t>Neodkládejte podání na poslední chvíli</w:t>
                      </w:r>
                      <w:r>
                        <w:rPr>
                          <w:color w:val="595959"/>
                          <w:sz w:val="18"/>
                          <w:szCs w:val="18"/>
                        </w:rPr>
                        <w:t xml:space="preserve"> – vyplňte žádost s dostatečným předstihem před uplynutím lhůty, abyste předešli </w:t>
                      </w:r>
                      <w:r>
                        <w:rPr>
                          <w:b/>
                          <w:color w:val="595959"/>
                          <w:sz w:val="18"/>
                          <w:szCs w:val="18"/>
                        </w:rPr>
                        <w:t>technickým problémům</w:t>
                      </w:r>
                      <w:r>
                        <w:rPr>
                          <w:color w:val="595959"/>
                          <w:sz w:val="18"/>
                          <w:szCs w:val="18"/>
                        </w:rPr>
                        <w:t xml:space="preserve">, které se mohou vyskytnout na poslední chvíli. Přebíráte veškeré riziko související s problémy způsobenými podáním návrhu na poslední chvíli </w:t>
                      </w:r>
                      <w:r>
                        <w:rPr>
                          <w:i/>
                          <w:color w:val="595959"/>
                          <w:sz w:val="18"/>
                          <w:szCs w:val="18"/>
                        </w:rPr>
                        <w:t>(např. přetížení atd.)</w:t>
                      </w:r>
                      <w:r>
                        <w:rPr>
                          <w:color w:val="595959"/>
                          <w:sz w:val="18"/>
                          <w:szCs w:val="18"/>
                        </w:rPr>
                        <w:t>. Uzávěrky pro podání návrhů NELZE prodloužit.</w:t>
                      </w:r>
                    </w:p>
                    <w:p w:rsidRPr="006E643A" w:rsidR="00E02E47" w:rsidP="00E02E47" w:rsidRDefault="00E02E47" w14:paraId="5FFFFB39" w14:textId="77777777">
                      <w:pPr>
                        <w:numPr>
                          <w:ilvl w:val="0"/>
                          <w:numId w:val="25"/>
                        </w:numPr>
                        <w:ind w:left="567" w:right="79" w:hanging="447"/>
                        <w:rPr>
                          <w:color w:val="595959"/>
                          <w:sz w:val="18"/>
                          <w:szCs w:val="18"/>
                        </w:rPr>
                      </w:pPr>
                      <w:r>
                        <w:rPr>
                          <w:b/>
                          <w:color w:val="595959"/>
                          <w:sz w:val="18"/>
                          <w:szCs w:val="18"/>
                        </w:rPr>
                        <w:t>Navštěvujte</w:t>
                      </w:r>
                      <w:r>
                        <w:rPr>
                          <w:color w:val="595959"/>
                          <w:sz w:val="18"/>
                          <w:szCs w:val="18"/>
                        </w:rPr>
                        <w:t xml:space="preserve"> pravidelně stránku Topic (Téma) portálu. Budeme ji používat ke zveřejňování aktualizací a dalších informací o výzvě k podávání návrhů (aktualizace výzvy a témat).</w:t>
                      </w:r>
                    </w:p>
                    <w:p w:rsidRPr="00F701D1" w:rsidR="00E02E47" w:rsidP="00E02E47" w:rsidRDefault="00E02E47" w14:paraId="7A55A0F4" w14:textId="77777777">
                      <w:pPr>
                        <w:numPr>
                          <w:ilvl w:val="0"/>
                          <w:numId w:val="25"/>
                        </w:numPr>
                        <w:ind w:left="567" w:right="79" w:hanging="447"/>
                        <w:rPr>
                          <w:rFonts w:cs="Arial"/>
                          <w:color w:val="595959"/>
                          <w:sz w:val="18"/>
                          <w:szCs w:val="18"/>
                        </w:rPr>
                      </w:pPr>
                      <w:r>
                        <w:rPr>
                          <w:color w:val="595959"/>
                          <w:sz w:val="18"/>
                          <w:szCs w:val="18"/>
                        </w:rPr>
                        <w:t>Systém pro elektronickou výměnu informací na portálu pro financování a nabídková řízení -</w:t>
                      </w:r>
                      <w:r>
                        <w:rPr>
                          <w:color w:val="595959"/>
                        </w:rPr>
                        <w:t xml:space="preserve"> odesláním žádosti všichni účastníci </w:t>
                      </w:r>
                      <w:r>
                        <w:rPr>
                          <w:b/>
                          <w:color w:val="595959"/>
                        </w:rPr>
                        <w:t>souhlasí</w:t>
                      </w:r>
                      <w:r>
                        <w:rPr>
                          <w:color w:val="595959"/>
                        </w:rPr>
                        <w:t xml:space="preserve"> s používáním systému pro elektronickou výměnu informací v souladu s </w:t>
                      </w:r>
                      <w:hyperlink w:history="1" r:id="rId62">
                        <w:r>
                          <w:rPr>
                            <w:rStyle w:val="Hyperlink"/>
                            <w:sz w:val="18"/>
                            <w:szCs w:val="18"/>
                          </w:rPr>
                          <w:t>podmínkami portálu</w:t>
                        </w:r>
                      </w:hyperlink>
                      <w:r>
                        <w:rPr>
                          <w:color w:val="7F7F7F"/>
                          <w:sz w:val="18"/>
                          <w:szCs w:val="18"/>
                        </w:rPr>
                        <w:t>.</w:t>
                      </w:r>
                    </w:p>
                    <w:p w:rsidRPr="00F701D1" w:rsidR="00E02E47" w:rsidP="00E02E47" w:rsidRDefault="00E02E47" w14:paraId="420CBC62" w14:textId="77777777">
                      <w:pPr>
                        <w:numPr>
                          <w:ilvl w:val="0"/>
                          <w:numId w:val="25"/>
                        </w:numPr>
                        <w:ind w:left="567" w:right="79" w:hanging="447"/>
                        <w:rPr>
                          <w:rFonts w:cs="Arial"/>
                          <w:color w:val="595959"/>
                          <w:sz w:val="18"/>
                          <w:szCs w:val="18"/>
                        </w:rPr>
                      </w:pPr>
                      <w:r>
                        <w:rPr>
                          <w:b/>
                          <w:color w:val="595959"/>
                          <w:sz w:val="18"/>
                          <w:szCs w:val="18"/>
                        </w:rPr>
                        <w:t>Registrace</w:t>
                      </w:r>
                      <w:r>
                        <w:rPr>
                          <w:color w:val="595959"/>
                          <w:sz w:val="18"/>
                          <w:szCs w:val="18"/>
                        </w:rPr>
                        <w:t xml:space="preserve"> - před podáním žádosti musí být žádost, všichni příjemci, přidružené subjekty a přidružení partneři zaregistrováni v </w:t>
                      </w:r>
                      <w:hyperlink w:history="1" r:id="rId63">
                        <w:r>
                          <w:rPr>
                            <w:rStyle w:val="Hyperlink"/>
                            <w:sz w:val="18"/>
                            <w:szCs w:val="18"/>
                          </w:rPr>
                          <w:t>rejstříku účastníků</w:t>
                        </w:r>
                      </w:hyperlink>
                      <w:r>
                        <w:rPr>
                          <w:color w:val="595959"/>
                          <w:sz w:val="18"/>
                          <w:szCs w:val="18"/>
                        </w:rPr>
                        <w:t>. Pro formulář žádosti je vyžadován identifikační kód účastníka (PIC) (jeden na účastníka).</w:t>
                      </w:r>
                    </w:p>
                    <w:p w:rsidRPr="00F701D1" w:rsidR="00E02E47" w:rsidP="00E02E47" w:rsidRDefault="00E02E47" w14:paraId="7DA3CC4C" w14:textId="77777777">
                      <w:pPr>
                        <w:numPr>
                          <w:ilvl w:val="0"/>
                          <w:numId w:val="25"/>
                        </w:numPr>
                        <w:spacing w:after="120"/>
                        <w:ind w:left="567" w:right="79" w:hanging="445"/>
                        <w:rPr>
                          <w:rFonts w:cs="Arial"/>
                          <w:iCs/>
                          <w:color w:val="595959"/>
                          <w:sz w:val="18"/>
                          <w:szCs w:val="18"/>
                        </w:rPr>
                      </w:pPr>
                      <w:r>
                        <w:rPr>
                          <w:b/>
                          <w:iCs/>
                          <w:color w:val="595959"/>
                          <w:sz w:val="18"/>
                          <w:szCs w:val="18"/>
                        </w:rPr>
                        <w:t>Úlohy v konsorciu</w:t>
                      </w:r>
                      <w:r>
                        <w:rPr>
                          <w:iCs/>
                          <w:color w:val="595959"/>
                          <w:sz w:val="18"/>
                          <w:szCs w:val="18"/>
                        </w:rPr>
                        <w:t xml:space="preserve"> – při vytváření konsorcia byste měli oslovit organizace, které vám pomohou dosáhnout cílů a vyřešit problémy.</w:t>
                      </w:r>
                    </w:p>
                    <w:p w:rsidRPr="00F701D1" w:rsidR="00E02E47" w:rsidP="00E02E47" w:rsidRDefault="00E02E47" w14:paraId="0FE17181" w14:textId="77777777">
                      <w:pPr>
                        <w:spacing w:after="120"/>
                        <w:ind w:left="567" w:right="79"/>
                        <w:rPr>
                          <w:rFonts w:eastAsia="Calibri"/>
                          <w:sz w:val="18"/>
                          <w:szCs w:val="18"/>
                        </w:rPr>
                      </w:pPr>
                      <w:r>
                        <w:rPr>
                          <w:color w:val="595959"/>
                          <w:sz w:val="18"/>
                          <w:szCs w:val="18"/>
                        </w:rPr>
                        <w:t xml:space="preserve">Úlohy by měly být přiděleny podle míry účasti na projektu. Hlavní účastníci by se měli účastnit jako </w:t>
                      </w:r>
                      <w:r>
                        <w:rPr>
                          <w:b/>
                          <w:color w:val="595959"/>
                          <w:sz w:val="18"/>
                          <w:szCs w:val="18"/>
                        </w:rPr>
                        <w:t>příjemci</w:t>
                      </w:r>
                      <w:r>
                        <w:rPr>
                          <w:color w:val="595959"/>
                          <w:sz w:val="18"/>
                          <w:szCs w:val="18"/>
                        </w:rPr>
                        <w:t xml:space="preserve"> nebo </w:t>
                      </w:r>
                      <w:r>
                        <w:rPr>
                          <w:b/>
                          <w:color w:val="595959"/>
                          <w:sz w:val="18"/>
                          <w:szCs w:val="18"/>
                        </w:rPr>
                        <w:t>přidružené subjekty</w:t>
                      </w:r>
                      <w:r>
                        <w:rPr>
                          <w:color w:val="595959"/>
                          <w:sz w:val="18"/>
                          <w:szCs w:val="18"/>
                        </w:rPr>
                        <w:t xml:space="preserve">, ostatní subjekty se mohou účastnit jako přidružení partneři, subdodavatelé či třetí strany poskytující věcné plnění. </w:t>
                      </w:r>
                      <w:r>
                        <w:rPr>
                          <w:b/>
                          <w:color w:val="595959"/>
                          <w:sz w:val="18"/>
                          <w:szCs w:val="18"/>
                        </w:rPr>
                        <w:t>Přidružení partneři</w:t>
                      </w:r>
                      <w:r>
                        <w:rPr>
                          <w:color w:val="595959"/>
                          <w:sz w:val="18"/>
                          <w:szCs w:val="18"/>
                        </w:rPr>
                        <w:t xml:space="preserve"> a třetí strany poskytující věcné plnění by měli nést své vlastní náklady (nestanou se formálními příjemci financování EU). </w:t>
                      </w:r>
                      <w:r>
                        <w:rPr>
                          <w:b/>
                          <w:color w:val="595959"/>
                          <w:sz w:val="18"/>
                          <w:szCs w:val="18"/>
                        </w:rPr>
                        <w:t>Subdodávky</w:t>
                      </w:r>
                      <w:r>
                        <w:rPr>
                          <w:color w:val="595959"/>
                          <w:sz w:val="18"/>
                          <w:szCs w:val="18"/>
                        </w:rPr>
                        <w:t xml:space="preserve"> by obvykle měly představovat omezenou část a musí je zajišťovat třetí strany (nikoliv jeden z příjemců / přidružených subjektů). Subdodávky překračující 30 % celkových způsobilých nákladů musí být v žádosti odůvodněny.</w:t>
                      </w:r>
                    </w:p>
                    <w:p w:rsidRPr="00072FAA" w:rsidR="00E02E47" w:rsidP="00E02E47" w:rsidRDefault="00E02E47" w14:paraId="56CC18EF" w14:textId="77777777">
                      <w:pPr>
                        <w:numPr>
                          <w:ilvl w:val="0"/>
                          <w:numId w:val="25"/>
                        </w:numPr>
                        <w:ind w:left="567" w:right="78" w:hanging="445"/>
                        <w:rPr>
                          <w:rFonts w:cs="Arial"/>
                          <w:iCs/>
                          <w:color w:val="595959"/>
                          <w:sz w:val="18"/>
                          <w:szCs w:val="18"/>
                        </w:rPr>
                      </w:pPr>
                      <w:r>
                        <w:rPr>
                          <w:b/>
                          <w:color w:val="595959"/>
                          <w:sz w:val="18"/>
                          <w:szCs w:val="18"/>
                        </w:rPr>
                        <w:t>Koordinátor</w:t>
                      </w:r>
                      <w:r>
                        <w:rPr>
                          <w:color w:val="595959"/>
                          <w:sz w:val="18"/>
                          <w:szCs w:val="18"/>
                        </w:rPr>
                        <w:t xml:space="preserve"> – v případě grantů pro více příjemců se příjemci účastní jako konsorcium (skupina příjemců). Budou muset zvolit koordinátora, který zajistí řízení a koordinaci projektu a bude zastupovat konsorcium vůči orgánu udělujícímu grant. U grantů pro jednoho příjemce se koordinátorem stává automaticky jediný příjemce.</w:t>
                      </w:r>
                    </w:p>
                    <w:p w:rsidRPr="00310A7B" w:rsidR="00E02E47" w:rsidP="00E02E47" w:rsidRDefault="00E02E47" w14:paraId="6EE57611" w14:textId="77777777">
                      <w:pPr>
                        <w:numPr>
                          <w:ilvl w:val="0"/>
                          <w:numId w:val="25"/>
                        </w:numPr>
                        <w:ind w:left="567" w:right="78" w:hanging="445"/>
                        <w:rPr>
                          <w:rFonts w:eastAsia="Verdana" w:cs="Verdana"/>
                          <w:color w:val="595959"/>
                          <w:sz w:val="18"/>
                          <w:szCs w:val="18"/>
                        </w:rPr>
                      </w:pPr>
                      <w:r>
                        <w:rPr>
                          <w:b/>
                          <w:color w:val="595959"/>
                          <w:sz w:val="18"/>
                          <w:szCs w:val="18"/>
                        </w:rPr>
                        <w:t>Přidružené subjekty</w:t>
                      </w:r>
                      <w:r>
                        <w:rPr>
                          <w:color w:val="595959"/>
                          <w:sz w:val="18"/>
                          <w:szCs w:val="18"/>
                        </w:rPr>
                        <w:t xml:space="preserve"> – žadatelé se mohou účastnit spolu s přidruženými subjekty (tj. subjekty spojenými s příjemcem, které se účastní akce a mají podobná práva a povinnosti jako příjemci, ale nepodepsaly grantovou dohodu, a proto se nestaly samotnými příjemci). Získají část grantových prostředků, a musí proto splňovat všechny podmínky výzvy a musí být ověřeny (stejně jako příjemci), ale nejsou zahrnuty pro účely (případných) minimálních kritérií způsobilosti pro složení konsorcia.</w:t>
                      </w:r>
                    </w:p>
                    <w:p w:rsidRPr="00310A7B" w:rsidR="00E02E47" w:rsidP="00E02E47" w:rsidRDefault="00E02E47" w14:paraId="73EF63EE" w14:textId="77777777">
                      <w:pPr>
                        <w:numPr>
                          <w:ilvl w:val="0"/>
                          <w:numId w:val="25"/>
                        </w:numPr>
                        <w:ind w:left="567" w:right="78" w:hanging="445"/>
                        <w:rPr>
                          <w:rFonts w:eastAsia="Verdana" w:cs="Verdana"/>
                          <w:color w:val="595959"/>
                          <w:sz w:val="18"/>
                          <w:szCs w:val="18"/>
                        </w:rPr>
                      </w:pPr>
                      <w:r>
                        <w:rPr>
                          <w:b/>
                          <w:color w:val="595959"/>
                          <w:sz w:val="18"/>
                          <w:szCs w:val="18"/>
                        </w:rPr>
                        <w:t>Přidružení partneři</w:t>
                      </w:r>
                      <w:r>
                        <w:rPr>
                          <w:color w:val="595959"/>
                          <w:sz w:val="18"/>
                          <w:szCs w:val="18"/>
                        </w:rPr>
                        <w:t xml:space="preserve"> – žadatelé se mohou účastnit s přidruženými partnery (tj. partnerskými organizacemi, které se akce účastní, ale bez práva na získání grantových prostředků). Účastní se, aniž by jim byly poskytovány finanční prostředky, a proto není nutné je ověřovat.</w:t>
                      </w:r>
                    </w:p>
                    <w:p w:rsidRPr="00F43CEE" w:rsidR="00E02E47" w:rsidP="00E02E47" w:rsidRDefault="00E02E47" w14:paraId="41D9A81B" w14:textId="77777777">
                      <w:pPr>
                        <w:numPr>
                          <w:ilvl w:val="0"/>
                          <w:numId w:val="25"/>
                        </w:numPr>
                        <w:ind w:left="567" w:right="79" w:hanging="445"/>
                        <w:rPr>
                          <w:rFonts w:cs="Arial"/>
                          <w:color w:val="595959"/>
                          <w:sz w:val="18"/>
                          <w:szCs w:val="18"/>
                        </w:rPr>
                      </w:pPr>
                      <w:r>
                        <w:rPr>
                          <w:b/>
                          <w:color w:val="595959"/>
                          <w:sz w:val="18"/>
                          <w:szCs w:val="18"/>
                        </w:rPr>
                        <w:t>Dohoda o konsorciu</w:t>
                      </w:r>
                      <w:r>
                        <w:rPr>
                          <w:color w:val="595959"/>
                          <w:sz w:val="18"/>
                          <w:szCs w:val="18"/>
                        </w:rPr>
                        <w:t xml:space="preserve"> – z praktických a právních důvodů se doporučuje zavést interní ujednání, která vám umožní vypořádat se s výjimečnými nebo nepředvídanými okolnostmi (a to ve všech případech, i když to není podle grantové dohody povinné). Dohoda o konsorciu vám také umožňuje přerozdělit grantové prostředky podle vašich vlastních interních zásad a parametrů konsorcia (například jeden příjemce může přidělit své grantové prostředky jinému příjemci). Dohoda o konsorciu vám takto umožňuje přizpůsobit grant EU potřebám v rámci vašeho konsorcia a může vám také pomoci se chránit v případě sporů.</w:t>
                      </w:r>
                    </w:p>
                  </w:txbxContent>
                </v:textbox>
                <w10:anchorlock/>
              </v:shape>
            </w:pict>
          </mc:Fallback>
        </mc:AlternateContent>
      </w:r>
      <w:r>
        <w:br w:type="page"/>
      </w:r>
    </w:p>
    <w:p w14:paraId="3FF23AF0" w14:textId="6DD5712C" w:rsidR="000579AF" w:rsidRDefault="000579AF" w:rsidP="00E02E47">
      <w:pPr>
        <w:widowControl w:val="0"/>
        <w:spacing w:after="0"/>
        <w:ind w:right="366"/>
        <w:rPr>
          <w:rFonts w:cs="Arial"/>
        </w:rPr>
      </w:pPr>
    </w:p>
    <w:p w14:paraId="07D7977D" w14:textId="49EE7B21" w:rsidR="000579AF" w:rsidRDefault="00E02E47" w:rsidP="00DC47B2">
      <w:pPr>
        <w:widowControl w:val="0"/>
        <w:ind w:right="366"/>
        <w:rPr>
          <w:rFonts w:cs="Arial"/>
        </w:rPr>
      </w:pPr>
      <w:r>
        <w:rPr>
          <w:noProof/>
          <w:lang w:val="en-IE" w:eastAsia="en-IE"/>
        </w:rPr>
        <mc:AlternateContent>
          <mc:Choice Requires="wps">
            <w:drawing>
              <wp:inline distT="0" distB="0" distL="0" distR="0" wp14:anchorId="5CF682EB" wp14:editId="09D65CFF">
                <wp:extent cx="5473065" cy="7448550"/>
                <wp:effectExtent l="0" t="0" r="13335" b="19050"/>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448550"/>
                        </a:xfrm>
                        <a:prstGeom prst="rect">
                          <a:avLst/>
                        </a:prstGeom>
                        <a:solidFill>
                          <a:srgbClr val="F2F2F2"/>
                        </a:solidFill>
                        <a:ln w="19050">
                          <a:solidFill>
                            <a:srgbClr val="BFBFBF"/>
                          </a:solidFill>
                          <a:miter lim="800000"/>
                          <a:headEnd/>
                          <a:tailEnd/>
                        </a:ln>
                      </wps:spPr>
                      <wps:txbx>
                        <w:txbxContent>
                          <w:p w14:paraId="44C0A553" w14:textId="77777777" w:rsidR="00E02E47" w:rsidRPr="00310A7B" w:rsidRDefault="00E02E47" w:rsidP="00E02E47">
                            <w:pPr>
                              <w:numPr>
                                <w:ilvl w:val="0"/>
                                <w:numId w:val="25"/>
                              </w:numPr>
                              <w:ind w:left="567" w:right="78" w:hanging="445"/>
                              <w:rPr>
                                <w:color w:val="595959"/>
                                <w:sz w:val="18"/>
                                <w:szCs w:val="18"/>
                              </w:rPr>
                            </w:pPr>
                            <w:r>
                              <w:rPr>
                                <w:b/>
                                <w:color w:val="595959"/>
                                <w:sz w:val="18"/>
                                <w:szCs w:val="18"/>
                              </w:rPr>
                              <w:t>Vyrovnaný rozpočet projektu</w:t>
                            </w:r>
                            <w:r>
                              <w:rPr>
                                <w:i/>
                                <w:color w:val="4AA55B"/>
                                <w:sz w:val="18"/>
                                <w:szCs w:val="18"/>
                              </w:rPr>
                              <w:t xml:space="preserve"> </w:t>
                            </w:r>
                            <w:r>
                              <w:rPr>
                                <w:color w:val="595959"/>
                                <w:sz w:val="18"/>
                                <w:szCs w:val="18"/>
                              </w:rPr>
                              <w:t xml:space="preserve">– žádosti o grant musí uvádět vyrovnaný rozpočet projektu a dostatek dalších zdrojů k úspěšné realizaci projektu </w:t>
                            </w:r>
                            <w:r>
                              <w:rPr>
                                <w:i/>
                                <w:iCs/>
                                <w:color w:val="595959"/>
                                <w:sz w:val="18"/>
                                <w:szCs w:val="18"/>
                              </w:rPr>
                              <w:t>(např. vlastní příspěvky, příjmy z činnosti, finanční příspěvky od třetích stran atd.)</w:t>
                            </w:r>
                            <w:r>
                              <w:rPr>
                                <w:color w:val="595959"/>
                                <w:sz w:val="18"/>
                                <w:szCs w:val="18"/>
                              </w:rPr>
                              <w:t xml:space="preserve">. Můžete být požádáni o snížení svých odhadovaných nákladů, pokud nejsou způsobilé (včetně případů, kdy jsou příliš vysoké). </w:t>
                            </w:r>
                          </w:p>
                          <w:p w14:paraId="2D934BC7" w14:textId="77777777" w:rsidR="00E02E47" w:rsidRPr="00376DCA" w:rsidRDefault="00E02E47" w:rsidP="00E02E47">
                            <w:pPr>
                              <w:numPr>
                                <w:ilvl w:val="0"/>
                                <w:numId w:val="25"/>
                              </w:numPr>
                              <w:ind w:left="567" w:right="78" w:hanging="445"/>
                              <w:rPr>
                                <w:color w:val="595959"/>
                                <w:sz w:val="18"/>
                                <w:szCs w:val="18"/>
                              </w:rPr>
                            </w:pPr>
                            <w:r>
                              <w:rPr>
                                <w:b/>
                                <w:color w:val="595959"/>
                                <w:sz w:val="18"/>
                                <w:szCs w:val="18"/>
                              </w:rPr>
                              <w:t xml:space="preserve">Pravidlo neziskovosti </w:t>
                            </w:r>
                            <w:r>
                              <w:rPr>
                                <w:color w:val="595959"/>
                                <w:sz w:val="18"/>
                                <w:szCs w:val="18"/>
                              </w:rPr>
                              <w:t xml:space="preserve">– granty NESMÍ přinést zisk (tj. součet příjmů a grantu EU nesmí převyšovat náklady). Tuto skutečnost zkontrolujeme na konci projektu. </w:t>
                            </w:r>
                          </w:p>
                          <w:p w14:paraId="06CED6FB"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Zamezení dvojímu financování</w:t>
                            </w:r>
                            <w:r>
                              <w:rPr>
                                <w:color w:val="595959"/>
                                <w:sz w:val="18"/>
                                <w:szCs w:val="18"/>
                              </w:rPr>
                              <w:t xml:space="preserve"> – existuje přísný zákaz dvojího financování z rozpočtu EU (s výjimkou akcí v oblasti synergií v rámci EU). Kromě takových akcí v oblasti synergií může jakákoliv daná akce obdržet z rozpočtu EU pouze JEDEN grant a nákladové položky nesmí být za ŽÁDNÝCH okolností vykazovány na dvě různé akce EU.</w:t>
                            </w:r>
                          </w:p>
                          <w:p w14:paraId="481A0BD0" w14:textId="77777777" w:rsidR="00E02E47" w:rsidRPr="006010BA" w:rsidRDefault="00E02E47" w:rsidP="00E02E47">
                            <w:pPr>
                              <w:numPr>
                                <w:ilvl w:val="0"/>
                                <w:numId w:val="25"/>
                              </w:numPr>
                              <w:ind w:left="567" w:right="78" w:hanging="445"/>
                              <w:rPr>
                                <w:rFonts w:eastAsia="Verdana" w:cs="Verdana"/>
                                <w:color w:val="595959"/>
                                <w:sz w:val="18"/>
                                <w:szCs w:val="18"/>
                              </w:rPr>
                            </w:pPr>
                            <w:r>
                              <w:rPr>
                                <w:b/>
                                <w:color w:val="595959"/>
                                <w:sz w:val="18"/>
                                <w:szCs w:val="18"/>
                              </w:rPr>
                              <w:t>Dokončené/probíhající projekty</w:t>
                            </w:r>
                            <w:r>
                              <w:rPr>
                                <w:color w:val="595959"/>
                                <w:sz w:val="18"/>
                                <w:szCs w:val="18"/>
                              </w:rPr>
                              <w:t xml:space="preserve"> – návrhy na projekty, které již byly dokončeny, budou zamítnuty. Návrhy na projekty, které již byly zahájeny, se posoudí zvlášť u každého případu (v tomto případě nelze hradit žádné náklady za činnosti, které se uskutečnily před datem zahájení projektu / podáním návrhu).</w:t>
                            </w:r>
                          </w:p>
                          <w:p w14:paraId="2A43FFFB" w14:textId="77777777" w:rsidR="00E02E47" w:rsidRPr="005C626D" w:rsidRDefault="00E02E47" w:rsidP="00E02E47">
                            <w:pPr>
                              <w:numPr>
                                <w:ilvl w:val="0"/>
                                <w:numId w:val="25"/>
                              </w:numPr>
                              <w:ind w:left="567" w:right="79" w:hanging="445"/>
                              <w:rPr>
                                <w:color w:val="595959"/>
                                <w:sz w:val="18"/>
                                <w:szCs w:val="18"/>
                              </w:rPr>
                            </w:pPr>
                            <w:r>
                              <w:rPr>
                                <w:b/>
                                <w:bCs/>
                                <w:color w:val="595959"/>
                                <w:sz w:val="18"/>
                                <w:szCs w:val="18"/>
                              </w:rPr>
                              <w:t>Kombinace s granty EU na provozní náklady</w:t>
                            </w:r>
                            <w:r>
                              <w:rPr>
                                <w:bCs/>
                                <w:color w:val="595959"/>
                                <w:sz w:val="18"/>
                                <w:szCs w:val="18"/>
                              </w:rPr>
                              <w:t xml:space="preserve"> –</w:t>
                            </w:r>
                            <w:r>
                              <w:rPr>
                                <w:color w:val="595959"/>
                                <w:sz w:val="18"/>
                                <w:szCs w:val="18"/>
                              </w:rPr>
                              <w:t xml:space="preserve"> kombinace s granty EU na provozní náklady je možná, pokud se na projekt nevztahuje pracovní program týkající se grantů na provozní náklady a pokud zajistíte, aby nákladové položky byly ve vašem účetnictví jasně odděleny a NEBYLY vykazovány dvakrát </w:t>
                            </w:r>
                            <w:r>
                              <w:rPr>
                                <w:i/>
                                <w:color w:val="595959"/>
                                <w:sz w:val="18"/>
                                <w:szCs w:val="18"/>
                              </w:rPr>
                              <w:t xml:space="preserve">(viz </w:t>
                            </w:r>
                            <w:hyperlink r:id="rId64" w:history="1">
                              <w:r>
                                <w:rPr>
                                  <w:rStyle w:val="Hyperlink"/>
                                  <w:i/>
                                  <w:sz w:val="18"/>
                                  <w:szCs w:val="18"/>
                                </w:rPr>
                                <w:t>článek 6.2.E anotované vzorové grantové dohody</w:t>
                              </w:r>
                            </w:hyperlink>
                            <w:r>
                              <w:rPr>
                                <w:i/>
                                <w:color w:val="595959"/>
                                <w:sz w:val="18"/>
                                <w:szCs w:val="18"/>
                              </w:rPr>
                              <w:t>)</w:t>
                            </w:r>
                            <w:r>
                              <w:rPr>
                                <w:sz w:val="18"/>
                                <w:szCs w:val="18"/>
                              </w:rPr>
                              <w:t>.</w:t>
                            </w:r>
                            <w:r>
                              <w:rPr>
                                <w:color w:val="4AA55B"/>
                                <w:sz w:val="18"/>
                                <w:szCs w:val="18"/>
                                <w:highlight w:val="yellow"/>
                              </w:rPr>
                              <w:t xml:space="preserve"> </w:t>
                            </w:r>
                          </w:p>
                          <w:p w14:paraId="0DC01CB9"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Více návrhů</w:t>
                            </w:r>
                            <w:r>
                              <w:rPr>
                                <w:color w:val="595959"/>
                                <w:sz w:val="18"/>
                                <w:szCs w:val="18"/>
                              </w:rPr>
                              <w:t xml:space="preserve"> – žadatelé mohou v rámci téže výzvy předložit více než jeden návrh na </w:t>
                            </w:r>
                            <w:r>
                              <w:rPr>
                                <w:i/>
                                <w:color w:val="595959"/>
                                <w:sz w:val="18"/>
                                <w:szCs w:val="18"/>
                              </w:rPr>
                              <w:t>různé</w:t>
                            </w:r>
                            <w:r>
                              <w:rPr>
                                <w:color w:val="595959"/>
                                <w:sz w:val="18"/>
                                <w:szCs w:val="18"/>
                              </w:rPr>
                              <w:t xml:space="preserve"> projekty (a mohou jim být přiděleny finanční prostředky).</w:t>
                            </w:r>
                          </w:p>
                          <w:p w14:paraId="1E1AA533" w14:textId="77777777" w:rsidR="00E02E47" w:rsidRPr="00AB05C4" w:rsidRDefault="00E02E47" w:rsidP="00E02E47">
                            <w:pPr>
                              <w:spacing w:after="120"/>
                              <w:ind w:left="567" w:right="79"/>
                              <w:rPr>
                                <w:color w:val="595959"/>
                                <w:sz w:val="18"/>
                                <w:szCs w:val="18"/>
                              </w:rPr>
                            </w:pPr>
                            <w:r>
                              <w:rPr>
                                <w:color w:val="595959"/>
                                <w:sz w:val="18"/>
                                <w:szCs w:val="18"/>
                              </w:rPr>
                              <w:t>Organizace se mohou účastnit několika návrhů.</w:t>
                            </w:r>
                          </w:p>
                          <w:p w14:paraId="7F404DA5" w14:textId="77777777" w:rsidR="00E02E47" w:rsidRPr="00AB05C4" w:rsidRDefault="00E02E47" w:rsidP="00E02E47">
                            <w:pPr>
                              <w:ind w:left="567" w:right="79"/>
                              <w:rPr>
                                <w:color w:val="595959"/>
                                <w:sz w:val="18"/>
                                <w:szCs w:val="18"/>
                              </w:rPr>
                            </w:pPr>
                            <w:r>
                              <w:rPr>
                                <w:color w:val="595959"/>
                                <w:sz w:val="18"/>
                                <w:szCs w:val="18"/>
                              </w:rPr>
                              <w:t xml:space="preserve">ALE: pokud existuje několik návrhů na </w:t>
                            </w:r>
                            <w:r>
                              <w:rPr>
                                <w:i/>
                                <w:iCs/>
                                <w:color w:val="595959"/>
                                <w:sz w:val="18"/>
                                <w:szCs w:val="18"/>
                              </w:rPr>
                              <w:t xml:space="preserve">velmi </w:t>
                            </w:r>
                            <w:r>
                              <w:rPr>
                                <w:i/>
                                <w:color w:val="595959"/>
                                <w:sz w:val="18"/>
                                <w:szCs w:val="18"/>
                              </w:rPr>
                              <w:t>podobný</w:t>
                            </w:r>
                            <w:r>
                              <w:rPr>
                                <w:color w:val="595959"/>
                                <w:sz w:val="18"/>
                                <w:szCs w:val="18"/>
                              </w:rPr>
                              <w:t xml:space="preserve"> projekt, bude přijata a hodnocena pouze jedna žádost; žadatelé budou požádáni, aby jednu z nich vzali zpět (nebo bude zamítnuta).</w:t>
                            </w:r>
                          </w:p>
                          <w:p w14:paraId="60EFB504" w14:textId="77777777" w:rsidR="00E02E47" w:rsidRDefault="00E02E47" w:rsidP="00E02E47">
                            <w:pPr>
                              <w:numPr>
                                <w:ilvl w:val="0"/>
                                <w:numId w:val="25"/>
                              </w:numPr>
                              <w:ind w:left="567" w:right="79" w:hanging="445"/>
                              <w:rPr>
                                <w:rFonts w:cs="Arial"/>
                                <w:b/>
                                <w:iCs/>
                                <w:color w:val="595959"/>
                                <w:sz w:val="18"/>
                                <w:szCs w:val="18"/>
                              </w:rPr>
                            </w:pPr>
                            <w:r>
                              <w:rPr>
                                <w:b/>
                                <w:color w:val="595959"/>
                                <w:sz w:val="18"/>
                              </w:rPr>
                              <w:t>Opětovné podání</w:t>
                            </w:r>
                            <w:r>
                              <w:rPr>
                                <w:color w:val="595959"/>
                                <w:sz w:val="18"/>
                              </w:rPr>
                              <w:t xml:space="preserve"> – návrhy mohou být měněny a znovu podávány až do uzávěrky pro podání návrhů.</w:t>
                            </w:r>
                          </w:p>
                          <w:p w14:paraId="670040E1" w14:textId="77777777" w:rsidR="00E02E47" w:rsidRPr="00310A7B" w:rsidRDefault="00E02E47" w:rsidP="00E02E47">
                            <w:pPr>
                              <w:numPr>
                                <w:ilvl w:val="0"/>
                                <w:numId w:val="25"/>
                              </w:numPr>
                              <w:spacing w:after="120"/>
                              <w:ind w:left="567" w:right="79" w:hanging="447"/>
                              <w:rPr>
                                <w:b/>
                                <w:bCs/>
                                <w:noProof/>
                                <w:sz w:val="18"/>
                                <w:szCs w:val="18"/>
                              </w:rPr>
                            </w:pPr>
                            <w:r>
                              <w:rPr>
                                <w:b/>
                                <w:color w:val="595959"/>
                                <w:sz w:val="18"/>
                                <w:szCs w:val="18"/>
                              </w:rPr>
                              <w:t>Zamítnutí</w:t>
                            </w:r>
                            <w:r>
                              <w:rPr>
                                <w:color w:val="595959"/>
                                <w:sz w:val="18"/>
                                <w:szCs w:val="18"/>
                              </w:rPr>
                              <w:t xml:space="preserve"> – podáním žádosti všichni žadatelé přijímají podmínky výzvy k podávání návrhů stanovené v tomto dokumentu k výzvě (a v dokumentech, na které odkazuje). Návrhy, které nesplňují veškeré podmínky výzvy k podávání návrhů, budou </w:t>
                            </w:r>
                            <w:r>
                              <w:rPr>
                                <w:b/>
                                <w:color w:val="595959"/>
                                <w:sz w:val="18"/>
                                <w:szCs w:val="18"/>
                              </w:rPr>
                              <w:t>zamítnuty</w:t>
                            </w:r>
                            <w:r>
                              <w:rPr>
                                <w:color w:val="595959"/>
                                <w:sz w:val="18"/>
                                <w:szCs w:val="18"/>
                              </w:rPr>
                              <w:t>. To platí také pro žadatele: Všichni žadatelé musí kritéria splnit. Pokud je některý z nich nesplňuje, musí být nahrazen, jinak bude celý návrh zamítnut.</w:t>
                            </w:r>
                          </w:p>
                          <w:p w14:paraId="0FC5DD32" w14:textId="77777777" w:rsidR="00E02E47" w:rsidRPr="00310A7B" w:rsidRDefault="00E02E47" w:rsidP="00E02E47">
                            <w:pPr>
                              <w:numPr>
                                <w:ilvl w:val="0"/>
                                <w:numId w:val="25"/>
                              </w:numPr>
                              <w:spacing w:after="120"/>
                              <w:ind w:left="567" w:right="79" w:hanging="447"/>
                              <w:rPr>
                                <w:color w:val="595959"/>
                                <w:sz w:val="18"/>
                                <w:szCs w:val="18"/>
                              </w:rPr>
                            </w:pPr>
                            <w:r>
                              <w:rPr>
                                <w:b/>
                                <w:color w:val="595959"/>
                                <w:sz w:val="18"/>
                                <w:szCs w:val="18"/>
                              </w:rPr>
                              <w:t>Zrušení</w:t>
                            </w:r>
                            <w:r>
                              <w:rPr>
                                <w:color w:val="595959"/>
                                <w:sz w:val="18"/>
                                <w:szCs w:val="18"/>
                              </w:rPr>
                              <w:t xml:space="preserve"> – mohou nastat okolnosti, které mohou vyžadovat zrušení výzvy k podávání návrhů. V takovém případě budete informováni prostřednictvím aktualizace výzvy nebo tématu. Upozorňujeme, že zrušení nezakládá nárok na odškodnění.</w:t>
                            </w:r>
                          </w:p>
                          <w:p w14:paraId="34C37865" w14:textId="77777777" w:rsidR="00E02E47" w:rsidRPr="00310A7B" w:rsidRDefault="00E02E47" w:rsidP="00E02E47">
                            <w:pPr>
                              <w:numPr>
                                <w:ilvl w:val="0"/>
                                <w:numId w:val="25"/>
                              </w:numPr>
                              <w:ind w:left="567" w:right="79" w:hanging="445"/>
                              <w:rPr>
                                <w:color w:val="595959"/>
                                <w:sz w:val="18"/>
                                <w:szCs w:val="18"/>
                              </w:rPr>
                            </w:pPr>
                            <w:r>
                              <w:rPr>
                                <w:b/>
                                <w:color w:val="595959"/>
                                <w:sz w:val="18"/>
                                <w:szCs w:val="18"/>
                              </w:rPr>
                              <w:t>Jazyk</w:t>
                            </w:r>
                            <w:r>
                              <w:rPr>
                                <w:color w:val="595959"/>
                                <w:sz w:val="18"/>
                                <w:szCs w:val="18"/>
                              </w:rPr>
                              <w:t xml:space="preserve"> – svůj návrh můžete předložit ve kterémkoli úředním jazyce EU (stručný popis / shrnutí projektu by však vždy měly být v angličtině). Z důvodu efektivity vám důrazně doporučujeme použít angličtinu v celé žádosti. Pokud potřebujete dokumentaci výzvy v jiném úředním jazyce EU, požádejte o ni do 10 dnů od zveřejnění výzvy (kontaktní informace </w:t>
                            </w:r>
                            <w:r>
                              <w:rPr>
                                <w:i/>
                                <w:color w:val="595959"/>
                                <w:sz w:val="18"/>
                                <w:szCs w:val="18"/>
                              </w:rPr>
                              <w:t>viz oddíl 12</w:t>
                            </w:r>
                            <w:r>
                              <w:rPr>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69" style="width:430.95pt;height:586.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" w14:anchorId="5CF682EB">
                <v:textbox>
                  <w:txbxContent>
                    <w:p w:rsidRPr="00310A7B" w:rsidR="00E02E47" w:rsidP="00E02E47" w:rsidRDefault="00E02E47" w14:paraId="44C0A553" w14:textId="77777777">
                      <w:pPr>
                        <w:numPr>
                          <w:ilvl w:val="0"/>
                          <w:numId w:val="25"/>
                        </w:numPr>
                        <w:ind w:left="567" w:right="78" w:hanging="445"/>
                        <w:rPr>
                          <w:color w:val="595959"/>
                          <w:sz w:val="18"/>
                          <w:szCs w:val="18"/>
                        </w:rPr>
                      </w:pPr>
                      <w:r>
                        <w:rPr>
                          <w:b/>
                          <w:color w:val="595959"/>
                          <w:sz w:val="18"/>
                          <w:szCs w:val="18"/>
                        </w:rPr>
                        <w:t>Vyrovnaný rozpočet projektu</w:t>
                      </w:r>
                      <w:r>
                        <w:rPr>
                          <w:i/>
                          <w:color w:val="4AA55B"/>
                          <w:sz w:val="18"/>
                          <w:szCs w:val="18"/>
                        </w:rPr>
                        <w:t xml:space="preserve"> </w:t>
                      </w:r>
                      <w:r>
                        <w:rPr>
                          <w:color w:val="595959"/>
                          <w:sz w:val="18"/>
                          <w:szCs w:val="18"/>
                        </w:rPr>
                        <w:t xml:space="preserve">– žádosti o grant musí uvádět vyrovnaný rozpočet projektu a dostatek dalších zdrojů k úspěšné realizaci projektu </w:t>
                      </w:r>
                      <w:r>
                        <w:rPr>
                          <w:i/>
                          <w:iCs/>
                          <w:color w:val="595959"/>
                          <w:sz w:val="18"/>
                          <w:szCs w:val="18"/>
                        </w:rPr>
                        <w:t>(např. vlastní příspěvky, příjmy z činnosti, finanční příspěvky od třetích stran atd.)</w:t>
                      </w:r>
                      <w:r>
                        <w:rPr>
                          <w:color w:val="595959"/>
                          <w:sz w:val="18"/>
                          <w:szCs w:val="18"/>
                        </w:rPr>
                        <w:t xml:space="preserve">. Můžete být požádáni o snížení svých odhadovaných nákladů, pokud nejsou způsobilé (včetně případů, kdy jsou příliš vysoké). </w:t>
                      </w:r>
                    </w:p>
                    <w:p w:rsidRPr="00376DCA" w:rsidR="00E02E47" w:rsidP="00E02E47" w:rsidRDefault="00E02E47" w14:paraId="2D934BC7" w14:textId="77777777">
                      <w:pPr>
                        <w:numPr>
                          <w:ilvl w:val="0"/>
                          <w:numId w:val="25"/>
                        </w:numPr>
                        <w:ind w:left="567" w:right="78" w:hanging="445"/>
                        <w:rPr>
                          <w:color w:val="595959"/>
                          <w:sz w:val="18"/>
                          <w:szCs w:val="18"/>
                        </w:rPr>
                      </w:pPr>
                      <w:r>
                        <w:rPr>
                          <w:b/>
                          <w:color w:val="595959"/>
                          <w:sz w:val="18"/>
                          <w:szCs w:val="18"/>
                        </w:rPr>
                        <w:t xml:space="preserve">Pravidlo neziskovosti </w:t>
                      </w:r>
                      <w:r>
                        <w:rPr>
                          <w:color w:val="595959"/>
                          <w:sz w:val="18"/>
                          <w:szCs w:val="18"/>
                        </w:rPr>
                        <w:t xml:space="preserve">– granty NESMÍ přinést zisk (tj. součet příjmů a grantu EU nesmí převyšovat náklady). Tuto skutečnost zkontrolujeme na konci projektu. </w:t>
                      </w:r>
                    </w:p>
                    <w:p w:rsidRPr="00310A7B" w:rsidR="00E02E47" w:rsidP="00E02E47" w:rsidRDefault="00E02E47" w14:paraId="06CED6FB" w14:textId="77777777">
                      <w:pPr>
                        <w:numPr>
                          <w:ilvl w:val="0"/>
                          <w:numId w:val="25"/>
                        </w:numPr>
                        <w:ind w:left="567" w:right="79" w:hanging="445"/>
                        <w:rPr>
                          <w:color w:val="595959"/>
                          <w:sz w:val="18"/>
                          <w:szCs w:val="18"/>
                        </w:rPr>
                      </w:pPr>
                      <w:r>
                        <w:rPr>
                          <w:b/>
                          <w:color w:val="595959"/>
                          <w:sz w:val="18"/>
                          <w:szCs w:val="18"/>
                        </w:rPr>
                        <w:t>Zamezení dvojímu financování</w:t>
                      </w:r>
                      <w:r>
                        <w:rPr>
                          <w:color w:val="595959"/>
                          <w:sz w:val="18"/>
                          <w:szCs w:val="18"/>
                        </w:rPr>
                        <w:t xml:space="preserve"> – existuje přísný zákaz dvojího financování z rozpočtu EU (s výjimkou akcí v oblasti synergií v rámci EU). Kromě takových akcí v oblasti synergií může jakákoliv daná akce obdržet z rozpočtu EU pouze JEDEN grant a nákladové položky nesmí být za ŽÁDNÝCH okolností vykazovány na dvě různé akce EU.</w:t>
                      </w:r>
                    </w:p>
                    <w:p w:rsidRPr="006010BA" w:rsidR="00E02E47" w:rsidP="00E02E47" w:rsidRDefault="00E02E47" w14:paraId="481A0BD0" w14:textId="77777777">
                      <w:pPr>
                        <w:numPr>
                          <w:ilvl w:val="0"/>
                          <w:numId w:val="25"/>
                        </w:numPr>
                        <w:ind w:left="567" w:right="78" w:hanging="445"/>
                        <w:rPr>
                          <w:rFonts w:eastAsia="Verdana" w:cs="Verdana"/>
                          <w:color w:val="595959"/>
                          <w:sz w:val="18"/>
                          <w:szCs w:val="18"/>
                        </w:rPr>
                      </w:pPr>
                      <w:r>
                        <w:rPr>
                          <w:b/>
                          <w:color w:val="595959"/>
                          <w:sz w:val="18"/>
                          <w:szCs w:val="18"/>
                        </w:rPr>
                        <w:t>Dokončené/probíhající projekty</w:t>
                      </w:r>
                      <w:r>
                        <w:rPr>
                          <w:color w:val="595959"/>
                          <w:sz w:val="18"/>
                          <w:szCs w:val="18"/>
                        </w:rPr>
                        <w:t xml:space="preserve"> – návrhy na projekty, které již byly dokončeny, budou zamítnuty. Návrhy na projekty, které již byly zahájeny, se posoudí zvlášť u každého případu (v tomto případě nelze hradit žádné náklady za činnosti, které se uskutečnily před datem zahájení projektu / podáním návrhu).</w:t>
                      </w:r>
                    </w:p>
                    <w:p w:rsidRPr="005C626D" w:rsidR="00E02E47" w:rsidP="00E02E47" w:rsidRDefault="00E02E47" w14:paraId="2A43FFFB" w14:textId="77777777">
                      <w:pPr>
                        <w:numPr>
                          <w:ilvl w:val="0"/>
                          <w:numId w:val="25"/>
                        </w:numPr>
                        <w:ind w:left="567" w:right="79" w:hanging="445"/>
                        <w:rPr>
                          <w:color w:val="595959"/>
                          <w:sz w:val="18"/>
                          <w:szCs w:val="18"/>
                        </w:rPr>
                      </w:pPr>
                      <w:r>
                        <w:rPr>
                          <w:b/>
                          <w:bCs/>
                          <w:color w:val="595959"/>
                          <w:sz w:val="18"/>
                          <w:szCs w:val="18"/>
                        </w:rPr>
                        <w:t>Kombinace s granty EU na provozní náklady</w:t>
                      </w:r>
                      <w:r>
                        <w:rPr>
                          <w:bCs/>
                          <w:color w:val="595959"/>
                          <w:sz w:val="18"/>
                          <w:szCs w:val="18"/>
                        </w:rPr>
                        <w:t xml:space="preserve"> –</w:t>
                      </w:r>
                      <w:r>
                        <w:rPr>
                          <w:color w:val="595959"/>
                          <w:sz w:val="18"/>
                          <w:szCs w:val="18"/>
                        </w:rPr>
                        <w:t xml:space="preserve"> kombinace s granty EU na provozní náklady je možná, pokud se na projekt nevztahuje pracovní program týkající se grantů na provozní náklady a pokud zajistíte, aby nákladové položky byly ve vašem účetnictví jasně odděleny a NEBYLY vykazovány dvakrát </w:t>
                      </w:r>
                      <w:r>
                        <w:rPr>
                          <w:i/>
                          <w:color w:val="595959"/>
                          <w:sz w:val="18"/>
                          <w:szCs w:val="18"/>
                        </w:rPr>
                        <w:t xml:space="preserve">(viz </w:t>
                      </w:r>
                      <w:hyperlink w:history="1" r:id="rId65">
                        <w:r>
                          <w:rPr>
                            <w:rStyle w:val="Hyperlink"/>
                            <w:i/>
                            <w:sz w:val="18"/>
                            <w:szCs w:val="18"/>
                          </w:rPr>
                          <w:t>článek 6.2.E anotované vzorové grantové dohody</w:t>
                        </w:r>
                      </w:hyperlink>
                      <w:r>
                        <w:rPr>
                          <w:i/>
                          <w:color w:val="595959"/>
                          <w:sz w:val="18"/>
                          <w:szCs w:val="18"/>
                        </w:rPr>
                        <w:t>)</w:t>
                      </w:r>
                      <w:r>
                        <w:rPr>
                          <w:sz w:val="18"/>
                          <w:szCs w:val="18"/>
                        </w:rPr>
                        <w:t>.</w:t>
                      </w:r>
                      <w:r>
                        <w:rPr>
                          <w:color w:val="4AA55B"/>
                          <w:sz w:val="18"/>
                          <w:szCs w:val="18"/>
                          <w:highlight w:val="yellow"/>
                        </w:rPr>
                        <w:t xml:space="preserve"> </w:t>
                      </w:r>
                    </w:p>
                    <w:p w:rsidRPr="00310A7B" w:rsidR="00E02E47" w:rsidP="00E02E47" w:rsidRDefault="00E02E47" w14:paraId="0DC01CB9" w14:textId="77777777">
                      <w:pPr>
                        <w:numPr>
                          <w:ilvl w:val="0"/>
                          <w:numId w:val="25"/>
                        </w:numPr>
                        <w:ind w:left="567" w:right="79" w:hanging="445"/>
                        <w:rPr>
                          <w:color w:val="595959"/>
                          <w:sz w:val="18"/>
                          <w:szCs w:val="18"/>
                        </w:rPr>
                      </w:pPr>
                      <w:r>
                        <w:rPr>
                          <w:b/>
                          <w:color w:val="595959"/>
                          <w:sz w:val="18"/>
                          <w:szCs w:val="18"/>
                        </w:rPr>
                        <w:t>Více návrhů</w:t>
                      </w:r>
                      <w:r>
                        <w:rPr>
                          <w:color w:val="595959"/>
                          <w:sz w:val="18"/>
                          <w:szCs w:val="18"/>
                        </w:rPr>
                        <w:t xml:space="preserve"> – žadatelé mohou v rámci téže výzvy předložit více než jeden návrh na </w:t>
                      </w:r>
                      <w:r>
                        <w:rPr>
                          <w:i/>
                          <w:color w:val="595959"/>
                          <w:sz w:val="18"/>
                          <w:szCs w:val="18"/>
                        </w:rPr>
                        <w:t>různé</w:t>
                      </w:r>
                      <w:r>
                        <w:rPr>
                          <w:color w:val="595959"/>
                          <w:sz w:val="18"/>
                          <w:szCs w:val="18"/>
                        </w:rPr>
                        <w:t xml:space="preserve"> projekty (a mohou jim být přiděleny finanční prostředky).</w:t>
                      </w:r>
                    </w:p>
                    <w:p w:rsidRPr="00AB05C4" w:rsidR="00E02E47" w:rsidP="00E02E47" w:rsidRDefault="00E02E47" w14:paraId="1E1AA533" w14:textId="77777777">
                      <w:pPr>
                        <w:spacing w:after="120"/>
                        <w:ind w:left="567" w:right="79"/>
                        <w:rPr>
                          <w:color w:val="595959"/>
                          <w:sz w:val="18"/>
                          <w:szCs w:val="18"/>
                        </w:rPr>
                      </w:pPr>
                      <w:r>
                        <w:rPr>
                          <w:color w:val="595959"/>
                          <w:sz w:val="18"/>
                          <w:szCs w:val="18"/>
                        </w:rPr>
                        <w:t>Organizace se mohou účastnit několika návrhů.</w:t>
                      </w:r>
                    </w:p>
                    <w:p w:rsidRPr="00AB05C4" w:rsidR="00E02E47" w:rsidP="00E02E47" w:rsidRDefault="00E02E47" w14:paraId="7F404DA5" w14:textId="77777777">
                      <w:pPr>
                        <w:ind w:left="567" w:right="79"/>
                        <w:rPr>
                          <w:color w:val="595959"/>
                          <w:sz w:val="18"/>
                          <w:szCs w:val="18"/>
                        </w:rPr>
                      </w:pPr>
                      <w:r>
                        <w:rPr>
                          <w:color w:val="595959"/>
                          <w:sz w:val="18"/>
                          <w:szCs w:val="18"/>
                        </w:rPr>
                        <w:t xml:space="preserve">ALE: pokud existuje několik návrhů na </w:t>
                      </w:r>
                      <w:r>
                        <w:rPr>
                          <w:i/>
                          <w:iCs/>
                          <w:color w:val="595959"/>
                          <w:sz w:val="18"/>
                          <w:szCs w:val="18"/>
                        </w:rPr>
                        <w:t xml:space="preserve">velmi </w:t>
                      </w:r>
                      <w:r>
                        <w:rPr>
                          <w:i/>
                          <w:color w:val="595959"/>
                          <w:sz w:val="18"/>
                          <w:szCs w:val="18"/>
                        </w:rPr>
                        <w:t>podobný</w:t>
                      </w:r>
                      <w:r>
                        <w:rPr>
                          <w:color w:val="595959"/>
                          <w:sz w:val="18"/>
                          <w:szCs w:val="18"/>
                        </w:rPr>
                        <w:t xml:space="preserve"> projekt, bude přijata a hodnocena pouze jedna žádost; žadatelé budou požádáni, aby jednu z nich vzali zpět (nebo bude zamítnuta).</w:t>
                      </w:r>
                    </w:p>
                    <w:p w:rsidR="00E02E47" w:rsidP="00E02E47" w:rsidRDefault="00E02E47" w14:paraId="60EFB504" w14:textId="77777777">
                      <w:pPr>
                        <w:numPr>
                          <w:ilvl w:val="0"/>
                          <w:numId w:val="25"/>
                        </w:numPr>
                        <w:ind w:left="567" w:right="79" w:hanging="445"/>
                        <w:rPr>
                          <w:rFonts w:cs="Arial"/>
                          <w:b/>
                          <w:iCs/>
                          <w:color w:val="595959"/>
                          <w:sz w:val="18"/>
                          <w:szCs w:val="18"/>
                        </w:rPr>
                      </w:pPr>
                      <w:r>
                        <w:rPr>
                          <w:b/>
                          <w:color w:val="595959"/>
                          <w:sz w:val="18"/>
                        </w:rPr>
                        <w:t>Opětovné podání</w:t>
                      </w:r>
                      <w:r>
                        <w:rPr>
                          <w:color w:val="595959"/>
                          <w:sz w:val="18"/>
                        </w:rPr>
                        <w:t xml:space="preserve"> – návrhy mohou být měněny a znovu podávány až do uzávěrky pro podání návrhů.</w:t>
                      </w:r>
                    </w:p>
                    <w:p w:rsidRPr="00310A7B" w:rsidR="00E02E47" w:rsidP="00E02E47" w:rsidRDefault="00E02E47" w14:paraId="670040E1" w14:textId="77777777">
                      <w:pPr>
                        <w:numPr>
                          <w:ilvl w:val="0"/>
                          <w:numId w:val="25"/>
                        </w:numPr>
                        <w:spacing w:after="120"/>
                        <w:ind w:left="567" w:right="79" w:hanging="447"/>
                        <w:rPr>
                          <w:b/>
                          <w:bCs/>
                          <w:noProof/>
                          <w:sz w:val="18"/>
                          <w:szCs w:val="18"/>
                        </w:rPr>
                      </w:pPr>
                      <w:r>
                        <w:rPr>
                          <w:b/>
                          <w:color w:val="595959"/>
                          <w:sz w:val="18"/>
                          <w:szCs w:val="18"/>
                        </w:rPr>
                        <w:t>Zamítnutí</w:t>
                      </w:r>
                      <w:r>
                        <w:rPr>
                          <w:color w:val="595959"/>
                          <w:sz w:val="18"/>
                          <w:szCs w:val="18"/>
                        </w:rPr>
                        <w:t xml:space="preserve"> – podáním žádosti všichni žadatelé přijímají podmínky výzvy k podávání návrhů stanovené v tomto dokumentu k výzvě (a v dokumentech, na které odkazuje). Návrhy, které nesplňují veškeré podmínky výzvy k podávání návrhů, budou </w:t>
                      </w:r>
                      <w:r>
                        <w:rPr>
                          <w:b/>
                          <w:color w:val="595959"/>
                          <w:sz w:val="18"/>
                          <w:szCs w:val="18"/>
                        </w:rPr>
                        <w:t>zamítnuty</w:t>
                      </w:r>
                      <w:r>
                        <w:rPr>
                          <w:color w:val="595959"/>
                          <w:sz w:val="18"/>
                          <w:szCs w:val="18"/>
                        </w:rPr>
                        <w:t>. To platí také pro žadatele: Všichni žadatelé musí kritéria splnit. Pokud je některý z nich nesplňuje, musí být nahrazen, jinak bude celý návrh zamítnut.</w:t>
                      </w:r>
                    </w:p>
                    <w:p w:rsidRPr="00310A7B" w:rsidR="00E02E47" w:rsidP="00E02E47" w:rsidRDefault="00E02E47" w14:paraId="0FC5DD32" w14:textId="77777777">
                      <w:pPr>
                        <w:numPr>
                          <w:ilvl w:val="0"/>
                          <w:numId w:val="25"/>
                        </w:numPr>
                        <w:spacing w:after="120"/>
                        <w:ind w:left="567" w:right="79" w:hanging="447"/>
                        <w:rPr>
                          <w:color w:val="595959"/>
                          <w:sz w:val="18"/>
                          <w:szCs w:val="18"/>
                        </w:rPr>
                      </w:pPr>
                      <w:r>
                        <w:rPr>
                          <w:b/>
                          <w:color w:val="595959"/>
                          <w:sz w:val="18"/>
                          <w:szCs w:val="18"/>
                        </w:rPr>
                        <w:t>Zrušení</w:t>
                      </w:r>
                      <w:r>
                        <w:rPr>
                          <w:color w:val="595959"/>
                          <w:sz w:val="18"/>
                          <w:szCs w:val="18"/>
                        </w:rPr>
                        <w:t xml:space="preserve"> – mohou nastat okolnosti, které mohou vyžadovat zrušení výzvy k podávání návrhů. V takovém případě budete informováni prostřednictvím aktualizace výzvy nebo tématu. Upozorňujeme, že zrušení nezakládá nárok na odškodnění.</w:t>
                      </w:r>
                    </w:p>
                    <w:p w:rsidRPr="00310A7B" w:rsidR="00E02E47" w:rsidP="00E02E47" w:rsidRDefault="00E02E47" w14:paraId="34C37865" w14:textId="77777777">
                      <w:pPr>
                        <w:numPr>
                          <w:ilvl w:val="0"/>
                          <w:numId w:val="25"/>
                        </w:numPr>
                        <w:ind w:left="567" w:right="79" w:hanging="445"/>
                        <w:rPr>
                          <w:color w:val="595959"/>
                          <w:sz w:val="18"/>
                          <w:szCs w:val="18"/>
                        </w:rPr>
                      </w:pPr>
                      <w:r>
                        <w:rPr>
                          <w:b/>
                          <w:color w:val="595959"/>
                          <w:sz w:val="18"/>
                          <w:szCs w:val="18"/>
                        </w:rPr>
                        <w:t>Jazyk</w:t>
                      </w:r>
                      <w:r>
                        <w:rPr>
                          <w:color w:val="595959"/>
                          <w:sz w:val="18"/>
                          <w:szCs w:val="18"/>
                        </w:rPr>
                        <w:t xml:space="preserve"> – svůj návrh můžete předložit ve kterémkoli úředním jazyce EU (stručný popis / shrnutí projektu by však vždy měly být v angličtině). Z důvodu efektivity vám důrazně doporučujeme použít angličtinu v celé žádosti. Pokud potřebujete dokumentaci výzvy v jiném úředním jazyce EU, požádejte o ni do 10 dnů od zveřejnění výzvy (kontaktní informace </w:t>
                      </w:r>
                      <w:r>
                        <w:rPr>
                          <w:i/>
                          <w:color w:val="595959"/>
                          <w:sz w:val="18"/>
                          <w:szCs w:val="18"/>
                        </w:rPr>
                        <w:t>viz oddíl 12</w:t>
                      </w:r>
                      <w:r>
                        <w:rPr>
                          <w:color w:val="595959"/>
                          <w:sz w:val="18"/>
                          <w:szCs w:val="18"/>
                        </w:rPr>
                        <w:t>).</w:t>
                      </w:r>
                    </w:p>
                  </w:txbxContent>
                </v:textbox>
                <w10:anchorlock/>
              </v:shape>
            </w:pict>
          </mc:Fallback>
        </mc:AlternateContent>
      </w:r>
    </w:p>
    <w:p w14:paraId="478432C2" w14:textId="59BCFF3F" w:rsidR="009E1BA1" w:rsidRDefault="002B5DFF" w:rsidP="00DC47B2">
      <w:pPr>
        <w:widowControl w:val="0"/>
        <w:ind w:right="366"/>
        <w:rPr>
          <w:rFonts w:cs="Arial"/>
        </w:rPr>
      </w:pPr>
      <w:r>
        <w:br w:type="page"/>
      </w:r>
    </w:p>
    <w:p w14:paraId="32872E1E" w14:textId="0700F232" w:rsidR="00E02E47" w:rsidRDefault="00E02E47" w:rsidP="00DC47B2">
      <w:pPr>
        <w:widowControl w:val="0"/>
        <w:ind w:right="366"/>
        <w:rPr>
          <w:rFonts w:cs="Arial"/>
        </w:rPr>
      </w:pPr>
    </w:p>
    <w:p w14:paraId="4A580B9B" w14:textId="5645AEE8" w:rsidR="00E02E47" w:rsidRDefault="00E02E47" w:rsidP="00DC47B2">
      <w:pPr>
        <w:widowControl w:val="0"/>
        <w:ind w:right="366"/>
        <w:rPr>
          <w:rFonts w:cs="Arial"/>
        </w:rPr>
      </w:pPr>
      <w:r>
        <w:rPr>
          <w:noProof/>
          <w:lang w:val="en-IE" w:eastAsia="en-IE"/>
        </w:rPr>
        <mc:AlternateContent>
          <mc:Choice Requires="wps">
            <w:drawing>
              <wp:inline distT="0" distB="0" distL="0" distR="0" wp14:anchorId="23A0AE0D" wp14:editId="32EBD6B3">
                <wp:extent cx="5473065" cy="3099917"/>
                <wp:effectExtent l="0" t="0" r="13335" b="2476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099917"/>
                        </a:xfrm>
                        <a:prstGeom prst="rect">
                          <a:avLst/>
                        </a:prstGeom>
                        <a:solidFill>
                          <a:srgbClr val="F2F2F2"/>
                        </a:solidFill>
                        <a:ln w="19050">
                          <a:solidFill>
                            <a:srgbClr val="BFBFBF"/>
                          </a:solidFill>
                          <a:miter lim="800000"/>
                          <a:headEnd/>
                          <a:tailEnd/>
                        </a:ln>
                      </wps:spPr>
                      <wps:txbx>
                        <w:txbxContent>
                          <w:p w14:paraId="70A0E3AE" w14:textId="4E9C6745" w:rsidR="00D9124D" w:rsidRPr="00310A7B" w:rsidRDefault="00D9124D" w:rsidP="00E02E47">
                            <w:pPr>
                              <w:numPr>
                                <w:ilvl w:val="0"/>
                                <w:numId w:val="26"/>
                              </w:numPr>
                              <w:spacing w:after="120"/>
                              <w:ind w:left="567" w:right="79" w:hanging="425"/>
                              <w:rPr>
                                <w:color w:val="595959"/>
                                <w:sz w:val="18"/>
                                <w:szCs w:val="18"/>
                              </w:rPr>
                            </w:pPr>
                            <w:r>
                              <w:rPr>
                                <w:b/>
                                <w:color w:val="595959"/>
                                <w:sz w:val="18"/>
                                <w:szCs w:val="18"/>
                              </w:rPr>
                              <w:t>Transparentnost</w:t>
                            </w:r>
                            <w:r>
                              <w:rPr>
                                <w:color w:val="595959"/>
                                <w:sz w:val="18"/>
                                <w:szCs w:val="18"/>
                              </w:rPr>
                              <w:t xml:space="preserve"> – v souladu s článkem 38</w:t>
                            </w:r>
                            <w:r>
                              <w:t xml:space="preserve"> </w:t>
                            </w:r>
                            <w:hyperlink r:id="rId66" w:history="1">
                              <w:r>
                                <w:rPr>
                                  <w:color w:val="0088CC"/>
                                  <w:sz w:val="18"/>
                                  <w:szCs w:val="24"/>
                                  <w:u w:val="single"/>
                                </w:rPr>
                                <w:t>finančního nařízení EU</w:t>
                              </w:r>
                            </w:hyperlink>
                            <w:r>
                              <w:rPr>
                                <w:color w:val="595959"/>
                                <w:sz w:val="18"/>
                                <w:szCs w:val="18"/>
                              </w:rPr>
                              <w:t xml:space="preserve"> jsou informace o udělených grantech EU každoročně zveřejňovány na </w:t>
                            </w:r>
                            <w:hyperlink r:id="rId67" w:history="1">
                              <w:r>
                                <w:rPr>
                                  <w:rStyle w:val="Hyperlink"/>
                                  <w:sz w:val="18"/>
                                  <w:szCs w:val="18"/>
                                </w:rPr>
                                <w:t>internetových stránkách Europa</w:t>
                              </w:r>
                            </w:hyperlink>
                            <w:r>
                              <w:rPr>
                                <w:color w:val="595959"/>
                                <w:sz w:val="18"/>
                                <w:szCs w:val="18"/>
                              </w:rPr>
                              <w:t>.</w:t>
                            </w:r>
                          </w:p>
                          <w:p w14:paraId="65E9D009" w14:textId="77777777" w:rsidR="00E02E47" w:rsidRPr="00310A7B" w:rsidRDefault="00E02E47" w:rsidP="00E02E47">
                            <w:pPr>
                              <w:spacing w:after="60"/>
                              <w:ind w:left="567" w:right="79"/>
                              <w:rPr>
                                <w:color w:val="595959"/>
                                <w:sz w:val="18"/>
                                <w:szCs w:val="18"/>
                              </w:rPr>
                            </w:pPr>
                            <w:r>
                              <w:rPr>
                                <w:color w:val="595959"/>
                                <w:sz w:val="18"/>
                                <w:szCs w:val="18"/>
                              </w:rPr>
                              <w:t>Sem patří:</w:t>
                            </w:r>
                          </w:p>
                          <w:p w14:paraId="55DEDA69"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jména nebo názvy příjemců,</w:t>
                            </w:r>
                          </w:p>
                          <w:p w14:paraId="616DD29F"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adresy příjemců,</w:t>
                            </w:r>
                          </w:p>
                          <w:p w14:paraId="4D360DDB" w14:textId="77777777" w:rsidR="00E02E47" w:rsidRPr="00310A7B" w:rsidRDefault="00E02E47" w:rsidP="00E02E47">
                            <w:pPr>
                              <w:widowControl w:val="0"/>
                              <w:numPr>
                                <w:ilvl w:val="0"/>
                                <w:numId w:val="27"/>
                              </w:numPr>
                              <w:spacing w:after="60"/>
                              <w:ind w:left="1134" w:hanging="380"/>
                              <w:jc w:val="left"/>
                              <w:rPr>
                                <w:color w:val="595959"/>
                                <w:sz w:val="18"/>
                                <w:szCs w:val="18"/>
                              </w:rPr>
                            </w:pPr>
                            <w:r>
                              <w:rPr>
                                <w:color w:val="595959"/>
                                <w:sz w:val="18"/>
                                <w:szCs w:val="18"/>
                              </w:rPr>
                              <w:t>účel, pro který byl grant udělen,</w:t>
                            </w:r>
                          </w:p>
                          <w:p w14:paraId="2DBE5A35" w14:textId="77777777" w:rsidR="00E02E47" w:rsidRPr="00310A7B" w:rsidRDefault="00E02E47" w:rsidP="00E02E47">
                            <w:pPr>
                              <w:widowControl w:val="0"/>
                              <w:numPr>
                                <w:ilvl w:val="0"/>
                                <w:numId w:val="27"/>
                              </w:numPr>
                              <w:spacing w:after="120"/>
                              <w:ind w:left="1134" w:hanging="380"/>
                              <w:jc w:val="left"/>
                              <w:rPr>
                                <w:color w:val="595959"/>
                                <w:sz w:val="18"/>
                                <w:szCs w:val="18"/>
                              </w:rPr>
                            </w:pPr>
                            <w:r>
                              <w:rPr>
                                <w:color w:val="595959"/>
                                <w:sz w:val="18"/>
                                <w:szCs w:val="18"/>
                              </w:rPr>
                              <w:t>maximální udělená částka.</w:t>
                            </w:r>
                          </w:p>
                          <w:p w14:paraId="7A978050" w14:textId="77777777" w:rsidR="00E02E47" w:rsidRPr="00310A7B" w:rsidRDefault="00E02E47" w:rsidP="00E02E47">
                            <w:pPr>
                              <w:widowControl w:val="0"/>
                              <w:ind w:left="567"/>
                              <w:rPr>
                                <w:color w:val="595959"/>
                                <w:sz w:val="18"/>
                                <w:szCs w:val="18"/>
                              </w:rPr>
                            </w:pPr>
                            <w:r>
                              <w:rPr>
                                <w:color w:val="595959"/>
                                <w:sz w:val="18"/>
                                <w:szCs w:val="18"/>
                              </w:rPr>
                              <w:t>Od zveřejnění lze výjimečně upustit (na základě odůvodněné a řádně opodstatněné žádosti), pokud existuje riziko, že by zveřejnění informací mohlo ohrozit vaše práva a svobody podle Listiny základních práv EU nebo poškodit vaše obchodní zájmy.</w:t>
                            </w:r>
                          </w:p>
                          <w:p w14:paraId="3CE68070" w14:textId="50F2A162" w:rsidR="00830E63" w:rsidRPr="00830E63" w:rsidRDefault="00830E63" w:rsidP="00E02E47">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Ochrana údajů</w:t>
                            </w:r>
                            <w:r>
                              <w:rPr>
                                <w:rFonts w:ascii="Verdana" w:hAnsi="Verdana"/>
                                <w:color w:val="595959"/>
                                <w:sz w:val="18"/>
                                <w:szCs w:val="18"/>
                              </w:rPr>
                              <w:t xml:space="preserve"> – podání návrhu v rámci této výzvy zahrnuje shromažďování, použití a zpracování osobních údajů. Tyto údaje budou zpracovány v souladu s platným právním rámcem, a to pouze za účelem hodnocení vašeho návrhu, následné správy vašeho grantu a v případě potřeby monitorování programu, hodnocení a komunikace. Podrobnosti jsou vysvětleny v </w:t>
                            </w:r>
                            <w:hyperlink r:id="rId68" w:history="1">
                              <w:r>
                                <w:rPr>
                                  <w:rStyle w:val="Hyperlink"/>
                                  <w:rFonts w:ascii="Verdana" w:hAnsi="Verdana"/>
                                  <w:sz w:val="18"/>
                                  <w:szCs w:val="20"/>
                                </w:rPr>
                                <w:t>prohlášení o ochraně osobních údajů na portálu pro financování a nabídková řízení</w:t>
                              </w:r>
                            </w:hyperlink>
                            <w:r>
                              <w:rPr>
                                <w:rFonts w:ascii="Verdana" w:hAnsi="Verdana"/>
                                <w:color w:val="595959"/>
                                <w:sz w:val="18"/>
                                <w:szCs w:val="18"/>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21" style="width:430.95pt;height:244.1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bfbfb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" w14:anchorId="23A0AE0D">
                <v:textbox>
                  <w:txbxContent>
                    <w:p w:rsidRPr="00310A7B" w:rsidR="00D9124D" w:rsidP="00E02E47" w:rsidRDefault="00D9124D" w14:paraId="70A0E3AE" w14:textId="4E9C6745">
                      <w:pPr>
                        <w:numPr>
                          <w:ilvl w:val="0"/>
                          <w:numId w:val="26"/>
                        </w:numPr>
                        <w:spacing w:after="120"/>
                        <w:ind w:left="567" w:right="79" w:hanging="425"/>
                        <w:rPr>
                          <w:color w:val="595959"/>
                          <w:sz w:val="18"/>
                          <w:szCs w:val="18"/>
                        </w:rPr>
                      </w:pPr>
                      <w:r>
                        <w:rPr>
                          <w:b/>
                          <w:color w:val="595959"/>
                          <w:sz w:val="18"/>
                          <w:szCs w:val="18"/>
                        </w:rPr>
                        <w:t>Transparentnost</w:t>
                      </w:r>
                      <w:r>
                        <w:rPr>
                          <w:color w:val="595959"/>
                          <w:sz w:val="18"/>
                          <w:szCs w:val="18"/>
                        </w:rPr>
                        <w:t xml:space="preserve"> – v souladu s článkem 38</w:t>
                      </w:r>
                      <w:r>
                        <w:t xml:space="preserve"> </w:t>
                      </w:r>
                      <w:hyperlink w:history="1" r:id="rId69">
                        <w:r>
                          <w:rPr>
                            <w:color w:val="0088CC"/>
                            <w:sz w:val="18"/>
                            <w:szCs w:val="24"/>
                            <w:u w:val="single"/>
                          </w:rPr>
                          <w:t>finančního nařízení EU</w:t>
                        </w:r>
                      </w:hyperlink>
                      <w:r>
                        <w:rPr>
                          <w:color w:val="595959"/>
                          <w:sz w:val="18"/>
                          <w:szCs w:val="18"/>
                        </w:rPr>
                        <w:t xml:space="preserve"> jsou informace o udělených grantech EU každoročně zveřejňovány na </w:t>
                      </w:r>
                      <w:hyperlink w:history="1" r:id="rId70">
                        <w:r>
                          <w:rPr>
                            <w:rStyle w:val="Hyperlink"/>
                            <w:sz w:val="18"/>
                            <w:szCs w:val="18"/>
                          </w:rPr>
                          <w:t>internetových stránkách Europa</w:t>
                        </w:r>
                      </w:hyperlink>
                      <w:r>
                        <w:rPr>
                          <w:color w:val="595959"/>
                          <w:sz w:val="18"/>
                          <w:szCs w:val="18"/>
                        </w:rPr>
                        <w:t>.</w:t>
                      </w:r>
                    </w:p>
                    <w:p w:rsidRPr="00310A7B" w:rsidR="00E02E47" w:rsidP="00E02E47" w:rsidRDefault="00E02E47" w14:paraId="65E9D009" w14:textId="77777777">
                      <w:pPr>
                        <w:spacing w:after="60"/>
                        <w:ind w:left="567" w:right="79"/>
                        <w:rPr>
                          <w:color w:val="595959"/>
                          <w:sz w:val="18"/>
                          <w:szCs w:val="18"/>
                        </w:rPr>
                      </w:pPr>
                      <w:r>
                        <w:rPr>
                          <w:color w:val="595959"/>
                          <w:sz w:val="18"/>
                          <w:szCs w:val="18"/>
                        </w:rPr>
                        <w:t>Sem patří:</w:t>
                      </w:r>
                    </w:p>
                    <w:p w:rsidRPr="00310A7B" w:rsidR="00E02E47" w:rsidP="00E02E47" w:rsidRDefault="00E02E47" w14:paraId="55DEDA69" w14:textId="77777777">
                      <w:pPr>
                        <w:widowControl w:val="0"/>
                        <w:numPr>
                          <w:ilvl w:val="0"/>
                          <w:numId w:val="27"/>
                        </w:numPr>
                        <w:spacing w:after="60"/>
                        <w:ind w:left="1134" w:hanging="380"/>
                        <w:jc w:val="left"/>
                        <w:rPr>
                          <w:color w:val="595959"/>
                          <w:sz w:val="18"/>
                          <w:szCs w:val="18"/>
                        </w:rPr>
                      </w:pPr>
                      <w:r>
                        <w:rPr>
                          <w:color w:val="595959"/>
                          <w:sz w:val="18"/>
                          <w:szCs w:val="18"/>
                        </w:rPr>
                        <w:t>jména nebo názvy příjemců,</w:t>
                      </w:r>
                    </w:p>
                    <w:p w:rsidRPr="00310A7B" w:rsidR="00E02E47" w:rsidP="00E02E47" w:rsidRDefault="00E02E47" w14:paraId="616DD29F" w14:textId="77777777">
                      <w:pPr>
                        <w:widowControl w:val="0"/>
                        <w:numPr>
                          <w:ilvl w:val="0"/>
                          <w:numId w:val="27"/>
                        </w:numPr>
                        <w:spacing w:after="60"/>
                        <w:ind w:left="1134" w:hanging="380"/>
                        <w:jc w:val="left"/>
                        <w:rPr>
                          <w:color w:val="595959"/>
                          <w:sz w:val="18"/>
                          <w:szCs w:val="18"/>
                        </w:rPr>
                      </w:pPr>
                      <w:r>
                        <w:rPr>
                          <w:color w:val="595959"/>
                          <w:sz w:val="18"/>
                          <w:szCs w:val="18"/>
                        </w:rPr>
                        <w:t>adresy příjemců,</w:t>
                      </w:r>
                    </w:p>
                    <w:p w:rsidRPr="00310A7B" w:rsidR="00E02E47" w:rsidP="00E02E47" w:rsidRDefault="00E02E47" w14:paraId="4D360DDB" w14:textId="77777777">
                      <w:pPr>
                        <w:widowControl w:val="0"/>
                        <w:numPr>
                          <w:ilvl w:val="0"/>
                          <w:numId w:val="27"/>
                        </w:numPr>
                        <w:spacing w:after="60"/>
                        <w:ind w:left="1134" w:hanging="380"/>
                        <w:jc w:val="left"/>
                        <w:rPr>
                          <w:color w:val="595959"/>
                          <w:sz w:val="18"/>
                          <w:szCs w:val="18"/>
                        </w:rPr>
                      </w:pPr>
                      <w:r>
                        <w:rPr>
                          <w:color w:val="595959"/>
                          <w:sz w:val="18"/>
                          <w:szCs w:val="18"/>
                        </w:rPr>
                        <w:t>účel, pro který byl grant udělen,</w:t>
                      </w:r>
                    </w:p>
                    <w:p w:rsidRPr="00310A7B" w:rsidR="00E02E47" w:rsidP="00E02E47" w:rsidRDefault="00E02E47" w14:paraId="2DBE5A35" w14:textId="77777777">
                      <w:pPr>
                        <w:widowControl w:val="0"/>
                        <w:numPr>
                          <w:ilvl w:val="0"/>
                          <w:numId w:val="27"/>
                        </w:numPr>
                        <w:spacing w:after="120"/>
                        <w:ind w:left="1134" w:hanging="380"/>
                        <w:jc w:val="left"/>
                        <w:rPr>
                          <w:color w:val="595959"/>
                          <w:sz w:val="18"/>
                          <w:szCs w:val="18"/>
                        </w:rPr>
                      </w:pPr>
                      <w:r>
                        <w:rPr>
                          <w:color w:val="595959"/>
                          <w:sz w:val="18"/>
                          <w:szCs w:val="18"/>
                        </w:rPr>
                        <w:t>maximální udělená částka.</w:t>
                      </w:r>
                    </w:p>
                    <w:p w:rsidRPr="00310A7B" w:rsidR="00E02E47" w:rsidP="00E02E47" w:rsidRDefault="00E02E47" w14:paraId="7A978050" w14:textId="77777777">
                      <w:pPr>
                        <w:widowControl w:val="0"/>
                        <w:ind w:left="567"/>
                        <w:rPr>
                          <w:color w:val="595959"/>
                          <w:sz w:val="18"/>
                          <w:szCs w:val="18"/>
                        </w:rPr>
                      </w:pPr>
                      <w:r>
                        <w:rPr>
                          <w:color w:val="595959"/>
                          <w:sz w:val="18"/>
                          <w:szCs w:val="18"/>
                        </w:rPr>
                        <w:t>Od zveřejnění lze výjimečně upustit (na základě odůvodněné a řádně opodstatněné žádosti), pokud existuje riziko, že by zveřejnění informací mohlo ohrozit vaše práva a svobody podle Listiny základních práv EU nebo poškodit vaše obchodní zájmy.</w:t>
                      </w:r>
                    </w:p>
                    <w:p w:rsidRPr="00830E63" w:rsidR="00830E63" w:rsidP="00E02E47" w:rsidRDefault="00830E63" w14:paraId="3CE68070" w14:textId="50F2A162">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Ochrana údajů</w:t>
                      </w:r>
                      <w:r>
                        <w:rPr>
                          <w:rFonts w:ascii="Verdana" w:hAnsi="Verdana"/>
                          <w:color w:val="595959"/>
                          <w:sz w:val="18"/>
                          <w:szCs w:val="18"/>
                        </w:rPr>
                        <w:t xml:space="preserve"> – podání návrhu v rámci této výzvy zahrnuje shromažďování, použití a zpracování osobních údajů. Tyto údaje budou zpracovány v souladu s platným právním rámcem, a to pouze za účelem hodnocení vašeho návrhu, následné správy vašeho grantu a v případě potřeby monitorování programu, hodnocení a komunikace. Podrobnosti jsou vysvětleny v </w:t>
                      </w:r>
                      <w:hyperlink w:history="1" r:id="rId71">
                        <w:r>
                          <w:rPr>
                            <w:rStyle w:val="Hyperlink"/>
                            <w:rFonts w:ascii="Verdana" w:hAnsi="Verdana"/>
                            <w:sz w:val="18"/>
                            <w:szCs w:val="20"/>
                          </w:rPr>
                          <w:t>prohlášení o ochraně osobních údajů na portálu pro financování a nabídková řízení</w:t>
                        </w:r>
                      </w:hyperlink>
                      <w:r>
                        <w:rPr>
                          <w:rFonts w:ascii="Verdana" w:hAnsi="Verdana"/>
                          <w:color w:val="595959"/>
                          <w:sz w:val="18"/>
                          <w:szCs w:val="18"/>
                        </w:rPr>
                        <w:t>.</w:t>
                      </w:r>
                    </w:p>
                  </w:txbxContent>
                </v:textbox>
                <w10:anchorlock/>
              </v:shape>
            </w:pict>
          </mc:Fallback>
        </mc:AlternateContent>
      </w:r>
    </w:p>
    <w:p w14:paraId="4A53D458" w14:textId="77777777" w:rsidR="00715E8C" w:rsidRDefault="00715E8C" w:rsidP="00DC47B2">
      <w:pPr>
        <w:widowControl w:val="0"/>
        <w:ind w:right="366"/>
        <w:rPr>
          <w:rFonts w:cs="Arial"/>
        </w:rPr>
      </w:pPr>
    </w:p>
    <w:sectPr w:rsidR="00715E8C"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3A6E24D9"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A54239">
      <w:rPr>
        <w:rFonts w:ascii="Verdana" w:hAnsi="Verdana"/>
        <w:noProof/>
      </w:rPr>
      <w:t>20</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307792" w:rsidRDefault="000579AF" w:rsidP="00924362">
      <w:pPr>
        <w:pStyle w:val="FootnoteText"/>
        <w:spacing w:after="0"/>
        <w:ind w:left="284" w:hanging="284"/>
        <w:rPr>
          <w:color w:val="000000"/>
          <w:sz w:val="16"/>
          <w:szCs w:val="16"/>
        </w:rPr>
      </w:pPr>
      <w:r>
        <w:rPr>
          <w:rStyle w:val="FootnoteReference"/>
          <w:sz w:val="16"/>
          <w:szCs w:val="16"/>
        </w:rPr>
        <w:footnoteRef/>
      </w:r>
      <w:r>
        <w:rPr>
          <w:sz w:val="16"/>
          <w:szCs w:val="16"/>
        </w:rPr>
        <w:t xml:space="preserve"> </w:t>
      </w:r>
      <w:r>
        <w:rPr>
          <w:sz w:val="16"/>
          <w:szCs w:val="16"/>
        </w:rPr>
        <w:tab/>
        <w:t>Nařízení Evropského parlamentu a Rady (EU) 2021/692 ze dne 28. dubna 2021 o zřízení programu Občané, rovnost, práva a hodnoty (Úř. věst. L 156, 5.5.2021, s. 1).</w:t>
      </w:r>
    </w:p>
  </w:footnote>
  <w:footnote w:id="3">
    <w:p w14:paraId="61A4F60E" w14:textId="3164B12C" w:rsidR="000579AF" w:rsidRPr="00EC2EA5" w:rsidRDefault="000579AF" w:rsidP="00924362">
      <w:pPr>
        <w:pStyle w:val="FootnoteText"/>
        <w:spacing w:after="0"/>
        <w:ind w:left="284" w:hanging="284"/>
        <w:rPr>
          <w:sz w:val="16"/>
          <w:szCs w:val="16"/>
        </w:rPr>
      </w:pPr>
      <w:r>
        <w:rPr>
          <w:rStyle w:val="FootnoteReference"/>
          <w:sz w:val="16"/>
        </w:rPr>
        <w:footnoteRef/>
      </w:r>
      <w:r>
        <w:t xml:space="preserve"> </w:t>
      </w:r>
      <w:r>
        <w:tab/>
      </w:r>
      <w:r>
        <w:rPr>
          <w:sz w:val="16"/>
          <w:szCs w:val="16"/>
        </w:rPr>
        <w:t>Prováděcí rozhodnutí Komise C(2021) 2583 v konečném znění ze dne 19. dubna 2021 o financování programu Občané, rovnost, práva a hodnoty a o přijetí víceletého pracovního programu na období 2021–2022</w:t>
      </w:r>
      <w:r>
        <w:t>.</w:t>
      </w:r>
    </w:p>
  </w:footnote>
  <w:footnote w:id="4">
    <w:p w14:paraId="190283C3" w14:textId="11605722" w:rsidR="000579AF" w:rsidRPr="00924362" w:rsidRDefault="000579AF" w:rsidP="00924362">
      <w:pPr>
        <w:pStyle w:val="FootnoteText"/>
        <w:spacing w:after="0"/>
        <w:ind w:left="284" w:hanging="284"/>
        <w:rPr>
          <w:sz w:val="16"/>
          <w:szCs w:val="16"/>
        </w:rPr>
      </w:pPr>
      <w:r>
        <w:rPr>
          <w:sz w:val="16"/>
          <w:szCs w:val="16"/>
          <w:vertAlign w:val="superscript"/>
        </w:rPr>
        <w:footnoteRef/>
      </w:r>
      <w:r>
        <w:rPr>
          <w:sz w:val="16"/>
          <w:szCs w:val="16"/>
        </w:rPr>
        <w:t xml:space="preserve"> </w:t>
      </w:r>
      <w:r>
        <w:rPr>
          <w:sz w:val="16"/>
          <w:szCs w:val="16"/>
        </w:rPr>
        <w:tab/>
        <w:t>Nařízení Evropského parlamentu a Rady (EU) č. 1381/2013 ze dne 17. prosince 2013, kterým se zavádí program Práva, rovnost a občanství na období 2014 až 2020 (Úř. věst. L 354, 28.12.2013, s. 62).</w:t>
      </w:r>
    </w:p>
  </w:footnote>
  <w:footnote w:id="5">
    <w:p w14:paraId="10858EDC" w14:textId="37FB5CA3" w:rsidR="000579AF" w:rsidRPr="00924362" w:rsidRDefault="000579AF" w:rsidP="00924362">
      <w:pPr>
        <w:pStyle w:val="FootnoteText"/>
        <w:spacing w:after="0"/>
        <w:ind w:left="284" w:hanging="284"/>
        <w:rPr>
          <w:sz w:val="16"/>
          <w:szCs w:val="16"/>
        </w:rPr>
      </w:pPr>
      <w:r>
        <w:rPr>
          <w:sz w:val="16"/>
          <w:szCs w:val="16"/>
          <w:vertAlign w:val="superscript"/>
        </w:rPr>
        <w:footnoteRef/>
      </w:r>
      <w:r>
        <w:rPr>
          <w:sz w:val="16"/>
          <w:szCs w:val="16"/>
        </w:rPr>
        <w:t xml:space="preserve"> </w:t>
      </w:r>
      <w:r>
        <w:rPr>
          <w:sz w:val="16"/>
          <w:szCs w:val="16"/>
          <w:vertAlign w:val="superscript"/>
        </w:rPr>
        <w:tab/>
      </w:r>
      <w:r>
        <w:rPr>
          <w:sz w:val="16"/>
          <w:szCs w:val="16"/>
        </w:rPr>
        <w:t>Nařízení Rady (EU) č. 390/2014 ze dne 14. dubna 2014, kterým se zavádí program „Evropa pro občany“ na období 2014–2020 (Úř. věst. L 115, 17.4.2014, s. 3).</w:t>
      </w:r>
    </w:p>
  </w:footnote>
  <w:footnote w:id="6">
    <w:p w14:paraId="6EC6382E" w14:textId="411DB647"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w:anchor=":~:text=The%20European%20Democracy%20Action%20Plan%20is%20designed%20to,the%20EU%20by%20promoting%20free%20and%20fair%20elections" w:history="1">
        <w:r>
          <w:rPr>
            <w:rStyle w:val="Hyperlink"/>
            <w:sz w:val="16"/>
            <w:szCs w:val="16"/>
          </w:rPr>
          <w:t xml:space="preserve">Evropský akční plán pro demokracii </w:t>
        </w:r>
      </w:hyperlink>
    </w:p>
  </w:footnote>
  <w:footnote w:id="7">
    <w:p w14:paraId="456627A2" w14:textId="2BE68C33"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r:id="rId1" w:history="1">
        <w:r>
          <w:rPr>
            <w:rStyle w:val="Hyperlink"/>
            <w:sz w:val="16"/>
            <w:szCs w:val="16"/>
          </w:rPr>
          <w:t xml:space="preserve">Strategický rámec EU pro rovnost, začleňování a účast Romů </w:t>
        </w:r>
      </w:hyperlink>
    </w:p>
  </w:footnote>
  <w:footnote w:id="8">
    <w:p w14:paraId="7B0B537B" w14:textId="527C1A3D"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r>
      <w:hyperlink r:id="rId2" w:history="1">
        <w:r>
          <w:rPr>
            <w:rStyle w:val="Hyperlink"/>
            <w:sz w:val="16"/>
            <w:szCs w:val="16"/>
          </w:rPr>
          <w:t xml:space="preserve">Strategie EU na posílení uplatňování Listiny základních práv </w:t>
        </w:r>
      </w:hyperlink>
    </w:p>
  </w:footnote>
  <w:footnote w:id="9">
    <w:p w14:paraId="7C8E8985" w14:textId="7E077265" w:rsidR="000579AF" w:rsidRPr="00924362" w:rsidRDefault="000579AF" w:rsidP="00924362">
      <w:pPr>
        <w:pStyle w:val="FootnoteText"/>
        <w:spacing w:after="0"/>
        <w:ind w:left="284" w:hanging="284"/>
        <w:jc w:val="left"/>
        <w:rPr>
          <w:sz w:val="16"/>
          <w:szCs w:val="16"/>
        </w:rPr>
      </w:pPr>
      <w:r>
        <w:rPr>
          <w:rStyle w:val="FootnoteReference"/>
          <w:sz w:val="16"/>
          <w:szCs w:val="16"/>
        </w:rPr>
        <w:footnoteRef/>
      </w:r>
      <w:r>
        <w:rPr>
          <w:sz w:val="16"/>
          <w:szCs w:val="16"/>
        </w:rPr>
        <w:t xml:space="preserve"> </w:t>
      </w:r>
      <w:r>
        <w:rPr>
          <w:sz w:val="16"/>
          <w:szCs w:val="16"/>
        </w:rPr>
        <w:tab/>
      </w:r>
      <w:hyperlink r:id="rId3" w:history="1">
        <w:r>
          <w:rPr>
            <w:rStyle w:val="Hyperlink"/>
            <w:sz w:val="16"/>
            <w:szCs w:val="16"/>
          </w:rPr>
          <w:t>Zpráva o občanství EU za rok 2020</w:t>
        </w:r>
      </w:hyperlink>
    </w:p>
  </w:footnote>
  <w:footnote w:id="10">
    <w:p w14:paraId="5A4970F1" w14:textId="7EEDAE09" w:rsidR="000579AF" w:rsidRDefault="000579AF" w:rsidP="00732A4F">
      <w:pPr>
        <w:keepLines/>
        <w:spacing w:after="0"/>
        <w:ind w:left="284" w:hanging="284"/>
      </w:pPr>
      <w:r>
        <w:rPr>
          <w:rStyle w:val="FootnoteReference"/>
          <w:sz w:val="16"/>
          <w:szCs w:val="16"/>
        </w:rPr>
        <w:footnoteRef/>
      </w:r>
      <w:r>
        <w:rPr>
          <w:color w:val="2F5496"/>
          <w:sz w:val="16"/>
          <w:szCs w:val="16"/>
        </w:rPr>
        <w:t xml:space="preserve"> </w:t>
      </w:r>
      <w:r>
        <w:rPr>
          <w:color w:val="2F5496"/>
          <w:sz w:val="16"/>
          <w:szCs w:val="16"/>
        </w:rPr>
        <w:tab/>
      </w:r>
      <w:hyperlink r:id="rId4" w:history="1">
        <w:r>
          <w:rPr>
            <w:rStyle w:val="Hyperlink"/>
            <w:sz w:val="16"/>
            <w:szCs w:val="16"/>
          </w:rPr>
          <w:t>Konference o budoucnosti Evropy</w:t>
        </w:r>
      </w:hyperlink>
      <w:r>
        <w:rPr>
          <w:sz w:val="16"/>
          <w:szCs w:val="16"/>
        </w:rPr>
        <w:t xml:space="preserve"> je akce orientovaná na občany, využívající přístup zdola nahoru, která má Evropanům umožnit vyjádřit se k tomu, co od Evropské unie očekávají. Dá občanům větší úlohu při utváření budoucích politik a cílů Unie, čímž se zlepší její odolnost. K tomu dojde prostřednictvím řady akcí a debat v rámci konference, které se konají po celé Unii, jakož i prostřednictvím interaktivní mnohojazyčné digitální platformy. Akce a shromáždění v rámci konference, ať už v reálném, nebo virtuálním prostředí, mohou být pořádány na různých úrovních, včetně nadnárodní a evropské úrovně. Účast občanů na těchto akcích by měla mít za cíl odrážet rozmanitost Evropy. Obce, které spolu uzavřely partnerství, se vybízejí, aby se zúčastnily Konference o budoucnosti Evropy.</w:t>
      </w:r>
    </w:p>
  </w:footnote>
  <w:footnote w:id="11">
    <w:p w14:paraId="0F69B04E" w14:textId="1D8FFFBA" w:rsidR="000579AF" w:rsidRPr="00732A4F" w:rsidRDefault="000579AF" w:rsidP="00924362">
      <w:pPr>
        <w:pStyle w:val="FootnoteText"/>
        <w:spacing w:after="0"/>
        <w:ind w:left="284" w:hanging="284"/>
        <w:rPr>
          <w:sz w:val="16"/>
          <w:szCs w:val="16"/>
          <w:highlight w:val="green"/>
        </w:rPr>
      </w:pPr>
      <w:r>
        <w:rPr>
          <w:rStyle w:val="FootnoteReference"/>
          <w:sz w:val="16"/>
          <w:szCs w:val="16"/>
        </w:rPr>
        <w:footnoteRef/>
      </w:r>
      <w:r>
        <w:rPr>
          <w:sz w:val="16"/>
          <w:szCs w:val="16"/>
        </w:rPr>
        <w:t xml:space="preserve"> </w:t>
      </w:r>
      <w:r>
        <w:rPr>
          <w:sz w:val="16"/>
          <w:szCs w:val="16"/>
        </w:rPr>
        <w:tab/>
        <w:t xml:space="preserve">Více informací naleznete v sekci </w:t>
      </w:r>
      <w:r>
        <w:rPr>
          <w:i/>
          <w:iCs/>
          <w:sz w:val="16"/>
          <w:szCs w:val="16"/>
        </w:rPr>
        <w:t>Etika a hodnoty EU</w:t>
      </w:r>
    </w:p>
  </w:footnote>
  <w:footnote w:id="12">
    <w:p w14:paraId="17D7FFB5" w14:textId="79853DA1"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t>„Pozvaní účastníci“ jsou cestující delegace ze způsobilých partnerských zemí projektů s výjimkou země, která akci v rámci partnerství měst hostí.</w:t>
      </w:r>
    </w:p>
  </w:footnote>
  <w:footnote w:id="13">
    <w:p w14:paraId="228A0A98" w14:textId="079A3B62" w:rsidR="000579AF" w:rsidRPr="00924362" w:rsidRDefault="000579AF" w:rsidP="00924362">
      <w:pPr>
        <w:pStyle w:val="FootnoteText"/>
        <w:spacing w:after="0"/>
        <w:ind w:left="284" w:hanging="284"/>
        <w:rPr>
          <w:sz w:val="16"/>
          <w:szCs w:val="16"/>
        </w:rPr>
      </w:pPr>
      <w:r>
        <w:rPr>
          <w:rStyle w:val="FootnoteReference"/>
          <w:sz w:val="16"/>
          <w:szCs w:val="16"/>
        </w:rPr>
        <w:footnoteRef/>
      </w:r>
      <w:r>
        <w:rPr>
          <w:sz w:val="16"/>
          <w:szCs w:val="16"/>
        </w:rPr>
        <w:t xml:space="preserve"> </w:t>
      </w:r>
      <w:r>
        <w:rPr>
          <w:sz w:val="16"/>
          <w:szCs w:val="16"/>
        </w:rPr>
        <w:tab/>
        <w:t>Koordinátor je hlavním žadatelem konsorcia.</w:t>
      </w:r>
    </w:p>
  </w:footnote>
  <w:footnote w:id="14">
    <w:p w14:paraId="527456B7" w14:textId="1E33C53A" w:rsidR="00683BCF" w:rsidRPr="00736C6F" w:rsidRDefault="000579AF" w:rsidP="00924362">
      <w:pPr>
        <w:pStyle w:val="FootnoteText"/>
        <w:spacing w:after="0"/>
        <w:ind w:left="284" w:hanging="284"/>
        <w:rPr>
          <w:sz w:val="16"/>
        </w:rPr>
      </w:pPr>
      <w:r>
        <w:rPr>
          <w:rStyle w:val="FootnoteReference"/>
          <w:sz w:val="16"/>
          <w:szCs w:val="16"/>
        </w:rPr>
        <w:footnoteRef/>
      </w:r>
      <w:r>
        <w:rPr>
          <w:sz w:val="16"/>
          <w:szCs w:val="16"/>
        </w:rPr>
        <w:t xml:space="preserve"> </w:t>
      </w:r>
      <w:r>
        <w:rPr>
          <w:sz w:val="16"/>
          <w:szCs w:val="16"/>
        </w:rPr>
        <w:tab/>
      </w:r>
      <w:r>
        <w:rPr>
          <w:sz w:val="16"/>
        </w:rPr>
        <w:t xml:space="preserve">Viz čl. 197 odst. 2 písm. c) finančního nařízení EU </w:t>
      </w:r>
      <w:hyperlink r:id="rId5" w:history="1">
        <w:r>
          <w:rPr>
            <w:bCs/>
            <w:color w:val="0088CC"/>
            <w:sz w:val="16"/>
            <w:szCs w:val="16"/>
            <w:u w:val="single"/>
          </w:rPr>
          <w:t>2018/1046</w:t>
        </w:r>
      </w:hyperlink>
      <w:r>
        <w:t>.</w:t>
      </w:r>
    </w:p>
  </w:footnote>
  <w:footnote w:id="15">
    <w:p w14:paraId="58E63D84" w14:textId="4C88F785" w:rsidR="002D27D8" w:rsidRPr="003E0309" w:rsidRDefault="000579AF" w:rsidP="00924362">
      <w:pPr>
        <w:pStyle w:val="FootnoteText"/>
        <w:spacing w:after="0"/>
        <w:ind w:left="284" w:hanging="284"/>
        <w:rPr>
          <w:sz w:val="16"/>
          <w:szCs w:val="16"/>
        </w:rPr>
      </w:pPr>
      <w:r>
        <w:rPr>
          <w:rStyle w:val="FootnoteReference"/>
          <w:sz w:val="16"/>
          <w:szCs w:val="16"/>
        </w:rPr>
        <w:footnoteRef/>
      </w:r>
      <w:r>
        <w:rPr>
          <w:sz w:val="16"/>
          <w:szCs w:val="16"/>
        </w:rPr>
        <w:tab/>
        <w:t xml:space="preserve">Definice viz čl. 187 odst. 2 a čl. 197 odst. 2 písm. c) finančního nařízení EU </w:t>
      </w:r>
      <w:hyperlink r:id="rId6" w:history="1">
        <w:r>
          <w:rPr>
            <w:bCs/>
            <w:color w:val="0088CC"/>
            <w:sz w:val="16"/>
            <w:szCs w:val="16"/>
            <w:u w:val="single"/>
          </w:rPr>
          <w:t>2018/1046</w:t>
        </w:r>
      </w:hyperlink>
      <w:r>
        <w:t>.</w:t>
      </w:r>
    </w:p>
  </w:footnote>
  <w:footnote w:id="16">
    <w:p w14:paraId="52822DD7" w14:textId="37AE3EF0" w:rsidR="000579AF" w:rsidRPr="006E4427" w:rsidRDefault="000579AF" w:rsidP="000579AF">
      <w:pPr>
        <w:pStyle w:val="FootnoteText"/>
        <w:spacing w:after="0"/>
        <w:ind w:left="284" w:hanging="284"/>
      </w:pPr>
      <w:r>
        <w:rPr>
          <w:rStyle w:val="FootnoteReference"/>
          <w:sz w:val="16"/>
        </w:rPr>
        <w:footnoteRef/>
      </w:r>
      <w:r>
        <w:tab/>
      </w:r>
      <w:r>
        <w:rPr>
          <w:sz w:val="16"/>
          <w:szCs w:val="16"/>
        </w:rPr>
        <w:t xml:space="preserve">Upozorňujeme, že Úřední věstník EU obsahuje oficiální seznam a v případě rozporu má jeho obsah přednost před obsahem </w:t>
      </w:r>
      <w:hyperlink r:id="rId7" w:history="1">
        <w:r>
          <w:rPr>
            <w:rStyle w:val="Hyperlink"/>
            <w:sz w:val="16"/>
            <w:szCs w:val="16"/>
          </w:rPr>
          <w:t>mapy sankcí EU</w:t>
        </w:r>
      </w:hyperlink>
      <w:r>
        <w:t>.</w:t>
      </w:r>
    </w:p>
  </w:footnote>
  <w:footnote w:id="17">
    <w:p w14:paraId="67257775" w14:textId="77777777" w:rsidR="000579AF" w:rsidRPr="009F51AC" w:rsidRDefault="000579AF" w:rsidP="000579AF">
      <w:pPr>
        <w:pStyle w:val="CM1"/>
        <w:ind w:left="284" w:hanging="284"/>
        <w:jc w:val="both"/>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w:t>
      </w:r>
      <w:r>
        <w:tab/>
      </w:r>
      <w:r>
        <w:rPr>
          <w:rFonts w:ascii="Verdana" w:hAnsi="Verdana"/>
          <w:sz w:val="16"/>
          <w:szCs w:val="16"/>
        </w:rPr>
        <w:t>Pokyny Komise č. </w:t>
      </w:r>
      <w:hyperlink r:id="rId8" w:history="1">
        <w:r>
          <w:rPr>
            <w:rStyle w:val="Hyperlink"/>
            <w:rFonts w:ascii="Verdana" w:hAnsi="Verdana"/>
            <w:sz w:val="16"/>
            <w:szCs w:val="16"/>
          </w:rPr>
          <w:t>2013/C 205/05</w:t>
        </w:r>
      </w:hyperlink>
      <w:r>
        <w:rPr>
          <w:rFonts w:ascii="Verdana" w:hAnsi="Verdana"/>
          <w:sz w:val="16"/>
          <w:szCs w:val="16"/>
        </w:rPr>
        <w:t xml:space="preserve"> týkající se způsobilosti izraelských orgánů a jejich činností na územích okupovaných Izraelem od roku 1967, pokud jde o granty, ceny a finanční nástroje financované EU počínaje rokem 2014 (Úř. věst C 205, 19.7.2013, s. 9–11). </w:t>
      </w:r>
    </w:p>
  </w:footnote>
  <w:footnote w:id="18">
    <w:p w14:paraId="2364A1FE" w14:textId="3D521EE2" w:rsidR="000579AF" w:rsidRPr="00557219" w:rsidRDefault="000579AF" w:rsidP="000579AF">
      <w:pPr>
        <w:pStyle w:val="CM1"/>
        <w:ind w:left="284" w:hanging="284"/>
        <w:jc w:val="both"/>
        <w:rPr>
          <w:rFonts w:ascii="Verdana" w:hAnsi="Verdana"/>
          <w:sz w:val="16"/>
          <w:szCs w:val="16"/>
        </w:rPr>
      </w:pPr>
      <w:r>
        <w:rPr>
          <w:rStyle w:val="FootnoteReference"/>
          <w:sz w:val="16"/>
          <w:szCs w:val="16"/>
        </w:rPr>
        <w:footnoteRef/>
      </w:r>
      <w:r>
        <w:rPr>
          <w:sz w:val="16"/>
          <w:szCs w:val="16"/>
        </w:rPr>
        <w:t xml:space="preserve"> </w:t>
      </w:r>
      <w:r>
        <w:rPr>
          <w:sz w:val="16"/>
          <w:szCs w:val="16"/>
        </w:rPr>
        <w:tab/>
      </w:r>
      <w:hyperlink r:id="rId9" w:anchor=":~:text=Non-discrimination%20mainstreaming%20is%20about%20%E2%80%98placing%20equality%20considerations%20at,the%20EU-%20wide%20network%20of%20specialised%20equality%20bodies%29." w:history="1">
        <w:r>
          <w:rPr>
            <w:rStyle w:val="Hyperlink"/>
            <w:rFonts w:ascii="Verdana" w:hAnsi="Verdana"/>
            <w:sz w:val="16"/>
            <w:szCs w:val="16"/>
          </w:rPr>
          <w:t>Non-discrimination mainstreaming instruments, case studies and ways forward (Nástroje, případové studie a cesty vpřed v oblasti začleňování nediskriminace)</w:t>
        </w:r>
      </w:hyperlink>
      <w:r>
        <w:t>.</w:t>
      </w:r>
    </w:p>
  </w:footnote>
  <w:footnote w:id="19">
    <w:p w14:paraId="39B3B430" w14:textId="128A6EE4" w:rsidR="000579AF" w:rsidRPr="00163978" w:rsidRDefault="000579AF" w:rsidP="00163978">
      <w:pPr>
        <w:pStyle w:val="FootnoteText"/>
        <w:spacing w:after="0"/>
        <w:ind w:left="284" w:hanging="284"/>
        <w:rPr>
          <w:rStyle w:val="FootnoteReference"/>
          <w:sz w:val="16"/>
          <w:szCs w:val="16"/>
          <w:vertAlign w:val="baseline"/>
        </w:rPr>
      </w:pPr>
      <w:r>
        <w:rPr>
          <w:rStyle w:val="FootnoteReference"/>
          <w:sz w:val="16"/>
          <w:szCs w:val="16"/>
        </w:rPr>
        <w:footnoteRef/>
      </w:r>
      <w:r>
        <w:rPr>
          <w:sz w:val="16"/>
          <w:szCs w:val="16"/>
        </w:rPr>
        <w:tab/>
        <w:t xml:space="preserve">Viz články 136 a 141 finančního nařízení EU </w:t>
      </w:r>
      <w:hyperlink r:id="rId10" w:history="1">
        <w:r>
          <w:rPr>
            <w:bCs/>
            <w:color w:val="0088CC"/>
            <w:sz w:val="16"/>
            <w:szCs w:val="16"/>
            <w:u w:val="single"/>
          </w:rPr>
          <w:t>2018/1046</w:t>
        </w:r>
      </w:hyperlink>
      <w:r>
        <w:t>.</w:t>
      </w:r>
    </w:p>
  </w:footnote>
  <w:footnote w:id="20">
    <w:p w14:paraId="3E147AE4" w14:textId="77777777" w:rsidR="000579AF" w:rsidRPr="009C6A77" w:rsidRDefault="000579AF" w:rsidP="000579AF">
      <w:pPr>
        <w:pStyle w:val="FootnoteText"/>
        <w:spacing w:after="0"/>
        <w:ind w:left="284" w:hanging="284"/>
        <w:rPr>
          <w:sz w:val="16"/>
          <w:szCs w:val="16"/>
        </w:rPr>
      </w:pPr>
      <w:r>
        <w:rPr>
          <w:rStyle w:val="FootnoteReference"/>
          <w:sz w:val="16"/>
          <w:szCs w:val="16"/>
        </w:rPr>
        <w:footnoteRef/>
      </w:r>
      <w:r>
        <w:rPr>
          <w:sz w:val="16"/>
          <w:szCs w:val="16"/>
        </w:rPr>
        <w:tab/>
        <w:t>Mezi profesní pochybení patří: porušení etických norem platných v oboru, protiprávní jednání s dopadem na profesní důvěryhodnost, nepravdivá prohlášení / zkreslení informací, účast na kartelové dohodě nebo jiné dohodě narušující hospodářskou soutěž, porušení práv duševního vlastnictví, pokus o ovlivnění rozhodovacích procesů nebo získání důvěrné informace od orgánů veřejné moci s cílem získat výhodu.</w:t>
      </w:r>
    </w:p>
  </w:footnote>
  <w:footnote w:id="21">
    <w:p w14:paraId="32BB546C" w14:textId="77777777" w:rsidR="000579AF" w:rsidRPr="009C6A77" w:rsidRDefault="000579AF" w:rsidP="00116CF7">
      <w:pPr>
        <w:pStyle w:val="FootnoteText"/>
        <w:spacing w:after="0"/>
        <w:ind w:left="284" w:hanging="284"/>
        <w:rPr>
          <w:sz w:val="16"/>
          <w:szCs w:val="16"/>
        </w:rPr>
      </w:pPr>
      <w:r>
        <w:rPr>
          <w:rStyle w:val="FootnoteReference"/>
          <w:sz w:val="16"/>
          <w:szCs w:val="16"/>
        </w:rPr>
        <w:footnoteRef/>
      </w:r>
      <w:r>
        <w:rPr>
          <w:sz w:val="16"/>
          <w:szCs w:val="16"/>
        </w:rPr>
        <w:tab/>
        <w:t xml:space="preserve">Viz článek 141 finančního nařízení EU </w:t>
      </w:r>
      <w:hyperlink r:id="rId11" w:history="1">
        <w:r>
          <w:rPr>
            <w:bCs/>
            <w:color w:val="0088CC"/>
            <w:sz w:val="16"/>
            <w:szCs w:val="16"/>
            <w:u w:val="single"/>
          </w:rPr>
          <w:t>2018/1046</w:t>
        </w:r>
      </w:hyperlink>
      <w:r>
        <w:t>.</w:t>
      </w:r>
    </w:p>
  </w:footnote>
  <w:footnote w:id="22">
    <w:p w14:paraId="482E0888" w14:textId="11DAA1E3" w:rsidR="000579AF" w:rsidRPr="00965369" w:rsidRDefault="000579AF" w:rsidP="00116CF7">
      <w:pPr>
        <w:pStyle w:val="FootnoteText"/>
        <w:spacing w:after="0"/>
        <w:ind w:left="284" w:hanging="284"/>
        <w:rPr>
          <w:sz w:val="16"/>
          <w:szCs w:val="16"/>
        </w:rPr>
      </w:pPr>
      <w:r>
        <w:rPr>
          <w:rStyle w:val="FootnoteReference"/>
          <w:sz w:val="16"/>
        </w:rPr>
        <w:footnoteRef/>
      </w:r>
      <w:r>
        <w:tab/>
      </w:r>
      <w:hyperlink r:id="rId12" w:history="1">
        <w:r>
          <w:rPr>
            <w:rStyle w:val="Hyperlink"/>
            <w:sz w:val="16"/>
            <w:szCs w:val="16"/>
          </w:rPr>
          <w:t>Rozhodnutí</w:t>
        </w:r>
      </w:hyperlink>
      <w:r>
        <w:rPr>
          <w:sz w:val="16"/>
          <w:szCs w:val="16"/>
        </w:rPr>
        <w:t xml:space="preserve"> ze dne 26. března 2021</w:t>
      </w:r>
      <w:r>
        <w:rPr>
          <w:iCs/>
          <w:sz w:val="16"/>
          <w:szCs w:val="16"/>
        </w:rPr>
        <w:t>, kterým se povoluje používání paušálních částek na akce v rámci programu Občané, rovnost, práva a hodnoty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22207" w:rsidRDefault="00D47016" w:rsidP="00322207">
    <w:pPr>
      <w:tabs>
        <w:tab w:val="center" w:pos="4536"/>
        <w:tab w:val="right" w:pos="9072"/>
      </w:tabs>
      <w:spacing w:after="0"/>
      <w:rPr>
        <w:rFonts w:eastAsia="Calibri"/>
        <w:sz w:val="16"/>
      </w:rPr>
    </w:pPr>
    <w:r>
      <w:rPr>
        <w:sz w:val="16"/>
      </w:rPr>
      <w:t>Výzva: [CERV-2022-CITIZENS-TOWN] – [Partnerství měst a sítě měst]</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05373BA"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Granty EU</w:t>
    </w:r>
    <w:r>
      <w:rPr>
        <w:color w:val="808080"/>
        <w:sz w:val="16"/>
        <w:szCs w:val="16"/>
      </w:rPr>
      <w:t>: Dokument k výzvě</w:t>
    </w:r>
    <w:r>
      <w:rPr>
        <w:color w:val="7F7F7F"/>
        <w:sz w:val="16"/>
        <w:szCs w:val="16"/>
      </w:rPr>
      <w:t xml:space="preserve"> (CERV):</w:t>
    </w:r>
    <w:r>
      <w:rPr>
        <w:color w:val="808080"/>
        <w:sz w:val="16"/>
        <w:szCs w:val="16"/>
      </w:rPr>
      <w:t xml:space="preserve"> V1.0 – 16. listopadu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1D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264F"/>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6CF7"/>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1A79"/>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498"/>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5E8C"/>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695"/>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239"/>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2B4"/>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3FDA"/>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A5B75-1EA7-4628-935C-286E27E0EEEB}">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3C822092-5FBF-4706-A554-AC03718C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111</TotalTime>
  <Pages>27</Pages>
  <Words>8354</Words>
  <Characters>47619</Characters>
  <Application>Microsoft Office Word</Application>
  <DocSecurity>0</DocSecurity>
  <PresentationFormat>Microsoft Word 14.0</PresentationFormat>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43</cp:revision>
  <cp:lastPrinted>2017-11-06T13:30:00Z</cp:lastPrinted>
  <dcterms:created xsi:type="dcterms:W3CDTF">2021-12-09T12:20:00Z</dcterms:created>
  <dcterms:modified xsi:type="dcterms:W3CDTF">2022-01-24T12:08:00Z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