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CDCDD" w14:textId="3CB7706C" w:rsidR="00F9780D" w:rsidRPr="00120788" w:rsidRDefault="00C766B6" w:rsidP="00BC77C3">
      <w:pPr>
        <w:jc w:val="center"/>
        <w:rPr>
          <w:rFonts w:ascii="EC Square Sans Pro" w:hAnsi="EC Square Sans Pro"/>
          <w:b/>
          <w:color w:val="000000"/>
          <w:sz w:val="30"/>
          <w:szCs w:val="30"/>
          <w:lang w:val="pl-PL"/>
        </w:rPr>
      </w:pPr>
      <w:r w:rsidRPr="00120788">
        <w:rPr>
          <w:rFonts w:ascii="EC Square Sans Pro" w:hAnsi="EC Square Sans Pro"/>
          <w:b/>
          <w:color w:val="00B0F0"/>
          <w:sz w:val="30"/>
          <w:szCs w:val="30"/>
        </w:rPr>
        <w:t>В случай на несъответствия между различните езикови версии предимство има текстът на английски език</w:t>
      </w:r>
      <w:r w:rsidR="00120788">
        <w:rPr>
          <w:rFonts w:ascii="EC Square Sans Pro" w:hAnsi="EC Square Sans Pro"/>
          <w:b/>
          <w:color w:val="00B0F0"/>
          <w:sz w:val="30"/>
          <w:szCs w:val="30"/>
          <w:lang w:val="pl-PL"/>
        </w:rPr>
        <w:t>.</w:t>
      </w:r>
    </w:p>
    <w:p w14:paraId="0385DD63" w14:textId="32106BF0" w:rsidR="00BC77C3" w:rsidRDefault="00BC77C3" w:rsidP="00BC77C3">
      <w:pPr>
        <w:jc w:val="center"/>
      </w:pPr>
    </w:p>
    <w:p w14:paraId="3B099547" w14:textId="77777777" w:rsidR="00C766B6" w:rsidRPr="009F3D7B" w:rsidRDefault="00C766B6" w:rsidP="00BC77C3">
      <w:pPr>
        <w:jc w:val="center"/>
      </w:pPr>
    </w:p>
    <w:p w14:paraId="418ADFA1" w14:textId="75C8365F" w:rsidR="00BC77C3" w:rsidRPr="009F3D7B" w:rsidRDefault="005A3754" w:rsidP="00091DCA">
      <w:pPr>
        <w:jc w:val="center"/>
        <w:rPr>
          <w:rFonts w:ascii="Arial" w:hAnsi="Arial"/>
        </w:rPr>
      </w:pPr>
      <w:r w:rsidRPr="009F3D7B">
        <w:rPr>
          <w:noProof/>
          <w:lang w:val="en-IE" w:eastAsia="en-IE"/>
        </w:rPr>
        <w:drawing>
          <wp:inline distT="0" distB="0" distL="0" distR="0" wp14:anchorId="3A69CB9C" wp14:editId="4CD3D611">
            <wp:extent cx="3198873" cy="2175753"/>
            <wp:effectExtent l="0" t="0" r="0" b="0"/>
            <wp:docPr id="1" name="Picture 1307357487" title="Title: Title: Title: Title: flag_yellow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7357487" name="Picture 1307357487" title="Title: Title: Title: Title: flag_yellow_low"/>
                    <pic:cNvPicPr/>
                  </pic:nvPicPr>
                  <pic:blipFill>
                    <a:blip r:embed="rId15">
                      <a:extLst>
                        <a:ext uri="{28A0092B-C50C-407E-A947-70E740481C1C}">
                          <a14:useLocalDpi xmlns:a14="http://schemas.microsoft.com/office/drawing/2010/main" val="0"/>
                        </a:ext>
                      </a:extLst>
                    </a:blip>
                    <a:srcRect r="-59" b="-115"/>
                    <a:stretch>
                      <a:fillRect/>
                    </a:stretch>
                  </pic:blipFill>
                  <pic:spPr>
                    <a:xfrm>
                      <a:off x="0" y="0"/>
                      <a:ext cx="3198495" cy="2175510"/>
                    </a:xfrm>
                    <a:prstGeom prst="rect">
                      <a:avLst/>
                    </a:prstGeom>
                  </pic:spPr>
                </pic:pic>
              </a:graphicData>
            </a:graphic>
          </wp:inline>
        </w:drawing>
      </w:r>
    </w:p>
    <w:p w14:paraId="5C568077" w14:textId="77777777" w:rsidR="00BC77C3" w:rsidRPr="009F3D7B" w:rsidRDefault="00BC77C3" w:rsidP="00F9780D">
      <w:pPr>
        <w:jc w:val="center"/>
        <w:rPr>
          <w:rFonts w:ascii="Arial" w:hAnsi="Arial"/>
        </w:rPr>
      </w:pPr>
    </w:p>
    <w:p w14:paraId="7D8B3237" w14:textId="77777777" w:rsidR="00BC77C3" w:rsidRPr="009F3D7B" w:rsidRDefault="00BC77C3" w:rsidP="00F9780D">
      <w:pPr>
        <w:jc w:val="center"/>
        <w:rPr>
          <w:rFonts w:ascii="Arial" w:hAnsi="Arial"/>
        </w:rPr>
      </w:pPr>
    </w:p>
    <w:p w14:paraId="35065F78" w14:textId="17DB65C8" w:rsidR="00877924" w:rsidRPr="009F3D7B" w:rsidRDefault="00DE39DA" w:rsidP="42BB08A3">
      <w:pPr>
        <w:jc w:val="center"/>
        <w:rPr>
          <w:rFonts w:ascii="EC Square Sans Pro Light" w:hAnsi="EC Square Sans Pro Light"/>
          <w:b/>
          <w:bCs/>
          <w:sz w:val="48"/>
          <w:szCs w:val="48"/>
        </w:rPr>
      </w:pPr>
      <w:r w:rsidRPr="009F3D7B">
        <w:rPr>
          <w:rFonts w:ascii="EC Square Sans Pro Medium" w:hAnsi="EC Square Sans Pro Medium"/>
          <w:b/>
          <w:bCs/>
          <w:sz w:val="48"/>
          <w:szCs w:val="48"/>
        </w:rPr>
        <w:t>Програма „Граждани, равенство, права и ценности“ (CERV)</w:t>
      </w:r>
    </w:p>
    <w:p w14:paraId="50894FE4" w14:textId="77777777" w:rsidR="00877924" w:rsidRPr="009F3D7B" w:rsidRDefault="00877924" w:rsidP="00874AFD">
      <w:pPr>
        <w:jc w:val="center"/>
        <w:rPr>
          <w:rFonts w:ascii="EC Square Sans Pro Light" w:hAnsi="EC Square Sans Pro Light"/>
          <w:b/>
        </w:rPr>
      </w:pPr>
    </w:p>
    <w:p w14:paraId="3ECABABD" w14:textId="43646D72" w:rsidR="00877924" w:rsidRPr="009F3D7B" w:rsidRDefault="00874AFD" w:rsidP="009E0E8F">
      <w:pPr>
        <w:spacing w:after="320"/>
        <w:jc w:val="center"/>
        <w:rPr>
          <w:rFonts w:ascii="EC Square Sans Pro Light" w:hAnsi="EC Square Sans Pro Light"/>
          <w:b/>
          <w:bCs/>
          <w:sz w:val="48"/>
          <w:szCs w:val="48"/>
        </w:rPr>
      </w:pPr>
      <w:r w:rsidRPr="009F3D7B">
        <w:rPr>
          <w:rFonts w:ascii="EC Square Sans Pro Light" w:hAnsi="EC Square Sans Pro Light"/>
          <w:b/>
          <w:bCs/>
          <w:sz w:val="48"/>
          <w:szCs w:val="48"/>
        </w:rPr>
        <w:t xml:space="preserve">Покана за представяне на предложения </w:t>
      </w:r>
    </w:p>
    <w:p w14:paraId="026AC77F" w14:textId="77777777" w:rsidR="00BA69DD" w:rsidRPr="009F3D7B" w:rsidRDefault="00BA69DD" w:rsidP="00BA69DD">
      <w:pPr>
        <w:spacing w:after="320"/>
        <w:jc w:val="center"/>
        <w:rPr>
          <w:rFonts w:ascii="EC Square Sans Pro Light" w:hAnsi="EC Square Sans Pro Light"/>
          <w:b/>
          <w:bCs/>
          <w:sz w:val="48"/>
          <w:szCs w:val="48"/>
          <w:lang w:val="ru-RU"/>
        </w:rPr>
      </w:pPr>
    </w:p>
    <w:p w14:paraId="5D3C2DA6" w14:textId="7FDDFAD8" w:rsidR="00BE4CEF" w:rsidRPr="009F3D7B" w:rsidRDefault="00BE4CEF" w:rsidP="00BE4CEF">
      <w:pPr>
        <w:jc w:val="center"/>
        <w:rPr>
          <w:rFonts w:ascii="EC Square Sans Pro" w:eastAsia="EC Square Sans Pro" w:hAnsi="EC Square Sans Pro" w:cs="EC Square Sans Pro"/>
          <w:color w:val="000000"/>
          <w:sz w:val="30"/>
          <w:szCs w:val="30"/>
        </w:rPr>
      </w:pPr>
      <w:r w:rsidRPr="009F3D7B">
        <w:rPr>
          <w:rFonts w:ascii="EC Square Sans Pro" w:hAnsi="EC Square Sans Pro"/>
          <w:color w:val="000000"/>
          <w:sz w:val="30"/>
          <w:szCs w:val="30"/>
        </w:rPr>
        <w:t>Побратимяване на градове и мрежи от градове</w:t>
      </w:r>
    </w:p>
    <w:p w14:paraId="7A38AB7F" w14:textId="32C6C549" w:rsidR="00BE4CEF" w:rsidRPr="009F3D7B" w:rsidRDefault="00E81CEB" w:rsidP="00BE4CEF">
      <w:pPr>
        <w:jc w:val="center"/>
        <w:rPr>
          <w:rFonts w:ascii="EC Square Sans Pro" w:hAnsi="EC Square Sans Pro" w:cs="EC Square Sans Pro"/>
          <w:color w:val="000000"/>
          <w:sz w:val="30"/>
          <w:szCs w:val="30"/>
        </w:rPr>
      </w:pPr>
      <w:r w:rsidRPr="009F3D7B">
        <w:rPr>
          <w:rFonts w:ascii="EC Square Sans Pro" w:hAnsi="EC Square Sans Pro"/>
          <w:color w:val="000000"/>
          <w:sz w:val="30"/>
          <w:szCs w:val="30"/>
        </w:rPr>
        <w:t xml:space="preserve">(CERV-2022-CITIZENS-TOWN: </w:t>
      </w:r>
    </w:p>
    <w:p w14:paraId="68B0281F" w14:textId="4C206E2A" w:rsidR="00BE4CEF" w:rsidRPr="009F3D7B" w:rsidRDefault="00E81CEB" w:rsidP="00BE4CEF">
      <w:pPr>
        <w:jc w:val="center"/>
        <w:rPr>
          <w:rFonts w:ascii="EC Square Sans Pro" w:eastAsia="EC Square Sans Pro" w:hAnsi="EC Square Sans Pro" w:cs="EC Square Sans Pro"/>
          <w:color w:val="000000"/>
          <w:sz w:val="30"/>
          <w:szCs w:val="30"/>
        </w:rPr>
      </w:pPr>
      <w:r w:rsidRPr="009F3D7B">
        <w:rPr>
          <w:rFonts w:ascii="EC Square Sans Pro" w:hAnsi="EC Square Sans Pro"/>
          <w:color w:val="000000"/>
          <w:sz w:val="30"/>
          <w:szCs w:val="30"/>
        </w:rPr>
        <w:t>CERV-2022-TOWN-TT, CERV-2022-TOWN-NT)</w:t>
      </w:r>
    </w:p>
    <w:p w14:paraId="3EDE395E" w14:textId="77777777" w:rsidR="007A412A" w:rsidRPr="009F3D7B" w:rsidRDefault="007A412A" w:rsidP="007A412A">
      <w:pPr>
        <w:jc w:val="center"/>
        <w:rPr>
          <w:rFonts w:ascii="EC Square Sans Pro Light" w:hAnsi="EC Square Sans Pro Light"/>
          <w:b/>
        </w:rPr>
      </w:pPr>
      <w:bookmarkStart w:id="0" w:name="_GoBack"/>
      <w:bookmarkEnd w:id="0"/>
    </w:p>
    <w:p w14:paraId="6E4B9879" w14:textId="77777777" w:rsidR="007A412A" w:rsidRPr="009F3D7B" w:rsidRDefault="007A412A" w:rsidP="007A412A">
      <w:pPr>
        <w:jc w:val="center"/>
        <w:rPr>
          <w:rFonts w:ascii="EC Square Sans Pro Light" w:hAnsi="EC Square Sans Pro Light"/>
          <w:b/>
        </w:rPr>
      </w:pPr>
    </w:p>
    <w:p w14:paraId="61DBCCDA" w14:textId="77777777" w:rsidR="007A412A" w:rsidRPr="009F3D7B" w:rsidRDefault="007A412A" w:rsidP="007A412A">
      <w:pPr>
        <w:jc w:val="center"/>
        <w:rPr>
          <w:rFonts w:ascii="EC Square Sans Pro Light" w:hAnsi="EC Square Sans Pro Light"/>
          <w:b/>
        </w:rPr>
      </w:pPr>
    </w:p>
    <w:p w14:paraId="5FB6A2F5" w14:textId="51B3A1A9" w:rsidR="00877924" w:rsidRPr="009F3D7B" w:rsidRDefault="00877924" w:rsidP="007A412A">
      <w:pPr>
        <w:spacing w:after="0"/>
        <w:jc w:val="center"/>
        <w:rPr>
          <w:rFonts w:ascii="EC Square Sans Pro Light" w:hAnsi="EC Square Sans Pro Light"/>
          <w:b/>
        </w:rPr>
      </w:pPr>
      <w:r w:rsidRPr="009F3D7B">
        <w:rPr>
          <w:rFonts w:ascii="EC Square Sans Pro Light" w:hAnsi="EC Square Sans Pro Light"/>
          <w:b/>
        </w:rPr>
        <w:t>Версия 1.0</w:t>
      </w:r>
    </w:p>
    <w:p w14:paraId="6AA6E93A" w14:textId="5A75814B" w:rsidR="00A2572D" w:rsidRPr="009F3D7B" w:rsidRDefault="0086598B" w:rsidP="00A2572D">
      <w:pPr>
        <w:spacing w:after="0"/>
        <w:jc w:val="center"/>
        <w:rPr>
          <w:rFonts w:ascii="EC Square Sans Pro Light" w:hAnsi="EC Square Sans Pro Light"/>
          <w:b/>
        </w:rPr>
      </w:pPr>
      <w:r w:rsidRPr="009F3D7B">
        <w:rPr>
          <w:rFonts w:ascii="EC Square Sans Pro Light" w:hAnsi="EC Square Sans Pro Light"/>
          <w:b/>
        </w:rPr>
        <w:t>16 ноември 2021 г.</w:t>
      </w:r>
    </w:p>
    <w:p w14:paraId="048B71E5" w14:textId="77777777" w:rsidR="00A2572D" w:rsidRPr="009F3D7B" w:rsidRDefault="00A2572D" w:rsidP="00A2572D">
      <w:pPr>
        <w:spacing w:after="0"/>
        <w:jc w:val="center"/>
        <w:rPr>
          <w:rFonts w:ascii="EC Square Sans Pro Light" w:hAnsi="EC Square Sans Pro Light"/>
          <w:bCs/>
          <w:lang w:val="en-US" w:eastAsia="en-GB"/>
        </w:rPr>
        <w:sectPr w:rsidR="00A2572D" w:rsidRPr="009F3D7B" w:rsidSect="007E6BA0">
          <w:headerReference w:type="default" r:id="rId16"/>
          <w:footerReference w:type="default" r:id="rId17"/>
          <w:headerReference w:type="first" r:id="rId18"/>
          <w:footerReference w:type="first" r:id="rId19"/>
          <w:pgSz w:w="11906" w:h="16838" w:code="9"/>
          <w:pgMar w:top="1560" w:right="1588" w:bottom="1276" w:left="1588" w:header="567" w:footer="737" w:gutter="0"/>
          <w:cols w:space="720"/>
          <w:titlePg/>
          <w:docGrid w:linePitch="381"/>
        </w:sectPr>
      </w:pPr>
    </w:p>
    <w:tbl>
      <w:tblPr>
        <w:tblW w:w="9000"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45" w:type="dxa"/>
          <w:right w:w="45" w:type="dxa"/>
        </w:tblCellMar>
        <w:tblLook w:val="04A0" w:firstRow="1" w:lastRow="0" w:firstColumn="1" w:lastColumn="0" w:noHBand="0" w:noVBand="1"/>
      </w:tblPr>
      <w:tblGrid>
        <w:gridCol w:w="975"/>
        <w:gridCol w:w="1350"/>
        <w:gridCol w:w="6000"/>
        <w:gridCol w:w="675"/>
      </w:tblGrid>
      <w:tr w:rsidR="002F6C8E" w:rsidRPr="009F3D7B" w14:paraId="366E97BE" w14:textId="77777777" w:rsidTr="002F6C8E">
        <w:trPr>
          <w:jc w:val="center"/>
        </w:trPr>
        <w:tc>
          <w:tcPr>
            <w:tcW w:w="9000" w:type="dxa"/>
            <w:gridSpan w:val="4"/>
            <w:hideMark/>
          </w:tcPr>
          <w:p w14:paraId="6DE6483F" w14:textId="77777777" w:rsidR="00877924" w:rsidRPr="009F3D7B" w:rsidRDefault="00877924" w:rsidP="00877924">
            <w:pPr>
              <w:spacing w:before="160" w:after="160"/>
              <w:jc w:val="center"/>
              <w:rPr>
                <w:b/>
                <w:color w:val="595959"/>
              </w:rPr>
            </w:pPr>
            <w:r w:rsidRPr="009F3D7B">
              <w:lastRenderedPageBreak/>
              <w:br w:type="page"/>
            </w:r>
            <w:r w:rsidRPr="009F3D7B">
              <w:br w:type="page"/>
            </w:r>
            <w:r w:rsidRPr="009F3D7B">
              <w:br w:type="page"/>
            </w:r>
            <w:r w:rsidRPr="009F3D7B">
              <w:rPr>
                <w:b/>
                <w:color w:val="595959"/>
              </w:rPr>
              <w:t>ИСТОРИЯ НА ПРОМЕНИТЕ</w:t>
            </w:r>
          </w:p>
        </w:tc>
      </w:tr>
      <w:tr w:rsidR="002F6C8E" w:rsidRPr="009F3D7B" w14:paraId="4E3EB65A" w14:textId="77777777" w:rsidTr="002F6C8E">
        <w:trPr>
          <w:jc w:val="center"/>
        </w:trPr>
        <w:tc>
          <w:tcPr>
            <w:tcW w:w="975" w:type="dxa"/>
            <w:vAlign w:val="center"/>
            <w:hideMark/>
          </w:tcPr>
          <w:p w14:paraId="4BC01B6E" w14:textId="77777777" w:rsidR="00877924" w:rsidRPr="009F3D7B" w:rsidRDefault="00877924" w:rsidP="00877924">
            <w:pPr>
              <w:spacing w:before="60" w:after="60"/>
              <w:jc w:val="center"/>
              <w:rPr>
                <w:b/>
                <w:color w:val="595959"/>
              </w:rPr>
            </w:pPr>
            <w:r w:rsidRPr="009F3D7B">
              <w:rPr>
                <w:b/>
                <w:color w:val="595959"/>
              </w:rPr>
              <w:t>Версия</w:t>
            </w:r>
          </w:p>
        </w:tc>
        <w:tc>
          <w:tcPr>
            <w:tcW w:w="1350" w:type="dxa"/>
            <w:vAlign w:val="center"/>
            <w:hideMark/>
          </w:tcPr>
          <w:p w14:paraId="23E928C6" w14:textId="77777777" w:rsidR="00877924" w:rsidRPr="009F3D7B" w:rsidRDefault="00877924" w:rsidP="00877924">
            <w:pPr>
              <w:keepNext/>
              <w:tabs>
                <w:tab w:val="right" w:pos="9063"/>
              </w:tabs>
              <w:spacing w:before="60" w:after="60"/>
              <w:ind w:left="-54"/>
              <w:jc w:val="center"/>
              <w:outlineLvl w:val="1"/>
              <w:rPr>
                <w:b/>
                <w:bCs/>
                <w:iCs/>
                <w:color w:val="595959"/>
              </w:rPr>
            </w:pPr>
            <w:r w:rsidRPr="009F3D7B">
              <w:rPr>
                <w:b/>
                <w:bCs/>
                <w:iCs/>
                <w:color w:val="595959"/>
              </w:rPr>
              <w:t>Дата на публикуване</w:t>
            </w:r>
          </w:p>
        </w:tc>
        <w:tc>
          <w:tcPr>
            <w:tcW w:w="6000" w:type="dxa"/>
            <w:vAlign w:val="center"/>
            <w:hideMark/>
          </w:tcPr>
          <w:p w14:paraId="42CDF74A" w14:textId="77777777" w:rsidR="00877924" w:rsidRPr="009F3D7B" w:rsidRDefault="00877924" w:rsidP="00877924">
            <w:pPr>
              <w:keepNext/>
              <w:tabs>
                <w:tab w:val="right" w:pos="9063"/>
              </w:tabs>
              <w:spacing w:before="60" w:after="60"/>
              <w:jc w:val="center"/>
              <w:outlineLvl w:val="1"/>
              <w:rPr>
                <w:b/>
                <w:bCs/>
                <w:iCs/>
                <w:color w:val="595959"/>
              </w:rPr>
            </w:pPr>
            <w:r w:rsidRPr="009F3D7B">
              <w:rPr>
                <w:b/>
                <w:bCs/>
                <w:iCs/>
                <w:color w:val="595959"/>
              </w:rPr>
              <w:t>Промяна</w:t>
            </w:r>
          </w:p>
        </w:tc>
        <w:tc>
          <w:tcPr>
            <w:tcW w:w="675" w:type="dxa"/>
            <w:vAlign w:val="center"/>
            <w:hideMark/>
          </w:tcPr>
          <w:p w14:paraId="7294B709" w14:textId="77777777" w:rsidR="00877924" w:rsidRPr="009F3D7B" w:rsidRDefault="00877924" w:rsidP="00877924">
            <w:pPr>
              <w:spacing w:before="60" w:after="60"/>
              <w:jc w:val="center"/>
              <w:rPr>
                <w:b/>
                <w:color w:val="595959"/>
              </w:rPr>
            </w:pPr>
            <w:r w:rsidRPr="009F3D7B">
              <w:rPr>
                <w:b/>
                <w:color w:val="595959"/>
              </w:rPr>
              <w:t>Страница</w:t>
            </w:r>
          </w:p>
        </w:tc>
      </w:tr>
      <w:tr w:rsidR="002F6C8E" w:rsidRPr="009F3D7B" w14:paraId="6AD94C27" w14:textId="77777777" w:rsidTr="002F6C8E">
        <w:trPr>
          <w:jc w:val="center"/>
        </w:trPr>
        <w:tc>
          <w:tcPr>
            <w:tcW w:w="975" w:type="dxa"/>
            <w:hideMark/>
          </w:tcPr>
          <w:p w14:paraId="56E66BB1" w14:textId="77777777" w:rsidR="007C1E0D" w:rsidRPr="009F3D7B" w:rsidRDefault="007C1E0D" w:rsidP="0084666C">
            <w:pPr>
              <w:spacing w:before="60" w:after="60"/>
              <w:jc w:val="center"/>
              <w:rPr>
                <w:color w:val="595959"/>
                <w:sz w:val="18"/>
                <w:szCs w:val="18"/>
              </w:rPr>
            </w:pPr>
            <w:r w:rsidRPr="009F3D7B">
              <w:rPr>
                <w:color w:val="595959"/>
                <w:sz w:val="18"/>
                <w:szCs w:val="18"/>
              </w:rPr>
              <w:t>1.0</w:t>
            </w:r>
          </w:p>
        </w:tc>
        <w:tc>
          <w:tcPr>
            <w:tcW w:w="1350" w:type="dxa"/>
            <w:hideMark/>
          </w:tcPr>
          <w:p w14:paraId="60BE4CB3" w14:textId="30249BF1" w:rsidR="007C1E0D" w:rsidRPr="009F3D7B" w:rsidRDefault="00BE4CEF" w:rsidP="00F52256">
            <w:pPr>
              <w:keepNext/>
              <w:tabs>
                <w:tab w:val="right" w:pos="9063"/>
              </w:tabs>
              <w:spacing w:before="60" w:after="60"/>
              <w:jc w:val="center"/>
              <w:outlineLvl w:val="1"/>
              <w:rPr>
                <w:color w:val="595959"/>
                <w:sz w:val="18"/>
                <w:szCs w:val="18"/>
              </w:rPr>
            </w:pPr>
            <w:r w:rsidRPr="009F3D7B">
              <w:rPr>
                <w:color w:val="595959"/>
                <w:sz w:val="18"/>
                <w:szCs w:val="18"/>
              </w:rPr>
              <w:t>16.11.2021 г.</w:t>
            </w:r>
          </w:p>
        </w:tc>
        <w:tc>
          <w:tcPr>
            <w:tcW w:w="6000" w:type="dxa"/>
            <w:hideMark/>
          </w:tcPr>
          <w:p w14:paraId="7F916257" w14:textId="077F49C4" w:rsidR="007C1E0D" w:rsidRPr="009F3D7B" w:rsidRDefault="009E1814" w:rsidP="00584316">
            <w:pPr>
              <w:keepNext/>
              <w:numPr>
                <w:ilvl w:val="0"/>
                <w:numId w:val="23"/>
              </w:numPr>
              <w:tabs>
                <w:tab w:val="left" w:pos="318"/>
                <w:tab w:val="right" w:pos="9063"/>
              </w:tabs>
              <w:spacing w:before="60" w:after="60"/>
              <w:ind w:left="318" w:hanging="284"/>
              <w:outlineLvl w:val="1"/>
              <w:rPr>
                <w:color w:val="595959"/>
                <w:sz w:val="18"/>
                <w:szCs w:val="18"/>
              </w:rPr>
            </w:pPr>
            <w:r w:rsidRPr="009F3D7B">
              <w:rPr>
                <w:color w:val="595959"/>
                <w:sz w:val="18"/>
                <w:szCs w:val="18"/>
              </w:rPr>
              <w:t>Първоначална версия (МФР 2021—2022 г.)</w:t>
            </w:r>
          </w:p>
        </w:tc>
        <w:tc>
          <w:tcPr>
            <w:tcW w:w="675" w:type="dxa"/>
            <w:hideMark/>
          </w:tcPr>
          <w:p w14:paraId="0776925A" w14:textId="77777777" w:rsidR="007C1E0D" w:rsidRPr="009F3D7B" w:rsidRDefault="007C1E0D" w:rsidP="00877924">
            <w:pPr>
              <w:keepNext/>
              <w:tabs>
                <w:tab w:val="right" w:pos="9063"/>
              </w:tabs>
              <w:spacing w:before="60" w:after="60"/>
              <w:jc w:val="center"/>
              <w:outlineLvl w:val="1"/>
              <w:rPr>
                <w:color w:val="595959"/>
                <w:sz w:val="18"/>
                <w:szCs w:val="18"/>
                <w:lang w:val="en-US"/>
              </w:rPr>
            </w:pPr>
          </w:p>
        </w:tc>
      </w:tr>
      <w:tr w:rsidR="002F6C8E" w:rsidRPr="009F3D7B" w14:paraId="6B8E79B0" w14:textId="77777777" w:rsidTr="002F6C8E">
        <w:trPr>
          <w:jc w:val="center"/>
        </w:trPr>
        <w:tc>
          <w:tcPr>
            <w:tcW w:w="975" w:type="dxa"/>
          </w:tcPr>
          <w:p w14:paraId="2D4B5C9F" w14:textId="77777777" w:rsidR="007C1E0D" w:rsidRPr="009F3D7B" w:rsidRDefault="007C1E0D" w:rsidP="0084666C">
            <w:pPr>
              <w:spacing w:before="60" w:after="60"/>
              <w:jc w:val="center"/>
              <w:rPr>
                <w:color w:val="595959"/>
                <w:sz w:val="18"/>
                <w:szCs w:val="18"/>
              </w:rPr>
            </w:pPr>
          </w:p>
        </w:tc>
        <w:tc>
          <w:tcPr>
            <w:tcW w:w="1350" w:type="dxa"/>
          </w:tcPr>
          <w:p w14:paraId="3F2CFB55" w14:textId="77777777" w:rsidR="007C1E0D" w:rsidRPr="009F3D7B" w:rsidRDefault="007C1E0D" w:rsidP="0084666C">
            <w:pPr>
              <w:keepNext/>
              <w:tabs>
                <w:tab w:val="right" w:pos="9063"/>
              </w:tabs>
              <w:spacing w:before="60" w:after="60"/>
              <w:jc w:val="center"/>
              <w:outlineLvl w:val="1"/>
              <w:rPr>
                <w:color w:val="595959"/>
                <w:sz w:val="18"/>
                <w:szCs w:val="18"/>
              </w:rPr>
            </w:pPr>
          </w:p>
        </w:tc>
        <w:tc>
          <w:tcPr>
            <w:tcW w:w="6000" w:type="dxa"/>
            <w:hideMark/>
          </w:tcPr>
          <w:p w14:paraId="3BB2AEDE" w14:textId="77777777" w:rsidR="007C1E0D" w:rsidRPr="009F3D7B"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50EB3CF6" w14:textId="77777777" w:rsidR="007C1E0D" w:rsidRPr="009F3D7B" w:rsidRDefault="007C1E0D" w:rsidP="00877924">
            <w:pPr>
              <w:keepNext/>
              <w:tabs>
                <w:tab w:val="right" w:pos="9063"/>
              </w:tabs>
              <w:spacing w:before="60" w:after="60"/>
              <w:jc w:val="center"/>
              <w:outlineLvl w:val="1"/>
              <w:rPr>
                <w:color w:val="595959"/>
                <w:sz w:val="18"/>
                <w:szCs w:val="18"/>
                <w:lang w:val="en-US"/>
              </w:rPr>
            </w:pPr>
          </w:p>
        </w:tc>
      </w:tr>
      <w:tr w:rsidR="002F6C8E" w:rsidRPr="009F3D7B" w14:paraId="543D7828" w14:textId="77777777" w:rsidTr="002F6C8E">
        <w:trPr>
          <w:jc w:val="center"/>
        </w:trPr>
        <w:tc>
          <w:tcPr>
            <w:tcW w:w="975" w:type="dxa"/>
          </w:tcPr>
          <w:p w14:paraId="53DF4A59" w14:textId="77777777" w:rsidR="007C1E0D" w:rsidRPr="009F3D7B" w:rsidRDefault="007C1E0D" w:rsidP="0084666C">
            <w:pPr>
              <w:spacing w:before="60" w:after="60"/>
              <w:jc w:val="center"/>
              <w:rPr>
                <w:color w:val="595959"/>
                <w:sz w:val="18"/>
                <w:szCs w:val="18"/>
              </w:rPr>
            </w:pPr>
          </w:p>
        </w:tc>
        <w:tc>
          <w:tcPr>
            <w:tcW w:w="1350" w:type="dxa"/>
          </w:tcPr>
          <w:p w14:paraId="38342A73" w14:textId="77777777" w:rsidR="007C1E0D" w:rsidRPr="009F3D7B" w:rsidRDefault="007C1E0D" w:rsidP="0084666C">
            <w:pPr>
              <w:keepNext/>
              <w:tabs>
                <w:tab w:val="right" w:pos="9063"/>
              </w:tabs>
              <w:spacing w:before="60" w:after="60"/>
              <w:jc w:val="center"/>
              <w:outlineLvl w:val="1"/>
              <w:rPr>
                <w:color w:val="595959"/>
                <w:sz w:val="18"/>
                <w:szCs w:val="18"/>
              </w:rPr>
            </w:pPr>
          </w:p>
        </w:tc>
        <w:tc>
          <w:tcPr>
            <w:tcW w:w="6000" w:type="dxa"/>
          </w:tcPr>
          <w:p w14:paraId="444D49C1" w14:textId="77777777" w:rsidR="007C1E0D" w:rsidRPr="009F3D7B"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641351FE" w14:textId="77777777" w:rsidR="007C1E0D" w:rsidRPr="009F3D7B" w:rsidRDefault="007C1E0D" w:rsidP="00877924">
            <w:pPr>
              <w:keepNext/>
              <w:tabs>
                <w:tab w:val="right" w:pos="9063"/>
              </w:tabs>
              <w:spacing w:before="60" w:after="60"/>
              <w:jc w:val="center"/>
              <w:outlineLvl w:val="1"/>
              <w:rPr>
                <w:color w:val="595959"/>
                <w:sz w:val="18"/>
                <w:szCs w:val="18"/>
                <w:lang w:val="en-US"/>
              </w:rPr>
            </w:pPr>
          </w:p>
        </w:tc>
      </w:tr>
      <w:tr w:rsidR="002F6C8E" w:rsidRPr="009F3D7B" w14:paraId="30FE2898" w14:textId="77777777" w:rsidTr="002F6C8E">
        <w:trPr>
          <w:jc w:val="center"/>
        </w:trPr>
        <w:tc>
          <w:tcPr>
            <w:tcW w:w="975" w:type="dxa"/>
          </w:tcPr>
          <w:p w14:paraId="55376C2C" w14:textId="77777777" w:rsidR="007C1E0D" w:rsidRPr="009F3D7B" w:rsidRDefault="007C1E0D" w:rsidP="0084666C">
            <w:pPr>
              <w:spacing w:before="60" w:after="60"/>
              <w:jc w:val="center"/>
              <w:rPr>
                <w:color w:val="595959"/>
                <w:sz w:val="18"/>
                <w:szCs w:val="18"/>
              </w:rPr>
            </w:pPr>
          </w:p>
        </w:tc>
        <w:tc>
          <w:tcPr>
            <w:tcW w:w="1350" w:type="dxa"/>
          </w:tcPr>
          <w:p w14:paraId="4A3DC56D" w14:textId="77777777" w:rsidR="007C1E0D" w:rsidRPr="009F3D7B" w:rsidRDefault="007C1E0D" w:rsidP="0084666C">
            <w:pPr>
              <w:keepNext/>
              <w:tabs>
                <w:tab w:val="right" w:pos="9063"/>
              </w:tabs>
              <w:spacing w:before="60" w:after="60"/>
              <w:jc w:val="center"/>
              <w:outlineLvl w:val="1"/>
              <w:rPr>
                <w:color w:val="595959"/>
                <w:sz w:val="18"/>
                <w:szCs w:val="18"/>
              </w:rPr>
            </w:pPr>
          </w:p>
        </w:tc>
        <w:tc>
          <w:tcPr>
            <w:tcW w:w="6000" w:type="dxa"/>
          </w:tcPr>
          <w:p w14:paraId="3ECBC096" w14:textId="77777777" w:rsidR="007C1E0D" w:rsidRPr="009F3D7B"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29A81A1A" w14:textId="77777777" w:rsidR="007C1E0D" w:rsidRPr="009F3D7B" w:rsidRDefault="007C1E0D" w:rsidP="00877924">
            <w:pPr>
              <w:keepNext/>
              <w:tabs>
                <w:tab w:val="right" w:pos="9063"/>
              </w:tabs>
              <w:spacing w:before="60" w:after="60"/>
              <w:jc w:val="center"/>
              <w:outlineLvl w:val="1"/>
              <w:rPr>
                <w:color w:val="595959"/>
                <w:sz w:val="18"/>
                <w:szCs w:val="18"/>
                <w:lang w:val="en-US"/>
              </w:rPr>
            </w:pPr>
          </w:p>
        </w:tc>
      </w:tr>
    </w:tbl>
    <w:p w14:paraId="21681E32" w14:textId="77777777" w:rsidR="00877924" w:rsidRPr="009F3D7B" w:rsidRDefault="00877924" w:rsidP="00877924">
      <w:pPr>
        <w:spacing w:after="0"/>
        <w:rPr>
          <w:sz w:val="22"/>
          <w:szCs w:val="22"/>
          <w:lang w:val="en-US"/>
        </w:rPr>
      </w:pPr>
    </w:p>
    <w:p w14:paraId="129A5496" w14:textId="77777777" w:rsidR="0062273B" w:rsidRPr="009F3D7B" w:rsidRDefault="00877924" w:rsidP="00771274">
      <w:pPr>
        <w:spacing w:after="0"/>
        <w:jc w:val="center"/>
        <w:rPr>
          <w:sz w:val="22"/>
          <w:szCs w:val="22"/>
        </w:rPr>
      </w:pPr>
      <w:r w:rsidRPr="009F3D7B">
        <w:br w:type="page"/>
      </w:r>
    </w:p>
    <w:tbl>
      <w:tblPr>
        <w:tblStyle w:val="TableLetterhead"/>
        <w:tblW w:w="9480" w:type="dxa"/>
        <w:tblLook w:val="04A0" w:firstRow="1" w:lastRow="0" w:firstColumn="1" w:lastColumn="0" w:noHBand="0" w:noVBand="1"/>
      </w:tblPr>
      <w:tblGrid>
        <w:gridCol w:w="2400"/>
        <w:gridCol w:w="7080"/>
      </w:tblGrid>
      <w:tr w:rsidR="0062273B" w:rsidRPr="009F3D7B" w14:paraId="63C3AADA" w14:textId="77777777" w:rsidTr="000579AF">
        <w:tc>
          <w:tcPr>
            <w:tcW w:w="2400" w:type="dxa"/>
          </w:tcPr>
          <w:p w14:paraId="45ABB2A4" w14:textId="1231702F" w:rsidR="0062273B" w:rsidRPr="009F3D7B" w:rsidRDefault="005A3754" w:rsidP="0062273B">
            <w:pPr>
              <w:widowControl w:val="0"/>
              <w:spacing w:after="0"/>
              <w:ind w:right="85"/>
              <w:rPr>
                <w:rFonts w:ascii="Times New Roman" w:hAnsi="Times New Roman"/>
              </w:rPr>
            </w:pPr>
            <w:r w:rsidRPr="009F3D7B">
              <w:rPr>
                <w:rFonts w:ascii="Times New Roman" w:hAnsi="Times New Roman"/>
                <w:noProof/>
                <w:lang w:val="en-IE" w:eastAsia="en-IE"/>
              </w:rPr>
              <w:lastRenderedPageBreak/>
              <w:drawing>
                <wp:inline distT="0" distB="0" distL="0" distR="0" wp14:anchorId="09CA6CCD" wp14:editId="2A0B6514">
                  <wp:extent cx="1371600" cy="672465"/>
                  <wp:effectExtent l="0" t="0" r="0" b="0"/>
                  <wp:docPr id="3" name="Picture 3"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f the European Commission, 12 yellow stars on a blue background arranged in a circle and framed by two light grey graphic elements representing the Berlaymont building, which is the headquarter of the European Commiss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0" cy="672465"/>
                          </a:xfrm>
                          <a:prstGeom prst="rect">
                            <a:avLst/>
                          </a:prstGeom>
                          <a:noFill/>
                          <a:ln>
                            <a:noFill/>
                          </a:ln>
                        </pic:spPr>
                      </pic:pic>
                    </a:graphicData>
                  </a:graphic>
                </wp:inline>
              </w:drawing>
            </w:r>
          </w:p>
        </w:tc>
        <w:tc>
          <w:tcPr>
            <w:tcW w:w="7080" w:type="dxa"/>
          </w:tcPr>
          <w:p w14:paraId="66F12799" w14:textId="408A0EF9" w:rsidR="0062273B" w:rsidRPr="009F3D7B" w:rsidRDefault="0062273B" w:rsidP="0062273B">
            <w:pPr>
              <w:widowControl w:val="0"/>
              <w:spacing w:before="90" w:after="0"/>
              <w:ind w:right="85"/>
              <w:jc w:val="left"/>
              <w:rPr>
                <w:rFonts w:ascii="Times New Roman" w:hAnsi="Times New Roman"/>
                <w:caps/>
              </w:rPr>
            </w:pPr>
            <w:r w:rsidRPr="009F3D7B">
              <w:rPr>
                <w:rFonts w:ascii="Times New Roman" w:hAnsi="Times New Roman"/>
                <w:caps/>
              </w:rPr>
              <w:t>ЕВРОПЕЙСКА ИЗПЪЛНИТЕЛНА АГЕНЦИЯ</w:t>
            </w:r>
          </w:p>
          <w:p w14:paraId="4C89199C" w14:textId="44C382F9" w:rsidR="0062273B" w:rsidRPr="009F3D7B" w:rsidRDefault="0062273B" w:rsidP="0062273B">
            <w:pPr>
              <w:widowControl w:val="0"/>
              <w:spacing w:after="0"/>
              <w:ind w:right="85"/>
              <w:jc w:val="left"/>
              <w:rPr>
                <w:rFonts w:ascii="Times New Roman" w:hAnsi="Times New Roman"/>
                <w:caps/>
              </w:rPr>
            </w:pPr>
            <w:r w:rsidRPr="009F3D7B">
              <w:rPr>
                <w:rFonts w:ascii="Times New Roman" w:hAnsi="Times New Roman"/>
                <w:caps/>
              </w:rPr>
              <w:t>ЗА ОБРАЗОВАНИЕ И КУЛТУРА (EACEA)</w:t>
            </w:r>
          </w:p>
          <w:p w14:paraId="42A84745" w14:textId="77777777" w:rsidR="0062273B" w:rsidRPr="009F3D7B" w:rsidRDefault="0062273B" w:rsidP="0062273B">
            <w:pPr>
              <w:widowControl w:val="0"/>
              <w:spacing w:after="0"/>
              <w:ind w:right="85"/>
              <w:jc w:val="left"/>
              <w:rPr>
                <w:rFonts w:ascii="Times New Roman" w:hAnsi="Times New Roman"/>
                <w:sz w:val="16"/>
                <w:lang w:eastAsia="fr-BE"/>
              </w:rPr>
            </w:pPr>
          </w:p>
          <w:p w14:paraId="4CC2F47D" w14:textId="09BE9929" w:rsidR="0062273B" w:rsidRPr="009F3D7B" w:rsidRDefault="0062273B" w:rsidP="0062273B">
            <w:pPr>
              <w:widowControl w:val="0"/>
              <w:spacing w:after="0"/>
              <w:ind w:right="85"/>
              <w:jc w:val="left"/>
              <w:rPr>
                <w:rFonts w:ascii="Times New Roman" w:hAnsi="Times New Roman"/>
                <w:sz w:val="16"/>
              </w:rPr>
            </w:pPr>
            <w:r w:rsidRPr="009F3D7B">
              <w:rPr>
                <w:rFonts w:ascii="Times New Roman" w:hAnsi="Times New Roman"/>
                <w:sz w:val="16"/>
              </w:rPr>
              <w:t>EACEA.B — Творчество, гражданство и съвместни операции</w:t>
            </w:r>
          </w:p>
          <w:p w14:paraId="6E2A31C1" w14:textId="0B6D355C" w:rsidR="0062273B" w:rsidRPr="009F3D7B" w:rsidRDefault="0062273B" w:rsidP="0062273B">
            <w:pPr>
              <w:widowControl w:val="0"/>
              <w:spacing w:after="0"/>
              <w:ind w:right="85"/>
              <w:jc w:val="left"/>
              <w:rPr>
                <w:rFonts w:ascii="Times New Roman" w:hAnsi="Times New Roman"/>
                <w:b/>
                <w:sz w:val="16"/>
              </w:rPr>
            </w:pPr>
            <w:r w:rsidRPr="009F3D7B">
              <w:rPr>
                <w:rFonts w:ascii="Times New Roman" w:hAnsi="Times New Roman"/>
                <w:b/>
                <w:sz w:val="16"/>
              </w:rPr>
              <w:t>EACEA.B.3 — Европа за гражданите</w:t>
            </w:r>
          </w:p>
        </w:tc>
      </w:tr>
    </w:tbl>
    <w:p w14:paraId="60377700" w14:textId="77777777" w:rsidR="00233324" w:rsidRPr="009F3D7B" w:rsidRDefault="00233324" w:rsidP="007502F1">
      <w:pPr>
        <w:pStyle w:val="BodyText"/>
        <w:spacing w:before="8"/>
        <w:jc w:val="center"/>
        <w:rPr>
          <w:sz w:val="22"/>
          <w:szCs w:val="22"/>
        </w:rPr>
      </w:pPr>
    </w:p>
    <w:p w14:paraId="4ADD2FD0" w14:textId="77777777" w:rsidR="007502F1" w:rsidRPr="009F3D7B" w:rsidRDefault="00233324" w:rsidP="007502F1">
      <w:pPr>
        <w:pStyle w:val="BodyText"/>
        <w:spacing w:before="8"/>
        <w:jc w:val="center"/>
        <w:rPr>
          <w:b/>
          <w:sz w:val="22"/>
          <w:szCs w:val="22"/>
        </w:rPr>
      </w:pPr>
      <w:r w:rsidRPr="009F3D7B">
        <w:rPr>
          <w:b/>
          <w:sz w:val="22"/>
          <w:szCs w:val="22"/>
        </w:rPr>
        <w:t xml:space="preserve">ПОКАНА ЗА ПРЕДСТАВЯНЕ НА ПРЕДЛОЖЕНИЯ </w:t>
      </w:r>
    </w:p>
    <w:p w14:paraId="22801F39" w14:textId="77777777" w:rsidR="00004B82" w:rsidRPr="009F3D7B" w:rsidRDefault="00004B82" w:rsidP="00B57534">
      <w:pPr>
        <w:widowControl w:val="0"/>
      </w:pPr>
    </w:p>
    <w:p w14:paraId="694C64CB" w14:textId="77777777" w:rsidR="0084666C" w:rsidRPr="009F3D7B" w:rsidRDefault="0084666C" w:rsidP="005A543F">
      <w:pPr>
        <w:autoSpaceDE w:val="0"/>
        <w:autoSpaceDN w:val="0"/>
        <w:adjustRightInd w:val="0"/>
        <w:jc w:val="left"/>
        <w:rPr>
          <w:rFonts w:eastAsia="Calibri" w:cs="Verdana"/>
          <w:b/>
          <w:color w:val="A50021"/>
          <w:sz w:val="18"/>
        </w:rPr>
      </w:pPr>
      <w:r w:rsidRPr="009F3D7B">
        <w:rPr>
          <w:b/>
          <w:color w:val="A50021"/>
          <w:sz w:val="18"/>
        </w:rPr>
        <w:t>СЪДЪРЖАНИЕ</w:t>
      </w:r>
    </w:p>
    <w:p w14:paraId="185DAF44" w14:textId="659A33A5" w:rsidR="00AF6E33" w:rsidRDefault="00340A6F">
      <w:pPr>
        <w:pStyle w:val="TOC1"/>
        <w:rPr>
          <w:rFonts w:asciiTheme="minorHAnsi" w:eastAsiaTheme="minorEastAsia" w:hAnsiTheme="minorHAnsi" w:cstheme="minorBidi"/>
          <w:noProof/>
          <w:sz w:val="22"/>
          <w:szCs w:val="22"/>
          <w:lang w:val="fr-LU" w:eastAsia="fr-LU"/>
        </w:rPr>
      </w:pPr>
      <w:r w:rsidRPr="009F3D7B">
        <w:fldChar w:fldCharType="begin"/>
      </w:r>
      <w:r w:rsidRPr="009F3D7B">
        <w:instrText xml:space="preserve"> TOC \o "1-1" \h \z \t "Heading 2,2,Heading 3,3,Subtitle,2" </w:instrText>
      </w:r>
      <w:r w:rsidRPr="009F3D7B">
        <w:fldChar w:fldCharType="separate"/>
      </w:r>
      <w:hyperlink w:anchor="_Toc92981818" w:history="1">
        <w:r w:rsidR="00AF6E33" w:rsidRPr="00E2747A">
          <w:rPr>
            <w:rStyle w:val="Hyperlink"/>
            <w:noProof/>
          </w:rPr>
          <w:t>0.</w:t>
        </w:r>
        <w:r w:rsidR="00AF6E33">
          <w:rPr>
            <w:rFonts w:asciiTheme="minorHAnsi" w:eastAsiaTheme="minorEastAsia" w:hAnsiTheme="minorHAnsi" w:cstheme="minorBidi"/>
            <w:noProof/>
            <w:sz w:val="22"/>
            <w:szCs w:val="22"/>
            <w:lang w:val="fr-LU" w:eastAsia="fr-LU"/>
          </w:rPr>
          <w:tab/>
        </w:r>
        <w:r w:rsidR="00AF6E33" w:rsidRPr="00E2747A">
          <w:rPr>
            <w:rStyle w:val="Hyperlink"/>
            <w:noProof/>
          </w:rPr>
          <w:t>Въведение</w:t>
        </w:r>
        <w:r w:rsidR="00AF6E33">
          <w:rPr>
            <w:noProof/>
            <w:webHidden/>
          </w:rPr>
          <w:tab/>
        </w:r>
        <w:r w:rsidR="00AF6E33">
          <w:rPr>
            <w:noProof/>
            <w:webHidden/>
          </w:rPr>
          <w:fldChar w:fldCharType="begin"/>
        </w:r>
        <w:r w:rsidR="00AF6E33">
          <w:rPr>
            <w:noProof/>
            <w:webHidden/>
          </w:rPr>
          <w:instrText xml:space="preserve"> PAGEREF _Toc92981818 \h </w:instrText>
        </w:r>
        <w:r w:rsidR="00AF6E33">
          <w:rPr>
            <w:noProof/>
            <w:webHidden/>
          </w:rPr>
        </w:r>
        <w:r w:rsidR="00AF6E33">
          <w:rPr>
            <w:noProof/>
            <w:webHidden/>
          </w:rPr>
          <w:fldChar w:fldCharType="separate"/>
        </w:r>
        <w:r w:rsidR="00AF6E33">
          <w:rPr>
            <w:noProof/>
            <w:webHidden/>
          </w:rPr>
          <w:t>5</w:t>
        </w:r>
        <w:r w:rsidR="00AF6E33">
          <w:rPr>
            <w:noProof/>
            <w:webHidden/>
          </w:rPr>
          <w:fldChar w:fldCharType="end"/>
        </w:r>
      </w:hyperlink>
    </w:p>
    <w:p w14:paraId="5D199586" w14:textId="2051A838" w:rsidR="00AF6E33" w:rsidRDefault="00120788">
      <w:pPr>
        <w:pStyle w:val="TOC1"/>
        <w:rPr>
          <w:rFonts w:asciiTheme="minorHAnsi" w:eastAsiaTheme="minorEastAsia" w:hAnsiTheme="minorHAnsi" w:cstheme="minorBidi"/>
          <w:noProof/>
          <w:sz w:val="22"/>
          <w:szCs w:val="22"/>
          <w:lang w:val="fr-LU" w:eastAsia="fr-LU"/>
        </w:rPr>
      </w:pPr>
      <w:hyperlink w:anchor="_Toc92981819" w:history="1">
        <w:r w:rsidR="00AF6E33" w:rsidRPr="00E2747A">
          <w:rPr>
            <w:rStyle w:val="Hyperlink"/>
            <w:noProof/>
          </w:rPr>
          <w:t>1.</w:t>
        </w:r>
        <w:r w:rsidR="00AF6E33">
          <w:rPr>
            <w:rFonts w:asciiTheme="minorHAnsi" w:eastAsiaTheme="minorEastAsia" w:hAnsiTheme="minorHAnsi" w:cstheme="minorBidi"/>
            <w:noProof/>
            <w:sz w:val="22"/>
            <w:szCs w:val="22"/>
            <w:lang w:val="fr-LU" w:eastAsia="fr-LU"/>
          </w:rPr>
          <w:tab/>
        </w:r>
        <w:r w:rsidR="00AF6E33" w:rsidRPr="00E2747A">
          <w:rPr>
            <w:rStyle w:val="Hyperlink"/>
            <w:noProof/>
          </w:rPr>
          <w:t>Контекст</w:t>
        </w:r>
        <w:r w:rsidR="00AF6E33">
          <w:rPr>
            <w:noProof/>
            <w:webHidden/>
          </w:rPr>
          <w:tab/>
        </w:r>
        <w:r w:rsidR="00AF6E33">
          <w:rPr>
            <w:noProof/>
            <w:webHidden/>
          </w:rPr>
          <w:fldChar w:fldCharType="begin"/>
        </w:r>
        <w:r w:rsidR="00AF6E33">
          <w:rPr>
            <w:noProof/>
            <w:webHidden/>
          </w:rPr>
          <w:instrText xml:space="preserve"> PAGEREF _Toc92981819 \h </w:instrText>
        </w:r>
        <w:r w:rsidR="00AF6E33">
          <w:rPr>
            <w:noProof/>
            <w:webHidden/>
          </w:rPr>
        </w:r>
        <w:r w:rsidR="00AF6E33">
          <w:rPr>
            <w:noProof/>
            <w:webHidden/>
          </w:rPr>
          <w:fldChar w:fldCharType="separate"/>
        </w:r>
        <w:r w:rsidR="00AF6E33">
          <w:rPr>
            <w:noProof/>
            <w:webHidden/>
          </w:rPr>
          <w:t>6</w:t>
        </w:r>
        <w:r w:rsidR="00AF6E33">
          <w:rPr>
            <w:noProof/>
            <w:webHidden/>
          </w:rPr>
          <w:fldChar w:fldCharType="end"/>
        </w:r>
      </w:hyperlink>
    </w:p>
    <w:p w14:paraId="398A1D02" w14:textId="6183B724" w:rsidR="00AF6E33" w:rsidRDefault="00120788">
      <w:pPr>
        <w:pStyle w:val="TOC1"/>
        <w:rPr>
          <w:rFonts w:asciiTheme="minorHAnsi" w:eastAsiaTheme="minorEastAsia" w:hAnsiTheme="minorHAnsi" w:cstheme="minorBidi"/>
          <w:noProof/>
          <w:sz w:val="22"/>
          <w:szCs w:val="22"/>
          <w:lang w:val="fr-LU" w:eastAsia="fr-LU"/>
        </w:rPr>
      </w:pPr>
      <w:hyperlink w:anchor="_Toc92981820" w:history="1">
        <w:r w:rsidR="00AF6E33" w:rsidRPr="00E2747A">
          <w:rPr>
            <w:rStyle w:val="Hyperlink"/>
            <w:noProof/>
          </w:rPr>
          <w:t>2.</w:t>
        </w:r>
        <w:r w:rsidR="00AF6E33">
          <w:rPr>
            <w:rFonts w:asciiTheme="minorHAnsi" w:eastAsiaTheme="minorEastAsia" w:hAnsiTheme="minorHAnsi" w:cstheme="minorBidi"/>
            <w:noProof/>
            <w:sz w:val="22"/>
            <w:szCs w:val="22"/>
            <w:lang w:val="fr-LU" w:eastAsia="fr-LU"/>
          </w:rPr>
          <w:tab/>
        </w:r>
        <w:r w:rsidR="00AF6E33" w:rsidRPr="00E2747A">
          <w:rPr>
            <w:rStyle w:val="Hyperlink"/>
            <w:noProof/>
          </w:rPr>
          <w:t>Цели — Теми и приоритети — Дейности, които могат да бъдат финансирани — Очаквано въздействие</w:t>
        </w:r>
        <w:r w:rsidR="00AF6E33">
          <w:rPr>
            <w:noProof/>
            <w:webHidden/>
          </w:rPr>
          <w:tab/>
        </w:r>
        <w:r w:rsidR="00AF6E33">
          <w:rPr>
            <w:noProof/>
            <w:webHidden/>
          </w:rPr>
          <w:fldChar w:fldCharType="begin"/>
        </w:r>
        <w:r w:rsidR="00AF6E33">
          <w:rPr>
            <w:noProof/>
            <w:webHidden/>
          </w:rPr>
          <w:instrText xml:space="preserve"> PAGEREF _Toc92981820 \h </w:instrText>
        </w:r>
        <w:r w:rsidR="00AF6E33">
          <w:rPr>
            <w:noProof/>
            <w:webHidden/>
          </w:rPr>
        </w:r>
        <w:r w:rsidR="00AF6E33">
          <w:rPr>
            <w:noProof/>
            <w:webHidden/>
          </w:rPr>
          <w:fldChar w:fldCharType="separate"/>
        </w:r>
        <w:r w:rsidR="00AF6E33">
          <w:rPr>
            <w:noProof/>
            <w:webHidden/>
          </w:rPr>
          <w:t>7</w:t>
        </w:r>
        <w:r w:rsidR="00AF6E33">
          <w:rPr>
            <w:noProof/>
            <w:webHidden/>
          </w:rPr>
          <w:fldChar w:fldCharType="end"/>
        </w:r>
      </w:hyperlink>
    </w:p>
    <w:p w14:paraId="02879BB7" w14:textId="4DAEA090" w:rsidR="00AF6E33" w:rsidRDefault="00120788">
      <w:pPr>
        <w:pStyle w:val="TOC3"/>
        <w:rPr>
          <w:rFonts w:asciiTheme="minorHAnsi" w:eastAsiaTheme="minorEastAsia" w:hAnsiTheme="minorHAnsi" w:cstheme="minorBidi"/>
          <w:sz w:val="22"/>
          <w:szCs w:val="22"/>
          <w:lang w:val="fr-LU" w:eastAsia="fr-LU"/>
        </w:rPr>
      </w:pPr>
      <w:hyperlink w:anchor="_Toc92981821" w:history="1">
        <w:r w:rsidR="00AF6E33" w:rsidRPr="00E2747A">
          <w:rPr>
            <w:rStyle w:val="Hyperlink"/>
          </w:rPr>
          <w:t>Цели</w:t>
        </w:r>
        <w:r w:rsidR="00AF6E33">
          <w:rPr>
            <w:webHidden/>
          </w:rPr>
          <w:tab/>
        </w:r>
        <w:r w:rsidR="00AF6E33">
          <w:rPr>
            <w:webHidden/>
          </w:rPr>
          <w:fldChar w:fldCharType="begin"/>
        </w:r>
        <w:r w:rsidR="00AF6E33">
          <w:rPr>
            <w:webHidden/>
          </w:rPr>
          <w:instrText xml:space="preserve"> PAGEREF _Toc92981821 \h </w:instrText>
        </w:r>
        <w:r w:rsidR="00AF6E33">
          <w:rPr>
            <w:webHidden/>
          </w:rPr>
        </w:r>
        <w:r w:rsidR="00AF6E33">
          <w:rPr>
            <w:webHidden/>
          </w:rPr>
          <w:fldChar w:fldCharType="separate"/>
        </w:r>
        <w:r w:rsidR="00AF6E33">
          <w:rPr>
            <w:webHidden/>
          </w:rPr>
          <w:t>7</w:t>
        </w:r>
        <w:r w:rsidR="00AF6E33">
          <w:rPr>
            <w:webHidden/>
          </w:rPr>
          <w:fldChar w:fldCharType="end"/>
        </w:r>
      </w:hyperlink>
    </w:p>
    <w:p w14:paraId="276D619F" w14:textId="49C6D19B" w:rsidR="00AF6E33" w:rsidRDefault="00120788">
      <w:pPr>
        <w:pStyle w:val="TOC3"/>
        <w:rPr>
          <w:rFonts w:asciiTheme="minorHAnsi" w:eastAsiaTheme="minorEastAsia" w:hAnsiTheme="minorHAnsi" w:cstheme="minorBidi"/>
          <w:sz w:val="22"/>
          <w:szCs w:val="22"/>
          <w:lang w:val="fr-LU" w:eastAsia="fr-LU"/>
        </w:rPr>
      </w:pPr>
      <w:hyperlink w:anchor="_Toc92981822" w:history="1">
        <w:r w:rsidR="00AF6E33" w:rsidRPr="00E2747A">
          <w:rPr>
            <w:rStyle w:val="Hyperlink"/>
          </w:rPr>
          <w:t>Теми и приоритети (обхват)</w:t>
        </w:r>
        <w:r w:rsidR="00AF6E33">
          <w:rPr>
            <w:webHidden/>
          </w:rPr>
          <w:tab/>
        </w:r>
        <w:r w:rsidR="00AF6E33">
          <w:rPr>
            <w:webHidden/>
          </w:rPr>
          <w:fldChar w:fldCharType="begin"/>
        </w:r>
        <w:r w:rsidR="00AF6E33">
          <w:rPr>
            <w:webHidden/>
          </w:rPr>
          <w:instrText xml:space="preserve"> PAGEREF _Toc92981822 \h </w:instrText>
        </w:r>
        <w:r w:rsidR="00AF6E33">
          <w:rPr>
            <w:webHidden/>
          </w:rPr>
        </w:r>
        <w:r w:rsidR="00AF6E33">
          <w:rPr>
            <w:webHidden/>
          </w:rPr>
          <w:fldChar w:fldCharType="separate"/>
        </w:r>
        <w:r w:rsidR="00AF6E33">
          <w:rPr>
            <w:webHidden/>
          </w:rPr>
          <w:t>7</w:t>
        </w:r>
        <w:r w:rsidR="00AF6E33">
          <w:rPr>
            <w:webHidden/>
          </w:rPr>
          <w:fldChar w:fldCharType="end"/>
        </w:r>
      </w:hyperlink>
    </w:p>
    <w:p w14:paraId="2A46D5B3" w14:textId="125A4819" w:rsidR="00AF6E33" w:rsidRDefault="00120788">
      <w:pPr>
        <w:pStyle w:val="TOC3"/>
        <w:rPr>
          <w:rFonts w:asciiTheme="minorHAnsi" w:eastAsiaTheme="minorEastAsia" w:hAnsiTheme="minorHAnsi" w:cstheme="minorBidi"/>
          <w:sz w:val="22"/>
          <w:szCs w:val="22"/>
          <w:lang w:val="fr-LU" w:eastAsia="fr-LU"/>
        </w:rPr>
      </w:pPr>
      <w:hyperlink w:anchor="_Toc92981823" w:history="1">
        <w:r w:rsidR="00AF6E33" w:rsidRPr="00E2747A">
          <w:rPr>
            <w:rStyle w:val="Hyperlink"/>
          </w:rPr>
          <w:t>Цели</w:t>
        </w:r>
        <w:r w:rsidR="00AF6E33">
          <w:rPr>
            <w:webHidden/>
          </w:rPr>
          <w:tab/>
        </w:r>
        <w:r w:rsidR="00AF6E33">
          <w:rPr>
            <w:webHidden/>
          </w:rPr>
          <w:fldChar w:fldCharType="begin"/>
        </w:r>
        <w:r w:rsidR="00AF6E33">
          <w:rPr>
            <w:webHidden/>
          </w:rPr>
          <w:instrText xml:space="preserve"> PAGEREF _Toc92981823 \h </w:instrText>
        </w:r>
        <w:r w:rsidR="00AF6E33">
          <w:rPr>
            <w:webHidden/>
          </w:rPr>
        </w:r>
        <w:r w:rsidR="00AF6E33">
          <w:rPr>
            <w:webHidden/>
          </w:rPr>
          <w:fldChar w:fldCharType="separate"/>
        </w:r>
        <w:r w:rsidR="00AF6E33">
          <w:rPr>
            <w:webHidden/>
          </w:rPr>
          <w:t>9</w:t>
        </w:r>
        <w:r w:rsidR="00AF6E33">
          <w:rPr>
            <w:webHidden/>
          </w:rPr>
          <w:fldChar w:fldCharType="end"/>
        </w:r>
      </w:hyperlink>
    </w:p>
    <w:p w14:paraId="7A8102B3" w14:textId="1FEFB52F" w:rsidR="00AF6E33" w:rsidRDefault="00120788">
      <w:pPr>
        <w:pStyle w:val="TOC3"/>
        <w:rPr>
          <w:rFonts w:asciiTheme="minorHAnsi" w:eastAsiaTheme="minorEastAsia" w:hAnsiTheme="minorHAnsi" w:cstheme="minorBidi"/>
          <w:sz w:val="22"/>
          <w:szCs w:val="22"/>
          <w:lang w:val="fr-LU" w:eastAsia="fr-LU"/>
        </w:rPr>
      </w:pPr>
      <w:hyperlink w:anchor="_Toc92981824" w:history="1">
        <w:r w:rsidR="00AF6E33" w:rsidRPr="00E2747A">
          <w:rPr>
            <w:rStyle w:val="Hyperlink"/>
          </w:rPr>
          <w:t>Теми и приоритети (обхват)</w:t>
        </w:r>
        <w:r w:rsidR="00AF6E33">
          <w:rPr>
            <w:webHidden/>
          </w:rPr>
          <w:tab/>
        </w:r>
        <w:r w:rsidR="00AF6E33">
          <w:rPr>
            <w:webHidden/>
          </w:rPr>
          <w:fldChar w:fldCharType="begin"/>
        </w:r>
        <w:r w:rsidR="00AF6E33">
          <w:rPr>
            <w:webHidden/>
          </w:rPr>
          <w:instrText xml:space="preserve"> PAGEREF _Toc92981824 \h </w:instrText>
        </w:r>
        <w:r w:rsidR="00AF6E33">
          <w:rPr>
            <w:webHidden/>
          </w:rPr>
        </w:r>
        <w:r w:rsidR="00AF6E33">
          <w:rPr>
            <w:webHidden/>
          </w:rPr>
          <w:fldChar w:fldCharType="separate"/>
        </w:r>
        <w:r w:rsidR="00AF6E33">
          <w:rPr>
            <w:webHidden/>
          </w:rPr>
          <w:t>9</w:t>
        </w:r>
        <w:r w:rsidR="00AF6E33">
          <w:rPr>
            <w:webHidden/>
          </w:rPr>
          <w:fldChar w:fldCharType="end"/>
        </w:r>
      </w:hyperlink>
    </w:p>
    <w:p w14:paraId="42518297" w14:textId="18AD0D32" w:rsidR="00AF6E33" w:rsidRDefault="00120788">
      <w:pPr>
        <w:pStyle w:val="TOC3"/>
        <w:rPr>
          <w:rFonts w:asciiTheme="minorHAnsi" w:eastAsiaTheme="minorEastAsia" w:hAnsiTheme="minorHAnsi" w:cstheme="minorBidi"/>
          <w:sz w:val="22"/>
          <w:szCs w:val="22"/>
          <w:lang w:val="fr-LU" w:eastAsia="fr-LU"/>
        </w:rPr>
      </w:pPr>
      <w:hyperlink w:anchor="_Toc92981825" w:history="1">
        <w:r w:rsidR="00AF6E33" w:rsidRPr="00E2747A">
          <w:rPr>
            <w:rStyle w:val="Hyperlink"/>
          </w:rPr>
          <w:t>Дейности, които могат да бъдат финансирани (обхват)</w:t>
        </w:r>
        <w:r w:rsidR="00AF6E33">
          <w:rPr>
            <w:webHidden/>
          </w:rPr>
          <w:tab/>
        </w:r>
        <w:r w:rsidR="00AF6E33">
          <w:rPr>
            <w:webHidden/>
          </w:rPr>
          <w:fldChar w:fldCharType="begin"/>
        </w:r>
        <w:r w:rsidR="00AF6E33">
          <w:rPr>
            <w:webHidden/>
          </w:rPr>
          <w:instrText xml:space="preserve"> PAGEREF _Toc92981825 \h </w:instrText>
        </w:r>
        <w:r w:rsidR="00AF6E33">
          <w:rPr>
            <w:webHidden/>
          </w:rPr>
        </w:r>
        <w:r w:rsidR="00AF6E33">
          <w:rPr>
            <w:webHidden/>
          </w:rPr>
          <w:fldChar w:fldCharType="separate"/>
        </w:r>
        <w:r w:rsidR="00AF6E33">
          <w:rPr>
            <w:webHidden/>
          </w:rPr>
          <w:t>10</w:t>
        </w:r>
        <w:r w:rsidR="00AF6E33">
          <w:rPr>
            <w:webHidden/>
          </w:rPr>
          <w:fldChar w:fldCharType="end"/>
        </w:r>
      </w:hyperlink>
    </w:p>
    <w:p w14:paraId="4C0BB48B" w14:textId="2A20AA3A" w:rsidR="00AF6E33" w:rsidRDefault="00120788">
      <w:pPr>
        <w:pStyle w:val="TOC3"/>
        <w:rPr>
          <w:rFonts w:asciiTheme="minorHAnsi" w:eastAsiaTheme="minorEastAsia" w:hAnsiTheme="minorHAnsi" w:cstheme="minorBidi"/>
          <w:sz w:val="22"/>
          <w:szCs w:val="22"/>
          <w:lang w:val="fr-LU" w:eastAsia="fr-LU"/>
        </w:rPr>
      </w:pPr>
      <w:hyperlink w:anchor="_Toc92981826" w:history="1">
        <w:r w:rsidR="00AF6E33" w:rsidRPr="00E2747A">
          <w:rPr>
            <w:rStyle w:val="Hyperlink"/>
          </w:rPr>
          <w:t>Очаквано въздействие</w:t>
        </w:r>
        <w:r w:rsidR="00AF6E33">
          <w:rPr>
            <w:webHidden/>
          </w:rPr>
          <w:tab/>
        </w:r>
        <w:r w:rsidR="00AF6E33">
          <w:rPr>
            <w:webHidden/>
          </w:rPr>
          <w:fldChar w:fldCharType="begin"/>
        </w:r>
        <w:r w:rsidR="00AF6E33">
          <w:rPr>
            <w:webHidden/>
          </w:rPr>
          <w:instrText xml:space="preserve"> PAGEREF _Toc92981826 \h </w:instrText>
        </w:r>
        <w:r w:rsidR="00AF6E33">
          <w:rPr>
            <w:webHidden/>
          </w:rPr>
        </w:r>
        <w:r w:rsidR="00AF6E33">
          <w:rPr>
            <w:webHidden/>
          </w:rPr>
          <w:fldChar w:fldCharType="separate"/>
        </w:r>
        <w:r w:rsidR="00AF6E33">
          <w:rPr>
            <w:webHidden/>
          </w:rPr>
          <w:t>10</w:t>
        </w:r>
        <w:r w:rsidR="00AF6E33">
          <w:rPr>
            <w:webHidden/>
          </w:rPr>
          <w:fldChar w:fldCharType="end"/>
        </w:r>
      </w:hyperlink>
    </w:p>
    <w:p w14:paraId="781A2297" w14:textId="3005969E" w:rsidR="00AF6E33" w:rsidRDefault="00120788">
      <w:pPr>
        <w:pStyle w:val="TOC1"/>
        <w:rPr>
          <w:rFonts w:asciiTheme="minorHAnsi" w:eastAsiaTheme="minorEastAsia" w:hAnsiTheme="minorHAnsi" w:cstheme="minorBidi"/>
          <w:noProof/>
          <w:sz w:val="22"/>
          <w:szCs w:val="22"/>
          <w:lang w:val="fr-LU" w:eastAsia="fr-LU"/>
        </w:rPr>
      </w:pPr>
      <w:hyperlink w:anchor="_Toc92981827" w:history="1">
        <w:r w:rsidR="00AF6E33" w:rsidRPr="00E2747A">
          <w:rPr>
            <w:rStyle w:val="Hyperlink"/>
            <w:noProof/>
          </w:rPr>
          <w:t>3.</w:t>
        </w:r>
        <w:r w:rsidR="00AF6E33">
          <w:rPr>
            <w:rFonts w:asciiTheme="minorHAnsi" w:eastAsiaTheme="minorEastAsia" w:hAnsiTheme="minorHAnsi" w:cstheme="minorBidi"/>
            <w:noProof/>
            <w:sz w:val="22"/>
            <w:szCs w:val="22"/>
            <w:lang w:val="fr-LU" w:eastAsia="fr-LU"/>
          </w:rPr>
          <w:tab/>
        </w:r>
        <w:r w:rsidR="00AF6E33" w:rsidRPr="00E2747A">
          <w:rPr>
            <w:rStyle w:val="Hyperlink"/>
            <w:noProof/>
          </w:rPr>
          <w:t>Наличен бюджет</w:t>
        </w:r>
        <w:r w:rsidR="00AF6E33">
          <w:rPr>
            <w:noProof/>
            <w:webHidden/>
          </w:rPr>
          <w:tab/>
        </w:r>
        <w:r w:rsidR="00AF6E33">
          <w:rPr>
            <w:noProof/>
            <w:webHidden/>
          </w:rPr>
          <w:fldChar w:fldCharType="begin"/>
        </w:r>
        <w:r w:rsidR="00AF6E33">
          <w:rPr>
            <w:noProof/>
            <w:webHidden/>
          </w:rPr>
          <w:instrText xml:space="preserve"> PAGEREF _Toc92981827 \h </w:instrText>
        </w:r>
        <w:r w:rsidR="00AF6E33">
          <w:rPr>
            <w:noProof/>
            <w:webHidden/>
          </w:rPr>
        </w:r>
        <w:r w:rsidR="00AF6E33">
          <w:rPr>
            <w:noProof/>
            <w:webHidden/>
          </w:rPr>
          <w:fldChar w:fldCharType="separate"/>
        </w:r>
        <w:r w:rsidR="00AF6E33">
          <w:rPr>
            <w:noProof/>
            <w:webHidden/>
          </w:rPr>
          <w:t>11</w:t>
        </w:r>
        <w:r w:rsidR="00AF6E33">
          <w:rPr>
            <w:noProof/>
            <w:webHidden/>
          </w:rPr>
          <w:fldChar w:fldCharType="end"/>
        </w:r>
      </w:hyperlink>
    </w:p>
    <w:p w14:paraId="1DAE02DA" w14:textId="1BBBF6A3" w:rsidR="00AF6E33" w:rsidRDefault="00120788">
      <w:pPr>
        <w:pStyle w:val="TOC1"/>
        <w:rPr>
          <w:rFonts w:asciiTheme="minorHAnsi" w:eastAsiaTheme="minorEastAsia" w:hAnsiTheme="minorHAnsi" w:cstheme="minorBidi"/>
          <w:noProof/>
          <w:sz w:val="22"/>
          <w:szCs w:val="22"/>
          <w:lang w:val="fr-LU" w:eastAsia="fr-LU"/>
        </w:rPr>
      </w:pPr>
      <w:hyperlink w:anchor="_Toc92981828" w:history="1">
        <w:r w:rsidR="00AF6E33" w:rsidRPr="00E2747A">
          <w:rPr>
            <w:rStyle w:val="Hyperlink"/>
            <w:noProof/>
          </w:rPr>
          <w:t>4.</w:t>
        </w:r>
        <w:r w:rsidR="00AF6E33">
          <w:rPr>
            <w:rFonts w:asciiTheme="minorHAnsi" w:eastAsiaTheme="minorEastAsia" w:hAnsiTheme="minorHAnsi" w:cstheme="minorBidi"/>
            <w:noProof/>
            <w:sz w:val="22"/>
            <w:szCs w:val="22"/>
            <w:lang w:val="fr-LU" w:eastAsia="fr-LU"/>
          </w:rPr>
          <w:tab/>
        </w:r>
        <w:r w:rsidR="00AF6E33" w:rsidRPr="00E2747A">
          <w:rPr>
            <w:rStyle w:val="Hyperlink"/>
            <w:noProof/>
          </w:rPr>
          <w:t>График и срокове</w:t>
        </w:r>
        <w:r w:rsidR="00AF6E33">
          <w:rPr>
            <w:noProof/>
            <w:webHidden/>
          </w:rPr>
          <w:tab/>
        </w:r>
        <w:r w:rsidR="00AF6E33">
          <w:rPr>
            <w:noProof/>
            <w:webHidden/>
          </w:rPr>
          <w:fldChar w:fldCharType="begin"/>
        </w:r>
        <w:r w:rsidR="00AF6E33">
          <w:rPr>
            <w:noProof/>
            <w:webHidden/>
          </w:rPr>
          <w:instrText xml:space="preserve"> PAGEREF _Toc92981828 \h </w:instrText>
        </w:r>
        <w:r w:rsidR="00AF6E33">
          <w:rPr>
            <w:noProof/>
            <w:webHidden/>
          </w:rPr>
        </w:r>
        <w:r w:rsidR="00AF6E33">
          <w:rPr>
            <w:noProof/>
            <w:webHidden/>
          </w:rPr>
          <w:fldChar w:fldCharType="separate"/>
        </w:r>
        <w:r w:rsidR="00AF6E33">
          <w:rPr>
            <w:noProof/>
            <w:webHidden/>
          </w:rPr>
          <w:t>11</w:t>
        </w:r>
        <w:r w:rsidR="00AF6E33">
          <w:rPr>
            <w:noProof/>
            <w:webHidden/>
          </w:rPr>
          <w:fldChar w:fldCharType="end"/>
        </w:r>
      </w:hyperlink>
    </w:p>
    <w:p w14:paraId="37B032BF" w14:textId="05B34E30" w:rsidR="00AF6E33" w:rsidRDefault="00120788">
      <w:pPr>
        <w:pStyle w:val="TOC1"/>
        <w:rPr>
          <w:rFonts w:asciiTheme="minorHAnsi" w:eastAsiaTheme="minorEastAsia" w:hAnsiTheme="minorHAnsi" w:cstheme="minorBidi"/>
          <w:noProof/>
          <w:sz w:val="22"/>
          <w:szCs w:val="22"/>
          <w:lang w:val="fr-LU" w:eastAsia="fr-LU"/>
        </w:rPr>
      </w:pPr>
      <w:hyperlink w:anchor="_Toc92981829" w:history="1">
        <w:r w:rsidR="00AF6E33" w:rsidRPr="00E2747A">
          <w:rPr>
            <w:rStyle w:val="Hyperlink"/>
            <w:noProof/>
          </w:rPr>
          <w:t>5.</w:t>
        </w:r>
        <w:r w:rsidR="00AF6E33">
          <w:rPr>
            <w:rFonts w:asciiTheme="minorHAnsi" w:eastAsiaTheme="minorEastAsia" w:hAnsiTheme="minorHAnsi" w:cstheme="minorBidi"/>
            <w:noProof/>
            <w:sz w:val="22"/>
            <w:szCs w:val="22"/>
            <w:lang w:val="fr-LU" w:eastAsia="fr-LU"/>
          </w:rPr>
          <w:tab/>
        </w:r>
        <w:r w:rsidR="00AF6E33" w:rsidRPr="00E2747A">
          <w:rPr>
            <w:rStyle w:val="Hyperlink"/>
            <w:noProof/>
          </w:rPr>
          <w:t>Допустимост и документи</w:t>
        </w:r>
        <w:r w:rsidR="00AF6E33">
          <w:rPr>
            <w:noProof/>
            <w:webHidden/>
          </w:rPr>
          <w:tab/>
        </w:r>
        <w:r w:rsidR="00AF6E33">
          <w:rPr>
            <w:noProof/>
            <w:webHidden/>
          </w:rPr>
          <w:fldChar w:fldCharType="begin"/>
        </w:r>
        <w:r w:rsidR="00AF6E33">
          <w:rPr>
            <w:noProof/>
            <w:webHidden/>
          </w:rPr>
          <w:instrText xml:space="preserve"> PAGEREF _Toc92981829 \h </w:instrText>
        </w:r>
        <w:r w:rsidR="00AF6E33">
          <w:rPr>
            <w:noProof/>
            <w:webHidden/>
          </w:rPr>
        </w:r>
        <w:r w:rsidR="00AF6E33">
          <w:rPr>
            <w:noProof/>
            <w:webHidden/>
          </w:rPr>
          <w:fldChar w:fldCharType="separate"/>
        </w:r>
        <w:r w:rsidR="00AF6E33">
          <w:rPr>
            <w:noProof/>
            <w:webHidden/>
          </w:rPr>
          <w:t>12</w:t>
        </w:r>
        <w:r w:rsidR="00AF6E33">
          <w:rPr>
            <w:noProof/>
            <w:webHidden/>
          </w:rPr>
          <w:fldChar w:fldCharType="end"/>
        </w:r>
      </w:hyperlink>
    </w:p>
    <w:p w14:paraId="7D97A326" w14:textId="098E2BE3" w:rsidR="00AF6E33" w:rsidRDefault="00120788">
      <w:pPr>
        <w:pStyle w:val="TOC1"/>
        <w:rPr>
          <w:rFonts w:asciiTheme="minorHAnsi" w:eastAsiaTheme="minorEastAsia" w:hAnsiTheme="minorHAnsi" w:cstheme="minorBidi"/>
          <w:noProof/>
          <w:sz w:val="22"/>
          <w:szCs w:val="22"/>
          <w:lang w:val="fr-LU" w:eastAsia="fr-LU"/>
        </w:rPr>
      </w:pPr>
      <w:hyperlink w:anchor="_Toc92981830" w:history="1">
        <w:r w:rsidR="00AF6E33" w:rsidRPr="00E2747A">
          <w:rPr>
            <w:rStyle w:val="Hyperlink"/>
            <w:noProof/>
          </w:rPr>
          <w:t>6.</w:t>
        </w:r>
        <w:r w:rsidR="00AF6E33">
          <w:rPr>
            <w:rFonts w:asciiTheme="minorHAnsi" w:eastAsiaTheme="minorEastAsia" w:hAnsiTheme="minorHAnsi" w:cstheme="minorBidi"/>
            <w:noProof/>
            <w:sz w:val="22"/>
            <w:szCs w:val="22"/>
            <w:lang w:val="fr-LU" w:eastAsia="fr-LU"/>
          </w:rPr>
          <w:tab/>
        </w:r>
        <w:r w:rsidR="00AF6E33" w:rsidRPr="00E2747A">
          <w:rPr>
            <w:rStyle w:val="Hyperlink"/>
            <w:noProof/>
          </w:rPr>
          <w:t>Допустимост</w:t>
        </w:r>
        <w:r w:rsidR="00AF6E33">
          <w:rPr>
            <w:noProof/>
            <w:webHidden/>
          </w:rPr>
          <w:tab/>
        </w:r>
        <w:r w:rsidR="00AF6E33">
          <w:rPr>
            <w:noProof/>
            <w:webHidden/>
          </w:rPr>
          <w:fldChar w:fldCharType="begin"/>
        </w:r>
        <w:r w:rsidR="00AF6E33">
          <w:rPr>
            <w:noProof/>
            <w:webHidden/>
          </w:rPr>
          <w:instrText xml:space="preserve"> PAGEREF _Toc92981830 \h </w:instrText>
        </w:r>
        <w:r w:rsidR="00AF6E33">
          <w:rPr>
            <w:noProof/>
            <w:webHidden/>
          </w:rPr>
        </w:r>
        <w:r w:rsidR="00AF6E33">
          <w:rPr>
            <w:noProof/>
            <w:webHidden/>
          </w:rPr>
          <w:fldChar w:fldCharType="separate"/>
        </w:r>
        <w:r w:rsidR="00AF6E33">
          <w:rPr>
            <w:noProof/>
            <w:webHidden/>
          </w:rPr>
          <w:t>13</w:t>
        </w:r>
        <w:r w:rsidR="00AF6E33">
          <w:rPr>
            <w:noProof/>
            <w:webHidden/>
          </w:rPr>
          <w:fldChar w:fldCharType="end"/>
        </w:r>
      </w:hyperlink>
    </w:p>
    <w:p w14:paraId="3D5AD9DF" w14:textId="6FAC0CA7" w:rsidR="00AF6E33" w:rsidRDefault="00120788">
      <w:pPr>
        <w:pStyle w:val="TOC3"/>
        <w:rPr>
          <w:rFonts w:asciiTheme="minorHAnsi" w:eastAsiaTheme="minorEastAsia" w:hAnsiTheme="minorHAnsi" w:cstheme="minorBidi"/>
          <w:sz w:val="22"/>
          <w:szCs w:val="22"/>
          <w:lang w:val="fr-LU" w:eastAsia="fr-LU"/>
        </w:rPr>
      </w:pPr>
      <w:hyperlink w:anchor="_Toc92981831" w:history="1">
        <w:r w:rsidR="00AF6E33" w:rsidRPr="00E2747A">
          <w:rPr>
            <w:rStyle w:val="Hyperlink"/>
          </w:rPr>
          <w:t>Допустими участници (допустими държави)</w:t>
        </w:r>
        <w:r w:rsidR="00AF6E33">
          <w:rPr>
            <w:webHidden/>
          </w:rPr>
          <w:tab/>
        </w:r>
        <w:r w:rsidR="00AF6E33">
          <w:rPr>
            <w:webHidden/>
          </w:rPr>
          <w:fldChar w:fldCharType="begin"/>
        </w:r>
        <w:r w:rsidR="00AF6E33">
          <w:rPr>
            <w:webHidden/>
          </w:rPr>
          <w:instrText xml:space="preserve"> PAGEREF _Toc92981831 \h </w:instrText>
        </w:r>
        <w:r w:rsidR="00AF6E33">
          <w:rPr>
            <w:webHidden/>
          </w:rPr>
        </w:r>
        <w:r w:rsidR="00AF6E33">
          <w:rPr>
            <w:webHidden/>
          </w:rPr>
          <w:fldChar w:fldCharType="separate"/>
        </w:r>
        <w:r w:rsidR="00AF6E33">
          <w:rPr>
            <w:webHidden/>
          </w:rPr>
          <w:t>13</w:t>
        </w:r>
        <w:r w:rsidR="00AF6E33">
          <w:rPr>
            <w:webHidden/>
          </w:rPr>
          <w:fldChar w:fldCharType="end"/>
        </w:r>
      </w:hyperlink>
    </w:p>
    <w:p w14:paraId="61651D98" w14:textId="4014CDAB" w:rsidR="00AF6E33" w:rsidRDefault="00120788">
      <w:pPr>
        <w:pStyle w:val="TOC3"/>
        <w:rPr>
          <w:rFonts w:asciiTheme="minorHAnsi" w:eastAsiaTheme="minorEastAsia" w:hAnsiTheme="minorHAnsi" w:cstheme="minorBidi"/>
          <w:sz w:val="22"/>
          <w:szCs w:val="22"/>
          <w:lang w:val="fr-LU" w:eastAsia="fr-LU"/>
        </w:rPr>
      </w:pPr>
      <w:hyperlink w:anchor="_Toc92981832" w:history="1">
        <w:r w:rsidR="00AF6E33" w:rsidRPr="00E2747A">
          <w:rPr>
            <w:rStyle w:val="Hyperlink"/>
          </w:rPr>
          <w:t>Състав на консорциума</w:t>
        </w:r>
        <w:r w:rsidR="00AF6E33">
          <w:rPr>
            <w:webHidden/>
          </w:rPr>
          <w:tab/>
        </w:r>
        <w:r w:rsidR="00AF6E33">
          <w:rPr>
            <w:webHidden/>
          </w:rPr>
          <w:fldChar w:fldCharType="begin"/>
        </w:r>
        <w:r w:rsidR="00AF6E33">
          <w:rPr>
            <w:webHidden/>
          </w:rPr>
          <w:instrText xml:space="preserve"> PAGEREF _Toc92981832 \h </w:instrText>
        </w:r>
        <w:r w:rsidR="00AF6E33">
          <w:rPr>
            <w:webHidden/>
          </w:rPr>
        </w:r>
        <w:r w:rsidR="00AF6E33">
          <w:rPr>
            <w:webHidden/>
          </w:rPr>
          <w:fldChar w:fldCharType="separate"/>
        </w:r>
        <w:r w:rsidR="00AF6E33">
          <w:rPr>
            <w:webHidden/>
          </w:rPr>
          <w:t>15</w:t>
        </w:r>
        <w:r w:rsidR="00AF6E33">
          <w:rPr>
            <w:webHidden/>
          </w:rPr>
          <w:fldChar w:fldCharType="end"/>
        </w:r>
      </w:hyperlink>
    </w:p>
    <w:p w14:paraId="7F2D4B66" w14:textId="49048687" w:rsidR="00AF6E33" w:rsidRDefault="00120788">
      <w:pPr>
        <w:pStyle w:val="TOC3"/>
        <w:rPr>
          <w:rFonts w:asciiTheme="minorHAnsi" w:eastAsiaTheme="minorEastAsia" w:hAnsiTheme="minorHAnsi" w:cstheme="minorBidi"/>
          <w:sz w:val="22"/>
          <w:szCs w:val="22"/>
          <w:lang w:val="fr-LU" w:eastAsia="fr-LU"/>
        </w:rPr>
      </w:pPr>
      <w:hyperlink w:anchor="_Toc92981833" w:history="1">
        <w:r w:rsidR="00AF6E33" w:rsidRPr="00E2747A">
          <w:rPr>
            <w:rStyle w:val="Hyperlink"/>
          </w:rPr>
          <w:t>Допустими дейности</w:t>
        </w:r>
        <w:r w:rsidR="00AF6E33">
          <w:rPr>
            <w:webHidden/>
          </w:rPr>
          <w:tab/>
        </w:r>
        <w:r w:rsidR="00AF6E33">
          <w:rPr>
            <w:webHidden/>
          </w:rPr>
          <w:fldChar w:fldCharType="begin"/>
        </w:r>
        <w:r w:rsidR="00AF6E33">
          <w:rPr>
            <w:webHidden/>
          </w:rPr>
          <w:instrText xml:space="preserve"> PAGEREF _Toc92981833 \h </w:instrText>
        </w:r>
        <w:r w:rsidR="00AF6E33">
          <w:rPr>
            <w:webHidden/>
          </w:rPr>
        </w:r>
        <w:r w:rsidR="00AF6E33">
          <w:rPr>
            <w:webHidden/>
          </w:rPr>
          <w:fldChar w:fldCharType="separate"/>
        </w:r>
        <w:r w:rsidR="00AF6E33">
          <w:rPr>
            <w:webHidden/>
          </w:rPr>
          <w:t>15</w:t>
        </w:r>
        <w:r w:rsidR="00AF6E33">
          <w:rPr>
            <w:webHidden/>
          </w:rPr>
          <w:fldChar w:fldCharType="end"/>
        </w:r>
      </w:hyperlink>
    </w:p>
    <w:p w14:paraId="07B27993" w14:textId="1CAD1C72" w:rsidR="00AF6E33" w:rsidRDefault="00120788">
      <w:pPr>
        <w:pStyle w:val="TOC3"/>
        <w:rPr>
          <w:rFonts w:asciiTheme="minorHAnsi" w:eastAsiaTheme="minorEastAsia" w:hAnsiTheme="minorHAnsi" w:cstheme="minorBidi"/>
          <w:sz w:val="22"/>
          <w:szCs w:val="22"/>
          <w:lang w:val="fr-LU" w:eastAsia="fr-LU"/>
        </w:rPr>
      </w:pPr>
      <w:hyperlink w:anchor="_Toc92981834" w:history="1">
        <w:r w:rsidR="00AF6E33" w:rsidRPr="00E2747A">
          <w:rPr>
            <w:rStyle w:val="Hyperlink"/>
          </w:rPr>
          <w:t>Географско разположение (целеви държави)</w:t>
        </w:r>
        <w:r w:rsidR="00AF6E33">
          <w:rPr>
            <w:webHidden/>
          </w:rPr>
          <w:tab/>
        </w:r>
        <w:r w:rsidR="00AF6E33">
          <w:rPr>
            <w:webHidden/>
          </w:rPr>
          <w:fldChar w:fldCharType="begin"/>
        </w:r>
        <w:r w:rsidR="00AF6E33">
          <w:rPr>
            <w:webHidden/>
          </w:rPr>
          <w:instrText xml:space="preserve"> PAGEREF _Toc92981834 \h </w:instrText>
        </w:r>
        <w:r w:rsidR="00AF6E33">
          <w:rPr>
            <w:webHidden/>
          </w:rPr>
        </w:r>
        <w:r w:rsidR="00AF6E33">
          <w:rPr>
            <w:webHidden/>
          </w:rPr>
          <w:fldChar w:fldCharType="separate"/>
        </w:r>
        <w:r w:rsidR="00AF6E33">
          <w:rPr>
            <w:webHidden/>
          </w:rPr>
          <w:t>16</w:t>
        </w:r>
        <w:r w:rsidR="00AF6E33">
          <w:rPr>
            <w:webHidden/>
          </w:rPr>
          <w:fldChar w:fldCharType="end"/>
        </w:r>
      </w:hyperlink>
    </w:p>
    <w:p w14:paraId="64EEB712" w14:textId="240465DC" w:rsidR="00AF6E33" w:rsidRDefault="00120788">
      <w:pPr>
        <w:pStyle w:val="TOC3"/>
        <w:rPr>
          <w:rFonts w:asciiTheme="minorHAnsi" w:eastAsiaTheme="minorEastAsia" w:hAnsiTheme="minorHAnsi" w:cstheme="minorBidi"/>
          <w:sz w:val="22"/>
          <w:szCs w:val="22"/>
          <w:lang w:val="fr-LU" w:eastAsia="fr-LU"/>
        </w:rPr>
      </w:pPr>
      <w:hyperlink w:anchor="_Toc92981835" w:history="1">
        <w:r w:rsidR="00AF6E33" w:rsidRPr="00E2747A">
          <w:rPr>
            <w:rStyle w:val="Hyperlink"/>
          </w:rPr>
          <w:t>Продължителност</w:t>
        </w:r>
        <w:r w:rsidR="00AF6E33">
          <w:rPr>
            <w:webHidden/>
          </w:rPr>
          <w:tab/>
        </w:r>
        <w:r w:rsidR="00AF6E33">
          <w:rPr>
            <w:webHidden/>
          </w:rPr>
          <w:fldChar w:fldCharType="begin"/>
        </w:r>
        <w:r w:rsidR="00AF6E33">
          <w:rPr>
            <w:webHidden/>
          </w:rPr>
          <w:instrText xml:space="preserve"> PAGEREF _Toc92981835 \h </w:instrText>
        </w:r>
        <w:r w:rsidR="00AF6E33">
          <w:rPr>
            <w:webHidden/>
          </w:rPr>
        </w:r>
        <w:r w:rsidR="00AF6E33">
          <w:rPr>
            <w:webHidden/>
          </w:rPr>
          <w:fldChar w:fldCharType="separate"/>
        </w:r>
        <w:r w:rsidR="00AF6E33">
          <w:rPr>
            <w:webHidden/>
          </w:rPr>
          <w:t>16</w:t>
        </w:r>
        <w:r w:rsidR="00AF6E33">
          <w:rPr>
            <w:webHidden/>
          </w:rPr>
          <w:fldChar w:fldCharType="end"/>
        </w:r>
      </w:hyperlink>
    </w:p>
    <w:p w14:paraId="34F20FFF" w14:textId="03F0A03C" w:rsidR="00AF6E33" w:rsidRDefault="00120788">
      <w:pPr>
        <w:pStyle w:val="TOC3"/>
        <w:rPr>
          <w:rFonts w:asciiTheme="minorHAnsi" w:eastAsiaTheme="minorEastAsia" w:hAnsiTheme="minorHAnsi" w:cstheme="minorBidi"/>
          <w:sz w:val="22"/>
          <w:szCs w:val="22"/>
          <w:lang w:val="fr-LU" w:eastAsia="fr-LU"/>
        </w:rPr>
      </w:pPr>
      <w:hyperlink w:anchor="_Toc92981836" w:history="1">
        <w:r w:rsidR="00AF6E33" w:rsidRPr="00E2747A">
          <w:rPr>
            <w:rStyle w:val="Hyperlink"/>
          </w:rPr>
          <w:t>Етика и ценности на ЕС</w:t>
        </w:r>
        <w:r w:rsidR="00AF6E33">
          <w:rPr>
            <w:webHidden/>
          </w:rPr>
          <w:tab/>
        </w:r>
        <w:r w:rsidR="00AF6E33">
          <w:rPr>
            <w:webHidden/>
          </w:rPr>
          <w:fldChar w:fldCharType="begin"/>
        </w:r>
        <w:r w:rsidR="00AF6E33">
          <w:rPr>
            <w:webHidden/>
          </w:rPr>
          <w:instrText xml:space="preserve"> PAGEREF _Toc92981836 \h </w:instrText>
        </w:r>
        <w:r w:rsidR="00AF6E33">
          <w:rPr>
            <w:webHidden/>
          </w:rPr>
        </w:r>
        <w:r w:rsidR="00AF6E33">
          <w:rPr>
            <w:webHidden/>
          </w:rPr>
          <w:fldChar w:fldCharType="separate"/>
        </w:r>
        <w:r w:rsidR="00AF6E33">
          <w:rPr>
            <w:webHidden/>
          </w:rPr>
          <w:t>16</w:t>
        </w:r>
        <w:r w:rsidR="00AF6E33">
          <w:rPr>
            <w:webHidden/>
          </w:rPr>
          <w:fldChar w:fldCharType="end"/>
        </w:r>
      </w:hyperlink>
    </w:p>
    <w:p w14:paraId="455C770A" w14:textId="48AC4AB2" w:rsidR="00AF6E33" w:rsidRDefault="00120788">
      <w:pPr>
        <w:pStyle w:val="TOC1"/>
        <w:rPr>
          <w:rFonts w:asciiTheme="minorHAnsi" w:eastAsiaTheme="minorEastAsia" w:hAnsiTheme="minorHAnsi" w:cstheme="minorBidi"/>
          <w:noProof/>
          <w:sz w:val="22"/>
          <w:szCs w:val="22"/>
          <w:lang w:val="fr-LU" w:eastAsia="fr-LU"/>
        </w:rPr>
      </w:pPr>
      <w:hyperlink w:anchor="_Toc92981837" w:history="1">
        <w:r w:rsidR="00AF6E33" w:rsidRPr="00E2747A">
          <w:rPr>
            <w:rStyle w:val="Hyperlink"/>
            <w:noProof/>
          </w:rPr>
          <w:t>7.</w:t>
        </w:r>
        <w:r w:rsidR="00AF6E33">
          <w:rPr>
            <w:rFonts w:asciiTheme="minorHAnsi" w:eastAsiaTheme="minorEastAsia" w:hAnsiTheme="minorHAnsi" w:cstheme="minorBidi"/>
            <w:noProof/>
            <w:sz w:val="22"/>
            <w:szCs w:val="22"/>
            <w:lang w:val="fr-LU" w:eastAsia="fr-LU"/>
          </w:rPr>
          <w:tab/>
        </w:r>
        <w:r w:rsidR="00AF6E33" w:rsidRPr="00E2747A">
          <w:rPr>
            <w:rStyle w:val="Hyperlink"/>
            <w:noProof/>
          </w:rPr>
          <w:t>Финансов и оперативен капацитет и изключване</w:t>
        </w:r>
        <w:r w:rsidR="00AF6E33">
          <w:rPr>
            <w:noProof/>
            <w:webHidden/>
          </w:rPr>
          <w:tab/>
        </w:r>
        <w:r w:rsidR="00AF6E33">
          <w:rPr>
            <w:noProof/>
            <w:webHidden/>
          </w:rPr>
          <w:fldChar w:fldCharType="begin"/>
        </w:r>
        <w:r w:rsidR="00AF6E33">
          <w:rPr>
            <w:noProof/>
            <w:webHidden/>
          </w:rPr>
          <w:instrText xml:space="preserve"> PAGEREF _Toc92981837 \h </w:instrText>
        </w:r>
        <w:r w:rsidR="00AF6E33">
          <w:rPr>
            <w:noProof/>
            <w:webHidden/>
          </w:rPr>
        </w:r>
        <w:r w:rsidR="00AF6E33">
          <w:rPr>
            <w:noProof/>
            <w:webHidden/>
          </w:rPr>
          <w:fldChar w:fldCharType="separate"/>
        </w:r>
        <w:r w:rsidR="00AF6E33">
          <w:rPr>
            <w:noProof/>
            <w:webHidden/>
          </w:rPr>
          <w:t>17</w:t>
        </w:r>
        <w:r w:rsidR="00AF6E33">
          <w:rPr>
            <w:noProof/>
            <w:webHidden/>
          </w:rPr>
          <w:fldChar w:fldCharType="end"/>
        </w:r>
      </w:hyperlink>
    </w:p>
    <w:p w14:paraId="074F8677" w14:textId="3EFA5EF4" w:rsidR="00AF6E33" w:rsidRDefault="00120788">
      <w:pPr>
        <w:pStyle w:val="TOC3"/>
        <w:rPr>
          <w:rFonts w:asciiTheme="minorHAnsi" w:eastAsiaTheme="minorEastAsia" w:hAnsiTheme="minorHAnsi" w:cstheme="minorBidi"/>
          <w:sz w:val="22"/>
          <w:szCs w:val="22"/>
          <w:lang w:val="fr-LU" w:eastAsia="fr-LU"/>
        </w:rPr>
      </w:pPr>
      <w:hyperlink w:anchor="_Toc92981838" w:history="1">
        <w:r w:rsidR="00AF6E33" w:rsidRPr="00E2747A">
          <w:rPr>
            <w:rStyle w:val="Hyperlink"/>
          </w:rPr>
          <w:t>Финансов капацитет</w:t>
        </w:r>
        <w:r w:rsidR="00AF6E33">
          <w:rPr>
            <w:webHidden/>
          </w:rPr>
          <w:tab/>
        </w:r>
        <w:r w:rsidR="00AF6E33">
          <w:rPr>
            <w:webHidden/>
          </w:rPr>
          <w:fldChar w:fldCharType="begin"/>
        </w:r>
        <w:r w:rsidR="00AF6E33">
          <w:rPr>
            <w:webHidden/>
          </w:rPr>
          <w:instrText xml:space="preserve"> PAGEREF _Toc92981838 \h </w:instrText>
        </w:r>
        <w:r w:rsidR="00AF6E33">
          <w:rPr>
            <w:webHidden/>
          </w:rPr>
        </w:r>
        <w:r w:rsidR="00AF6E33">
          <w:rPr>
            <w:webHidden/>
          </w:rPr>
          <w:fldChar w:fldCharType="separate"/>
        </w:r>
        <w:r w:rsidR="00AF6E33">
          <w:rPr>
            <w:webHidden/>
          </w:rPr>
          <w:t>17</w:t>
        </w:r>
        <w:r w:rsidR="00AF6E33">
          <w:rPr>
            <w:webHidden/>
          </w:rPr>
          <w:fldChar w:fldCharType="end"/>
        </w:r>
      </w:hyperlink>
    </w:p>
    <w:p w14:paraId="10E62FD1" w14:textId="24EBA6F3" w:rsidR="00AF6E33" w:rsidRDefault="00120788">
      <w:pPr>
        <w:pStyle w:val="TOC3"/>
        <w:rPr>
          <w:rFonts w:asciiTheme="minorHAnsi" w:eastAsiaTheme="minorEastAsia" w:hAnsiTheme="minorHAnsi" w:cstheme="minorBidi"/>
          <w:sz w:val="22"/>
          <w:szCs w:val="22"/>
          <w:lang w:val="fr-LU" w:eastAsia="fr-LU"/>
        </w:rPr>
      </w:pPr>
      <w:hyperlink w:anchor="_Toc92981839" w:history="1">
        <w:r w:rsidR="00AF6E33" w:rsidRPr="00E2747A">
          <w:rPr>
            <w:rStyle w:val="Hyperlink"/>
          </w:rPr>
          <w:t>Оперативен капацитет</w:t>
        </w:r>
        <w:r w:rsidR="00AF6E33">
          <w:rPr>
            <w:webHidden/>
          </w:rPr>
          <w:tab/>
        </w:r>
        <w:r w:rsidR="00AF6E33">
          <w:rPr>
            <w:webHidden/>
          </w:rPr>
          <w:fldChar w:fldCharType="begin"/>
        </w:r>
        <w:r w:rsidR="00AF6E33">
          <w:rPr>
            <w:webHidden/>
          </w:rPr>
          <w:instrText xml:space="preserve"> PAGEREF _Toc92981839 \h </w:instrText>
        </w:r>
        <w:r w:rsidR="00AF6E33">
          <w:rPr>
            <w:webHidden/>
          </w:rPr>
        </w:r>
        <w:r w:rsidR="00AF6E33">
          <w:rPr>
            <w:webHidden/>
          </w:rPr>
          <w:fldChar w:fldCharType="separate"/>
        </w:r>
        <w:r w:rsidR="00AF6E33">
          <w:rPr>
            <w:webHidden/>
          </w:rPr>
          <w:t>18</w:t>
        </w:r>
        <w:r w:rsidR="00AF6E33">
          <w:rPr>
            <w:webHidden/>
          </w:rPr>
          <w:fldChar w:fldCharType="end"/>
        </w:r>
      </w:hyperlink>
    </w:p>
    <w:p w14:paraId="69C51B52" w14:textId="43585D2D" w:rsidR="00AF6E33" w:rsidRDefault="00120788">
      <w:pPr>
        <w:pStyle w:val="TOC3"/>
        <w:rPr>
          <w:rFonts w:asciiTheme="minorHAnsi" w:eastAsiaTheme="minorEastAsia" w:hAnsiTheme="minorHAnsi" w:cstheme="minorBidi"/>
          <w:sz w:val="22"/>
          <w:szCs w:val="22"/>
          <w:lang w:val="fr-LU" w:eastAsia="fr-LU"/>
        </w:rPr>
      </w:pPr>
      <w:hyperlink w:anchor="_Toc92981840" w:history="1">
        <w:r w:rsidR="00AF6E33" w:rsidRPr="00E2747A">
          <w:rPr>
            <w:rStyle w:val="Hyperlink"/>
          </w:rPr>
          <w:t>Изключване</w:t>
        </w:r>
        <w:r w:rsidR="00AF6E33">
          <w:rPr>
            <w:webHidden/>
          </w:rPr>
          <w:tab/>
        </w:r>
        <w:r w:rsidR="00AF6E33">
          <w:rPr>
            <w:webHidden/>
          </w:rPr>
          <w:fldChar w:fldCharType="begin"/>
        </w:r>
        <w:r w:rsidR="00AF6E33">
          <w:rPr>
            <w:webHidden/>
          </w:rPr>
          <w:instrText xml:space="preserve"> PAGEREF _Toc92981840 \h </w:instrText>
        </w:r>
        <w:r w:rsidR="00AF6E33">
          <w:rPr>
            <w:webHidden/>
          </w:rPr>
        </w:r>
        <w:r w:rsidR="00AF6E33">
          <w:rPr>
            <w:webHidden/>
          </w:rPr>
          <w:fldChar w:fldCharType="separate"/>
        </w:r>
        <w:r w:rsidR="00AF6E33">
          <w:rPr>
            <w:webHidden/>
          </w:rPr>
          <w:t>18</w:t>
        </w:r>
        <w:r w:rsidR="00AF6E33">
          <w:rPr>
            <w:webHidden/>
          </w:rPr>
          <w:fldChar w:fldCharType="end"/>
        </w:r>
      </w:hyperlink>
    </w:p>
    <w:p w14:paraId="49B6140C" w14:textId="7663CAE8" w:rsidR="00AF6E33" w:rsidRDefault="00120788">
      <w:pPr>
        <w:pStyle w:val="TOC1"/>
        <w:rPr>
          <w:rFonts w:asciiTheme="minorHAnsi" w:eastAsiaTheme="minorEastAsia" w:hAnsiTheme="minorHAnsi" w:cstheme="minorBidi"/>
          <w:noProof/>
          <w:sz w:val="22"/>
          <w:szCs w:val="22"/>
          <w:lang w:val="fr-LU" w:eastAsia="fr-LU"/>
        </w:rPr>
      </w:pPr>
      <w:hyperlink w:anchor="_Toc92981841" w:history="1">
        <w:r w:rsidR="00AF6E33" w:rsidRPr="00E2747A">
          <w:rPr>
            <w:rStyle w:val="Hyperlink"/>
            <w:noProof/>
          </w:rPr>
          <w:t>8.</w:t>
        </w:r>
        <w:r w:rsidR="00AF6E33">
          <w:rPr>
            <w:rFonts w:asciiTheme="minorHAnsi" w:eastAsiaTheme="minorEastAsia" w:hAnsiTheme="minorHAnsi" w:cstheme="minorBidi"/>
            <w:noProof/>
            <w:sz w:val="22"/>
            <w:szCs w:val="22"/>
            <w:lang w:val="fr-LU" w:eastAsia="fr-LU"/>
          </w:rPr>
          <w:tab/>
        </w:r>
        <w:r w:rsidR="00AF6E33" w:rsidRPr="00E2747A">
          <w:rPr>
            <w:rStyle w:val="Hyperlink"/>
            <w:noProof/>
          </w:rPr>
          <w:t>Процедура за оценяване и процедура за предоставяне на безвъзмездни средства</w:t>
        </w:r>
        <w:r w:rsidR="00AF6E33">
          <w:rPr>
            <w:noProof/>
            <w:webHidden/>
          </w:rPr>
          <w:tab/>
        </w:r>
        <w:r w:rsidR="00AF6E33">
          <w:rPr>
            <w:noProof/>
            <w:webHidden/>
          </w:rPr>
          <w:fldChar w:fldCharType="begin"/>
        </w:r>
        <w:r w:rsidR="00AF6E33">
          <w:rPr>
            <w:noProof/>
            <w:webHidden/>
          </w:rPr>
          <w:instrText xml:space="preserve"> PAGEREF _Toc92981841 \h </w:instrText>
        </w:r>
        <w:r w:rsidR="00AF6E33">
          <w:rPr>
            <w:noProof/>
            <w:webHidden/>
          </w:rPr>
        </w:r>
        <w:r w:rsidR="00AF6E33">
          <w:rPr>
            <w:noProof/>
            <w:webHidden/>
          </w:rPr>
          <w:fldChar w:fldCharType="separate"/>
        </w:r>
        <w:r w:rsidR="00AF6E33">
          <w:rPr>
            <w:noProof/>
            <w:webHidden/>
          </w:rPr>
          <w:t>20</w:t>
        </w:r>
        <w:r w:rsidR="00AF6E33">
          <w:rPr>
            <w:noProof/>
            <w:webHidden/>
          </w:rPr>
          <w:fldChar w:fldCharType="end"/>
        </w:r>
      </w:hyperlink>
    </w:p>
    <w:p w14:paraId="692BE27B" w14:textId="17A776C9" w:rsidR="00AF6E33" w:rsidRDefault="00120788">
      <w:pPr>
        <w:pStyle w:val="TOC1"/>
        <w:rPr>
          <w:rFonts w:asciiTheme="minorHAnsi" w:eastAsiaTheme="minorEastAsia" w:hAnsiTheme="minorHAnsi" w:cstheme="minorBidi"/>
          <w:noProof/>
          <w:sz w:val="22"/>
          <w:szCs w:val="22"/>
          <w:lang w:val="fr-LU" w:eastAsia="fr-LU"/>
        </w:rPr>
      </w:pPr>
      <w:hyperlink w:anchor="_Toc92981842" w:history="1">
        <w:r w:rsidR="00AF6E33" w:rsidRPr="00E2747A">
          <w:rPr>
            <w:rStyle w:val="Hyperlink"/>
            <w:noProof/>
          </w:rPr>
          <w:t>9.</w:t>
        </w:r>
        <w:r w:rsidR="00AF6E33">
          <w:rPr>
            <w:rFonts w:asciiTheme="minorHAnsi" w:eastAsiaTheme="minorEastAsia" w:hAnsiTheme="minorHAnsi" w:cstheme="minorBidi"/>
            <w:noProof/>
            <w:sz w:val="22"/>
            <w:szCs w:val="22"/>
            <w:lang w:val="fr-LU" w:eastAsia="fr-LU"/>
          </w:rPr>
          <w:tab/>
        </w:r>
        <w:r w:rsidR="00AF6E33" w:rsidRPr="00E2747A">
          <w:rPr>
            <w:rStyle w:val="Hyperlink"/>
            <w:noProof/>
          </w:rPr>
          <w:t>Критерии за предоставяне на безвъзмездни средства</w:t>
        </w:r>
        <w:r w:rsidR="00AF6E33">
          <w:rPr>
            <w:noProof/>
            <w:webHidden/>
          </w:rPr>
          <w:tab/>
        </w:r>
        <w:r w:rsidR="00AF6E33">
          <w:rPr>
            <w:noProof/>
            <w:webHidden/>
          </w:rPr>
          <w:fldChar w:fldCharType="begin"/>
        </w:r>
        <w:r w:rsidR="00AF6E33">
          <w:rPr>
            <w:noProof/>
            <w:webHidden/>
          </w:rPr>
          <w:instrText xml:space="preserve"> PAGEREF _Toc92981842 \h </w:instrText>
        </w:r>
        <w:r w:rsidR="00AF6E33">
          <w:rPr>
            <w:noProof/>
            <w:webHidden/>
          </w:rPr>
        </w:r>
        <w:r w:rsidR="00AF6E33">
          <w:rPr>
            <w:noProof/>
            <w:webHidden/>
          </w:rPr>
          <w:fldChar w:fldCharType="separate"/>
        </w:r>
        <w:r w:rsidR="00AF6E33">
          <w:rPr>
            <w:noProof/>
            <w:webHidden/>
          </w:rPr>
          <w:t>21</w:t>
        </w:r>
        <w:r w:rsidR="00AF6E33">
          <w:rPr>
            <w:noProof/>
            <w:webHidden/>
          </w:rPr>
          <w:fldChar w:fldCharType="end"/>
        </w:r>
      </w:hyperlink>
    </w:p>
    <w:p w14:paraId="539C6585" w14:textId="29CF9C4B" w:rsidR="00AF6E33" w:rsidRDefault="00120788">
      <w:pPr>
        <w:pStyle w:val="TOC1"/>
        <w:rPr>
          <w:rFonts w:asciiTheme="minorHAnsi" w:eastAsiaTheme="minorEastAsia" w:hAnsiTheme="minorHAnsi" w:cstheme="minorBidi"/>
          <w:noProof/>
          <w:sz w:val="22"/>
          <w:szCs w:val="22"/>
          <w:lang w:val="fr-LU" w:eastAsia="fr-LU"/>
        </w:rPr>
      </w:pPr>
      <w:hyperlink w:anchor="_Toc92981843" w:history="1">
        <w:r w:rsidR="00AF6E33" w:rsidRPr="00E2747A">
          <w:rPr>
            <w:rStyle w:val="Hyperlink"/>
            <w:noProof/>
          </w:rPr>
          <w:t>10.</w:t>
        </w:r>
        <w:r w:rsidR="00AF6E33">
          <w:rPr>
            <w:rFonts w:asciiTheme="minorHAnsi" w:eastAsiaTheme="minorEastAsia" w:hAnsiTheme="minorHAnsi" w:cstheme="minorBidi"/>
            <w:noProof/>
            <w:sz w:val="22"/>
            <w:szCs w:val="22"/>
            <w:lang w:val="fr-LU" w:eastAsia="fr-LU"/>
          </w:rPr>
          <w:tab/>
        </w:r>
        <w:r w:rsidR="00AF6E33" w:rsidRPr="00E2747A">
          <w:rPr>
            <w:rStyle w:val="Hyperlink"/>
            <w:noProof/>
          </w:rPr>
          <w:t>Правна и финансова уредба относно споразуменията за предоставяне на безвъзмездни средства</w:t>
        </w:r>
        <w:r w:rsidR="00AF6E33">
          <w:rPr>
            <w:noProof/>
            <w:webHidden/>
          </w:rPr>
          <w:tab/>
        </w:r>
        <w:r w:rsidR="00AF6E33">
          <w:rPr>
            <w:noProof/>
            <w:webHidden/>
          </w:rPr>
          <w:fldChar w:fldCharType="begin"/>
        </w:r>
        <w:r w:rsidR="00AF6E33">
          <w:rPr>
            <w:noProof/>
            <w:webHidden/>
          </w:rPr>
          <w:instrText xml:space="preserve"> PAGEREF _Toc92981843 \h </w:instrText>
        </w:r>
        <w:r w:rsidR="00AF6E33">
          <w:rPr>
            <w:noProof/>
            <w:webHidden/>
          </w:rPr>
        </w:r>
        <w:r w:rsidR="00AF6E33">
          <w:rPr>
            <w:noProof/>
            <w:webHidden/>
          </w:rPr>
          <w:fldChar w:fldCharType="separate"/>
        </w:r>
        <w:r w:rsidR="00AF6E33">
          <w:rPr>
            <w:noProof/>
            <w:webHidden/>
          </w:rPr>
          <w:t>22</w:t>
        </w:r>
        <w:r w:rsidR="00AF6E33">
          <w:rPr>
            <w:noProof/>
            <w:webHidden/>
          </w:rPr>
          <w:fldChar w:fldCharType="end"/>
        </w:r>
      </w:hyperlink>
    </w:p>
    <w:p w14:paraId="31EF7B2E" w14:textId="74950E56" w:rsidR="00AF6E33" w:rsidRDefault="00120788">
      <w:pPr>
        <w:pStyle w:val="TOC3"/>
        <w:rPr>
          <w:rFonts w:asciiTheme="minorHAnsi" w:eastAsiaTheme="minorEastAsia" w:hAnsiTheme="minorHAnsi" w:cstheme="minorBidi"/>
          <w:sz w:val="22"/>
          <w:szCs w:val="22"/>
          <w:lang w:val="fr-LU" w:eastAsia="fr-LU"/>
        </w:rPr>
      </w:pPr>
      <w:hyperlink w:anchor="_Toc92981844" w:history="1">
        <w:r w:rsidR="00AF6E33" w:rsidRPr="00E2747A">
          <w:rPr>
            <w:rStyle w:val="Hyperlink"/>
          </w:rPr>
          <w:t>Начална дата и продължителност на проекта</w:t>
        </w:r>
        <w:r w:rsidR="00AF6E33">
          <w:rPr>
            <w:webHidden/>
          </w:rPr>
          <w:tab/>
        </w:r>
        <w:r w:rsidR="00AF6E33">
          <w:rPr>
            <w:webHidden/>
          </w:rPr>
          <w:fldChar w:fldCharType="begin"/>
        </w:r>
        <w:r w:rsidR="00AF6E33">
          <w:rPr>
            <w:webHidden/>
          </w:rPr>
          <w:instrText xml:space="preserve"> PAGEREF _Toc92981844 \h </w:instrText>
        </w:r>
        <w:r w:rsidR="00AF6E33">
          <w:rPr>
            <w:webHidden/>
          </w:rPr>
        </w:r>
        <w:r w:rsidR="00AF6E33">
          <w:rPr>
            <w:webHidden/>
          </w:rPr>
          <w:fldChar w:fldCharType="separate"/>
        </w:r>
        <w:r w:rsidR="00AF6E33">
          <w:rPr>
            <w:webHidden/>
          </w:rPr>
          <w:t>22</w:t>
        </w:r>
        <w:r w:rsidR="00AF6E33">
          <w:rPr>
            <w:webHidden/>
          </w:rPr>
          <w:fldChar w:fldCharType="end"/>
        </w:r>
      </w:hyperlink>
    </w:p>
    <w:p w14:paraId="4B5561B6" w14:textId="7960BA17" w:rsidR="00AF6E33" w:rsidRDefault="00120788">
      <w:pPr>
        <w:pStyle w:val="TOC3"/>
        <w:rPr>
          <w:rFonts w:asciiTheme="minorHAnsi" w:eastAsiaTheme="minorEastAsia" w:hAnsiTheme="minorHAnsi" w:cstheme="minorBidi"/>
          <w:sz w:val="22"/>
          <w:szCs w:val="22"/>
          <w:lang w:val="fr-LU" w:eastAsia="fr-LU"/>
        </w:rPr>
      </w:pPr>
      <w:hyperlink w:anchor="_Toc92981845" w:history="1">
        <w:r w:rsidR="00AF6E33" w:rsidRPr="00E2747A">
          <w:rPr>
            <w:rStyle w:val="Hyperlink"/>
          </w:rPr>
          <w:t>Основни етапи и междинни резултати</w:t>
        </w:r>
        <w:r w:rsidR="00AF6E33">
          <w:rPr>
            <w:webHidden/>
          </w:rPr>
          <w:tab/>
        </w:r>
        <w:r w:rsidR="00AF6E33">
          <w:rPr>
            <w:webHidden/>
          </w:rPr>
          <w:fldChar w:fldCharType="begin"/>
        </w:r>
        <w:r w:rsidR="00AF6E33">
          <w:rPr>
            <w:webHidden/>
          </w:rPr>
          <w:instrText xml:space="preserve"> PAGEREF _Toc92981845 \h </w:instrText>
        </w:r>
        <w:r w:rsidR="00AF6E33">
          <w:rPr>
            <w:webHidden/>
          </w:rPr>
        </w:r>
        <w:r w:rsidR="00AF6E33">
          <w:rPr>
            <w:webHidden/>
          </w:rPr>
          <w:fldChar w:fldCharType="separate"/>
        </w:r>
        <w:r w:rsidR="00AF6E33">
          <w:rPr>
            <w:webHidden/>
          </w:rPr>
          <w:t>22</w:t>
        </w:r>
        <w:r w:rsidR="00AF6E33">
          <w:rPr>
            <w:webHidden/>
          </w:rPr>
          <w:fldChar w:fldCharType="end"/>
        </w:r>
      </w:hyperlink>
    </w:p>
    <w:p w14:paraId="25926054" w14:textId="258839E4" w:rsidR="00AF6E33" w:rsidRDefault="00120788">
      <w:pPr>
        <w:pStyle w:val="TOC3"/>
        <w:rPr>
          <w:rFonts w:asciiTheme="minorHAnsi" w:eastAsiaTheme="minorEastAsia" w:hAnsiTheme="minorHAnsi" w:cstheme="minorBidi"/>
          <w:sz w:val="22"/>
          <w:szCs w:val="22"/>
          <w:lang w:val="fr-LU" w:eastAsia="fr-LU"/>
        </w:rPr>
      </w:pPr>
      <w:hyperlink w:anchor="_Toc92981846" w:history="1">
        <w:r w:rsidR="00AF6E33" w:rsidRPr="00E2747A">
          <w:rPr>
            <w:rStyle w:val="Hyperlink"/>
          </w:rPr>
          <w:t>Форма на безвъзмездните средства, процент на финансиране и максимален размер на безвъзмездните средства</w:t>
        </w:r>
        <w:r w:rsidR="00AF6E33">
          <w:rPr>
            <w:webHidden/>
          </w:rPr>
          <w:tab/>
        </w:r>
        <w:r w:rsidR="00AF6E33">
          <w:rPr>
            <w:webHidden/>
          </w:rPr>
          <w:fldChar w:fldCharType="begin"/>
        </w:r>
        <w:r w:rsidR="00AF6E33">
          <w:rPr>
            <w:webHidden/>
          </w:rPr>
          <w:instrText xml:space="preserve"> PAGEREF _Toc92981846 \h </w:instrText>
        </w:r>
        <w:r w:rsidR="00AF6E33">
          <w:rPr>
            <w:webHidden/>
          </w:rPr>
        </w:r>
        <w:r w:rsidR="00AF6E33">
          <w:rPr>
            <w:webHidden/>
          </w:rPr>
          <w:fldChar w:fldCharType="separate"/>
        </w:r>
        <w:r w:rsidR="00AF6E33">
          <w:rPr>
            <w:webHidden/>
          </w:rPr>
          <w:t>22</w:t>
        </w:r>
        <w:r w:rsidR="00AF6E33">
          <w:rPr>
            <w:webHidden/>
          </w:rPr>
          <w:fldChar w:fldCharType="end"/>
        </w:r>
      </w:hyperlink>
    </w:p>
    <w:p w14:paraId="7B864EDA" w14:textId="265B7BE0" w:rsidR="00AF6E33" w:rsidRDefault="00120788">
      <w:pPr>
        <w:pStyle w:val="TOC3"/>
        <w:rPr>
          <w:rFonts w:asciiTheme="minorHAnsi" w:eastAsiaTheme="minorEastAsia" w:hAnsiTheme="minorHAnsi" w:cstheme="minorBidi"/>
          <w:sz w:val="22"/>
          <w:szCs w:val="22"/>
          <w:lang w:val="fr-LU" w:eastAsia="fr-LU"/>
        </w:rPr>
      </w:pPr>
      <w:hyperlink w:anchor="_Toc92981847" w:history="1">
        <w:r w:rsidR="00AF6E33" w:rsidRPr="00E2747A">
          <w:rPr>
            <w:rStyle w:val="Hyperlink"/>
          </w:rPr>
          <w:t>Бюджетни категории и правила относно допустимостта на разходите</w:t>
        </w:r>
        <w:r w:rsidR="00AF6E33">
          <w:rPr>
            <w:webHidden/>
          </w:rPr>
          <w:tab/>
        </w:r>
        <w:r w:rsidR="00AF6E33">
          <w:rPr>
            <w:webHidden/>
          </w:rPr>
          <w:fldChar w:fldCharType="begin"/>
        </w:r>
        <w:r w:rsidR="00AF6E33">
          <w:rPr>
            <w:webHidden/>
          </w:rPr>
          <w:instrText xml:space="preserve"> PAGEREF _Toc92981847 \h </w:instrText>
        </w:r>
        <w:r w:rsidR="00AF6E33">
          <w:rPr>
            <w:webHidden/>
          </w:rPr>
        </w:r>
        <w:r w:rsidR="00AF6E33">
          <w:rPr>
            <w:webHidden/>
          </w:rPr>
          <w:fldChar w:fldCharType="separate"/>
        </w:r>
        <w:r w:rsidR="00AF6E33">
          <w:rPr>
            <w:webHidden/>
          </w:rPr>
          <w:t>23</w:t>
        </w:r>
        <w:r w:rsidR="00AF6E33">
          <w:rPr>
            <w:webHidden/>
          </w:rPr>
          <w:fldChar w:fldCharType="end"/>
        </w:r>
      </w:hyperlink>
    </w:p>
    <w:p w14:paraId="6A8C0751" w14:textId="40365F37" w:rsidR="00AF6E33" w:rsidRDefault="00120788">
      <w:pPr>
        <w:pStyle w:val="TOC3"/>
        <w:rPr>
          <w:rFonts w:asciiTheme="minorHAnsi" w:eastAsiaTheme="minorEastAsia" w:hAnsiTheme="minorHAnsi" w:cstheme="minorBidi"/>
          <w:sz w:val="22"/>
          <w:szCs w:val="22"/>
          <w:lang w:val="fr-LU" w:eastAsia="fr-LU"/>
        </w:rPr>
      </w:pPr>
      <w:hyperlink w:anchor="_Toc92981848" w:history="1">
        <w:r w:rsidR="00AF6E33" w:rsidRPr="00E2747A">
          <w:rPr>
            <w:rStyle w:val="Hyperlink"/>
          </w:rPr>
          <w:t>Условия и ред за отчитането и за извършване на плащанията</w:t>
        </w:r>
        <w:r w:rsidR="00AF6E33">
          <w:rPr>
            <w:webHidden/>
          </w:rPr>
          <w:tab/>
        </w:r>
        <w:r w:rsidR="00AF6E33">
          <w:rPr>
            <w:webHidden/>
          </w:rPr>
          <w:fldChar w:fldCharType="begin"/>
        </w:r>
        <w:r w:rsidR="00AF6E33">
          <w:rPr>
            <w:webHidden/>
          </w:rPr>
          <w:instrText xml:space="preserve"> PAGEREF _Toc92981848 \h </w:instrText>
        </w:r>
        <w:r w:rsidR="00AF6E33">
          <w:rPr>
            <w:webHidden/>
          </w:rPr>
        </w:r>
        <w:r w:rsidR="00AF6E33">
          <w:rPr>
            <w:webHidden/>
          </w:rPr>
          <w:fldChar w:fldCharType="separate"/>
        </w:r>
        <w:r w:rsidR="00AF6E33">
          <w:rPr>
            <w:webHidden/>
          </w:rPr>
          <w:t>23</w:t>
        </w:r>
        <w:r w:rsidR="00AF6E33">
          <w:rPr>
            <w:webHidden/>
          </w:rPr>
          <w:fldChar w:fldCharType="end"/>
        </w:r>
      </w:hyperlink>
    </w:p>
    <w:p w14:paraId="19018DAA" w14:textId="3865FBC5" w:rsidR="00AF6E33" w:rsidRDefault="00120788">
      <w:pPr>
        <w:pStyle w:val="TOC3"/>
        <w:rPr>
          <w:rFonts w:asciiTheme="minorHAnsi" w:eastAsiaTheme="minorEastAsia" w:hAnsiTheme="minorHAnsi" w:cstheme="minorBidi"/>
          <w:sz w:val="22"/>
          <w:szCs w:val="22"/>
          <w:lang w:val="fr-LU" w:eastAsia="fr-LU"/>
        </w:rPr>
      </w:pPr>
      <w:hyperlink w:anchor="_Toc92981849" w:history="1">
        <w:r w:rsidR="00AF6E33" w:rsidRPr="00E2747A">
          <w:rPr>
            <w:rStyle w:val="Hyperlink"/>
          </w:rPr>
          <w:t>Гаранции за предварително финансиране</w:t>
        </w:r>
        <w:r w:rsidR="00AF6E33">
          <w:rPr>
            <w:webHidden/>
          </w:rPr>
          <w:tab/>
        </w:r>
        <w:r w:rsidR="00AF6E33">
          <w:rPr>
            <w:webHidden/>
          </w:rPr>
          <w:fldChar w:fldCharType="begin"/>
        </w:r>
        <w:r w:rsidR="00AF6E33">
          <w:rPr>
            <w:webHidden/>
          </w:rPr>
          <w:instrText xml:space="preserve"> PAGEREF _Toc92981849 \h </w:instrText>
        </w:r>
        <w:r w:rsidR="00AF6E33">
          <w:rPr>
            <w:webHidden/>
          </w:rPr>
        </w:r>
        <w:r w:rsidR="00AF6E33">
          <w:rPr>
            <w:webHidden/>
          </w:rPr>
          <w:fldChar w:fldCharType="separate"/>
        </w:r>
        <w:r w:rsidR="00AF6E33">
          <w:rPr>
            <w:webHidden/>
          </w:rPr>
          <w:t>24</w:t>
        </w:r>
        <w:r w:rsidR="00AF6E33">
          <w:rPr>
            <w:webHidden/>
          </w:rPr>
          <w:fldChar w:fldCharType="end"/>
        </w:r>
      </w:hyperlink>
    </w:p>
    <w:p w14:paraId="6BA46110" w14:textId="7E7C8586" w:rsidR="00AF6E33" w:rsidRDefault="00120788">
      <w:pPr>
        <w:pStyle w:val="TOC3"/>
        <w:rPr>
          <w:rFonts w:asciiTheme="minorHAnsi" w:eastAsiaTheme="minorEastAsia" w:hAnsiTheme="minorHAnsi" w:cstheme="minorBidi"/>
          <w:sz w:val="22"/>
          <w:szCs w:val="22"/>
          <w:lang w:val="fr-LU" w:eastAsia="fr-LU"/>
        </w:rPr>
      </w:pPr>
      <w:hyperlink w:anchor="_Toc92981850" w:history="1">
        <w:r w:rsidR="00AF6E33" w:rsidRPr="00E2747A">
          <w:rPr>
            <w:rStyle w:val="Hyperlink"/>
          </w:rPr>
          <w:t>Сертификати</w:t>
        </w:r>
        <w:r w:rsidR="00AF6E33">
          <w:rPr>
            <w:webHidden/>
          </w:rPr>
          <w:tab/>
        </w:r>
        <w:r w:rsidR="00AF6E33">
          <w:rPr>
            <w:webHidden/>
          </w:rPr>
          <w:fldChar w:fldCharType="begin"/>
        </w:r>
        <w:r w:rsidR="00AF6E33">
          <w:rPr>
            <w:webHidden/>
          </w:rPr>
          <w:instrText xml:space="preserve"> PAGEREF _Toc92981850 \h </w:instrText>
        </w:r>
        <w:r w:rsidR="00AF6E33">
          <w:rPr>
            <w:webHidden/>
          </w:rPr>
        </w:r>
        <w:r w:rsidR="00AF6E33">
          <w:rPr>
            <w:webHidden/>
          </w:rPr>
          <w:fldChar w:fldCharType="separate"/>
        </w:r>
        <w:r w:rsidR="00AF6E33">
          <w:rPr>
            <w:webHidden/>
          </w:rPr>
          <w:t>25</w:t>
        </w:r>
        <w:r w:rsidR="00AF6E33">
          <w:rPr>
            <w:webHidden/>
          </w:rPr>
          <w:fldChar w:fldCharType="end"/>
        </w:r>
      </w:hyperlink>
    </w:p>
    <w:p w14:paraId="1C2C8665" w14:textId="431CB26E" w:rsidR="00AF6E33" w:rsidRDefault="00120788">
      <w:pPr>
        <w:pStyle w:val="TOC3"/>
        <w:rPr>
          <w:rFonts w:asciiTheme="minorHAnsi" w:eastAsiaTheme="minorEastAsia" w:hAnsiTheme="minorHAnsi" w:cstheme="minorBidi"/>
          <w:sz w:val="22"/>
          <w:szCs w:val="22"/>
          <w:lang w:val="fr-LU" w:eastAsia="fr-LU"/>
        </w:rPr>
      </w:pPr>
      <w:hyperlink w:anchor="_Toc92981851" w:history="1">
        <w:r w:rsidR="00AF6E33" w:rsidRPr="00E2747A">
          <w:rPr>
            <w:rStyle w:val="Hyperlink"/>
          </w:rPr>
          <w:t>Режим на отговорност по отношение на събиранията на вземания</w:t>
        </w:r>
        <w:r w:rsidR="00AF6E33">
          <w:rPr>
            <w:webHidden/>
          </w:rPr>
          <w:tab/>
        </w:r>
        <w:r w:rsidR="00AF6E33">
          <w:rPr>
            <w:webHidden/>
          </w:rPr>
          <w:fldChar w:fldCharType="begin"/>
        </w:r>
        <w:r w:rsidR="00AF6E33">
          <w:rPr>
            <w:webHidden/>
          </w:rPr>
          <w:instrText xml:space="preserve"> PAGEREF _Toc92981851 \h </w:instrText>
        </w:r>
        <w:r w:rsidR="00AF6E33">
          <w:rPr>
            <w:webHidden/>
          </w:rPr>
        </w:r>
        <w:r w:rsidR="00AF6E33">
          <w:rPr>
            <w:webHidden/>
          </w:rPr>
          <w:fldChar w:fldCharType="separate"/>
        </w:r>
        <w:r w:rsidR="00AF6E33">
          <w:rPr>
            <w:webHidden/>
          </w:rPr>
          <w:t>25</w:t>
        </w:r>
        <w:r w:rsidR="00AF6E33">
          <w:rPr>
            <w:webHidden/>
          </w:rPr>
          <w:fldChar w:fldCharType="end"/>
        </w:r>
      </w:hyperlink>
    </w:p>
    <w:p w14:paraId="732C9399" w14:textId="7675127F" w:rsidR="00AF6E33" w:rsidRDefault="00120788">
      <w:pPr>
        <w:pStyle w:val="TOC3"/>
        <w:rPr>
          <w:rFonts w:asciiTheme="minorHAnsi" w:eastAsiaTheme="minorEastAsia" w:hAnsiTheme="minorHAnsi" w:cstheme="minorBidi"/>
          <w:sz w:val="22"/>
          <w:szCs w:val="22"/>
          <w:lang w:val="fr-LU" w:eastAsia="fr-LU"/>
        </w:rPr>
      </w:pPr>
      <w:hyperlink w:anchor="_Toc92981852" w:history="1">
        <w:r w:rsidR="00AF6E33" w:rsidRPr="00E2747A">
          <w:rPr>
            <w:rStyle w:val="Hyperlink"/>
          </w:rPr>
          <w:t>Разпоредби, свързани с изпълнението на проекта</w:t>
        </w:r>
        <w:r w:rsidR="00AF6E33">
          <w:rPr>
            <w:webHidden/>
          </w:rPr>
          <w:tab/>
        </w:r>
        <w:r w:rsidR="00AF6E33">
          <w:rPr>
            <w:webHidden/>
          </w:rPr>
          <w:fldChar w:fldCharType="begin"/>
        </w:r>
        <w:r w:rsidR="00AF6E33">
          <w:rPr>
            <w:webHidden/>
          </w:rPr>
          <w:instrText xml:space="preserve"> PAGEREF _Toc92981852 \h </w:instrText>
        </w:r>
        <w:r w:rsidR="00AF6E33">
          <w:rPr>
            <w:webHidden/>
          </w:rPr>
        </w:r>
        <w:r w:rsidR="00AF6E33">
          <w:rPr>
            <w:webHidden/>
          </w:rPr>
          <w:fldChar w:fldCharType="separate"/>
        </w:r>
        <w:r w:rsidR="00AF6E33">
          <w:rPr>
            <w:webHidden/>
          </w:rPr>
          <w:t>25</w:t>
        </w:r>
        <w:r w:rsidR="00AF6E33">
          <w:rPr>
            <w:webHidden/>
          </w:rPr>
          <w:fldChar w:fldCharType="end"/>
        </w:r>
      </w:hyperlink>
    </w:p>
    <w:p w14:paraId="10275CA8" w14:textId="0CDF865D" w:rsidR="00AF6E33" w:rsidRDefault="00120788">
      <w:pPr>
        <w:pStyle w:val="TOC3"/>
        <w:rPr>
          <w:rFonts w:asciiTheme="minorHAnsi" w:eastAsiaTheme="minorEastAsia" w:hAnsiTheme="minorHAnsi" w:cstheme="minorBidi"/>
          <w:sz w:val="22"/>
          <w:szCs w:val="22"/>
          <w:lang w:val="fr-LU" w:eastAsia="fr-LU"/>
        </w:rPr>
      </w:pPr>
      <w:hyperlink w:anchor="_Toc92981853" w:history="1">
        <w:r w:rsidR="00AF6E33" w:rsidRPr="00E2747A">
          <w:rPr>
            <w:rStyle w:val="Hyperlink"/>
          </w:rPr>
          <w:t>Други особености</w:t>
        </w:r>
        <w:r w:rsidR="00AF6E33">
          <w:rPr>
            <w:webHidden/>
          </w:rPr>
          <w:tab/>
        </w:r>
        <w:r w:rsidR="00AF6E33">
          <w:rPr>
            <w:webHidden/>
          </w:rPr>
          <w:fldChar w:fldCharType="begin"/>
        </w:r>
        <w:r w:rsidR="00AF6E33">
          <w:rPr>
            <w:webHidden/>
          </w:rPr>
          <w:instrText xml:space="preserve"> PAGEREF _Toc92981853 \h </w:instrText>
        </w:r>
        <w:r w:rsidR="00AF6E33">
          <w:rPr>
            <w:webHidden/>
          </w:rPr>
        </w:r>
        <w:r w:rsidR="00AF6E33">
          <w:rPr>
            <w:webHidden/>
          </w:rPr>
          <w:fldChar w:fldCharType="separate"/>
        </w:r>
        <w:r w:rsidR="00AF6E33">
          <w:rPr>
            <w:webHidden/>
          </w:rPr>
          <w:t>25</w:t>
        </w:r>
        <w:r w:rsidR="00AF6E33">
          <w:rPr>
            <w:webHidden/>
          </w:rPr>
          <w:fldChar w:fldCharType="end"/>
        </w:r>
      </w:hyperlink>
    </w:p>
    <w:p w14:paraId="511A471D" w14:textId="32E5A8A8" w:rsidR="00AF6E33" w:rsidRDefault="00120788">
      <w:pPr>
        <w:pStyle w:val="TOC3"/>
        <w:rPr>
          <w:rFonts w:asciiTheme="minorHAnsi" w:eastAsiaTheme="minorEastAsia" w:hAnsiTheme="minorHAnsi" w:cstheme="minorBidi"/>
          <w:sz w:val="22"/>
          <w:szCs w:val="22"/>
          <w:lang w:val="fr-LU" w:eastAsia="fr-LU"/>
        </w:rPr>
      </w:pPr>
      <w:hyperlink w:anchor="_Toc92981854" w:history="1">
        <w:r w:rsidR="00AF6E33" w:rsidRPr="00E2747A">
          <w:rPr>
            <w:rStyle w:val="Hyperlink"/>
          </w:rPr>
          <w:t>Неизпълнение и нарушение на договора</w:t>
        </w:r>
        <w:r w:rsidR="00AF6E33">
          <w:rPr>
            <w:webHidden/>
          </w:rPr>
          <w:tab/>
        </w:r>
        <w:r w:rsidR="00AF6E33">
          <w:rPr>
            <w:webHidden/>
          </w:rPr>
          <w:fldChar w:fldCharType="begin"/>
        </w:r>
        <w:r w:rsidR="00AF6E33">
          <w:rPr>
            <w:webHidden/>
          </w:rPr>
          <w:instrText xml:space="preserve"> PAGEREF _Toc92981854 \h </w:instrText>
        </w:r>
        <w:r w:rsidR="00AF6E33">
          <w:rPr>
            <w:webHidden/>
          </w:rPr>
        </w:r>
        <w:r w:rsidR="00AF6E33">
          <w:rPr>
            <w:webHidden/>
          </w:rPr>
          <w:fldChar w:fldCharType="separate"/>
        </w:r>
        <w:r w:rsidR="00AF6E33">
          <w:rPr>
            <w:webHidden/>
          </w:rPr>
          <w:t>25</w:t>
        </w:r>
        <w:r w:rsidR="00AF6E33">
          <w:rPr>
            <w:webHidden/>
          </w:rPr>
          <w:fldChar w:fldCharType="end"/>
        </w:r>
      </w:hyperlink>
    </w:p>
    <w:p w14:paraId="7826F235" w14:textId="77261F4B" w:rsidR="00AF6E33" w:rsidRDefault="00120788">
      <w:pPr>
        <w:pStyle w:val="TOC1"/>
        <w:rPr>
          <w:rFonts w:asciiTheme="minorHAnsi" w:eastAsiaTheme="minorEastAsia" w:hAnsiTheme="minorHAnsi" w:cstheme="minorBidi"/>
          <w:noProof/>
          <w:sz w:val="22"/>
          <w:szCs w:val="22"/>
          <w:lang w:val="fr-LU" w:eastAsia="fr-LU"/>
        </w:rPr>
      </w:pPr>
      <w:hyperlink w:anchor="_Toc92981855" w:history="1">
        <w:r w:rsidR="00AF6E33" w:rsidRPr="00E2747A">
          <w:rPr>
            <w:rStyle w:val="Hyperlink"/>
            <w:noProof/>
          </w:rPr>
          <w:t>11.</w:t>
        </w:r>
        <w:r w:rsidR="00AF6E33">
          <w:rPr>
            <w:rFonts w:asciiTheme="minorHAnsi" w:eastAsiaTheme="minorEastAsia" w:hAnsiTheme="minorHAnsi" w:cstheme="minorBidi"/>
            <w:noProof/>
            <w:sz w:val="22"/>
            <w:szCs w:val="22"/>
            <w:lang w:val="fr-LU" w:eastAsia="fr-LU"/>
          </w:rPr>
          <w:tab/>
        </w:r>
        <w:r w:rsidR="00AF6E33" w:rsidRPr="00E2747A">
          <w:rPr>
            <w:rStyle w:val="Hyperlink"/>
            <w:noProof/>
          </w:rPr>
          <w:t>Как да кандидатствате</w:t>
        </w:r>
        <w:r w:rsidR="00AF6E33">
          <w:rPr>
            <w:noProof/>
            <w:webHidden/>
          </w:rPr>
          <w:tab/>
        </w:r>
        <w:r w:rsidR="00AF6E33">
          <w:rPr>
            <w:noProof/>
            <w:webHidden/>
          </w:rPr>
          <w:fldChar w:fldCharType="begin"/>
        </w:r>
        <w:r w:rsidR="00AF6E33">
          <w:rPr>
            <w:noProof/>
            <w:webHidden/>
          </w:rPr>
          <w:instrText xml:space="preserve"> PAGEREF _Toc92981855 \h </w:instrText>
        </w:r>
        <w:r w:rsidR="00AF6E33">
          <w:rPr>
            <w:noProof/>
            <w:webHidden/>
          </w:rPr>
        </w:r>
        <w:r w:rsidR="00AF6E33">
          <w:rPr>
            <w:noProof/>
            <w:webHidden/>
          </w:rPr>
          <w:fldChar w:fldCharType="separate"/>
        </w:r>
        <w:r w:rsidR="00AF6E33">
          <w:rPr>
            <w:noProof/>
            <w:webHidden/>
          </w:rPr>
          <w:t>26</w:t>
        </w:r>
        <w:r w:rsidR="00AF6E33">
          <w:rPr>
            <w:noProof/>
            <w:webHidden/>
          </w:rPr>
          <w:fldChar w:fldCharType="end"/>
        </w:r>
      </w:hyperlink>
    </w:p>
    <w:p w14:paraId="0926D0D2" w14:textId="1551330A" w:rsidR="00AF6E33" w:rsidRDefault="00120788">
      <w:pPr>
        <w:pStyle w:val="TOC1"/>
        <w:rPr>
          <w:rFonts w:asciiTheme="minorHAnsi" w:eastAsiaTheme="minorEastAsia" w:hAnsiTheme="minorHAnsi" w:cstheme="minorBidi"/>
          <w:noProof/>
          <w:sz w:val="22"/>
          <w:szCs w:val="22"/>
          <w:lang w:val="fr-LU" w:eastAsia="fr-LU"/>
        </w:rPr>
      </w:pPr>
      <w:hyperlink w:anchor="_Toc92981856" w:history="1">
        <w:r w:rsidR="00AF6E33" w:rsidRPr="00E2747A">
          <w:rPr>
            <w:rStyle w:val="Hyperlink"/>
            <w:noProof/>
          </w:rPr>
          <w:t>12.</w:t>
        </w:r>
        <w:r w:rsidR="00AF6E33">
          <w:rPr>
            <w:rFonts w:asciiTheme="minorHAnsi" w:eastAsiaTheme="minorEastAsia" w:hAnsiTheme="minorHAnsi" w:cstheme="minorBidi"/>
            <w:noProof/>
            <w:sz w:val="22"/>
            <w:szCs w:val="22"/>
            <w:lang w:val="fr-LU" w:eastAsia="fr-LU"/>
          </w:rPr>
          <w:tab/>
        </w:r>
        <w:r w:rsidR="00AF6E33" w:rsidRPr="00E2747A">
          <w:rPr>
            <w:rStyle w:val="Hyperlink"/>
            <w:noProof/>
          </w:rPr>
          <w:t>Помощ</w:t>
        </w:r>
        <w:r w:rsidR="00AF6E33">
          <w:rPr>
            <w:noProof/>
            <w:webHidden/>
          </w:rPr>
          <w:tab/>
        </w:r>
        <w:r w:rsidR="00AF6E33">
          <w:rPr>
            <w:noProof/>
            <w:webHidden/>
          </w:rPr>
          <w:fldChar w:fldCharType="begin"/>
        </w:r>
        <w:r w:rsidR="00AF6E33">
          <w:rPr>
            <w:noProof/>
            <w:webHidden/>
          </w:rPr>
          <w:instrText xml:space="preserve"> PAGEREF _Toc92981856 \h </w:instrText>
        </w:r>
        <w:r w:rsidR="00AF6E33">
          <w:rPr>
            <w:noProof/>
            <w:webHidden/>
          </w:rPr>
        </w:r>
        <w:r w:rsidR="00AF6E33">
          <w:rPr>
            <w:noProof/>
            <w:webHidden/>
          </w:rPr>
          <w:fldChar w:fldCharType="separate"/>
        </w:r>
        <w:r w:rsidR="00AF6E33">
          <w:rPr>
            <w:noProof/>
            <w:webHidden/>
          </w:rPr>
          <w:t>27</w:t>
        </w:r>
        <w:r w:rsidR="00AF6E33">
          <w:rPr>
            <w:noProof/>
            <w:webHidden/>
          </w:rPr>
          <w:fldChar w:fldCharType="end"/>
        </w:r>
      </w:hyperlink>
    </w:p>
    <w:p w14:paraId="3125BB9E" w14:textId="673B7C51" w:rsidR="00AF6E33" w:rsidRDefault="00120788">
      <w:pPr>
        <w:pStyle w:val="TOC1"/>
        <w:rPr>
          <w:rFonts w:asciiTheme="minorHAnsi" w:eastAsiaTheme="minorEastAsia" w:hAnsiTheme="minorHAnsi" w:cstheme="minorBidi"/>
          <w:noProof/>
          <w:sz w:val="22"/>
          <w:szCs w:val="22"/>
          <w:lang w:val="fr-LU" w:eastAsia="fr-LU"/>
        </w:rPr>
      </w:pPr>
      <w:hyperlink w:anchor="_Toc92981857" w:history="1">
        <w:r w:rsidR="00AF6E33" w:rsidRPr="00E2747A">
          <w:rPr>
            <w:rStyle w:val="Hyperlink"/>
            <w:noProof/>
          </w:rPr>
          <w:t>13.</w:t>
        </w:r>
        <w:r w:rsidR="00AF6E33">
          <w:rPr>
            <w:rFonts w:asciiTheme="minorHAnsi" w:eastAsiaTheme="minorEastAsia" w:hAnsiTheme="minorHAnsi" w:cstheme="minorBidi"/>
            <w:noProof/>
            <w:sz w:val="22"/>
            <w:szCs w:val="22"/>
            <w:lang w:val="fr-LU" w:eastAsia="fr-LU"/>
          </w:rPr>
          <w:tab/>
        </w:r>
        <w:r w:rsidR="00AF6E33" w:rsidRPr="00E2747A">
          <w:rPr>
            <w:rStyle w:val="Hyperlink"/>
            <w:noProof/>
          </w:rPr>
          <w:t>Важно</w:t>
        </w:r>
        <w:r w:rsidR="00AF6E33">
          <w:rPr>
            <w:noProof/>
            <w:webHidden/>
          </w:rPr>
          <w:tab/>
        </w:r>
        <w:r w:rsidR="00AF6E33">
          <w:rPr>
            <w:noProof/>
            <w:webHidden/>
          </w:rPr>
          <w:fldChar w:fldCharType="begin"/>
        </w:r>
        <w:r w:rsidR="00AF6E33">
          <w:rPr>
            <w:noProof/>
            <w:webHidden/>
          </w:rPr>
          <w:instrText xml:space="preserve"> PAGEREF _Toc92981857 \h </w:instrText>
        </w:r>
        <w:r w:rsidR="00AF6E33">
          <w:rPr>
            <w:noProof/>
            <w:webHidden/>
          </w:rPr>
        </w:r>
        <w:r w:rsidR="00AF6E33">
          <w:rPr>
            <w:noProof/>
            <w:webHidden/>
          </w:rPr>
          <w:fldChar w:fldCharType="separate"/>
        </w:r>
        <w:r w:rsidR="00AF6E33">
          <w:rPr>
            <w:noProof/>
            <w:webHidden/>
          </w:rPr>
          <w:t>28</w:t>
        </w:r>
        <w:r w:rsidR="00AF6E33">
          <w:rPr>
            <w:noProof/>
            <w:webHidden/>
          </w:rPr>
          <w:fldChar w:fldCharType="end"/>
        </w:r>
      </w:hyperlink>
    </w:p>
    <w:p w14:paraId="4D152A2B" w14:textId="68BC3C2E" w:rsidR="0084666C" w:rsidRPr="009F3D7B" w:rsidRDefault="00340A6F" w:rsidP="00B57534">
      <w:pPr>
        <w:widowControl w:val="0"/>
      </w:pPr>
      <w:r w:rsidRPr="009F3D7B">
        <w:rPr>
          <w:sz w:val="16"/>
        </w:rPr>
        <w:fldChar w:fldCharType="end"/>
      </w:r>
    </w:p>
    <w:p w14:paraId="62C1CABA" w14:textId="6C15280B" w:rsidR="0062273B" w:rsidRPr="009F3D7B" w:rsidRDefault="0062273B" w:rsidP="00623078">
      <w:pPr>
        <w:pStyle w:val="Heading1"/>
        <w:numPr>
          <w:ilvl w:val="0"/>
          <w:numId w:val="54"/>
        </w:numPr>
        <w:tabs>
          <w:tab w:val="left" w:pos="284"/>
        </w:tabs>
        <w:ind w:left="0" w:firstLine="0"/>
      </w:pPr>
      <w:r w:rsidRPr="009F3D7B">
        <w:br w:type="page"/>
      </w:r>
      <w:bookmarkStart w:id="1" w:name="_Toc92981818"/>
      <w:r w:rsidRPr="009F3D7B">
        <w:lastRenderedPageBreak/>
        <w:t>Въведение</w:t>
      </w:r>
      <w:bookmarkEnd w:id="1"/>
    </w:p>
    <w:p w14:paraId="1281A2B9" w14:textId="4F8BAA46" w:rsidR="00526CED" w:rsidRPr="009F3D7B" w:rsidRDefault="00494E0C" w:rsidP="00AD584E">
      <w:pPr>
        <w:widowControl w:val="0"/>
      </w:pPr>
      <w:r w:rsidRPr="009F3D7B">
        <w:t xml:space="preserve">Обявяваме покана за представяне на предложения за </w:t>
      </w:r>
      <w:r w:rsidRPr="009F3D7B">
        <w:rPr>
          <w:b/>
          <w:bCs/>
        </w:rPr>
        <w:t>безвъзмездни средства от ЕС за дейности</w:t>
      </w:r>
      <w:r w:rsidRPr="009F3D7B">
        <w:t xml:space="preserve"> в областта на ангажираността и участието на гражданите по </w:t>
      </w:r>
      <w:r w:rsidRPr="009F3D7B">
        <w:rPr>
          <w:b/>
          <w:bCs/>
        </w:rPr>
        <w:t>програма „Граждани, равенство, права и ценности“ (CERV)</w:t>
      </w:r>
      <w:r w:rsidRPr="009F3D7B">
        <w:t>. Регулаторната рамка за тази програма на ЕС за финансиране е установена със:</w:t>
      </w:r>
    </w:p>
    <w:p w14:paraId="124C55BF" w14:textId="0B0EAA5C" w:rsidR="00526CED" w:rsidRPr="009F3D7B" w:rsidRDefault="00526CED" w:rsidP="00584316">
      <w:pPr>
        <w:numPr>
          <w:ilvl w:val="0"/>
          <w:numId w:val="32"/>
        </w:numPr>
        <w:spacing w:after="120"/>
        <w:ind w:left="568" w:hanging="284"/>
      </w:pPr>
      <w:r w:rsidRPr="009F3D7B">
        <w:t>Регламент 2018/1046 (</w:t>
      </w:r>
      <w:hyperlink r:id="rId21" w:history="1">
        <w:r w:rsidRPr="009F3D7B">
          <w:rPr>
            <w:rStyle w:val="Hyperlink"/>
          </w:rPr>
          <w:t>Финансов регламент на ЕС</w:t>
        </w:r>
      </w:hyperlink>
      <w:r w:rsidRPr="009F3D7B">
        <w:t>)</w:t>
      </w:r>
    </w:p>
    <w:p w14:paraId="15823F41" w14:textId="4CAA3408" w:rsidR="00526CED" w:rsidRPr="009F3D7B" w:rsidRDefault="00526CED" w:rsidP="42BB08A3">
      <w:pPr>
        <w:numPr>
          <w:ilvl w:val="0"/>
          <w:numId w:val="32"/>
        </w:numPr>
        <w:ind w:left="568" w:hanging="284"/>
        <w:rPr>
          <w:u w:val="single"/>
        </w:rPr>
      </w:pPr>
      <w:r w:rsidRPr="009F3D7B">
        <w:t>основния законодателен акт (Регламент (ЕС) № </w:t>
      </w:r>
      <w:hyperlink r:id="rId22" w:history="1">
        <w:r w:rsidRPr="009F3D7B">
          <w:rPr>
            <w:rStyle w:val="Hyperlink"/>
          </w:rPr>
          <w:t>2021/692</w:t>
        </w:r>
      </w:hyperlink>
      <w:r w:rsidR="000D6EA6" w:rsidRPr="009F3D7B">
        <w:rPr>
          <w:rStyle w:val="FootnoteReference"/>
        </w:rPr>
        <w:footnoteReference w:id="2"/>
      </w:r>
      <w:r w:rsidRPr="009F3D7B">
        <w:t xml:space="preserve"> за програма „Граждани, равенство, права и ценности“).</w:t>
      </w:r>
    </w:p>
    <w:p w14:paraId="12AD4BB0" w14:textId="464B2AA2" w:rsidR="0000139E" w:rsidRPr="009F3D7B" w:rsidRDefault="00526CED" w:rsidP="0000139E">
      <w:pPr>
        <w:autoSpaceDE w:val="0"/>
        <w:autoSpaceDN w:val="0"/>
        <w:adjustRightInd w:val="0"/>
        <w:rPr>
          <w:bCs/>
          <w:color w:val="000000"/>
        </w:rPr>
      </w:pPr>
      <w:r w:rsidRPr="009F3D7B">
        <w:t>Поканата се обявява в съответствие с работната програма за периода 2021—2022 г.</w:t>
      </w:r>
      <w:r w:rsidR="00494E0C" w:rsidRPr="009F3D7B">
        <w:rPr>
          <w:vertAlign w:val="superscript"/>
        </w:rPr>
        <w:footnoteReference w:id="3"/>
      </w:r>
      <w:r w:rsidRPr="009F3D7B">
        <w:t xml:space="preserve"> и ще се управлява от </w:t>
      </w:r>
      <w:r w:rsidRPr="009F3D7B">
        <w:rPr>
          <w:b/>
        </w:rPr>
        <w:t>Европейската изпълнителна агенция за образование и култура (EACEA)</w:t>
      </w:r>
      <w:r w:rsidRPr="009F3D7B">
        <w:t xml:space="preserve"> („Агенцията“).</w:t>
      </w:r>
    </w:p>
    <w:p w14:paraId="03C747D1" w14:textId="54C3BAAB" w:rsidR="00494E0C" w:rsidRPr="009F3D7B" w:rsidRDefault="00330493" w:rsidP="00CC2315">
      <w:pPr>
        <w:spacing w:after="120"/>
      </w:pPr>
      <w:r w:rsidRPr="009F3D7B">
        <w:t xml:space="preserve">Поканата обхваща следните </w:t>
      </w:r>
      <w:r w:rsidRPr="009F3D7B">
        <w:rPr>
          <w:b/>
        </w:rPr>
        <w:t>теми</w:t>
      </w:r>
      <w:r w:rsidRPr="009F3D7B">
        <w:t>:</w:t>
      </w:r>
    </w:p>
    <w:p w14:paraId="0F1AE17D" w14:textId="55D45AD3" w:rsidR="00AD584E" w:rsidRPr="009F3D7B" w:rsidRDefault="00AD584E" w:rsidP="42BB08A3">
      <w:pPr>
        <w:numPr>
          <w:ilvl w:val="0"/>
          <w:numId w:val="29"/>
        </w:numPr>
        <w:rPr>
          <w:b/>
          <w:bCs/>
        </w:rPr>
      </w:pPr>
      <w:r w:rsidRPr="009F3D7B">
        <w:rPr>
          <w:b/>
          <w:bCs/>
          <w:color w:val="A50021"/>
        </w:rPr>
        <w:t>CERV-2022-CITIZENS-TOWN-TT (Тема 1)</w:t>
      </w:r>
      <w:r w:rsidRPr="009F3D7B">
        <w:rPr>
          <w:b/>
          <w:bCs/>
        </w:rPr>
        <w:t xml:space="preserve"> — Побратимяване на градове</w:t>
      </w:r>
    </w:p>
    <w:p w14:paraId="1549339B" w14:textId="4EAD4397" w:rsidR="00AD584E" w:rsidRPr="009F3D7B" w:rsidRDefault="00AD584E" w:rsidP="42BB08A3">
      <w:pPr>
        <w:numPr>
          <w:ilvl w:val="0"/>
          <w:numId w:val="29"/>
        </w:numPr>
      </w:pPr>
      <w:r w:rsidRPr="009F3D7B">
        <w:rPr>
          <w:b/>
          <w:bCs/>
          <w:color w:val="A50021"/>
        </w:rPr>
        <w:t>CERV-2022-CITIZENS-TOWN-NT (Тема 2)</w:t>
      </w:r>
      <w:r w:rsidRPr="009F3D7B">
        <w:rPr>
          <w:b/>
          <w:bCs/>
        </w:rPr>
        <w:t xml:space="preserve"> — Мрежи от градове</w:t>
      </w:r>
    </w:p>
    <w:p w14:paraId="52501F07" w14:textId="77777777" w:rsidR="00743E49" w:rsidRPr="009F3D7B" w:rsidRDefault="00743E49" w:rsidP="00743E49">
      <w:pPr>
        <w:autoSpaceDE w:val="0"/>
        <w:autoSpaceDN w:val="0"/>
        <w:adjustRightInd w:val="0"/>
        <w:rPr>
          <w:rFonts w:cs="Verdana"/>
          <w:color w:val="000000"/>
        </w:rPr>
      </w:pPr>
      <w:r w:rsidRPr="009F3D7B">
        <w:t>Всяко подадено предложение в рамките на поканата трябва да се отнася само за една от тези теми. Кандидатите, които желаят да кандидатстват по повече от една тема, трябва да представят отделно предложение по всяка от темите.</w:t>
      </w:r>
    </w:p>
    <w:p w14:paraId="043E9BF0" w14:textId="2DA7C351" w:rsidR="004D29DC" w:rsidRPr="009F3D7B" w:rsidRDefault="004D29DC" w:rsidP="004D29DC">
      <w:pPr>
        <w:autoSpaceDE w:val="0"/>
        <w:autoSpaceDN w:val="0"/>
        <w:adjustRightInd w:val="0"/>
        <w:rPr>
          <w:rFonts w:cs="Verdana"/>
          <w:color w:val="000000"/>
        </w:rPr>
      </w:pPr>
      <w:r w:rsidRPr="009F3D7B">
        <w:rPr>
          <w:color w:val="000000"/>
        </w:rPr>
        <w:t xml:space="preserve">Приканваме ви внимателно да прочетете </w:t>
      </w:r>
      <w:r w:rsidRPr="003B43F0">
        <w:rPr>
          <w:b/>
          <w:color w:val="000000"/>
        </w:rPr>
        <w:t>документацията във връзка с поканата за представяне на предложения,</w:t>
      </w:r>
      <w:r w:rsidRPr="009F3D7B">
        <w:rPr>
          <w:color w:val="000000"/>
        </w:rPr>
        <w:t xml:space="preserve"> и по-специално настоящата покана за представяне на предложения, образеца на споразумение за предоставяне на безвъзмездни средства, </w:t>
      </w:r>
      <w:hyperlink r:id="rId23" w:history="1">
        <w:r w:rsidRPr="009F3D7B">
          <w:rPr>
            <w:rStyle w:val="Hyperlink"/>
          </w:rPr>
          <w:t>онлайн наръчника на уебсайта на портала за финансиране и обществени поръчки на ЕС</w:t>
        </w:r>
      </w:hyperlink>
      <w:r w:rsidRPr="009F3D7B">
        <w:rPr>
          <w:bCs/>
          <w:color w:val="000000"/>
        </w:rPr>
        <w:t xml:space="preserve">, както и </w:t>
      </w:r>
      <w:hyperlink r:id="rId24" w:history="1">
        <w:r w:rsidRPr="009F3D7B">
          <w:rPr>
            <w:rStyle w:val="Hyperlink"/>
          </w:rPr>
          <w:t>АСПБС на ЕС — Анотираното споразумение за предоставяне на безвъзмездни средства</w:t>
        </w:r>
      </w:hyperlink>
      <w:r w:rsidRPr="009F3D7B">
        <w:rPr>
          <w:color w:val="000000"/>
        </w:rPr>
        <w:t>.</w:t>
      </w:r>
    </w:p>
    <w:p w14:paraId="69E91152" w14:textId="77777777" w:rsidR="00494E0C" w:rsidRPr="009F3D7B" w:rsidRDefault="00494E0C" w:rsidP="00494E0C">
      <w:pPr>
        <w:autoSpaceDE w:val="0"/>
        <w:autoSpaceDN w:val="0"/>
        <w:adjustRightInd w:val="0"/>
        <w:rPr>
          <w:rFonts w:cs="Verdana"/>
          <w:color w:val="000000"/>
        </w:rPr>
      </w:pPr>
      <w:r w:rsidRPr="009F3D7B">
        <w:rPr>
          <w:color w:val="000000"/>
        </w:rPr>
        <w:t xml:space="preserve">В тези документи се съдържат пояснения и отговори на въпросите, които може да възникнат при изготвяне на вашето предложение: </w:t>
      </w:r>
    </w:p>
    <w:p w14:paraId="2D4A671C" w14:textId="77777777" w:rsidR="00494E0C" w:rsidRPr="009F3D7B" w:rsidRDefault="00E06F7E" w:rsidP="00584316">
      <w:pPr>
        <w:numPr>
          <w:ilvl w:val="0"/>
          <w:numId w:val="29"/>
        </w:numPr>
        <w:autoSpaceDE w:val="0"/>
        <w:autoSpaceDN w:val="0"/>
        <w:adjustRightInd w:val="0"/>
        <w:jc w:val="left"/>
        <w:rPr>
          <w:rFonts w:cs="Verdana"/>
          <w:color w:val="000000"/>
        </w:rPr>
      </w:pPr>
      <w:r w:rsidRPr="009F3D7B">
        <w:rPr>
          <w:color w:val="000000"/>
        </w:rPr>
        <w:t xml:space="preserve">В </w:t>
      </w:r>
      <w:r w:rsidRPr="009F3D7B">
        <w:rPr>
          <w:color w:val="000000"/>
          <w:u w:val="single"/>
        </w:rPr>
        <w:t>поканата за представяне на предложения</w:t>
      </w:r>
      <w:r w:rsidRPr="009F3D7B">
        <w:rPr>
          <w:color w:val="000000"/>
        </w:rPr>
        <w:t xml:space="preserve"> са очертани: </w:t>
      </w:r>
    </w:p>
    <w:p w14:paraId="1A625B5D" w14:textId="77777777" w:rsidR="00E06F7E" w:rsidRPr="009F3D7B" w:rsidRDefault="00E06F7E" w:rsidP="008B1F42">
      <w:pPr>
        <w:numPr>
          <w:ilvl w:val="1"/>
          <w:numId w:val="41"/>
        </w:numPr>
        <w:autoSpaceDE w:val="0"/>
        <w:autoSpaceDN w:val="0"/>
        <w:adjustRightInd w:val="0"/>
        <w:rPr>
          <w:rFonts w:cs="Verdana"/>
          <w:color w:val="000000"/>
        </w:rPr>
      </w:pPr>
      <w:r w:rsidRPr="009F3D7B">
        <w:rPr>
          <w:color w:val="000000"/>
        </w:rPr>
        <w:t>контекстът, целите, обхватът, дейностите, които могат да бъдат финансирани и очакваните резултати (раздели 1 и 2)</w:t>
      </w:r>
    </w:p>
    <w:p w14:paraId="4A57CF7C" w14:textId="77777777" w:rsidR="00E06F7E" w:rsidRPr="009F3D7B" w:rsidRDefault="00E06F7E" w:rsidP="008B1F42">
      <w:pPr>
        <w:numPr>
          <w:ilvl w:val="1"/>
          <w:numId w:val="41"/>
        </w:numPr>
        <w:autoSpaceDE w:val="0"/>
        <w:autoSpaceDN w:val="0"/>
        <w:adjustRightInd w:val="0"/>
        <w:rPr>
          <w:rFonts w:cs="Verdana"/>
          <w:color w:val="000000"/>
        </w:rPr>
      </w:pPr>
      <w:r w:rsidRPr="009F3D7B">
        <w:rPr>
          <w:color w:val="000000"/>
        </w:rPr>
        <w:t xml:space="preserve">графикът и наличният бюджет (раздели 3 и 4) </w:t>
      </w:r>
    </w:p>
    <w:p w14:paraId="789651DB" w14:textId="77777777" w:rsidR="00F114D2" w:rsidRPr="009F3D7B" w:rsidRDefault="00F114D2" w:rsidP="008B1F42">
      <w:pPr>
        <w:numPr>
          <w:ilvl w:val="1"/>
          <w:numId w:val="41"/>
        </w:numPr>
        <w:autoSpaceDE w:val="0"/>
        <w:autoSpaceDN w:val="0"/>
        <w:adjustRightInd w:val="0"/>
        <w:rPr>
          <w:rFonts w:cs="Verdana"/>
          <w:color w:val="000000"/>
        </w:rPr>
      </w:pPr>
      <w:r w:rsidRPr="009F3D7B">
        <w:rPr>
          <w:color w:val="000000"/>
        </w:rPr>
        <w:t>условията за приемливост и допустимост (вкл. задължителните документи; раздели 5 и 6)</w:t>
      </w:r>
    </w:p>
    <w:p w14:paraId="39CF2DC1" w14:textId="77777777" w:rsidR="00F114D2" w:rsidRPr="009F3D7B" w:rsidRDefault="00F114D2" w:rsidP="008B1F42">
      <w:pPr>
        <w:numPr>
          <w:ilvl w:val="1"/>
          <w:numId w:val="41"/>
        </w:numPr>
        <w:autoSpaceDE w:val="0"/>
        <w:autoSpaceDN w:val="0"/>
        <w:adjustRightInd w:val="0"/>
        <w:rPr>
          <w:rFonts w:cs="Verdana"/>
          <w:color w:val="000000"/>
        </w:rPr>
      </w:pPr>
      <w:r w:rsidRPr="009F3D7B">
        <w:rPr>
          <w:color w:val="000000"/>
        </w:rPr>
        <w:t>критериите за финансов и оперативен капацитет и изключване (раздел 7)</w:t>
      </w:r>
    </w:p>
    <w:p w14:paraId="418D4BD7" w14:textId="77777777" w:rsidR="00E06F7E" w:rsidRPr="009F3D7B" w:rsidRDefault="00E06F7E" w:rsidP="008B1F42">
      <w:pPr>
        <w:numPr>
          <w:ilvl w:val="1"/>
          <w:numId w:val="41"/>
        </w:numPr>
        <w:autoSpaceDE w:val="0"/>
        <w:autoSpaceDN w:val="0"/>
        <w:adjustRightInd w:val="0"/>
        <w:rPr>
          <w:rFonts w:cs="Verdana"/>
          <w:color w:val="000000"/>
        </w:rPr>
      </w:pPr>
      <w:r w:rsidRPr="009F3D7B">
        <w:rPr>
          <w:color w:val="000000"/>
        </w:rPr>
        <w:t>процедурата за оценяване и процедурата за предоставяне на безвъзмездни средства (раздел 8)</w:t>
      </w:r>
    </w:p>
    <w:p w14:paraId="64A33DFC" w14:textId="77777777" w:rsidR="00510B7E" w:rsidRPr="009F3D7B" w:rsidRDefault="00510B7E" w:rsidP="008B1F42">
      <w:pPr>
        <w:numPr>
          <w:ilvl w:val="1"/>
          <w:numId w:val="41"/>
        </w:numPr>
        <w:autoSpaceDE w:val="0"/>
        <w:autoSpaceDN w:val="0"/>
        <w:adjustRightInd w:val="0"/>
        <w:rPr>
          <w:rFonts w:cs="Verdana"/>
          <w:color w:val="000000"/>
        </w:rPr>
      </w:pPr>
      <w:r w:rsidRPr="009F3D7B">
        <w:rPr>
          <w:color w:val="000000"/>
        </w:rPr>
        <w:t xml:space="preserve">критериите за предоставяне на безвъзмездни средства (раздел 9) </w:t>
      </w:r>
    </w:p>
    <w:p w14:paraId="658DE64E" w14:textId="77777777" w:rsidR="00736C6F" w:rsidRPr="009F3D7B" w:rsidRDefault="00E06F7E" w:rsidP="008B1F42">
      <w:pPr>
        <w:numPr>
          <w:ilvl w:val="1"/>
          <w:numId w:val="41"/>
        </w:numPr>
        <w:autoSpaceDE w:val="0"/>
        <w:autoSpaceDN w:val="0"/>
        <w:adjustRightInd w:val="0"/>
        <w:rPr>
          <w:rFonts w:cs="Verdana"/>
          <w:color w:val="000000"/>
        </w:rPr>
      </w:pPr>
      <w:r w:rsidRPr="009F3D7B">
        <w:rPr>
          <w:color w:val="000000"/>
        </w:rPr>
        <w:lastRenderedPageBreak/>
        <w:t>правната и финансовата уредба относно споразуменията за предоставяне на безвъзмездни средства (раздел 10)</w:t>
      </w:r>
    </w:p>
    <w:p w14:paraId="0FC91E8C" w14:textId="77777777" w:rsidR="00604FA0" w:rsidRPr="009F3D7B" w:rsidRDefault="00604FA0" w:rsidP="008B1F42">
      <w:pPr>
        <w:numPr>
          <w:ilvl w:val="1"/>
          <w:numId w:val="41"/>
        </w:numPr>
        <w:autoSpaceDE w:val="0"/>
        <w:autoSpaceDN w:val="0"/>
        <w:adjustRightInd w:val="0"/>
        <w:rPr>
          <w:rFonts w:cs="Verdana"/>
          <w:color w:val="000000"/>
        </w:rPr>
      </w:pPr>
      <w:r w:rsidRPr="009F3D7B">
        <w:t>как да подадете предложение (раздел 11)</w:t>
      </w:r>
    </w:p>
    <w:p w14:paraId="31A59D07" w14:textId="77777777" w:rsidR="00494E0C" w:rsidRPr="009F3D7B" w:rsidRDefault="00E06F7E" w:rsidP="00584316">
      <w:pPr>
        <w:numPr>
          <w:ilvl w:val="0"/>
          <w:numId w:val="29"/>
        </w:numPr>
        <w:autoSpaceDE w:val="0"/>
        <w:autoSpaceDN w:val="0"/>
        <w:adjustRightInd w:val="0"/>
        <w:jc w:val="left"/>
        <w:rPr>
          <w:rFonts w:cs="Verdana"/>
          <w:color w:val="000000"/>
        </w:rPr>
      </w:pPr>
      <w:r w:rsidRPr="009F3D7B">
        <w:rPr>
          <w:color w:val="000000"/>
        </w:rPr>
        <w:t xml:space="preserve">В </w:t>
      </w:r>
      <w:r w:rsidRPr="009F3D7B">
        <w:rPr>
          <w:color w:val="000000"/>
          <w:u w:val="single"/>
        </w:rPr>
        <w:t>онлайн наръчника</w:t>
      </w:r>
      <w:r w:rsidRPr="009F3D7B">
        <w:rPr>
          <w:color w:val="000000"/>
        </w:rPr>
        <w:t xml:space="preserve"> се описват: </w:t>
      </w:r>
    </w:p>
    <w:p w14:paraId="3985E9EA" w14:textId="77777777" w:rsidR="00494E0C" w:rsidRPr="009F3D7B" w:rsidRDefault="00494E0C" w:rsidP="008B1F42">
      <w:pPr>
        <w:numPr>
          <w:ilvl w:val="1"/>
          <w:numId w:val="41"/>
        </w:numPr>
        <w:autoSpaceDE w:val="0"/>
        <w:autoSpaceDN w:val="0"/>
        <w:adjustRightInd w:val="0"/>
        <w:rPr>
          <w:rFonts w:cs="Verdana"/>
        </w:rPr>
      </w:pPr>
      <w:r w:rsidRPr="009F3D7B">
        <w:t xml:space="preserve">процедурите по регистрация и подаване на предложения онлайн чрез портала на ЕС за финансиране и обществени поръчки („порталът“) </w:t>
      </w:r>
    </w:p>
    <w:p w14:paraId="616B7DB6" w14:textId="77777777" w:rsidR="00494E0C" w:rsidRPr="009F3D7B" w:rsidRDefault="00494E0C" w:rsidP="008B1F42">
      <w:pPr>
        <w:numPr>
          <w:ilvl w:val="1"/>
          <w:numId w:val="41"/>
        </w:numPr>
        <w:autoSpaceDE w:val="0"/>
        <w:autoSpaceDN w:val="0"/>
        <w:adjustRightInd w:val="0"/>
        <w:rPr>
          <w:rFonts w:cs="Verdana"/>
          <w:color w:val="000000"/>
        </w:rPr>
      </w:pPr>
      <w:r w:rsidRPr="009F3D7B">
        <w:rPr>
          <w:color w:val="000000"/>
        </w:rPr>
        <w:t>препоръките, касаещи подготовката на предложението</w:t>
      </w:r>
    </w:p>
    <w:p w14:paraId="73C2A8CC" w14:textId="79977971" w:rsidR="00494E0C" w:rsidRPr="009F3D7B" w:rsidRDefault="00524F18" w:rsidP="00584316">
      <w:pPr>
        <w:numPr>
          <w:ilvl w:val="0"/>
          <w:numId w:val="29"/>
        </w:numPr>
        <w:autoSpaceDE w:val="0"/>
        <w:autoSpaceDN w:val="0"/>
        <w:adjustRightInd w:val="0"/>
        <w:jc w:val="left"/>
        <w:rPr>
          <w:rFonts w:cs="Verdana"/>
          <w:color w:val="000000"/>
        </w:rPr>
      </w:pPr>
      <w:r w:rsidRPr="009F3D7B">
        <w:rPr>
          <w:color w:val="000000"/>
          <w:u w:val="single"/>
        </w:rPr>
        <w:t>АСПБС — Анотираното споразумение за предоставяне на безвъзмездни средства</w:t>
      </w:r>
      <w:r w:rsidRPr="009F3D7B">
        <w:rPr>
          <w:color w:val="000000"/>
        </w:rPr>
        <w:t xml:space="preserve"> съдържа:</w:t>
      </w:r>
    </w:p>
    <w:p w14:paraId="0DD299B7" w14:textId="77777777" w:rsidR="00494E0C" w:rsidRPr="009F3D7B" w:rsidRDefault="00736C6F" w:rsidP="008B1F42">
      <w:pPr>
        <w:numPr>
          <w:ilvl w:val="1"/>
          <w:numId w:val="41"/>
        </w:numPr>
        <w:autoSpaceDE w:val="0"/>
        <w:autoSpaceDN w:val="0"/>
        <w:adjustRightInd w:val="0"/>
        <w:rPr>
          <w:rFonts w:cs="Verdana"/>
          <w:color w:val="000000"/>
        </w:rPr>
      </w:pPr>
      <w:r w:rsidRPr="009F3D7B">
        <w:rPr>
          <w:color w:val="000000"/>
        </w:rPr>
        <w:t xml:space="preserve">подробни анотации относно всички разпоредби на споразумението за предоставяне на безвъзмездни средства, което трябва да подпишете, за да получите безвъзмездните средства </w:t>
      </w:r>
      <w:r w:rsidRPr="009F3D7B">
        <w:rPr>
          <w:i/>
          <w:color w:val="000000"/>
        </w:rPr>
        <w:t>(вкл. допустимост на разходите, график на плащанията, допълнителни задължения и т.н.)</w:t>
      </w:r>
      <w:r w:rsidRPr="009F3D7B">
        <w:rPr>
          <w:color w:val="000000"/>
        </w:rPr>
        <w:t xml:space="preserve">. </w:t>
      </w:r>
    </w:p>
    <w:p w14:paraId="635FC1D8" w14:textId="01913281" w:rsidR="00774448" w:rsidRPr="009F3D7B" w:rsidRDefault="00526CED" w:rsidP="42BB08A3">
      <w:pPr>
        <w:autoSpaceDE w:val="0"/>
        <w:autoSpaceDN w:val="0"/>
        <w:adjustRightInd w:val="0"/>
        <w:rPr>
          <w:rFonts w:cs="Verdana"/>
          <w:color w:val="000000"/>
        </w:rPr>
      </w:pPr>
      <w:r w:rsidRPr="009F3D7B">
        <w:t>Приканваме ви също да посетите</w:t>
      </w:r>
      <w:r w:rsidRPr="009F3D7B">
        <w:rPr>
          <w:color w:val="000000"/>
        </w:rPr>
        <w:t xml:space="preserve"> </w:t>
      </w:r>
      <w:hyperlink r:id="rId25" w:history="1">
        <w:r w:rsidRPr="009F3D7B">
          <w:rPr>
            <w:rStyle w:val="Hyperlink"/>
          </w:rPr>
          <w:t>уебсайта за резултатите от проекти по програмата „Европа за гражданите“</w:t>
        </w:r>
      </w:hyperlink>
      <w:r w:rsidRPr="009F3D7B">
        <w:rPr>
          <w:color w:val="000000"/>
        </w:rPr>
        <w:t xml:space="preserve">, </w:t>
      </w:r>
      <w:hyperlink r:id="rId26" w:history="1">
        <w:r w:rsidRPr="009F3D7B">
          <w:rPr>
            <w:rStyle w:val="Hyperlink"/>
          </w:rPr>
          <w:t>уебстраницата с резултатите от програмата „Права, равенство и гражданство“</w:t>
        </w:r>
      </w:hyperlink>
      <w:r w:rsidRPr="009F3D7B">
        <w:rPr>
          <w:color w:val="000000"/>
        </w:rPr>
        <w:t xml:space="preserve"> и </w:t>
      </w:r>
      <w:hyperlink r:id="rId27" w:history="1">
        <w:r w:rsidRPr="009F3D7B">
          <w:rPr>
            <w:rStyle w:val="Hyperlink"/>
          </w:rPr>
          <w:t>инструментариума „Дафне“</w:t>
        </w:r>
      </w:hyperlink>
      <w:r w:rsidRPr="009F3D7B">
        <w:t>,</w:t>
      </w:r>
      <w:r w:rsidRPr="009F3D7B">
        <w:rPr>
          <w:color w:val="000000"/>
        </w:rPr>
        <w:t xml:space="preserve"> за да разгледате списъка с вече финансирани проекти. </w:t>
      </w:r>
    </w:p>
    <w:p w14:paraId="6B9C566E" w14:textId="6F44641E" w:rsidR="00B57534" w:rsidRPr="009F3D7B" w:rsidRDefault="00B57534" w:rsidP="00623078">
      <w:pPr>
        <w:pStyle w:val="Heading1"/>
        <w:numPr>
          <w:ilvl w:val="0"/>
          <w:numId w:val="54"/>
        </w:numPr>
        <w:tabs>
          <w:tab w:val="left" w:pos="284"/>
        </w:tabs>
        <w:ind w:left="0" w:firstLine="0"/>
      </w:pPr>
      <w:bookmarkStart w:id="2" w:name="_Toc92981819"/>
      <w:r w:rsidRPr="009F3D7B">
        <w:t>Контекст</w:t>
      </w:r>
      <w:bookmarkEnd w:id="2"/>
    </w:p>
    <w:p w14:paraId="369A6579" w14:textId="3C1F1087" w:rsidR="0062273B" w:rsidRPr="009F3D7B" w:rsidRDefault="008B1F42" w:rsidP="00623078">
      <w:pPr>
        <w:pStyle w:val="paragraph"/>
        <w:spacing w:before="0" w:beforeAutospacing="0" w:after="200" w:afterAutospacing="0"/>
        <w:jc w:val="both"/>
        <w:textAlignment w:val="baseline"/>
        <w:rPr>
          <w:rStyle w:val="normaltextrun"/>
          <w:rFonts w:ascii="Verdana" w:hAnsi="Verdana"/>
          <w:sz w:val="20"/>
          <w:szCs w:val="20"/>
        </w:rPr>
      </w:pPr>
      <w:r w:rsidRPr="009F3D7B">
        <w:rPr>
          <w:rFonts w:ascii="Verdana" w:hAnsi="Verdana"/>
          <w:sz w:val="20"/>
          <w:szCs w:val="20"/>
        </w:rPr>
        <w:t>По програма „Граждани, равенство, права и ценности“ се предоставя финансиране за ангажиране на гражданите, равенство за всички и прилагане на правата и ценностите на ЕС. Програма „Граждани, равенство, права и ценности“ (наричана по-долу „програмата“) обединява предишната програма „Права, равенство и гражданство“</w:t>
      </w:r>
      <w:r w:rsidRPr="009F3D7B">
        <w:rPr>
          <w:rFonts w:ascii="Verdana" w:hAnsi="Verdana"/>
          <w:sz w:val="20"/>
          <w:szCs w:val="20"/>
          <w:lang w:val="en-GB"/>
        </w:rPr>
        <w:footnoteReference w:id="4"/>
      </w:r>
      <w:r w:rsidRPr="009F3D7B">
        <w:rPr>
          <w:rFonts w:ascii="Verdana" w:hAnsi="Verdana"/>
          <w:sz w:val="20"/>
          <w:szCs w:val="20"/>
        </w:rPr>
        <w:t> и предишната програма „Европа за гражданите“</w:t>
      </w:r>
      <w:r w:rsidRPr="009F3D7B">
        <w:rPr>
          <w:rStyle w:val="FootnoteReference"/>
          <w:rFonts w:ascii="Verdana" w:hAnsi="Verdana"/>
          <w:sz w:val="20"/>
          <w:szCs w:val="20"/>
          <w:lang w:val="en-GB"/>
        </w:rPr>
        <w:footnoteReference w:id="5"/>
      </w:r>
      <w:r w:rsidRPr="009F3D7B">
        <w:rPr>
          <w:rFonts w:ascii="Verdana" w:hAnsi="Verdana"/>
          <w:sz w:val="20"/>
          <w:szCs w:val="20"/>
        </w:rPr>
        <w:t>.</w:t>
      </w:r>
    </w:p>
    <w:p w14:paraId="516FC889" w14:textId="77777777" w:rsidR="008B1F42" w:rsidRPr="009F3D7B" w:rsidRDefault="008B1F42" w:rsidP="008B1F42">
      <w:pPr>
        <w:rPr>
          <w:rFonts w:eastAsia="Verdana" w:cs="Verdana"/>
        </w:rPr>
      </w:pPr>
      <w:r w:rsidRPr="009F3D7B">
        <w:t>С програмата се насърчава обменът между хора от различни държави, засилването на взаимното разбирателство и толерантността и им се дава възможност да разширят своята гледна точка и да развият чувство за европейска принадлежност и идентичност чрез побратимяването на градове и мрежите от градове. Като се запазва подходът „от долу нагоре“, с програмата се предоставя също възможност мрежите от градове да се съсредоточат върху приоритетите на ЕС. Тя има за цел например да се подобри познаването от страна на гражданите на Хартата на основните права на ЕС, да се допринесе за по-висока избирателна активност и приобщаващи кандидатури на изборите за Европейски парламент, както и да се повиши осведомеността за дискриминацията, расизма и последиците от тях.</w:t>
      </w:r>
    </w:p>
    <w:p w14:paraId="65A00F56" w14:textId="4DA47FF4" w:rsidR="009A57EA" w:rsidRPr="009F3D7B" w:rsidRDefault="008B1F42" w:rsidP="0062273B">
      <w:pPr>
        <w:spacing w:after="0"/>
        <w:rPr>
          <w:rFonts w:eastAsia="Verdana" w:cs="Verdana"/>
        </w:rPr>
      </w:pPr>
      <w:r w:rsidRPr="009F3D7B">
        <w:t>Настоящата покана за представяне на предложения има за цел да подкрепи следните политически инициативи: План за действие за европейската демокрация</w:t>
      </w:r>
      <w:r w:rsidRPr="009F3D7B">
        <w:rPr>
          <w:rStyle w:val="FootnoteReference"/>
          <w:rFonts w:eastAsia="Verdana" w:cs="Verdana"/>
        </w:rPr>
        <w:footnoteReference w:id="6"/>
      </w:r>
      <w:r w:rsidRPr="009F3D7B">
        <w:t>, стратегическа рамка на ЕС за равенство, приобщаване и участие на ромите</w:t>
      </w:r>
      <w:r w:rsidRPr="009F3D7B">
        <w:rPr>
          <w:rStyle w:val="FootnoteReference"/>
          <w:rFonts w:eastAsia="Verdana" w:cs="Verdana"/>
        </w:rPr>
        <w:footnoteReference w:id="7"/>
      </w:r>
      <w:r w:rsidRPr="009F3D7B">
        <w:t>, стратегия за укрепване на прилагането на Хартата на основните права в ЕС</w:t>
      </w:r>
      <w:r w:rsidRPr="009F3D7B">
        <w:rPr>
          <w:rStyle w:val="FootnoteReference"/>
          <w:rFonts w:eastAsia="Verdana" w:cs="Verdana"/>
        </w:rPr>
        <w:footnoteReference w:id="8"/>
      </w:r>
      <w:r w:rsidRPr="009F3D7B">
        <w:t>, Доклад за гражданството на ЕС за 2020 г.</w:t>
      </w:r>
      <w:r w:rsidRPr="009F3D7B">
        <w:rPr>
          <w:rStyle w:val="FootnoteReference"/>
          <w:rFonts w:eastAsia="Verdana" w:cs="Verdana"/>
        </w:rPr>
        <w:footnoteReference w:id="9"/>
      </w:r>
      <w:r w:rsidRPr="009F3D7B">
        <w:t xml:space="preserve">. </w:t>
      </w:r>
    </w:p>
    <w:p w14:paraId="3ACDA2AF" w14:textId="77777777" w:rsidR="0062273B" w:rsidRPr="009F3D7B" w:rsidRDefault="0062273B" w:rsidP="0062273B">
      <w:pPr>
        <w:spacing w:after="0"/>
      </w:pPr>
    </w:p>
    <w:p w14:paraId="2B0ABE9D" w14:textId="5A8C4B79" w:rsidR="00CC2315" w:rsidRPr="009F3D7B" w:rsidRDefault="00276AD7" w:rsidP="00623078">
      <w:pPr>
        <w:pStyle w:val="Heading1"/>
        <w:numPr>
          <w:ilvl w:val="0"/>
          <w:numId w:val="54"/>
        </w:numPr>
        <w:tabs>
          <w:tab w:val="left" w:pos="284"/>
        </w:tabs>
        <w:ind w:left="0" w:firstLine="0"/>
      </w:pPr>
      <w:bookmarkStart w:id="3" w:name="_Toc92981820"/>
      <w:r w:rsidRPr="009F3D7B">
        <w:t xml:space="preserve">Цели — Теми и приоритети — Дейности, които могат да бъдат </w:t>
      </w:r>
      <w:r w:rsidRPr="009F3D7B">
        <w:lastRenderedPageBreak/>
        <w:t>финансирани — Очаквано въздействие</w:t>
      </w:r>
      <w:bookmarkEnd w:id="3"/>
    </w:p>
    <w:p w14:paraId="10C94222" w14:textId="3D5C2B6B" w:rsidR="008B1F42" w:rsidRPr="009F3D7B" w:rsidRDefault="00BF7239" w:rsidP="008B1F42">
      <w:pPr>
        <w:widowControl w:val="0"/>
        <w:outlineLvl w:val="1"/>
        <w:rPr>
          <w:b/>
          <w:bCs/>
          <w:color w:val="A50021"/>
          <w:u w:val="single"/>
        </w:rPr>
      </w:pPr>
      <w:r w:rsidRPr="009F3D7B">
        <w:rPr>
          <w:b/>
          <w:bCs/>
          <w:color w:val="A50021"/>
          <w:u w:val="single"/>
        </w:rPr>
        <w:t>CERV-2022-CITIZENS-TOWN-TT — Побратимяване на градове</w:t>
      </w:r>
    </w:p>
    <w:p w14:paraId="13FAC18F" w14:textId="77777777" w:rsidR="008B1F42" w:rsidRPr="009F3D7B" w:rsidRDefault="008B1F42" w:rsidP="008B1F42">
      <w:pPr>
        <w:pStyle w:val="Heading3"/>
      </w:pPr>
      <w:bookmarkStart w:id="4" w:name="_Toc92981821"/>
      <w:r w:rsidRPr="009F3D7B">
        <w:t>Цели</w:t>
      </w:r>
      <w:bookmarkEnd w:id="4"/>
      <w:r w:rsidRPr="009F3D7B">
        <w:t xml:space="preserve"> </w:t>
      </w:r>
    </w:p>
    <w:p w14:paraId="15E04F10" w14:textId="77777777" w:rsidR="008B1F42" w:rsidRPr="009F3D7B" w:rsidRDefault="008B1F42" w:rsidP="008B1F42">
      <w:pPr>
        <w:pStyle w:val="ListParagraph"/>
        <w:numPr>
          <w:ilvl w:val="0"/>
          <w:numId w:val="47"/>
        </w:numPr>
        <w:snapToGrid w:val="0"/>
        <w:spacing w:after="200"/>
        <w:jc w:val="both"/>
        <w:rPr>
          <w:rFonts w:eastAsia="Verdana" w:cs="Verdana"/>
        </w:rPr>
      </w:pPr>
      <w:r w:rsidRPr="009F3D7B">
        <w:rPr>
          <w:sz w:val="20"/>
          <w:szCs w:val="20"/>
        </w:rPr>
        <w:t>Да се насърчава обменът между гражданите на различни държави;</w:t>
      </w:r>
    </w:p>
    <w:p w14:paraId="5945D08F" w14:textId="77777777" w:rsidR="008B1F42" w:rsidRPr="009F3D7B" w:rsidRDefault="008B1F42" w:rsidP="008B1F42">
      <w:pPr>
        <w:pStyle w:val="ListParagraph"/>
        <w:numPr>
          <w:ilvl w:val="0"/>
          <w:numId w:val="47"/>
        </w:numPr>
        <w:snapToGrid w:val="0"/>
        <w:spacing w:after="200"/>
        <w:jc w:val="both"/>
        <w:rPr>
          <w:rFonts w:eastAsia="Verdana" w:cs="Verdana"/>
        </w:rPr>
      </w:pPr>
      <w:r w:rsidRPr="009F3D7B">
        <w:rPr>
          <w:sz w:val="20"/>
          <w:szCs w:val="20"/>
        </w:rPr>
        <w:t>Да се даде възможност на гражданите да открият културното многообразие на Европейския съюз и да осъзнаят, че европейските ценности и културното наследство представляват основата за едно общо бъдеще;</w:t>
      </w:r>
      <w:r w:rsidRPr="009F3D7B">
        <w:rPr>
          <w:iCs/>
          <w:sz w:val="20"/>
          <w:szCs w:val="20"/>
        </w:rPr>
        <w:t xml:space="preserve"> </w:t>
      </w:r>
    </w:p>
    <w:p w14:paraId="665EDD2E" w14:textId="77777777" w:rsidR="008B1F42" w:rsidRPr="009F3D7B" w:rsidRDefault="008B1F42" w:rsidP="008B1F42">
      <w:pPr>
        <w:pStyle w:val="ListParagraph"/>
        <w:numPr>
          <w:ilvl w:val="0"/>
          <w:numId w:val="47"/>
        </w:numPr>
        <w:snapToGrid w:val="0"/>
        <w:spacing w:after="200"/>
        <w:jc w:val="both"/>
        <w:rPr>
          <w:rFonts w:eastAsia="Verdana" w:cs="Verdana"/>
        </w:rPr>
      </w:pPr>
      <w:r w:rsidRPr="009F3D7B">
        <w:rPr>
          <w:sz w:val="20"/>
          <w:szCs w:val="20"/>
        </w:rPr>
        <w:t>Да се гарантират мирни отношения между европейците и да се осигури активното им участие на местно равнище;</w:t>
      </w:r>
    </w:p>
    <w:p w14:paraId="605828BE" w14:textId="77777777" w:rsidR="008B1F42" w:rsidRPr="009F3D7B" w:rsidRDefault="008B1F42" w:rsidP="008B1F42">
      <w:pPr>
        <w:pStyle w:val="ListParagraph"/>
        <w:numPr>
          <w:ilvl w:val="0"/>
          <w:numId w:val="47"/>
        </w:numPr>
        <w:snapToGrid w:val="0"/>
        <w:spacing w:after="200"/>
        <w:jc w:val="both"/>
        <w:rPr>
          <w:rFonts w:eastAsia="Verdana" w:cs="Verdana"/>
        </w:rPr>
      </w:pPr>
      <w:r w:rsidRPr="009F3D7B">
        <w:rPr>
          <w:sz w:val="20"/>
          <w:szCs w:val="20"/>
        </w:rPr>
        <w:t>Да бъде засилено взаимното разбирателство и приятелството между европейските граждани;</w:t>
      </w:r>
    </w:p>
    <w:p w14:paraId="311FE49B" w14:textId="77777777" w:rsidR="008B1F42" w:rsidRPr="009F3D7B" w:rsidRDefault="008B1F42" w:rsidP="008B1F42">
      <w:pPr>
        <w:pStyle w:val="ListParagraph"/>
        <w:numPr>
          <w:ilvl w:val="0"/>
          <w:numId w:val="47"/>
        </w:numPr>
        <w:snapToGrid w:val="0"/>
        <w:spacing w:after="200"/>
        <w:jc w:val="both"/>
        <w:rPr>
          <w:rFonts w:eastAsia="Verdana" w:cs="Verdana"/>
          <w:sz w:val="20"/>
          <w:szCs w:val="20"/>
        </w:rPr>
      </w:pPr>
      <w:r w:rsidRPr="009F3D7B">
        <w:rPr>
          <w:sz w:val="20"/>
          <w:szCs w:val="20"/>
        </w:rPr>
        <w:t>Да се насърчава сътрудничеството между общините и обменът на най-добри практики;</w:t>
      </w:r>
    </w:p>
    <w:p w14:paraId="2F91D125" w14:textId="77777777" w:rsidR="008B1F42" w:rsidRPr="009F3D7B" w:rsidRDefault="008B1F42" w:rsidP="008B1F42">
      <w:pPr>
        <w:pStyle w:val="ListParagraph"/>
        <w:numPr>
          <w:ilvl w:val="0"/>
          <w:numId w:val="47"/>
        </w:numPr>
        <w:snapToGrid w:val="0"/>
        <w:spacing w:after="200"/>
        <w:jc w:val="both"/>
        <w:rPr>
          <w:rFonts w:eastAsia="Verdana" w:cs="Verdana"/>
          <w:sz w:val="20"/>
          <w:szCs w:val="20"/>
        </w:rPr>
      </w:pPr>
      <w:r w:rsidRPr="009F3D7B">
        <w:rPr>
          <w:sz w:val="20"/>
          <w:szCs w:val="20"/>
        </w:rPr>
        <w:t>Да се подкрепи доброто местно управление и да се засили ролята на местните и регионалните органи в процеса на европейска интеграция.</w:t>
      </w:r>
    </w:p>
    <w:p w14:paraId="0811532F" w14:textId="77777777" w:rsidR="008B1F42" w:rsidRPr="009F3D7B" w:rsidRDefault="008B1F42" w:rsidP="008B1F42">
      <w:pPr>
        <w:pStyle w:val="ListParagraph"/>
        <w:spacing w:after="200"/>
        <w:ind w:left="0"/>
        <w:jc w:val="both"/>
        <w:rPr>
          <w:rFonts w:eastAsia="Verdana" w:cs="Verdana"/>
          <w:sz w:val="20"/>
          <w:szCs w:val="20"/>
        </w:rPr>
      </w:pPr>
    </w:p>
    <w:p w14:paraId="18B8EBBE" w14:textId="2BAD98CB" w:rsidR="008B1F42" w:rsidRPr="009F3D7B" w:rsidRDefault="008B1F42" w:rsidP="00CC2315">
      <w:pPr>
        <w:pStyle w:val="ListParagraph"/>
        <w:spacing w:after="200"/>
        <w:ind w:left="0"/>
        <w:jc w:val="both"/>
        <w:rPr>
          <w:rFonts w:eastAsia="Verdana" w:cs="Verdana"/>
          <w:sz w:val="20"/>
          <w:szCs w:val="20"/>
        </w:rPr>
      </w:pPr>
      <w:r w:rsidRPr="009F3D7B">
        <w:rPr>
          <w:sz w:val="20"/>
          <w:szCs w:val="20"/>
        </w:rPr>
        <w:t>Очаква се в проектите за побратимяване на градове да бъде обмислено ново послание за Европа, ориентирано към гражданите, насърчаващо равенството, насочено към бъдещето и конструктивно, което да бъде по-ангажиращо, по-специално за по-младото поколение. Проектите могат да се основават на резултати от консултации с гражданите и да водят до дебати относно конкретни начини за създаване на по-демократичен Съюз, за да се даде възможност на гражданите да насочат вниманието си отново към ЕС и да развият по-силно чувство за ангажираност с европейския проект.</w:t>
      </w:r>
    </w:p>
    <w:p w14:paraId="6C324617" w14:textId="7DEA1873" w:rsidR="008B1F42" w:rsidRPr="009F3D7B" w:rsidRDefault="008B1F42" w:rsidP="008B1F42">
      <w:pPr>
        <w:pStyle w:val="Heading3"/>
      </w:pPr>
      <w:bookmarkStart w:id="5" w:name="_Toc92981822"/>
      <w:r w:rsidRPr="009F3D7B">
        <w:t>Теми и приоритети (обхват)</w:t>
      </w:r>
      <w:bookmarkEnd w:id="5"/>
    </w:p>
    <w:p w14:paraId="5FB7D970" w14:textId="77777777" w:rsidR="008B1F42" w:rsidRPr="009F3D7B" w:rsidRDefault="008B1F42" w:rsidP="008B1F42">
      <w:pPr>
        <w:numPr>
          <w:ilvl w:val="0"/>
          <w:numId w:val="48"/>
        </w:numPr>
        <w:rPr>
          <w:rFonts w:eastAsia="Verdana" w:cs="Verdana"/>
        </w:rPr>
      </w:pPr>
      <w:r w:rsidRPr="009F3D7B">
        <w:rPr>
          <w:b/>
          <w:bCs/>
        </w:rPr>
        <w:t>Повишаване на осведомеността относно богатството на културната и езиковата среда в Европа</w:t>
      </w:r>
    </w:p>
    <w:p w14:paraId="2B1D8BE9" w14:textId="77777777" w:rsidR="008B1F42" w:rsidRPr="009F3D7B" w:rsidRDefault="008B1F42" w:rsidP="008B1F42">
      <w:pPr>
        <w:rPr>
          <w:rFonts w:eastAsia="Verdana" w:cs="Verdana"/>
        </w:rPr>
      </w:pPr>
      <w:r w:rsidRPr="009F3D7B">
        <w:t xml:space="preserve">Програмата допринася за насърчаването на междукултурния диалог, като обединява хора от различни националности и различни езици и им дава възможност да участват в общи дейности. В този контекст проектите за побратимяване на градове следва да повишават осведомеността относно богатството на културната и езиковата среда в Европа и да насърчават взаимното разбирателство и толерантност, като по този начин допринасят за развитието на пораждаща уважение, динамична и многостранна европейска идентичност и зачитането на общите ценности, демокрацията и основните права. </w:t>
      </w:r>
    </w:p>
    <w:p w14:paraId="278D248A" w14:textId="77777777" w:rsidR="008B1F42" w:rsidRPr="009F3D7B" w:rsidRDefault="008B1F42" w:rsidP="008B1F42">
      <w:pPr>
        <w:numPr>
          <w:ilvl w:val="0"/>
          <w:numId w:val="48"/>
        </w:numPr>
        <w:rPr>
          <w:rFonts w:eastAsia="Verdana" w:cs="Verdana"/>
        </w:rPr>
      </w:pPr>
      <w:r w:rsidRPr="009F3D7B">
        <w:rPr>
          <w:b/>
          <w:bCs/>
        </w:rPr>
        <w:t>Повишаване на осведомеността относно значението на укрепването на процеса на европейска интеграция, основан на солидарността</w:t>
      </w:r>
    </w:p>
    <w:p w14:paraId="6CBF9321" w14:textId="77777777" w:rsidR="008B1F42" w:rsidRPr="009F3D7B" w:rsidRDefault="008B1F42" w:rsidP="008B1F42">
      <w:pPr>
        <w:rPr>
          <w:rFonts w:eastAsia="Verdana" w:cs="Verdana"/>
        </w:rPr>
      </w:pPr>
      <w:r w:rsidRPr="009F3D7B">
        <w:t>Европейският съюз се гради на солидарност: солидарност между неговите граждани, трансгранична солидарност между държавите членки и солидарност чрез действия за подкрепа в рамките на Съюза и извън него. Солидарността е обща ценност, която създава сближаване и отговаря на обществените предизвикателства. Проектите за побратимяване на градове следва да допринасят за преодоляване на националистичните нагласи чрез насърчаване на взаимното разбирателство и създаване на форуми, на които могат да се обсъждат общи решения по конструктивен начин. Тяхната цел следва да бъде повишаване на осведомеността относно значението на укрепването на процеса на европейска интеграция, основан на солидарност и общи ценности.</w:t>
      </w:r>
    </w:p>
    <w:p w14:paraId="0C7C4065" w14:textId="77777777" w:rsidR="008B1F42" w:rsidRPr="009F3D7B" w:rsidRDefault="008B1F42" w:rsidP="008B1F42">
      <w:pPr>
        <w:numPr>
          <w:ilvl w:val="0"/>
          <w:numId w:val="48"/>
        </w:numPr>
        <w:rPr>
          <w:rFonts w:eastAsia="Verdana" w:cs="Verdana"/>
        </w:rPr>
      </w:pPr>
      <w:r w:rsidRPr="009F3D7B">
        <w:rPr>
          <w:b/>
          <w:bCs/>
        </w:rPr>
        <w:t xml:space="preserve">Насърчаване на чувството за принадлежност към Европа чрез насърчаване на дебата за бъдещето на Европа </w:t>
      </w:r>
    </w:p>
    <w:p w14:paraId="1B7C766D" w14:textId="77777777" w:rsidR="008B1F42" w:rsidRPr="009F3D7B" w:rsidRDefault="008B1F42" w:rsidP="008B1F42">
      <w:pPr>
        <w:rPr>
          <w:rFonts w:eastAsia="Verdana" w:cs="Verdana"/>
        </w:rPr>
      </w:pPr>
      <w:r w:rsidRPr="009F3D7B">
        <w:lastRenderedPageBreak/>
        <w:t>Проектите за побратимяване на градове следва да дадат възможност на гражданите да посочат желания от тях вид на Европа. Дебатите, подкрепяни в рамките на инициативата „Побратимяване на градове“, следва да се основават на конкретните постижения на Европейския съюз и на поуките, извлечени от историята. При такива дебати следва също да се анализират настоящите тенденции и да се даде възможност на участниците да се противопоставят на евроскептицизма, като предложат възможни действия, които Европейският съюз би могъл да предприеме за насърчаване на чувството за принадлежност към Европа, за разбиране на ползите от Европейския съюз и за укрепване на социалното и политическото сближаване на ЕС. Побратимените общини се насърчават да отговорят на целите на Конференцията за бъдещето на Европа</w:t>
      </w:r>
      <w:r w:rsidRPr="009F3D7B">
        <w:rPr>
          <w:rStyle w:val="FootnoteReference"/>
          <w:rFonts w:eastAsia="Verdana" w:cs="Verdana"/>
        </w:rPr>
        <w:footnoteReference w:id="10"/>
      </w:r>
      <w:r w:rsidRPr="009F3D7B">
        <w:t>. Освен това в дебатите следва да се насърчава култура на демократичен обмен, при която мненията на всички участници се ценят еднакво, независимо от техния пол, възраст или етнически произход.</w:t>
      </w:r>
    </w:p>
    <w:p w14:paraId="10D7F696" w14:textId="77777777" w:rsidR="008B1F42" w:rsidRPr="009F3D7B" w:rsidRDefault="008B1F42" w:rsidP="008B1F42">
      <w:pPr>
        <w:numPr>
          <w:ilvl w:val="0"/>
          <w:numId w:val="48"/>
        </w:numPr>
        <w:rPr>
          <w:rFonts w:eastAsia="Verdana" w:cs="Verdana"/>
          <w:b/>
          <w:bCs/>
        </w:rPr>
      </w:pPr>
      <w:r w:rsidRPr="009F3D7B">
        <w:rPr>
          <w:b/>
          <w:bCs/>
        </w:rPr>
        <w:t>Преосмисляне на въздействието на пандемията от COVID-19 върху местните общности</w:t>
      </w:r>
    </w:p>
    <w:p w14:paraId="481B9ACE" w14:textId="77777777" w:rsidR="008B1F42" w:rsidRPr="009F3D7B" w:rsidRDefault="008B1F42" w:rsidP="008B1F42">
      <w:pPr>
        <w:rPr>
          <w:rFonts w:eastAsia="Verdana" w:cs="Verdana"/>
        </w:rPr>
      </w:pPr>
      <w:r w:rsidRPr="009F3D7B">
        <w:t>Пандемията от COVID-19 оказа влияние върху начина, по който функционират нашите демокрации, както и върху участието на гражданите. Необходимостта да се предотврати разпространението на заболяването доведе до налагането на строги ограничения на индивидуалната и колективната свобода. Препоръчително е в проектите за побратимяване на градовете да се обсъди въздействието на пандемията от COVID-19 върху живота в местните общности и функционирането им, както и върху формите на гражданско участие по време на кризата с COVID-19.</w:t>
      </w:r>
    </w:p>
    <w:p w14:paraId="36719A73" w14:textId="77777777" w:rsidR="008B1F42" w:rsidRPr="009F3D7B" w:rsidRDefault="008B1F42" w:rsidP="008B1F42">
      <w:pPr>
        <w:widowControl w:val="0"/>
        <w:outlineLvl w:val="1"/>
        <w:rPr>
          <w:i/>
          <w:color w:val="A50021"/>
          <w:u w:val="single"/>
        </w:rPr>
      </w:pPr>
      <w:r w:rsidRPr="009F3D7B">
        <w:rPr>
          <w:i/>
          <w:color w:val="A50021"/>
          <w:u w:val="single"/>
        </w:rPr>
        <w:t>Дейности, които могат да бъдат финансирани (обхват)</w:t>
      </w:r>
    </w:p>
    <w:p w14:paraId="3F3EFBB4" w14:textId="77777777" w:rsidR="008B1F42" w:rsidRPr="009F3D7B" w:rsidRDefault="008B1F42" w:rsidP="008B1F42">
      <w:pPr>
        <w:widowControl w:val="0"/>
        <w:outlineLvl w:val="1"/>
      </w:pPr>
      <w:r w:rsidRPr="009F3D7B">
        <w:t>Дейностите могат да включват, наред с другото:</w:t>
      </w:r>
    </w:p>
    <w:p w14:paraId="6E4AFEA1" w14:textId="2D94E985" w:rsidR="008B1F42" w:rsidRPr="009F3D7B" w:rsidRDefault="008B1F42" w:rsidP="008B1F42">
      <w:pPr>
        <w:pStyle w:val="Text3"/>
        <w:numPr>
          <w:ilvl w:val="0"/>
          <w:numId w:val="48"/>
        </w:numPr>
        <w:tabs>
          <w:tab w:val="left" w:pos="567"/>
        </w:tabs>
        <w:ind w:left="567" w:hanging="207"/>
      </w:pPr>
      <w:r w:rsidRPr="009F3D7B">
        <w:t>работни срещи, семинари, конференции, дейности за обучение, срещи на експерти, уебинари, дейности за повишаване на осведомеността, събиране на данни и консултации, разработване, обмен и разпространение на добри практики сред публичните органи и организациите на гражданското общество, разработване на инструменти за комуникация и използване на социалните медии.</w:t>
      </w:r>
    </w:p>
    <w:p w14:paraId="44CF613E" w14:textId="055AEA4F" w:rsidR="00BF5947" w:rsidRPr="009F3D7B" w:rsidRDefault="00BF5947" w:rsidP="00CC2315">
      <w:pPr>
        <w:widowControl w:val="0"/>
      </w:pPr>
      <w:r w:rsidRPr="009F3D7B">
        <w:t xml:space="preserve">При разработването на „форма́та“ на дейностите следва да се вземе предвид аспектът на равенството между половете, за да се гарантира, че той е достъпен за жените и мъжете при равни условия и че както жените, така и мъжете могат да участват в дейностите. </w:t>
      </w:r>
    </w:p>
    <w:p w14:paraId="4E176950" w14:textId="7F1D3AA0" w:rsidR="008B1F42" w:rsidRPr="009F3D7B" w:rsidRDefault="008B1F42" w:rsidP="008B1F42">
      <w:pPr>
        <w:widowControl w:val="0"/>
        <w:outlineLvl w:val="1"/>
        <w:rPr>
          <w:i/>
          <w:color w:val="A50021"/>
          <w:u w:val="single"/>
        </w:rPr>
      </w:pPr>
      <w:r w:rsidRPr="009F3D7B">
        <w:rPr>
          <w:i/>
          <w:color w:val="A50021"/>
          <w:u w:val="single"/>
        </w:rPr>
        <w:t>Очаквано въздействие</w:t>
      </w:r>
    </w:p>
    <w:p w14:paraId="73300198" w14:textId="7369E399" w:rsidR="008B1F42" w:rsidRPr="009F3D7B" w:rsidRDefault="008B1F42" w:rsidP="008B1F42">
      <w:pPr>
        <w:pStyle w:val="ListParagraph"/>
        <w:numPr>
          <w:ilvl w:val="0"/>
          <w:numId w:val="49"/>
        </w:numPr>
        <w:snapToGrid w:val="0"/>
        <w:rPr>
          <w:rFonts w:eastAsia="Verdana" w:cs="Verdana"/>
          <w:sz w:val="20"/>
          <w:szCs w:val="20"/>
        </w:rPr>
      </w:pPr>
      <w:r w:rsidRPr="009F3D7B">
        <w:rPr>
          <w:sz w:val="20"/>
          <w:szCs w:val="20"/>
        </w:rPr>
        <w:t>Повишаване и насърчаване на взаимното разбирателство и приятелството между широк кръг граждани на местно равнище;</w:t>
      </w:r>
    </w:p>
    <w:p w14:paraId="13BA14C4" w14:textId="77777777" w:rsidR="008B1F42" w:rsidRPr="009F3D7B" w:rsidRDefault="008B1F42" w:rsidP="008B1F42">
      <w:pPr>
        <w:pStyle w:val="ListParagraph"/>
        <w:numPr>
          <w:ilvl w:val="0"/>
          <w:numId w:val="49"/>
        </w:numPr>
        <w:snapToGrid w:val="0"/>
        <w:rPr>
          <w:rFonts w:eastAsia="Verdana" w:cs="Verdana"/>
          <w:sz w:val="20"/>
          <w:szCs w:val="20"/>
        </w:rPr>
      </w:pPr>
      <w:r w:rsidRPr="009F3D7B">
        <w:rPr>
          <w:sz w:val="20"/>
          <w:szCs w:val="20"/>
        </w:rPr>
        <w:t>Включване на широк кръг граждани от опита на местните общности и признаване на добавената стойност, която ЕС осигурява чрез подхода на местно равнище;</w:t>
      </w:r>
    </w:p>
    <w:p w14:paraId="64BB5015" w14:textId="77777777" w:rsidR="008B1F42" w:rsidRPr="009F3D7B" w:rsidRDefault="008B1F42" w:rsidP="009C148E">
      <w:pPr>
        <w:pStyle w:val="ListParagraph"/>
        <w:numPr>
          <w:ilvl w:val="0"/>
          <w:numId w:val="49"/>
        </w:numPr>
        <w:snapToGrid w:val="0"/>
        <w:spacing w:after="200"/>
        <w:rPr>
          <w:rFonts w:eastAsia="Verdana" w:cs="Verdana"/>
          <w:sz w:val="20"/>
          <w:szCs w:val="20"/>
        </w:rPr>
      </w:pPr>
      <w:r w:rsidRPr="009F3D7B">
        <w:rPr>
          <w:sz w:val="20"/>
          <w:szCs w:val="20"/>
        </w:rPr>
        <w:lastRenderedPageBreak/>
        <w:t>Насърчаване на по-голямо чувство за принадлежност към ЕС.</w:t>
      </w:r>
    </w:p>
    <w:p w14:paraId="3816CD76" w14:textId="7A8224D0" w:rsidR="008B1F42" w:rsidRPr="009F3D7B" w:rsidRDefault="00BF7239" w:rsidP="008B1F42">
      <w:pPr>
        <w:widowControl w:val="0"/>
        <w:outlineLvl w:val="1"/>
        <w:rPr>
          <w:b/>
          <w:bCs/>
          <w:color w:val="A50021"/>
        </w:rPr>
      </w:pPr>
      <w:r w:rsidRPr="009F3D7B">
        <w:rPr>
          <w:b/>
          <w:bCs/>
          <w:color w:val="A50021"/>
          <w:u w:val="single"/>
        </w:rPr>
        <w:t>CERV-2022-CITIZENS-TOWN-NT — Мрежи от градове</w:t>
      </w:r>
      <w:r w:rsidRPr="009F3D7B">
        <w:rPr>
          <w:b/>
          <w:bCs/>
          <w:color w:val="A50021"/>
        </w:rPr>
        <w:t xml:space="preserve"> </w:t>
      </w:r>
    </w:p>
    <w:p w14:paraId="5DD50407" w14:textId="77777777" w:rsidR="008B1F42" w:rsidRPr="009F3D7B" w:rsidRDefault="008B1F42" w:rsidP="008B1F42">
      <w:pPr>
        <w:pStyle w:val="Heading3"/>
      </w:pPr>
      <w:bookmarkStart w:id="6" w:name="_Toc92981823"/>
      <w:r w:rsidRPr="009F3D7B">
        <w:t>Цели</w:t>
      </w:r>
      <w:bookmarkEnd w:id="6"/>
      <w:r w:rsidRPr="009F3D7B">
        <w:t xml:space="preserve"> </w:t>
      </w:r>
    </w:p>
    <w:p w14:paraId="50086A6A" w14:textId="77777777" w:rsidR="008B1F42" w:rsidRPr="009F3D7B" w:rsidRDefault="008B1F42" w:rsidP="008B1F42">
      <w:pPr>
        <w:pStyle w:val="ListParagraph"/>
        <w:numPr>
          <w:ilvl w:val="0"/>
          <w:numId w:val="47"/>
        </w:numPr>
        <w:snapToGrid w:val="0"/>
        <w:spacing w:after="200"/>
        <w:jc w:val="both"/>
        <w:rPr>
          <w:rFonts w:eastAsia="Verdana" w:cs="Verdana"/>
          <w:sz w:val="20"/>
          <w:szCs w:val="20"/>
        </w:rPr>
      </w:pPr>
      <w:r w:rsidRPr="009F3D7B">
        <w:rPr>
          <w:sz w:val="20"/>
          <w:szCs w:val="20"/>
        </w:rPr>
        <w:t>Да се насърчава обменът между гражданите на различни държави;</w:t>
      </w:r>
    </w:p>
    <w:p w14:paraId="4930950B" w14:textId="58DB2063" w:rsidR="008B1F42" w:rsidRPr="009F3D7B" w:rsidRDefault="008B1F42" w:rsidP="008B1F42">
      <w:pPr>
        <w:pStyle w:val="ListParagraph"/>
        <w:numPr>
          <w:ilvl w:val="0"/>
          <w:numId w:val="47"/>
        </w:numPr>
        <w:snapToGrid w:val="0"/>
        <w:spacing w:after="200"/>
        <w:jc w:val="both"/>
        <w:rPr>
          <w:rFonts w:eastAsia="Verdana" w:cs="Verdana"/>
          <w:sz w:val="20"/>
          <w:szCs w:val="20"/>
        </w:rPr>
      </w:pPr>
      <w:r w:rsidRPr="009F3D7B">
        <w:rPr>
          <w:sz w:val="20"/>
          <w:szCs w:val="20"/>
        </w:rPr>
        <w:t>Да се даде възможност на гражданите да открият културното многообразие на Европейския съюз и да осъзнаят, че европейските ценности и културното наследство представляват основата за едно общо бъдеще;</w:t>
      </w:r>
    </w:p>
    <w:p w14:paraId="67D2B464" w14:textId="77777777" w:rsidR="008B1F42" w:rsidRPr="009F3D7B" w:rsidRDefault="008B1F42" w:rsidP="008B1F42">
      <w:pPr>
        <w:pStyle w:val="ListParagraph"/>
        <w:numPr>
          <w:ilvl w:val="0"/>
          <w:numId w:val="47"/>
        </w:numPr>
        <w:snapToGrid w:val="0"/>
        <w:spacing w:after="200"/>
        <w:jc w:val="both"/>
        <w:rPr>
          <w:rFonts w:eastAsia="Verdana" w:cs="Verdana"/>
          <w:sz w:val="20"/>
          <w:szCs w:val="20"/>
        </w:rPr>
      </w:pPr>
      <w:r w:rsidRPr="009F3D7B">
        <w:rPr>
          <w:sz w:val="20"/>
          <w:szCs w:val="20"/>
        </w:rPr>
        <w:t>Да се гарантират мирни отношения между европейците и да се осигури активното им участие на местно равнище;</w:t>
      </w:r>
    </w:p>
    <w:p w14:paraId="195F41AA" w14:textId="77777777" w:rsidR="008B1F42" w:rsidRPr="009F3D7B" w:rsidRDefault="008B1F42" w:rsidP="008B1F42">
      <w:pPr>
        <w:pStyle w:val="ListParagraph"/>
        <w:numPr>
          <w:ilvl w:val="0"/>
          <w:numId w:val="47"/>
        </w:numPr>
        <w:snapToGrid w:val="0"/>
        <w:spacing w:after="200"/>
        <w:jc w:val="both"/>
        <w:rPr>
          <w:rFonts w:eastAsia="Verdana" w:cs="Verdana"/>
          <w:sz w:val="20"/>
          <w:szCs w:val="20"/>
        </w:rPr>
      </w:pPr>
      <w:r w:rsidRPr="009F3D7B">
        <w:rPr>
          <w:sz w:val="20"/>
          <w:szCs w:val="20"/>
        </w:rPr>
        <w:t>Да бъде засилено взаимното разбирателство и приятелството между европейските граждани;</w:t>
      </w:r>
    </w:p>
    <w:p w14:paraId="7666C85B" w14:textId="77777777" w:rsidR="008B1F42" w:rsidRPr="009F3D7B" w:rsidRDefault="008B1F42" w:rsidP="008B1F42">
      <w:pPr>
        <w:pStyle w:val="ListParagraph"/>
        <w:numPr>
          <w:ilvl w:val="0"/>
          <w:numId w:val="47"/>
        </w:numPr>
        <w:snapToGrid w:val="0"/>
        <w:spacing w:after="200"/>
        <w:jc w:val="both"/>
        <w:rPr>
          <w:rFonts w:eastAsia="Verdana" w:cs="Verdana"/>
          <w:sz w:val="20"/>
          <w:szCs w:val="20"/>
        </w:rPr>
      </w:pPr>
      <w:r w:rsidRPr="009F3D7B">
        <w:rPr>
          <w:sz w:val="20"/>
          <w:szCs w:val="20"/>
        </w:rPr>
        <w:t>Да се насърчава сътрудничеството между общините и обменът на най-добри практики;</w:t>
      </w:r>
    </w:p>
    <w:p w14:paraId="602154B3" w14:textId="77777777" w:rsidR="008B1F42" w:rsidRPr="009F3D7B" w:rsidRDefault="008B1F42" w:rsidP="008B1F42">
      <w:pPr>
        <w:pStyle w:val="ListParagraph"/>
        <w:numPr>
          <w:ilvl w:val="0"/>
          <w:numId w:val="47"/>
        </w:numPr>
        <w:snapToGrid w:val="0"/>
        <w:spacing w:after="200"/>
        <w:jc w:val="both"/>
        <w:rPr>
          <w:rFonts w:eastAsia="Verdana" w:cs="Verdana"/>
          <w:sz w:val="20"/>
          <w:szCs w:val="20"/>
        </w:rPr>
      </w:pPr>
      <w:r w:rsidRPr="009F3D7B">
        <w:rPr>
          <w:sz w:val="20"/>
          <w:szCs w:val="20"/>
        </w:rPr>
        <w:t>Да се подкрепи доброто местно управление и да се засили ролята на местните и регионалните органи в процеса на европейска интеграция.</w:t>
      </w:r>
    </w:p>
    <w:p w14:paraId="79BB4ACA" w14:textId="77777777" w:rsidR="008B1F42" w:rsidRPr="009F3D7B" w:rsidRDefault="008B1F42" w:rsidP="008B1F42">
      <w:pPr>
        <w:rPr>
          <w:rFonts w:eastAsia="Verdana" w:cs="Verdana"/>
        </w:rPr>
      </w:pPr>
      <w:r w:rsidRPr="009F3D7B">
        <w:t>Очаква се в проектите за мрежи от градове да бъде обсъдено ново послание за Европа, ориентирано към гражданите, насърчаващо равенството, насочено към бъдещето и конструктивно, което да бъде по-ангажиращо, по-специално за по-младото поколение. Проектите могат да се основават на резултати от консултации с гражданите и да водят до дебати относно конкретни начини за създаване на по-демократичен Съюз, за да се даде възможност на гражданите да насочат вниманието си отново към ЕС и да развият по-силно чувство за ангажираност с европейския проект.</w:t>
      </w:r>
    </w:p>
    <w:p w14:paraId="21311993" w14:textId="77777777" w:rsidR="008B1F42" w:rsidRPr="009F3D7B" w:rsidRDefault="008B1F42" w:rsidP="008B1F42">
      <w:pPr>
        <w:rPr>
          <w:rFonts w:eastAsia="Verdana" w:cs="Verdana"/>
        </w:rPr>
      </w:pPr>
      <w:r w:rsidRPr="009F3D7B">
        <w:t>Мрежите от градове следва да предоставят на градовете и общините възможността да задълбочат и засилят своето сътрудничество и дебат в дългосрочна перспектива, да развият устойчиви мрежи и да очертаят дългосрочната си визия за бъдещето на европейската интеграция.</w:t>
      </w:r>
    </w:p>
    <w:p w14:paraId="73AEEF58" w14:textId="77777777" w:rsidR="008B1F42" w:rsidRPr="009F3D7B" w:rsidRDefault="008B1F42" w:rsidP="008B1F42">
      <w:pPr>
        <w:pStyle w:val="Heading3"/>
      </w:pPr>
      <w:bookmarkStart w:id="7" w:name="_Toc92981824"/>
      <w:r w:rsidRPr="009F3D7B">
        <w:t>Теми и приоритети (обхват)</w:t>
      </w:r>
      <w:bookmarkEnd w:id="7"/>
    </w:p>
    <w:p w14:paraId="19210619" w14:textId="5F6CD73A" w:rsidR="008B1F42" w:rsidRPr="009F3D7B" w:rsidRDefault="008B1F42" w:rsidP="008B1F42">
      <w:pPr>
        <w:pStyle w:val="Text3"/>
        <w:ind w:left="0"/>
        <w:rPr>
          <w:rFonts w:eastAsia="Verdana" w:cs="Verdana"/>
        </w:rPr>
      </w:pPr>
      <w:r w:rsidRPr="009F3D7B">
        <w:t>Като се запази подходът „от долу нагоре“, може да се обърне специално внимание на:</w:t>
      </w:r>
    </w:p>
    <w:p w14:paraId="0114D3C8" w14:textId="77777777" w:rsidR="00DF1A7E" w:rsidRPr="009F3D7B" w:rsidRDefault="00DF1A7E" w:rsidP="00DF1A7E">
      <w:pPr>
        <w:numPr>
          <w:ilvl w:val="0"/>
          <w:numId w:val="48"/>
        </w:numPr>
        <w:rPr>
          <w:rFonts w:eastAsia="Verdana" w:cs="Verdana"/>
        </w:rPr>
      </w:pPr>
      <w:r w:rsidRPr="009F3D7B">
        <w:rPr>
          <w:b/>
        </w:rPr>
        <w:t>Укрепване на европейското и демократичното измерение на процеса на вземане на решения в ЕС</w:t>
      </w:r>
    </w:p>
    <w:p w14:paraId="170D5575" w14:textId="591CBCC7" w:rsidR="00DF1A7E" w:rsidRPr="009F3D7B" w:rsidRDefault="00DF1A7E" w:rsidP="00DF1A7E">
      <w:r w:rsidRPr="009F3D7B">
        <w:t>Мрежите от градове се приканват да разработят проекти, които укрепват демократичното управление, като подкрепят активното участие на гражданите в европейския политически живот и упражняването на избирателните им права. Тези проекти ще спомогнат за противодействие на ниската избирателна активност, популизма, дезинформацията и предизвикателствата, пред които е изправено гражданското общество;</w:t>
      </w:r>
    </w:p>
    <w:p w14:paraId="75942D03" w14:textId="57AAA631" w:rsidR="00DF1A7E" w:rsidRPr="009F3D7B" w:rsidRDefault="00DF1A7E" w:rsidP="00DF1A7E">
      <w:pPr>
        <w:numPr>
          <w:ilvl w:val="0"/>
          <w:numId w:val="48"/>
        </w:numPr>
        <w:rPr>
          <w:rFonts w:eastAsia="Verdana" w:cs="Verdana"/>
          <w:b/>
        </w:rPr>
      </w:pPr>
      <w:r w:rsidRPr="009F3D7B">
        <w:rPr>
          <w:b/>
        </w:rPr>
        <w:t>Подкрепа за свободни и честни избори в Европа,</w:t>
      </w:r>
    </w:p>
    <w:p w14:paraId="508FCAAE" w14:textId="13093283" w:rsidR="00DF1A7E" w:rsidRPr="009F3D7B" w:rsidRDefault="00DF1A7E" w:rsidP="00DF1A7E">
      <w:pPr>
        <w:rPr>
          <w:rFonts w:eastAsia="Verdana" w:cs="Verdana"/>
        </w:rPr>
      </w:pPr>
      <w:r w:rsidRPr="009F3D7B">
        <w:t>С оглед на европейските избори през 2024 г. мрежите от градове се приканват да работят за запазването на демократичните институции на ЕС и за участието на гражданите в тях. Координацията в рамките на съответните мрежи и помежду им би могла да доведе по-специално до установяването на общи методи на работа, изграждането на капацитет за откриване и справяне със заплахи за изборите, разработването на модели за добри практики и насоки.</w:t>
      </w:r>
    </w:p>
    <w:p w14:paraId="609BDE0C" w14:textId="77777777" w:rsidR="00DF1A7E" w:rsidRPr="009F3D7B" w:rsidRDefault="00DF1A7E" w:rsidP="00DF1A7E">
      <w:pPr>
        <w:numPr>
          <w:ilvl w:val="0"/>
          <w:numId w:val="48"/>
        </w:numPr>
        <w:rPr>
          <w:rFonts w:eastAsia="Verdana" w:cs="Verdana"/>
        </w:rPr>
      </w:pPr>
      <w:r w:rsidRPr="009F3D7B">
        <w:rPr>
          <w:b/>
          <w:bCs/>
        </w:rPr>
        <w:t xml:space="preserve">Насърчаване на чувството за принадлежност към Европа чрез насърчаване на дебата за бъдещето на Европа </w:t>
      </w:r>
    </w:p>
    <w:p w14:paraId="56A249A6" w14:textId="404D5832" w:rsidR="00DF1A7E" w:rsidRPr="009F3D7B" w:rsidRDefault="00DF1A7E" w:rsidP="00DF1A7E">
      <w:pPr>
        <w:rPr>
          <w:rFonts w:eastAsia="Verdana" w:cs="Verdana"/>
        </w:rPr>
      </w:pPr>
      <w:r w:rsidRPr="009F3D7B">
        <w:lastRenderedPageBreak/>
        <w:t>Мрежите от градове биха могли да дават възможност на гражданите да посочат желания от тях вид на Европа. Дебатите следва да се основават на конкретни постижения на Европейския съюз и на поуките, извлечени от историята. При такива дебати може също да се предложат действия, които Европейският съюз би могъл да предприеме за насърчаване на чувството за принадлежност към Европа, за разбиране на ползите от Европейския съюз и за укрепване на социалното и политическото сближаване на ЕС. Мрежите от градове се насърчават да отговорят на целите на Конференцията за бъдещето на Европа.</w:t>
      </w:r>
    </w:p>
    <w:p w14:paraId="2AF05699" w14:textId="77777777" w:rsidR="00DF1A7E" w:rsidRPr="009F3D7B" w:rsidRDefault="00DF1A7E" w:rsidP="00DF1A7E">
      <w:pPr>
        <w:numPr>
          <w:ilvl w:val="0"/>
          <w:numId w:val="48"/>
        </w:numPr>
        <w:rPr>
          <w:rFonts w:eastAsia="Verdana" w:cs="Verdana"/>
          <w:b/>
          <w:bCs/>
        </w:rPr>
      </w:pPr>
      <w:r w:rsidRPr="009F3D7B">
        <w:rPr>
          <w:b/>
          <w:bCs/>
        </w:rPr>
        <w:t>Преосмисляне на въздействието на пандемията от COVID-19 върху местните общности</w:t>
      </w:r>
    </w:p>
    <w:p w14:paraId="4F1B2504" w14:textId="23705276" w:rsidR="00DF1A7E" w:rsidRPr="009F3D7B" w:rsidRDefault="00DF1A7E" w:rsidP="006F58BD">
      <w:pPr>
        <w:pStyle w:val="Text3"/>
        <w:ind w:left="0"/>
        <w:rPr>
          <w:rFonts w:eastAsia="Verdana" w:cs="Verdana"/>
        </w:rPr>
      </w:pPr>
      <w:r w:rsidRPr="009F3D7B">
        <w:t>Пандемията от COVID-19 оказа влияние върху начина, по който функционират нашите демокрации, както и върху участието на гражданите. Необходимостта да се предотврати разпространението на заболяването доведе до налагането на строги ограничения на индивидуалната и колективната свобода. Препоръчително е в мрежите от градове да се обсъди въздействието на пандемията от COVID-19 върху живота в местните общности и функционирането им, както и върху формите на гражданско участие по време на кризата с COVID-19.</w:t>
      </w:r>
    </w:p>
    <w:p w14:paraId="67B84D45" w14:textId="5CF8C7F0" w:rsidR="008B1F42" w:rsidRPr="009F3D7B" w:rsidRDefault="008B1F42" w:rsidP="008B1F42">
      <w:pPr>
        <w:pStyle w:val="Heading3"/>
      </w:pPr>
      <w:bookmarkStart w:id="8" w:name="_Toc92981825"/>
      <w:r w:rsidRPr="009F3D7B">
        <w:t>Дейности, които могат да бъдат финансирани (обхват)</w:t>
      </w:r>
      <w:bookmarkEnd w:id="8"/>
    </w:p>
    <w:p w14:paraId="24792C88" w14:textId="77777777" w:rsidR="008B1F42" w:rsidRPr="009F3D7B" w:rsidRDefault="008B1F42" w:rsidP="008B1F42">
      <w:pPr>
        <w:widowControl w:val="0"/>
        <w:outlineLvl w:val="1"/>
      </w:pPr>
      <w:r w:rsidRPr="009F3D7B">
        <w:t>Дейностите могат да включват, наред с другото:</w:t>
      </w:r>
    </w:p>
    <w:p w14:paraId="31F23C7A" w14:textId="77777777" w:rsidR="008B1F42" w:rsidRPr="009F3D7B" w:rsidRDefault="008B1F42" w:rsidP="008B1F42">
      <w:pPr>
        <w:pStyle w:val="Text3"/>
        <w:numPr>
          <w:ilvl w:val="0"/>
          <w:numId w:val="48"/>
        </w:numPr>
        <w:tabs>
          <w:tab w:val="left" w:pos="567"/>
        </w:tabs>
        <w:ind w:left="567" w:hanging="207"/>
      </w:pPr>
      <w:r w:rsidRPr="009F3D7B">
        <w:t>работни срещи, семинари, конференции, дейности за обучение, срещи на експерти, уебинари, дейности за повишаване на осведомеността, събиране на данни и консултации, разработване, обмен и разпространение на добри практики сред публичните органи и организациите на гражданското общество, разработване на инструменти за комуникация и използване на социалните медии.</w:t>
      </w:r>
    </w:p>
    <w:p w14:paraId="4FBCD5D4" w14:textId="58457A61" w:rsidR="00E83685" w:rsidRPr="009F3D7B" w:rsidRDefault="00E83685" w:rsidP="00E83685">
      <w:pPr>
        <w:widowControl w:val="0"/>
      </w:pPr>
      <w:r w:rsidRPr="009F3D7B">
        <w:t xml:space="preserve">При разработването на „форма́та“ на дейностите следва да се вземе предвид аспектът на равенството между половете, за да се гарантира, че той е достъпен за жените и мъжете при равни условия и че както жените, така и мъжете могат да участват в дейностите. </w:t>
      </w:r>
    </w:p>
    <w:p w14:paraId="60B4B3FC" w14:textId="77777777" w:rsidR="00BF5947" w:rsidRPr="009F3D7B" w:rsidRDefault="00BF5947" w:rsidP="00BF5947">
      <w:pPr>
        <w:widowControl w:val="0"/>
      </w:pPr>
      <w:r w:rsidRPr="009F3D7B">
        <w:t>Очаква се разработването и изпълнението на проектите да насърчават равенството между половете и недискриминацията. Например кандидатите биха могли да проведат и включат в своето предложение анализ на равенството между половете, в който да се очертае потенциалното различно въздействие на проекта и неговите дейности върху жените и мъжете, както и върху момичетата и момчетата в цялото им многообразие. По този начин могат да бъдат предотвратени нежелани отрицателни последици от интервенцията за единия от двата пола (принцип за ненанасяне на вреда).</w:t>
      </w:r>
      <w:r w:rsidRPr="009F3D7B">
        <w:rPr>
          <w:rStyle w:val="FootnoteReference"/>
        </w:rPr>
        <w:footnoteReference w:id="11"/>
      </w:r>
    </w:p>
    <w:p w14:paraId="363A4BA3" w14:textId="77777777" w:rsidR="008B1F42" w:rsidRPr="009F3D7B" w:rsidRDefault="008B1F42" w:rsidP="008B1F42">
      <w:pPr>
        <w:pStyle w:val="Heading3"/>
      </w:pPr>
      <w:bookmarkStart w:id="9" w:name="_Toc92981826"/>
      <w:r w:rsidRPr="009F3D7B">
        <w:t>Очаквано въздействие</w:t>
      </w:r>
      <w:bookmarkEnd w:id="9"/>
    </w:p>
    <w:p w14:paraId="757470EC" w14:textId="77777777" w:rsidR="008B1F42" w:rsidRPr="009F3D7B" w:rsidRDefault="008B1F42" w:rsidP="008B1F42">
      <w:pPr>
        <w:pStyle w:val="ListParagraph"/>
        <w:numPr>
          <w:ilvl w:val="0"/>
          <w:numId w:val="50"/>
        </w:numPr>
        <w:snapToGrid w:val="0"/>
        <w:rPr>
          <w:rFonts w:eastAsia="Verdana" w:cs="Verdana"/>
          <w:sz w:val="20"/>
          <w:szCs w:val="20"/>
        </w:rPr>
      </w:pPr>
      <w:r w:rsidRPr="009F3D7B">
        <w:rPr>
          <w:sz w:val="20"/>
          <w:szCs w:val="20"/>
        </w:rPr>
        <w:t xml:space="preserve">Да се даде възможност на градовете и общините да разработват по-мащабни проекти с цел увеличаване на въздействието и устойчивостта на техните проекти; </w:t>
      </w:r>
    </w:p>
    <w:p w14:paraId="0F1CFD3B" w14:textId="77777777" w:rsidR="008B1F42" w:rsidRPr="009F3D7B" w:rsidRDefault="008B1F42" w:rsidP="008B1F42">
      <w:pPr>
        <w:pStyle w:val="ListParagraph"/>
        <w:numPr>
          <w:ilvl w:val="0"/>
          <w:numId w:val="50"/>
        </w:numPr>
        <w:snapToGrid w:val="0"/>
        <w:rPr>
          <w:rFonts w:eastAsia="Verdana" w:cs="Verdana"/>
          <w:sz w:val="20"/>
          <w:szCs w:val="20"/>
        </w:rPr>
      </w:pPr>
      <w:r w:rsidRPr="009F3D7B">
        <w:rPr>
          <w:sz w:val="20"/>
          <w:szCs w:val="20"/>
        </w:rPr>
        <w:t xml:space="preserve">Да се даде възможност на бенефициерите да разработват повече тематични и свързани с политиката проекти; </w:t>
      </w:r>
    </w:p>
    <w:p w14:paraId="662B7EB2" w14:textId="77777777" w:rsidR="008B1F42" w:rsidRPr="009F3D7B" w:rsidRDefault="008B1F42" w:rsidP="008B1F42">
      <w:pPr>
        <w:pStyle w:val="ListParagraph"/>
        <w:numPr>
          <w:ilvl w:val="0"/>
          <w:numId w:val="50"/>
        </w:numPr>
        <w:snapToGrid w:val="0"/>
        <w:rPr>
          <w:rFonts w:eastAsia="Verdana" w:cs="Verdana"/>
          <w:sz w:val="20"/>
          <w:szCs w:val="20"/>
        </w:rPr>
      </w:pPr>
      <w:r w:rsidRPr="009F3D7B">
        <w:rPr>
          <w:sz w:val="20"/>
          <w:szCs w:val="20"/>
        </w:rPr>
        <w:t xml:space="preserve">Да се изградят трайни връзки с партньорски организации; </w:t>
      </w:r>
    </w:p>
    <w:p w14:paraId="2DA870B2" w14:textId="77777777" w:rsidR="008B1F42" w:rsidRPr="009F3D7B" w:rsidRDefault="008B1F42" w:rsidP="008B1F42">
      <w:pPr>
        <w:pStyle w:val="ListParagraph"/>
        <w:numPr>
          <w:ilvl w:val="0"/>
          <w:numId w:val="50"/>
        </w:numPr>
        <w:snapToGrid w:val="0"/>
        <w:rPr>
          <w:rFonts w:eastAsia="Verdana" w:cs="Verdana"/>
          <w:sz w:val="20"/>
          <w:szCs w:val="20"/>
        </w:rPr>
      </w:pPr>
      <w:r w:rsidRPr="009F3D7B">
        <w:rPr>
          <w:sz w:val="20"/>
          <w:szCs w:val="20"/>
        </w:rPr>
        <w:t xml:space="preserve">Да се повиши осведомеността относно ползите от многообразието и борбата с дискриминацията и расизма; </w:t>
      </w:r>
    </w:p>
    <w:p w14:paraId="31F82412" w14:textId="77777777" w:rsidR="008B1F42" w:rsidRPr="009F3D7B" w:rsidRDefault="008B1F42" w:rsidP="008B1F42">
      <w:pPr>
        <w:pStyle w:val="ListParagraph"/>
        <w:numPr>
          <w:ilvl w:val="0"/>
          <w:numId w:val="50"/>
        </w:numPr>
        <w:snapToGrid w:val="0"/>
        <w:rPr>
          <w:rFonts w:eastAsia="Verdana" w:cs="Verdana"/>
          <w:sz w:val="20"/>
          <w:szCs w:val="20"/>
        </w:rPr>
      </w:pPr>
      <w:r w:rsidRPr="009F3D7B">
        <w:rPr>
          <w:sz w:val="20"/>
          <w:szCs w:val="20"/>
        </w:rPr>
        <w:t xml:space="preserve">Да се повиши и насърчи взаимното разбирателство и приемане по отношение на европейските малцинства, например ромите; </w:t>
      </w:r>
    </w:p>
    <w:p w14:paraId="178CA45A" w14:textId="77777777" w:rsidR="008B1F42" w:rsidRPr="009F3D7B" w:rsidRDefault="008B1F42" w:rsidP="008B1F42">
      <w:pPr>
        <w:pStyle w:val="ListParagraph"/>
        <w:numPr>
          <w:ilvl w:val="0"/>
          <w:numId w:val="50"/>
        </w:numPr>
        <w:snapToGrid w:val="0"/>
        <w:rPr>
          <w:rFonts w:eastAsia="Verdana" w:cs="Verdana"/>
          <w:sz w:val="20"/>
          <w:szCs w:val="20"/>
        </w:rPr>
      </w:pPr>
      <w:r w:rsidRPr="009F3D7B">
        <w:rPr>
          <w:sz w:val="20"/>
          <w:szCs w:val="20"/>
        </w:rPr>
        <w:lastRenderedPageBreak/>
        <w:t xml:space="preserve">Да се повиши осведомеността относно Хартата на основните права на ЕС и нейното прилагане, както да се насърчава култура на основните права; </w:t>
      </w:r>
    </w:p>
    <w:p w14:paraId="0989D40F" w14:textId="77777777" w:rsidR="008B1F42" w:rsidRPr="009F3D7B" w:rsidRDefault="008B1F42" w:rsidP="008B1F42">
      <w:pPr>
        <w:pStyle w:val="ListParagraph"/>
        <w:numPr>
          <w:ilvl w:val="0"/>
          <w:numId w:val="50"/>
        </w:numPr>
        <w:snapToGrid w:val="0"/>
        <w:rPr>
          <w:rFonts w:eastAsia="Verdana" w:cs="Verdana"/>
          <w:sz w:val="20"/>
          <w:szCs w:val="20"/>
        </w:rPr>
      </w:pPr>
      <w:r w:rsidRPr="009F3D7B">
        <w:rPr>
          <w:sz w:val="20"/>
          <w:szCs w:val="20"/>
        </w:rPr>
        <w:t>Да се подобрява информацията относно правата, осигурени от гражданството на ЕС, както и тяхното прилагане в държавите членки;</w:t>
      </w:r>
    </w:p>
    <w:p w14:paraId="0799023E" w14:textId="0EEC0001" w:rsidR="008B1F42" w:rsidRPr="009F3D7B" w:rsidRDefault="008B1F42" w:rsidP="001E6C28">
      <w:pPr>
        <w:pStyle w:val="ListParagraph"/>
        <w:numPr>
          <w:ilvl w:val="0"/>
          <w:numId w:val="50"/>
        </w:numPr>
        <w:snapToGrid w:val="0"/>
        <w:rPr>
          <w:rFonts w:eastAsia="Verdana" w:cs="Verdana"/>
          <w:sz w:val="20"/>
          <w:szCs w:val="20"/>
        </w:rPr>
      </w:pPr>
      <w:r w:rsidRPr="009F3D7B">
        <w:rPr>
          <w:sz w:val="20"/>
          <w:szCs w:val="20"/>
        </w:rPr>
        <w:t>Да се повиши осведомеността и по-доброто предоставяне на информация на мобилните граждани на ЕС и на членовете на техните семейства относно техните права, произтичащи от гражданството на ЕС.</w:t>
      </w:r>
    </w:p>
    <w:p w14:paraId="0EC8E6E1" w14:textId="77777777" w:rsidR="001E6C28" w:rsidRPr="009F3D7B" w:rsidRDefault="001E6C28" w:rsidP="001E6C28">
      <w:pPr>
        <w:pStyle w:val="ListParagraph"/>
        <w:snapToGrid w:val="0"/>
        <w:rPr>
          <w:rFonts w:eastAsia="Verdana" w:cs="Verdana"/>
          <w:sz w:val="20"/>
          <w:szCs w:val="20"/>
          <w:lang w:val="ru-RU"/>
        </w:rPr>
      </w:pPr>
    </w:p>
    <w:p w14:paraId="0B640087" w14:textId="37226C81" w:rsidR="007926FA" w:rsidRPr="009F3D7B" w:rsidRDefault="007926FA" w:rsidP="00623078">
      <w:pPr>
        <w:pStyle w:val="Heading1"/>
        <w:numPr>
          <w:ilvl w:val="0"/>
          <w:numId w:val="54"/>
        </w:numPr>
        <w:tabs>
          <w:tab w:val="left" w:pos="284"/>
        </w:tabs>
        <w:ind w:left="0" w:firstLine="0"/>
      </w:pPr>
      <w:bookmarkStart w:id="10" w:name="_Toc92981827"/>
      <w:r w:rsidRPr="009F3D7B">
        <w:t>Наличен бюджет</w:t>
      </w:r>
      <w:bookmarkEnd w:id="10"/>
    </w:p>
    <w:p w14:paraId="0930E03A" w14:textId="36C575EE" w:rsidR="003D5D72" w:rsidRPr="009F3D7B" w:rsidRDefault="008246AA" w:rsidP="00F114D2">
      <w:r w:rsidRPr="009F3D7B">
        <w:t xml:space="preserve">Наличният бюджет за поканата за представяне на предложения е </w:t>
      </w:r>
      <w:r w:rsidRPr="009F3D7B">
        <w:rPr>
          <w:b/>
        </w:rPr>
        <w:t>11 000 000 EUR.</w:t>
      </w:r>
    </w:p>
    <w:p w14:paraId="0AD2884B" w14:textId="156487E9" w:rsidR="003D5D72" w:rsidRPr="009F3D7B" w:rsidRDefault="003D5D72" w:rsidP="003D5D72">
      <w:pPr>
        <w:spacing w:after="240"/>
      </w:pPr>
      <w:r w:rsidRPr="009F3D7B">
        <w:t>Конкретна информация относно бюджета за отделните теми е представена в таблицата по-долу.</w:t>
      </w:r>
    </w:p>
    <w:tbl>
      <w:tblPr>
        <w:tblW w:w="4032" w:type="dxa"/>
        <w:jc w:val="center"/>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2044"/>
        <w:gridCol w:w="1988"/>
      </w:tblGrid>
      <w:tr w:rsidR="00F96E2C" w:rsidRPr="009F3D7B" w14:paraId="2BC8F981" w14:textId="77777777" w:rsidTr="0062273B">
        <w:trPr>
          <w:trHeight w:val="416"/>
          <w:jc w:val="center"/>
        </w:trPr>
        <w:tc>
          <w:tcPr>
            <w:tcW w:w="2044" w:type="dxa"/>
            <w:tcBorders>
              <w:top w:val="single" w:sz="12" w:space="0" w:color="BFBFBF"/>
              <w:left w:val="single" w:sz="12" w:space="0" w:color="BFBFBF"/>
              <w:bottom w:val="single" w:sz="12" w:space="0" w:color="BFBFBF"/>
              <w:right w:val="single" w:sz="12" w:space="0" w:color="BFBFBF"/>
            </w:tcBorders>
            <w:shd w:val="clear" w:color="auto" w:fill="F2F2F2"/>
            <w:hideMark/>
          </w:tcPr>
          <w:p w14:paraId="68ADA62B" w14:textId="77777777" w:rsidR="00F96E2C" w:rsidRPr="009F3D7B" w:rsidRDefault="00F96E2C">
            <w:pPr>
              <w:spacing w:before="120" w:after="120"/>
              <w:jc w:val="left"/>
              <w:rPr>
                <w:rFonts w:cs="Arial"/>
                <w:b/>
                <w:color w:val="595959"/>
                <w:sz w:val="16"/>
                <w:szCs w:val="16"/>
                <w:highlight w:val="lightGray"/>
              </w:rPr>
            </w:pPr>
            <w:r w:rsidRPr="009F3D7B">
              <w:rPr>
                <w:b/>
                <w:color w:val="595959"/>
                <w:sz w:val="16"/>
                <w:szCs w:val="16"/>
                <w:highlight w:val="lightGray"/>
              </w:rPr>
              <w:t>Тема</w:t>
            </w:r>
          </w:p>
        </w:tc>
        <w:tc>
          <w:tcPr>
            <w:tcW w:w="1988" w:type="dxa"/>
            <w:tcBorders>
              <w:top w:val="single" w:sz="12" w:space="0" w:color="BFBFBF"/>
              <w:left w:val="single" w:sz="12" w:space="0" w:color="BFBFBF"/>
              <w:bottom w:val="single" w:sz="12" w:space="0" w:color="BFBFBF"/>
              <w:right w:val="single" w:sz="12" w:space="0" w:color="BFBFBF"/>
            </w:tcBorders>
            <w:shd w:val="clear" w:color="auto" w:fill="F2F2F2"/>
            <w:hideMark/>
          </w:tcPr>
          <w:p w14:paraId="68CC9EDA" w14:textId="77777777" w:rsidR="00F96E2C" w:rsidRPr="009F3D7B" w:rsidRDefault="00F96E2C">
            <w:pPr>
              <w:spacing w:before="120" w:after="120"/>
              <w:jc w:val="center"/>
              <w:rPr>
                <w:rFonts w:cs="Arial"/>
                <w:b/>
                <w:color w:val="595959"/>
                <w:sz w:val="16"/>
                <w:szCs w:val="16"/>
                <w:highlight w:val="lightGray"/>
              </w:rPr>
            </w:pPr>
            <w:r w:rsidRPr="009F3D7B">
              <w:rPr>
                <w:b/>
                <w:color w:val="595959"/>
                <w:sz w:val="16"/>
                <w:szCs w:val="16"/>
                <w:highlight w:val="lightGray"/>
              </w:rPr>
              <w:t>Бюджет за темата</w:t>
            </w:r>
          </w:p>
        </w:tc>
      </w:tr>
      <w:tr w:rsidR="00F96E2C" w:rsidRPr="009F3D7B" w14:paraId="76597913" w14:textId="77777777" w:rsidTr="0062273B">
        <w:trPr>
          <w:trHeight w:val="677"/>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5818A49A" w14:textId="5F8ACD0B" w:rsidR="00F96E2C" w:rsidRPr="009F3D7B" w:rsidRDefault="00732A4F" w:rsidP="00982C03">
            <w:pPr>
              <w:pStyle w:val="Default"/>
              <w:spacing w:before="120" w:after="120"/>
              <w:rPr>
                <w:rFonts w:ascii="Calibri" w:hAnsi="Calibri" w:cs="Calibri"/>
                <w:color w:val="595959"/>
                <w:sz w:val="18"/>
                <w:szCs w:val="18"/>
              </w:rPr>
            </w:pPr>
            <w:r w:rsidRPr="009F3D7B">
              <w:rPr>
                <w:rFonts w:ascii="Calibri" w:hAnsi="Calibri"/>
                <w:color w:val="595959"/>
                <w:sz w:val="18"/>
                <w:szCs w:val="18"/>
              </w:rPr>
              <w:t>1 — Побратимяване на градове</w:t>
            </w:r>
          </w:p>
        </w:tc>
        <w:tc>
          <w:tcPr>
            <w:tcW w:w="1988" w:type="dxa"/>
            <w:tcBorders>
              <w:top w:val="single" w:sz="12" w:space="0" w:color="BFBFBF"/>
              <w:left w:val="single" w:sz="12" w:space="0" w:color="BFBFBF"/>
              <w:bottom w:val="single" w:sz="12" w:space="0" w:color="BFBFBF"/>
              <w:right w:val="single" w:sz="12" w:space="0" w:color="BFBFBF"/>
            </w:tcBorders>
            <w:hideMark/>
          </w:tcPr>
          <w:p w14:paraId="446F8083" w14:textId="7AA8B48E" w:rsidR="00F96E2C" w:rsidRPr="009F3D7B" w:rsidRDefault="00F96E2C" w:rsidP="00BF7239">
            <w:pPr>
              <w:tabs>
                <w:tab w:val="left" w:pos="2160"/>
              </w:tabs>
              <w:spacing w:before="120" w:after="120"/>
              <w:jc w:val="center"/>
              <w:rPr>
                <w:b/>
                <w:color w:val="595959"/>
                <w:sz w:val="16"/>
              </w:rPr>
            </w:pPr>
            <w:r w:rsidRPr="009F3D7B">
              <w:rPr>
                <w:b/>
                <w:color w:val="595959"/>
                <w:sz w:val="16"/>
              </w:rPr>
              <w:t xml:space="preserve">4 500 000 EUR </w:t>
            </w:r>
          </w:p>
        </w:tc>
      </w:tr>
      <w:tr w:rsidR="00F96E2C" w:rsidRPr="009F3D7B" w14:paraId="6BFB59AD" w14:textId="77777777" w:rsidTr="0062273B">
        <w:trPr>
          <w:trHeight w:val="586"/>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6186D585" w14:textId="6DBBF70D" w:rsidR="00F96E2C" w:rsidRPr="009F3D7B" w:rsidRDefault="00732A4F" w:rsidP="00F86AB3">
            <w:pPr>
              <w:pStyle w:val="Default"/>
              <w:spacing w:before="120" w:after="120"/>
              <w:rPr>
                <w:rFonts w:ascii="Calibri" w:hAnsi="Calibri" w:cs="Calibri"/>
              </w:rPr>
            </w:pPr>
            <w:r w:rsidRPr="009F3D7B">
              <w:rPr>
                <w:rFonts w:ascii="Calibri" w:hAnsi="Calibri"/>
                <w:color w:val="595959"/>
                <w:sz w:val="18"/>
                <w:szCs w:val="18"/>
              </w:rPr>
              <w:t>2 — Мрежи от градове</w:t>
            </w:r>
          </w:p>
        </w:tc>
        <w:tc>
          <w:tcPr>
            <w:tcW w:w="1988" w:type="dxa"/>
            <w:tcBorders>
              <w:top w:val="single" w:sz="12" w:space="0" w:color="BFBFBF"/>
              <w:left w:val="single" w:sz="12" w:space="0" w:color="BFBFBF"/>
              <w:bottom w:val="single" w:sz="12" w:space="0" w:color="BFBFBF"/>
              <w:right w:val="single" w:sz="12" w:space="0" w:color="BFBFBF"/>
            </w:tcBorders>
            <w:hideMark/>
          </w:tcPr>
          <w:p w14:paraId="0CBA46D5" w14:textId="364B41A5" w:rsidR="00F96E2C" w:rsidRPr="009F3D7B" w:rsidRDefault="00F96E2C" w:rsidP="00BF7239">
            <w:pPr>
              <w:tabs>
                <w:tab w:val="left" w:pos="2160"/>
              </w:tabs>
              <w:spacing w:before="120" w:after="120"/>
              <w:jc w:val="center"/>
              <w:rPr>
                <w:b/>
                <w:color w:val="595959"/>
                <w:sz w:val="16"/>
              </w:rPr>
            </w:pPr>
            <w:r w:rsidRPr="009F3D7B">
              <w:rPr>
                <w:b/>
                <w:color w:val="595959"/>
                <w:sz w:val="16"/>
              </w:rPr>
              <w:t xml:space="preserve">6 500 000 EUR </w:t>
            </w:r>
          </w:p>
        </w:tc>
      </w:tr>
    </w:tbl>
    <w:p w14:paraId="24AC267A" w14:textId="77777777" w:rsidR="003D5D72" w:rsidRPr="009F3D7B" w:rsidRDefault="003D5D72" w:rsidP="000579AF">
      <w:pPr>
        <w:spacing w:after="0"/>
      </w:pPr>
    </w:p>
    <w:p w14:paraId="5155AA30" w14:textId="193C0ACA" w:rsidR="008246AA" w:rsidRPr="009F3D7B" w:rsidRDefault="005764E8" w:rsidP="000579AF">
      <w:pPr>
        <w:spacing w:after="0"/>
      </w:pPr>
      <w:r w:rsidRPr="009F3D7B">
        <w:t xml:space="preserve">Запазваме си правото да не предоставим всички налични средства или да ги преразпределим между темите по поканата за представяне на предложения, в зависимост от получените предложения и от резултатите от оценката. </w:t>
      </w:r>
    </w:p>
    <w:p w14:paraId="2F76B7EF" w14:textId="77777777" w:rsidR="00E17677" w:rsidRPr="009F3D7B" w:rsidRDefault="00E17677" w:rsidP="00623078">
      <w:pPr>
        <w:pStyle w:val="ListParagraph"/>
        <w:snapToGrid w:val="0"/>
        <w:rPr>
          <w:rFonts w:eastAsia="Verdana" w:cs="Verdana"/>
          <w:sz w:val="20"/>
          <w:szCs w:val="20"/>
          <w:lang w:val="ru-RU"/>
        </w:rPr>
      </w:pPr>
    </w:p>
    <w:p w14:paraId="443BB5FD" w14:textId="3369C3E2" w:rsidR="0081075D" w:rsidRPr="009F3D7B" w:rsidRDefault="0081075D" w:rsidP="00623078">
      <w:pPr>
        <w:pStyle w:val="Heading1"/>
        <w:numPr>
          <w:ilvl w:val="0"/>
          <w:numId w:val="54"/>
        </w:numPr>
        <w:tabs>
          <w:tab w:val="left" w:pos="284"/>
        </w:tabs>
        <w:ind w:left="0" w:firstLine="0"/>
      </w:pPr>
      <w:bookmarkStart w:id="11" w:name="_Toc92981828"/>
      <w:r w:rsidRPr="009F3D7B">
        <w:t>График и срокове</w:t>
      </w:r>
      <w:bookmarkEnd w:id="11"/>
      <w:r w:rsidRPr="009F3D7B">
        <w:t xml:space="preserve"> </w:t>
      </w:r>
    </w:p>
    <w:tbl>
      <w:tblPr>
        <w:tblW w:w="0" w:type="auto"/>
        <w:tblInd w:w="58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3631"/>
        <w:gridCol w:w="3402"/>
      </w:tblGrid>
      <w:tr w:rsidR="0081075D" w:rsidRPr="009F3D7B" w14:paraId="2551C42E" w14:textId="77777777" w:rsidTr="0081075D">
        <w:tc>
          <w:tcPr>
            <w:tcW w:w="7033" w:type="dxa"/>
            <w:gridSpan w:val="2"/>
            <w:shd w:val="clear" w:color="auto" w:fill="F2F2F2"/>
          </w:tcPr>
          <w:p w14:paraId="35F223BC" w14:textId="77777777" w:rsidR="0081075D" w:rsidRPr="009F3D7B" w:rsidRDefault="0081075D" w:rsidP="008138D1">
            <w:pPr>
              <w:spacing w:before="120" w:after="120"/>
              <w:jc w:val="left"/>
              <w:rPr>
                <w:rFonts w:cs="Arial"/>
                <w:b/>
                <w:color w:val="595959"/>
                <w:sz w:val="16"/>
                <w:szCs w:val="16"/>
              </w:rPr>
            </w:pPr>
            <w:r w:rsidRPr="009F3D7B">
              <w:rPr>
                <w:b/>
                <w:color w:val="595959"/>
                <w:sz w:val="16"/>
                <w:szCs w:val="16"/>
              </w:rPr>
              <w:t>График и срокове (индикативни)</w:t>
            </w:r>
          </w:p>
        </w:tc>
      </w:tr>
      <w:tr w:rsidR="00D51B6C" w:rsidRPr="009F3D7B" w14:paraId="2A67B858" w14:textId="77777777" w:rsidTr="0081075D">
        <w:tc>
          <w:tcPr>
            <w:tcW w:w="3631" w:type="dxa"/>
            <w:shd w:val="clear" w:color="auto" w:fill="F2F2F2"/>
          </w:tcPr>
          <w:p w14:paraId="4CDFED3B" w14:textId="77777777" w:rsidR="00D51B6C" w:rsidRPr="009F3D7B" w:rsidRDefault="00D51B6C" w:rsidP="00D51B6C">
            <w:pPr>
              <w:spacing w:before="120" w:after="120"/>
              <w:jc w:val="left"/>
              <w:rPr>
                <w:rFonts w:cs="Arial"/>
                <w:color w:val="595959"/>
                <w:sz w:val="16"/>
                <w:szCs w:val="16"/>
              </w:rPr>
            </w:pPr>
            <w:r w:rsidRPr="009F3D7B">
              <w:rPr>
                <w:color w:val="595959"/>
                <w:sz w:val="16"/>
                <w:szCs w:val="16"/>
              </w:rPr>
              <w:t>Откриване на процедурата по поканата за представяне на предложения:</w:t>
            </w:r>
          </w:p>
        </w:tc>
        <w:tc>
          <w:tcPr>
            <w:tcW w:w="3402" w:type="dxa"/>
            <w:shd w:val="clear" w:color="auto" w:fill="auto"/>
          </w:tcPr>
          <w:p w14:paraId="459CC614" w14:textId="1A965A82" w:rsidR="00D51B6C" w:rsidRPr="009F3D7B" w:rsidRDefault="00FB7748" w:rsidP="00D51B6C">
            <w:pPr>
              <w:spacing w:before="120" w:after="120"/>
              <w:jc w:val="center"/>
              <w:rPr>
                <w:rFonts w:cs="Arial"/>
                <w:color w:val="595959"/>
                <w:sz w:val="16"/>
                <w:szCs w:val="16"/>
              </w:rPr>
            </w:pPr>
            <w:r w:rsidRPr="009F3D7B">
              <w:rPr>
                <w:color w:val="595959"/>
                <w:sz w:val="16"/>
                <w:szCs w:val="16"/>
              </w:rPr>
              <w:t>16 ноември 2021 г.</w:t>
            </w:r>
          </w:p>
        </w:tc>
      </w:tr>
      <w:tr w:rsidR="00D51B6C" w:rsidRPr="009F3D7B" w14:paraId="13487F30" w14:textId="77777777" w:rsidTr="0081075D">
        <w:tc>
          <w:tcPr>
            <w:tcW w:w="3631" w:type="dxa"/>
            <w:shd w:val="clear" w:color="auto" w:fill="F2F2F2"/>
          </w:tcPr>
          <w:p w14:paraId="6817E1F5" w14:textId="77777777" w:rsidR="00D51B6C" w:rsidRPr="009F3D7B" w:rsidRDefault="00D51B6C" w:rsidP="00D51B6C">
            <w:pPr>
              <w:spacing w:before="120" w:after="120"/>
              <w:jc w:val="left"/>
              <w:rPr>
                <w:rFonts w:cs="Arial"/>
                <w:color w:val="595959"/>
                <w:sz w:val="16"/>
                <w:szCs w:val="16"/>
                <w:u w:val="single"/>
              </w:rPr>
            </w:pPr>
            <w:r w:rsidRPr="009F3D7B">
              <w:rPr>
                <w:color w:val="595959"/>
                <w:sz w:val="16"/>
                <w:szCs w:val="16"/>
                <w:u w:val="single"/>
              </w:rPr>
              <w:t>Краен срок за кандидатстване:</w:t>
            </w:r>
          </w:p>
        </w:tc>
        <w:tc>
          <w:tcPr>
            <w:tcW w:w="3402" w:type="dxa"/>
            <w:shd w:val="clear" w:color="auto" w:fill="auto"/>
          </w:tcPr>
          <w:p w14:paraId="7744539C" w14:textId="65D0B910" w:rsidR="00D51B6C" w:rsidRPr="009F3D7B" w:rsidRDefault="00FB7748" w:rsidP="00D51B6C">
            <w:pPr>
              <w:spacing w:before="120" w:after="120"/>
              <w:jc w:val="center"/>
              <w:rPr>
                <w:rFonts w:cs="Arial"/>
                <w:color w:val="595959"/>
                <w:sz w:val="16"/>
                <w:szCs w:val="16"/>
                <w:u w:val="single"/>
              </w:rPr>
            </w:pPr>
            <w:r w:rsidRPr="009F3D7B">
              <w:rPr>
                <w:color w:val="595959"/>
                <w:sz w:val="16"/>
                <w:szCs w:val="16"/>
                <w:u w:val="single"/>
              </w:rPr>
              <w:t>24 март 2022 г. — 17:00 ч. ЦЕВ (централноевропейско време) (Брюксел)</w:t>
            </w:r>
          </w:p>
        </w:tc>
      </w:tr>
      <w:tr w:rsidR="00D51B6C" w:rsidRPr="009F3D7B" w14:paraId="4E10F558" w14:textId="77777777" w:rsidTr="0081075D">
        <w:tc>
          <w:tcPr>
            <w:tcW w:w="3631" w:type="dxa"/>
            <w:shd w:val="clear" w:color="auto" w:fill="F2F2F2"/>
          </w:tcPr>
          <w:p w14:paraId="5F43FD1F" w14:textId="77777777" w:rsidR="00D51B6C" w:rsidRPr="009F3D7B" w:rsidRDefault="00D51B6C" w:rsidP="00D51B6C">
            <w:pPr>
              <w:spacing w:before="120" w:after="120"/>
              <w:jc w:val="left"/>
              <w:rPr>
                <w:rFonts w:cs="Arial"/>
                <w:color w:val="595959"/>
                <w:sz w:val="16"/>
                <w:szCs w:val="16"/>
              </w:rPr>
            </w:pPr>
            <w:r w:rsidRPr="009F3D7B">
              <w:rPr>
                <w:color w:val="595959"/>
                <w:sz w:val="16"/>
                <w:szCs w:val="16"/>
              </w:rPr>
              <w:t>Оценяване:</w:t>
            </w:r>
          </w:p>
        </w:tc>
        <w:tc>
          <w:tcPr>
            <w:tcW w:w="3402" w:type="dxa"/>
            <w:shd w:val="clear" w:color="auto" w:fill="auto"/>
          </w:tcPr>
          <w:p w14:paraId="4E52804D" w14:textId="53BEE602" w:rsidR="00D51B6C" w:rsidRPr="009F3D7B" w:rsidRDefault="006F58BD" w:rsidP="00D51B6C">
            <w:pPr>
              <w:spacing w:before="120" w:after="120"/>
              <w:jc w:val="center"/>
              <w:rPr>
                <w:rFonts w:cs="Arial"/>
                <w:color w:val="595959"/>
                <w:sz w:val="16"/>
                <w:szCs w:val="16"/>
              </w:rPr>
            </w:pPr>
            <w:r w:rsidRPr="009F3D7B">
              <w:rPr>
                <w:color w:val="595959"/>
                <w:sz w:val="16"/>
                <w:szCs w:val="16"/>
              </w:rPr>
              <w:t>март—юни 2022 г.</w:t>
            </w:r>
          </w:p>
        </w:tc>
      </w:tr>
      <w:tr w:rsidR="00D51B6C" w:rsidRPr="009F3D7B" w14:paraId="16AD7E30" w14:textId="77777777" w:rsidTr="0081075D">
        <w:tc>
          <w:tcPr>
            <w:tcW w:w="3631" w:type="dxa"/>
            <w:shd w:val="clear" w:color="auto" w:fill="F2F2F2"/>
          </w:tcPr>
          <w:p w14:paraId="7BA115F8" w14:textId="77777777" w:rsidR="00D51B6C" w:rsidRPr="009F3D7B" w:rsidRDefault="00D51B6C" w:rsidP="00D51B6C">
            <w:pPr>
              <w:spacing w:before="120" w:after="120"/>
              <w:jc w:val="left"/>
              <w:rPr>
                <w:rFonts w:cs="Arial"/>
                <w:color w:val="595959"/>
                <w:sz w:val="16"/>
                <w:szCs w:val="16"/>
              </w:rPr>
            </w:pPr>
            <w:r w:rsidRPr="009F3D7B">
              <w:rPr>
                <w:color w:val="595959"/>
                <w:sz w:val="16"/>
                <w:szCs w:val="16"/>
              </w:rPr>
              <w:t>Информация относно резултатите от оценката:</w:t>
            </w:r>
          </w:p>
        </w:tc>
        <w:tc>
          <w:tcPr>
            <w:tcW w:w="3402" w:type="dxa"/>
            <w:shd w:val="clear" w:color="auto" w:fill="auto"/>
          </w:tcPr>
          <w:p w14:paraId="6DD4C599" w14:textId="302F0E77" w:rsidR="00D51B6C" w:rsidRPr="009F3D7B" w:rsidRDefault="00FB7748" w:rsidP="00D51B6C">
            <w:pPr>
              <w:spacing w:before="120" w:after="120"/>
              <w:jc w:val="center"/>
              <w:rPr>
                <w:rFonts w:cs="Arial"/>
                <w:color w:val="595959"/>
                <w:sz w:val="16"/>
                <w:szCs w:val="16"/>
              </w:rPr>
            </w:pPr>
            <w:r w:rsidRPr="009F3D7B">
              <w:rPr>
                <w:color w:val="595959"/>
                <w:sz w:val="16"/>
                <w:szCs w:val="16"/>
              </w:rPr>
              <w:t>юни—юли 2022 г.</w:t>
            </w:r>
          </w:p>
        </w:tc>
      </w:tr>
      <w:tr w:rsidR="00D51B6C" w:rsidRPr="009F3D7B" w14:paraId="122CA5CC" w14:textId="77777777" w:rsidTr="0081075D">
        <w:tc>
          <w:tcPr>
            <w:tcW w:w="3631" w:type="dxa"/>
            <w:shd w:val="clear" w:color="auto" w:fill="F2F2F2"/>
          </w:tcPr>
          <w:p w14:paraId="18CEB7CE" w14:textId="77777777" w:rsidR="00D51B6C" w:rsidRPr="009F3D7B" w:rsidRDefault="00D51B6C" w:rsidP="00D51B6C">
            <w:pPr>
              <w:spacing w:before="120" w:after="120"/>
              <w:jc w:val="left"/>
              <w:rPr>
                <w:rFonts w:cs="Arial"/>
                <w:color w:val="595959"/>
                <w:sz w:val="16"/>
                <w:szCs w:val="16"/>
              </w:rPr>
            </w:pPr>
            <w:r w:rsidRPr="009F3D7B">
              <w:rPr>
                <w:color w:val="595959"/>
                <w:sz w:val="16"/>
                <w:szCs w:val="16"/>
              </w:rPr>
              <w:t>Подписване на споразумението за предоставяне на безвъзмездни средства:</w:t>
            </w:r>
          </w:p>
        </w:tc>
        <w:tc>
          <w:tcPr>
            <w:tcW w:w="3402" w:type="dxa"/>
            <w:shd w:val="clear" w:color="auto" w:fill="auto"/>
          </w:tcPr>
          <w:p w14:paraId="4D6E0E6F" w14:textId="06911F90" w:rsidR="00D51B6C" w:rsidRPr="009F3D7B" w:rsidRDefault="0086598B" w:rsidP="00D51B6C">
            <w:pPr>
              <w:spacing w:before="120" w:after="120"/>
              <w:jc w:val="center"/>
              <w:rPr>
                <w:rFonts w:cs="Arial"/>
                <w:color w:val="595959"/>
                <w:sz w:val="16"/>
                <w:szCs w:val="16"/>
              </w:rPr>
            </w:pPr>
            <w:r w:rsidRPr="009F3D7B">
              <w:rPr>
                <w:color w:val="595959"/>
                <w:sz w:val="16"/>
                <w:szCs w:val="16"/>
              </w:rPr>
              <w:t>август—ноември 2022 г.</w:t>
            </w:r>
          </w:p>
        </w:tc>
      </w:tr>
    </w:tbl>
    <w:p w14:paraId="55E1450C" w14:textId="77777777" w:rsidR="00C50DC1" w:rsidRPr="009F3D7B" w:rsidRDefault="00C50DC1" w:rsidP="00A2572D">
      <w:pPr>
        <w:widowControl w:val="0"/>
        <w:jc w:val="left"/>
        <w:rPr>
          <w:color w:val="595959"/>
          <w:highlight w:val="yellow"/>
        </w:rPr>
      </w:pPr>
    </w:p>
    <w:p w14:paraId="0915A488" w14:textId="055C12B6" w:rsidR="00B57534" w:rsidRPr="009F3D7B" w:rsidRDefault="00276AD7" w:rsidP="000579AF">
      <w:pPr>
        <w:pStyle w:val="Heading1"/>
        <w:numPr>
          <w:ilvl w:val="0"/>
          <w:numId w:val="54"/>
        </w:numPr>
        <w:tabs>
          <w:tab w:val="left" w:pos="284"/>
        </w:tabs>
        <w:ind w:left="0" w:firstLine="0"/>
      </w:pPr>
      <w:bookmarkStart w:id="12" w:name="_Toc92981829"/>
      <w:r w:rsidRPr="009F3D7B">
        <w:t>Допустимост и документи</w:t>
      </w:r>
      <w:bookmarkEnd w:id="12"/>
    </w:p>
    <w:p w14:paraId="1E55A5E3" w14:textId="4F37B5A9" w:rsidR="00C41E84" w:rsidRPr="009F3D7B" w:rsidRDefault="000A7529" w:rsidP="00C41E84">
      <w:pPr>
        <w:pStyle w:val="Text1"/>
        <w:tabs>
          <w:tab w:val="clear" w:pos="2160"/>
        </w:tabs>
        <w:ind w:left="0"/>
        <w:rPr>
          <w:rFonts w:cs="Arial"/>
          <w:iCs/>
        </w:rPr>
      </w:pPr>
      <w:r w:rsidRPr="009F3D7B">
        <w:t xml:space="preserve">Предложенията трябва да бъдат подадени преди </w:t>
      </w:r>
      <w:r w:rsidRPr="009F3D7B">
        <w:rPr>
          <w:b/>
          <w:iCs/>
        </w:rPr>
        <w:t>крайния срок на поканата за представяне на предложения</w:t>
      </w:r>
      <w:r w:rsidRPr="009F3D7B">
        <w:t xml:space="preserve"> </w:t>
      </w:r>
      <w:r w:rsidRPr="009F3D7B">
        <w:rPr>
          <w:i/>
          <w:iCs/>
        </w:rPr>
        <w:t>(за графика вж. раздел 4)</w:t>
      </w:r>
      <w:r w:rsidRPr="009F3D7B">
        <w:t>.</w:t>
      </w:r>
    </w:p>
    <w:p w14:paraId="56C9BCF2" w14:textId="3A4B3650" w:rsidR="00C41E84" w:rsidRPr="009F3D7B" w:rsidRDefault="000A7529" w:rsidP="00C41E84">
      <w:pPr>
        <w:rPr>
          <w:rFonts w:cs="Arial"/>
        </w:rPr>
      </w:pPr>
      <w:r w:rsidRPr="009F3D7B">
        <w:t xml:space="preserve">Предложенията трябва да бъдат подавани </w:t>
      </w:r>
      <w:r w:rsidRPr="009F3D7B">
        <w:rPr>
          <w:b/>
          <w:iCs/>
        </w:rPr>
        <w:t>по електронен път</w:t>
      </w:r>
      <w:r w:rsidRPr="009F3D7B">
        <w:t xml:space="preserve"> чрез системата за кандидатстване по електронен път на портала за финансиране и обществени поръчки (достъпна на тематичната страница на уебсайта в раздел </w:t>
      </w:r>
      <w:hyperlink r:id="rId28" w:history="1">
        <w:r w:rsidRPr="009F3D7B">
          <w:rPr>
            <w:rStyle w:val="Hyperlink"/>
          </w:rPr>
          <w:t>Търсене на финансиране и обществени поръчки</w:t>
        </w:r>
      </w:hyperlink>
      <w:r w:rsidRPr="009F3D7B">
        <w:t>). НЕ е възможно подаване на предложения на хартиен носител.</w:t>
      </w:r>
    </w:p>
    <w:p w14:paraId="146274B2" w14:textId="31716E89" w:rsidR="004A47F3" w:rsidRPr="009F3D7B" w:rsidRDefault="000A7529" w:rsidP="004A47F3">
      <w:pPr>
        <w:pStyle w:val="Text1"/>
        <w:tabs>
          <w:tab w:val="clear" w:pos="2160"/>
        </w:tabs>
        <w:ind w:left="0"/>
        <w:rPr>
          <w:rFonts w:cs="Arial"/>
          <w:iCs/>
        </w:rPr>
      </w:pPr>
      <w:r w:rsidRPr="009F3D7B">
        <w:lastRenderedPageBreak/>
        <w:t xml:space="preserve">Предложенията (вкл. приложенията и придружаващите документи) трябва да бъдат подадени, като се използват формулярите, предоставени </w:t>
      </w:r>
      <w:r w:rsidRPr="009F3D7B">
        <w:rPr>
          <w:i/>
          <w:iCs/>
        </w:rPr>
        <w:t>в самата</w:t>
      </w:r>
      <w:r w:rsidRPr="009F3D7B">
        <w:t xml:space="preserve"> система за кандидатстване (</w:t>
      </w:r>
      <w:r w:rsidRPr="009F3D7B">
        <w:rPr>
          <w:noProof/>
          <w:lang w:val="en-IE" w:eastAsia="en-IE"/>
        </w:rPr>
        <w:drawing>
          <wp:inline distT="0" distB="0" distL="0" distR="0" wp14:anchorId="53E97A52" wp14:editId="1DC5343B">
            <wp:extent cx="187960" cy="187960"/>
            <wp:effectExtent l="0" t="0" r="0" b="0"/>
            <wp:docPr id="4" name="Picture 1418683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868368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9F3D7B">
        <w:t xml:space="preserve"> НЕ документите, достъпни на тематичната страница на уебсайта — те са само с информативна цел).</w:t>
      </w:r>
    </w:p>
    <w:p w14:paraId="2EA1C106" w14:textId="77777777" w:rsidR="00615B82" w:rsidRPr="009F3D7B" w:rsidRDefault="00615B82" w:rsidP="00615B82">
      <w:pPr>
        <w:pStyle w:val="Body"/>
      </w:pPr>
      <w:r w:rsidRPr="009F3D7B">
        <w:t xml:space="preserve">Предложенията трябва да бъдат </w:t>
      </w:r>
      <w:r w:rsidRPr="009F3D7B">
        <w:rPr>
          <w:b/>
        </w:rPr>
        <w:t>пълни</w:t>
      </w:r>
      <w:r w:rsidRPr="009F3D7B">
        <w:t xml:space="preserve"> и да съдържат цялата изисквана информация и всички изисквани приложения и придружаващите документи: </w:t>
      </w:r>
    </w:p>
    <w:p w14:paraId="0E76C2A6" w14:textId="77777777" w:rsidR="00615B82" w:rsidRPr="009F3D7B" w:rsidRDefault="00615B82" w:rsidP="008B1F42">
      <w:pPr>
        <w:pStyle w:val="ListParagraph"/>
        <w:numPr>
          <w:ilvl w:val="0"/>
          <w:numId w:val="42"/>
        </w:numPr>
        <w:autoSpaceDE w:val="0"/>
        <w:autoSpaceDN w:val="0"/>
        <w:adjustRightInd w:val="0"/>
        <w:spacing w:after="200"/>
        <w:contextualSpacing w:val="0"/>
        <w:jc w:val="both"/>
        <w:rPr>
          <w:rFonts w:eastAsia="SimSun"/>
          <w:sz w:val="20"/>
          <w:szCs w:val="20"/>
        </w:rPr>
      </w:pPr>
      <w:r w:rsidRPr="009F3D7B">
        <w:rPr>
          <w:sz w:val="20"/>
          <w:szCs w:val="20"/>
        </w:rPr>
        <w:t xml:space="preserve">Формуляр за кандидатстване, част А — съдържа административна информация относно участниците (бъдещ координатор, бенефициери и свързани с тях субекти) и обобщен бюджет за проекта </w:t>
      </w:r>
      <w:r w:rsidRPr="009F3D7B">
        <w:rPr>
          <w:i/>
          <w:sz w:val="20"/>
          <w:szCs w:val="20"/>
        </w:rPr>
        <w:t>(попълва се директно онлайн)</w:t>
      </w:r>
    </w:p>
    <w:p w14:paraId="1DD9CE56" w14:textId="32209A5E" w:rsidR="00F255C8" w:rsidRPr="009F3D7B" w:rsidRDefault="00F255C8" w:rsidP="008B1F42">
      <w:pPr>
        <w:pStyle w:val="ListParagraph"/>
        <w:numPr>
          <w:ilvl w:val="0"/>
          <w:numId w:val="42"/>
        </w:numPr>
        <w:autoSpaceDE w:val="0"/>
        <w:autoSpaceDN w:val="0"/>
        <w:adjustRightInd w:val="0"/>
        <w:spacing w:after="200"/>
        <w:contextualSpacing w:val="0"/>
        <w:jc w:val="both"/>
        <w:rPr>
          <w:rFonts w:eastAsia="SimSun"/>
          <w:sz w:val="20"/>
          <w:szCs w:val="20"/>
        </w:rPr>
      </w:pPr>
      <w:r w:rsidRPr="009F3D7B">
        <w:rPr>
          <w:sz w:val="20"/>
          <w:szCs w:val="20"/>
        </w:rPr>
        <w:t xml:space="preserve">Формуляр за кандидатстване, част Б — съдържа техническото описание на проекта </w:t>
      </w:r>
      <w:r w:rsidRPr="009F3D7B">
        <w:rPr>
          <w:i/>
          <w:sz w:val="20"/>
          <w:szCs w:val="20"/>
        </w:rPr>
        <w:t>(изтегля се от системата за кандидатстване на портала, попълва се, сглобява се и след това се качва отново в системата)</w:t>
      </w:r>
    </w:p>
    <w:p w14:paraId="513E2D49" w14:textId="29EB43E2" w:rsidR="00615B82" w:rsidRPr="009F3D7B" w:rsidRDefault="00615B82" w:rsidP="008B1F42">
      <w:pPr>
        <w:pStyle w:val="ListParagraph"/>
        <w:numPr>
          <w:ilvl w:val="0"/>
          <w:numId w:val="42"/>
        </w:numPr>
        <w:autoSpaceDE w:val="0"/>
        <w:autoSpaceDN w:val="0"/>
        <w:adjustRightInd w:val="0"/>
        <w:snapToGrid w:val="0"/>
        <w:spacing w:after="200"/>
        <w:ind w:left="714" w:hanging="357"/>
        <w:contextualSpacing w:val="0"/>
        <w:jc w:val="both"/>
        <w:rPr>
          <w:rFonts w:eastAsia="SimSun"/>
          <w:sz w:val="20"/>
          <w:szCs w:val="20"/>
        </w:rPr>
      </w:pPr>
      <w:r w:rsidRPr="009F3D7B">
        <w:rPr>
          <w:sz w:val="20"/>
          <w:szCs w:val="20"/>
        </w:rPr>
        <w:t xml:space="preserve">Част В </w:t>
      </w:r>
      <w:r w:rsidRPr="009F3D7B">
        <w:rPr>
          <w:i/>
          <w:sz w:val="20"/>
          <w:szCs w:val="20"/>
        </w:rPr>
        <w:t>(попълва се директно онлайн)</w:t>
      </w:r>
      <w:r w:rsidRPr="009F3D7B">
        <w:rPr>
          <w:sz w:val="20"/>
          <w:szCs w:val="20"/>
        </w:rPr>
        <w:t xml:space="preserve"> — съдържа допълнителни данни за проекта, включително задължителни показатели</w:t>
      </w:r>
    </w:p>
    <w:p w14:paraId="595C2D66" w14:textId="17D26FBA" w:rsidR="00615B82" w:rsidRPr="009F3D7B" w:rsidRDefault="00615B82" w:rsidP="008B1F42">
      <w:pPr>
        <w:pStyle w:val="ListParagraph"/>
        <w:numPr>
          <w:ilvl w:val="0"/>
          <w:numId w:val="42"/>
        </w:numPr>
        <w:autoSpaceDE w:val="0"/>
        <w:autoSpaceDN w:val="0"/>
        <w:adjustRightInd w:val="0"/>
        <w:snapToGrid w:val="0"/>
        <w:spacing w:after="200"/>
        <w:contextualSpacing w:val="0"/>
        <w:jc w:val="both"/>
        <w:rPr>
          <w:sz w:val="20"/>
          <w:szCs w:val="20"/>
        </w:rPr>
      </w:pPr>
      <w:r w:rsidRPr="009F3D7B">
        <w:rPr>
          <w:b/>
          <w:sz w:val="20"/>
          <w:szCs w:val="20"/>
        </w:rPr>
        <w:t xml:space="preserve">задължителни приложения и придружаващи документи </w:t>
      </w:r>
      <w:r w:rsidRPr="009F3D7B">
        <w:rPr>
          <w:i/>
          <w:sz w:val="20"/>
          <w:szCs w:val="20"/>
        </w:rPr>
        <w:t>(прилагат се)</w:t>
      </w:r>
      <w:r w:rsidRPr="009F3D7B">
        <w:rPr>
          <w:sz w:val="20"/>
          <w:szCs w:val="20"/>
        </w:rPr>
        <w:t>:</w:t>
      </w:r>
    </w:p>
    <w:p w14:paraId="6BC6A974" w14:textId="24D51A6E" w:rsidR="00615B82" w:rsidRPr="009F3D7B" w:rsidRDefault="005E363C" w:rsidP="008B1F42">
      <w:pPr>
        <w:pStyle w:val="Default"/>
        <w:numPr>
          <w:ilvl w:val="1"/>
          <w:numId w:val="42"/>
        </w:numPr>
        <w:spacing w:after="120"/>
        <w:jc w:val="both"/>
        <w:rPr>
          <w:rFonts w:ascii="Verdana" w:hAnsi="Verdana" w:cs="Arial"/>
          <w:i/>
          <w:color w:val="auto"/>
          <w:sz w:val="20"/>
          <w:szCs w:val="20"/>
        </w:rPr>
      </w:pPr>
      <w:r w:rsidRPr="009F3D7B">
        <w:rPr>
          <w:rFonts w:ascii="Verdana" w:hAnsi="Verdana"/>
          <w:sz w:val="20"/>
          <w:szCs w:val="20"/>
        </w:rPr>
        <w:t xml:space="preserve">подробна бюджетна таблица: </w:t>
      </w:r>
      <w:r w:rsidRPr="009F3D7B">
        <w:rPr>
          <w:rFonts w:ascii="Verdana" w:hAnsi="Verdana"/>
          <w:i/>
          <w:sz w:val="20"/>
          <w:szCs w:val="20"/>
        </w:rPr>
        <w:t>не е приложимо</w:t>
      </w:r>
    </w:p>
    <w:p w14:paraId="0BB50662" w14:textId="4785DDDB" w:rsidR="00615B82" w:rsidRPr="009F3D7B" w:rsidRDefault="00615B82" w:rsidP="008B1F42">
      <w:pPr>
        <w:pStyle w:val="Default"/>
        <w:numPr>
          <w:ilvl w:val="1"/>
          <w:numId w:val="42"/>
        </w:numPr>
        <w:spacing w:after="120"/>
        <w:jc w:val="both"/>
        <w:rPr>
          <w:rFonts w:ascii="Verdana" w:hAnsi="Verdana" w:cs="Arial"/>
          <w:color w:val="auto"/>
          <w:sz w:val="20"/>
          <w:szCs w:val="20"/>
        </w:rPr>
      </w:pPr>
      <w:r w:rsidRPr="009F3D7B">
        <w:rPr>
          <w:rFonts w:ascii="Verdana" w:hAnsi="Verdana"/>
          <w:color w:val="auto"/>
          <w:sz w:val="20"/>
          <w:szCs w:val="20"/>
        </w:rPr>
        <w:t xml:space="preserve">автобиографии на основния екип по проекта: </w:t>
      </w:r>
      <w:r w:rsidRPr="009F3D7B">
        <w:rPr>
          <w:rFonts w:ascii="Verdana" w:hAnsi="Verdana"/>
          <w:i/>
          <w:color w:val="auto"/>
          <w:sz w:val="20"/>
          <w:szCs w:val="20"/>
        </w:rPr>
        <w:t>не е приложимо</w:t>
      </w:r>
    </w:p>
    <w:p w14:paraId="0DB52E74" w14:textId="77777777" w:rsidR="0062273B" w:rsidRPr="009F3D7B" w:rsidRDefault="009F0186" w:rsidP="000579AF">
      <w:pPr>
        <w:pStyle w:val="Default"/>
        <w:numPr>
          <w:ilvl w:val="1"/>
          <w:numId w:val="42"/>
        </w:numPr>
        <w:spacing w:after="120"/>
        <w:jc w:val="both"/>
        <w:rPr>
          <w:rFonts w:ascii="Verdana" w:hAnsi="Verdana" w:cs="Arial"/>
          <w:color w:val="auto"/>
          <w:sz w:val="20"/>
          <w:szCs w:val="20"/>
        </w:rPr>
      </w:pPr>
      <w:r w:rsidRPr="009F3D7B">
        <w:rPr>
          <w:rFonts w:ascii="Verdana" w:hAnsi="Verdana"/>
          <w:color w:val="auto"/>
          <w:sz w:val="20"/>
          <w:szCs w:val="20"/>
        </w:rPr>
        <w:t xml:space="preserve">доклади за дейността за последната година: </w:t>
      </w:r>
      <w:r w:rsidRPr="009F3D7B">
        <w:rPr>
          <w:rFonts w:ascii="Verdana" w:hAnsi="Verdana"/>
          <w:i/>
          <w:color w:val="auto"/>
          <w:sz w:val="20"/>
          <w:szCs w:val="20"/>
        </w:rPr>
        <w:t>не е приложимо</w:t>
      </w:r>
    </w:p>
    <w:p w14:paraId="14276D93" w14:textId="5EFB3A3D" w:rsidR="0046713C" w:rsidRPr="009F3D7B" w:rsidRDefault="0046713C" w:rsidP="000579AF">
      <w:pPr>
        <w:pStyle w:val="Default"/>
        <w:numPr>
          <w:ilvl w:val="1"/>
          <w:numId w:val="42"/>
        </w:numPr>
        <w:spacing w:after="120"/>
        <w:jc w:val="both"/>
        <w:rPr>
          <w:rFonts w:ascii="Verdana" w:hAnsi="Verdana" w:cs="Arial"/>
          <w:color w:val="auto"/>
          <w:sz w:val="20"/>
          <w:szCs w:val="20"/>
        </w:rPr>
      </w:pPr>
      <w:r w:rsidRPr="009F3D7B">
        <w:rPr>
          <w:rFonts w:ascii="Verdana" w:hAnsi="Verdana"/>
          <w:color w:val="auto"/>
          <w:sz w:val="20"/>
          <w:szCs w:val="20"/>
        </w:rPr>
        <w:t>списък на предишни проекти (основните проекти през последните 4 години) (</w:t>
      </w:r>
      <w:r w:rsidRPr="009F3D7B">
        <w:rPr>
          <w:rFonts w:ascii="Verdana" w:hAnsi="Verdana"/>
          <w:i/>
          <w:color w:val="auto"/>
          <w:sz w:val="20"/>
          <w:szCs w:val="20"/>
        </w:rPr>
        <w:t>образецът е на разположение в част Б)</w:t>
      </w:r>
    </w:p>
    <w:p w14:paraId="38848BCB" w14:textId="726F5E6C" w:rsidR="00BF64FB" w:rsidRPr="009F3D7B" w:rsidRDefault="00BF64FB" w:rsidP="008B1F42">
      <w:pPr>
        <w:pStyle w:val="ListParagraph"/>
        <w:numPr>
          <w:ilvl w:val="1"/>
          <w:numId w:val="42"/>
        </w:numPr>
        <w:spacing w:after="200"/>
        <w:jc w:val="both"/>
        <w:rPr>
          <w:sz w:val="20"/>
          <w:szCs w:val="20"/>
        </w:rPr>
      </w:pPr>
      <w:r w:rsidRPr="009F3D7B">
        <w:rPr>
          <w:sz w:val="20"/>
          <w:szCs w:val="20"/>
        </w:rPr>
        <w:t xml:space="preserve">участниците в дейности, в които участват деца, трябва да имат политика за закрила на детето, която да обхваща четирите области, описани в </w:t>
      </w:r>
      <w:hyperlink r:id="rId30" w:history="1">
        <w:r w:rsidRPr="009F3D7B">
          <w:rPr>
            <w:rStyle w:val="Hyperlink"/>
            <w:sz w:val="20"/>
            <w:szCs w:val="20"/>
          </w:rPr>
          <w:t>Стандартите за закрила на детето на организацията Keeping Children Safe</w:t>
        </w:r>
      </w:hyperlink>
    </w:p>
    <w:p w14:paraId="296D7873" w14:textId="6CB2F708" w:rsidR="00C51A9B" w:rsidRPr="009F3D7B" w:rsidRDefault="00C51A9B" w:rsidP="008B1F42">
      <w:pPr>
        <w:pStyle w:val="Default"/>
        <w:numPr>
          <w:ilvl w:val="1"/>
          <w:numId w:val="42"/>
        </w:numPr>
        <w:spacing w:after="200"/>
        <w:rPr>
          <w:rFonts w:ascii="Verdana" w:hAnsi="Verdana" w:cs="Arial"/>
          <w:color w:val="auto"/>
          <w:sz w:val="20"/>
          <w:szCs w:val="20"/>
        </w:rPr>
      </w:pPr>
      <w:r w:rsidRPr="009F3D7B">
        <w:rPr>
          <w:rFonts w:ascii="Verdana" w:hAnsi="Verdana"/>
          <w:color w:val="auto"/>
          <w:sz w:val="20"/>
          <w:szCs w:val="20"/>
        </w:rPr>
        <w:t>калкулатор на еднократни суми</w:t>
      </w:r>
    </w:p>
    <w:p w14:paraId="45541BAB" w14:textId="711029D4" w:rsidR="00615B82" w:rsidRPr="009F3D7B" w:rsidRDefault="00683BCF" w:rsidP="00683BCF">
      <w:pPr>
        <w:pStyle w:val="Default"/>
        <w:numPr>
          <w:ilvl w:val="1"/>
          <w:numId w:val="51"/>
        </w:numPr>
        <w:spacing w:after="200"/>
        <w:jc w:val="both"/>
        <w:rPr>
          <w:rFonts w:ascii="Verdana" w:eastAsia="Calibri" w:hAnsi="Verdana" w:cs="Calibri"/>
          <w:color w:val="auto"/>
          <w:sz w:val="20"/>
          <w:szCs w:val="20"/>
        </w:rPr>
      </w:pPr>
      <w:r w:rsidRPr="009F3D7B">
        <w:rPr>
          <w:rFonts w:ascii="Verdana" w:hAnsi="Verdana"/>
          <w:color w:val="auto"/>
          <w:sz w:val="20"/>
          <w:szCs w:val="20"/>
        </w:rPr>
        <w:t>писмо за подкрепа, подписано от общината (приложимо за кандидатите и партньорите в категория „Организация с нестопанска цел, представляваща местен орган“).</w:t>
      </w:r>
    </w:p>
    <w:p w14:paraId="2F01E376" w14:textId="2EF943E2" w:rsidR="00510B7E" w:rsidRPr="009F3D7B" w:rsidRDefault="00510B7E" w:rsidP="00831954">
      <w:pPr>
        <w:spacing w:after="120"/>
        <w:rPr>
          <w:rFonts w:cs="Arial"/>
        </w:rPr>
      </w:pPr>
      <w:r w:rsidRPr="009F3D7B">
        <w:t xml:space="preserve">При подаване на предложение трябва да потвърдите, че </w:t>
      </w:r>
      <w:r w:rsidRPr="009F3D7B">
        <w:rPr>
          <w:b/>
        </w:rPr>
        <w:t xml:space="preserve">имате правомощията за действие </w:t>
      </w:r>
      <w:r w:rsidRPr="009F3D7B">
        <w:t>от името на всички кандидати. Освен това трябва да потвърдите, че информацията в предложението е вярна и пълна, както и че участниците отговарят на условията за получаване на финансиране от ЕС (по-специално по отношение на допустимостта, финансовия и оперативния капацитет, изключването и т.н.). Преди подписване на споразумение за предоставяне на безвъзмездни средства, всеки бенефициер и свързан с него субект ще потвърди това отново, като подпише клетвена декларация (КД). Предложенията, за които не е налице пълна подкрепа, ще бъдат отхвърлени.</w:t>
      </w:r>
    </w:p>
    <w:p w14:paraId="767FE960" w14:textId="3E689F5D" w:rsidR="00C41E84" w:rsidRPr="009F3D7B" w:rsidRDefault="00D37706" w:rsidP="00C41E84">
      <w:pPr>
        <w:pStyle w:val="Text1"/>
        <w:tabs>
          <w:tab w:val="clear" w:pos="2160"/>
        </w:tabs>
        <w:ind w:left="0"/>
        <w:rPr>
          <w:rFonts w:cs="Arial"/>
          <w:iCs/>
        </w:rPr>
      </w:pPr>
      <w:r w:rsidRPr="009F3D7B">
        <w:t xml:space="preserve">Предложението трябва да бъде </w:t>
      </w:r>
      <w:r w:rsidRPr="009F3D7B">
        <w:rPr>
          <w:b/>
          <w:iCs/>
        </w:rPr>
        <w:t>четливо, лесно достъпно и подходящо за отпечатване</w:t>
      </w:r>
      <w:r w:rsidRPr="009F3D7B">
        <w:t>.</w:t>
      </w:r>
    </w:p>
    <w:p w14:paraId="7BB5113A" w14:textId="29ADC151" w:rsidR="00D37706" w:rsidRPr="009F3D7B" w:rsidRDefault="00D37706" w:rsidP="42BB08A3">
      <w:pPr>
        <w:pStyle w:val="Text1"/>
        <w:tabs>
          <w:tab w:val="clear" w:pos="2160"/>
        </w:tabs>
        <w:ind w:left="0"/>
        <w:rPr>
          <w:rFonts w:cs="Arial"/>
        </w:rPr>
      </w:pPr>
      <w:r w:rsidRPr="009F3D7B">
        <w:t xml:space="preserve">Предложенията са ограничени до максимум </w:t>
      </w:r>
      <w:r w:rsidRPr="009F3D7B">
        <w:rPr>
          <w:b/>
        </w:rPr>
        <w:t>40 страници за тема „Побратимяване на градове“</w:t>
      </w:r>
      <w:r w:rsidRPr="009F3D7B">
        <w:t xml:space="preserve"> (част Б) </w:t>
      </w:r>
      <w:r w:rsidRPr="009F3D7B">
        <w:rPr>
          <w:b/>
        </w:rPr>
        <w:t>и 70 страници за тема „Мрежи от градове“</w:t>
      </w:r>
      <w:r w:rsidRPr="009F3D7B">
        <w:t xml:space="preserve"> (част Б). Оценителите няма да разглеждат допълнителните страници, надвишаващи този обем.</w:t>
      </w:r>
    </w:p>
    <w:p w14:paraId="709B3081" w14:textId="77777777" w:rsidR="00510B7E" w:rsidRPr="009F3D7B" w:rsidRDefault="00510B7E" w:rsidP="00510B7E">
      <w:r w:rsidRPr="009F3D7B">
        <w:lastRenderedPageBreak/>
        <w:t xml:space="preserve">На по-късен етап може да ви бъдат поискани допълнителни документи </w:t>
      </w:r>
      <w:r w:rsidRPr="009F3D7B">
        <w:rPr>
          <w:i/>
        </w:rPr>
        <w:t>(за валидиране на юридическото лице, проверка на финансовия капацитет, валидиране на банковата сметка и т.н.)</w:t>
      </w:r>
      <w:r w:rsidRPr="009F3D7B">
        <w:t>.</w:t>
      </w:r>
    </w:p>
    <w:p w14:paraId="0CF762E6" w14:textId="358645DA" w:rsidR="00510B7E" w:rsidRPr="009F3D7B" w:rsidRDefault="005A3754" w:rsidP="00510B7E">
      <w:pPr>
        <w:rPr>
          <w:szCs w:val="21"/>
        </w:rPr>
      </w:pPr>
      <w:r w:rsidRPr="009F3D7B">
        <w:rPr>
          <w:noProof/>
          <w:lang w:val="en-IE" w:eastAsia="en-IE"/>
        </w:rPr>
        <w:drawing>
          <wp:inline distT="0" distB="0" distL="0" distR="0" wp14:anchorId="3F067661" wp14:editId="12A41E51">
            <wp:extent cx="187960" cy="187960"/>
            <wp:effectExtent l="0" t="0" r="0" b="0"/>
            <wp:docPr id="5" name="Picture 787288596"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7288596" name="Picture 787288596"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9F3D7B">
        <w:t xml:space="preserve"> За повече информация относно процеса на подаване на предложенията (вкл. относно аспектите, свързани с ИТ), направете справка с </w:t>
      </w:r>
      <w:hyperlink r:id="rId32">
        <w:r w:rsidRPr="009F3D7B">
          <w:rPr>
            <w:rStyle w:val="Hyperlink"/>
          </w:rPr>
          <w:t>онлайн наръчника</w:t>
        </w:r>
      </w:hyperlink>
      <w:r w:rsidRPr="009F3D7B">
        <w:rPr>
          <w:rStyle w:val="Hyperlink"/>
          <w:color w:val="auto"/>
          <w:u w:val="none"/>
        </w:rPr>
        <w:t>.</w:t>
      </w:r>
    </w:p>
    <w:p w14:paraId="0B8E5F40" w14:textId="0D29000C" w:rsidR="00B612F2" w:rsidRPr="009F3D7B" w:rsidRDefault="00B612F2" w:rsidP="000579AF">
      <w:pPr>
        <w:pStyle w:val="Heading1"/>
        <w:numPr>
          <w:ilvl w:val="0"/>
          <w:numId w:val="54"/>
        </w:numPr>
        <w:tabs>
          <w:tab w:val="left" w:pos="284"/>
        </w:tabs>
        <w:ind w:left="0" w:firstLine="0"/>
      </w:pPr>
      <w:bookmarkStart w:id="13" w:name="_Toc92981830"/>
      <w:r w:rsidRPr="009F3D7B">
        <w:t>Допустимост</w:t>
      </w:r>
      <w:bookmarkEnd w:id="13"/>
      <w:r w:rsidRPr="009F3D7B">
        <w:t xml:space="preserve"> </w:t>
      </w:r>
    </w:p>
    <w:p w14:paraId="4EF2E3B8" w14:textId="77777777" w:rsidR="00B57534" w:rsidRPr="009F3D7B" w:rsidRDefault="00736C6F" w:rsidP="00FC6FD4">
      <w:pPr>
        <w:pStyle w:val="Heading3"/>
      </w:pPr>
      <w:bookmarkStart w:id="14" w:name="_Toc92981831"/>
      <w:r w:rsidRPr="009F3D7B">
        <w:t>Допустими участници (допустими държави)</w:t>
      </w:r>
      <w:bookmarkEnd w:id="14"/>
    </w:p>
    <w:p w14:paraId="5716E987" w14:textId="39C30B39" w:rsidR="00D11251" w:rsidRPr="009F3D7B" w:rsidRDefault="00D11251" w:rsidP="00D11251">
      <w:pPr>
        <w:pStyle w:val="Text1"/>
        <w:tabs>
          <w:tab w:val="clear" w:pos="2160"/>
        </w:tabs>
        <w:spacing w:after="120"/>
        <w:ind w:left="0"/>
        <w:rPr>
          <w:rFonts w:cs="Arial"/>
        </w:rPr>
      </w:pPr>
      <w:r w:rsidRPr="009F3D7B">
        <w:t>За да бъдат допустими, кандидатите (бенефициерите и свързаните с тях субекти) трябва:</w:t>
      </w:r>
    </w:p>
    <w:p w14:paraId="2509B829" w14:textId="78B5B051" w:rsidR="00D11251" w:rsidRPr="009F3D7B" w:rsidRDefault="00D9492C" w:rsidP="008B1F42">
      <w:pPr>
        <w:widowControl w:val="0"/>
        <w:numPr>
          <w:ilvl w:val="0"/>
          <w:numId w:val="36"/>
        </w:numPr>
        <w:spacing w:after="120"/>
        <w:ind w:left="709"/>
        <w:rPr>
          <w:rFonts w:cs="Arial"/>
        </w:rPr>
      </w:pPr>
      <w:r w:rsidRPr="009F3D7B">
        <w:t xml:space="preserve">да бъдат юридически лица (публични или частни организации) </w:t>
      </w:r>
    </w:p>
    <w:p w14:paraId="49FDD5D5" w14:textId="77777777" w:rsidR="00D11251" w:rsidRPr="009F3D7B" w:rsidRDefault="00D11251" w:rsidP="008B1F42">
      <w:pPr>
        <w:widowControl w:val="0"/>
        <w:numPr>
          <w:ilvl w:val="0"/>
          <w:numId w:val="36"/>
        </w:numPr>
        <w:spacing w:after="120"/>
        <w:ind w:left="709"/>
        <w:jc w:val="left"/>
        <w:rPr>
          <w:rFonts w:cs="Arial"/>
        </w:rPr>
      </w:pPr>
      <w:r w:rsidRPr="009F3D7B">
        <w:t xml:space="preserve">да са установени в една от допустимите държави, т.е.: </w:t>
      </w:r>
    </w:p>
    <w:p w14:paraId="0BDBB030" w14:textId="1328DBCC" w:rsidR="00D11251" w:rsidRPr="009F3D7B" w:rsidRDefault="00D11251" w:rsidP="008B1F42">
      <w:pPr>
        <w:widowControl w:val="0"/>
        <w:numPr>
          <w:ilvl w:val="0"/>
          <w:numId w:val="37"/>
        </w:numPr>
        <w:spacing w:after="120"/>
        <w:ind w:left="1276"/>
        <w:jc w:val="left"/>
        <w:rPr>
          <w:rFonts w:cs="Arial"/>
        </w:rPr>
      </w:pPr>
      <w:r w:rsidRPr="009F3D7B">
        <w:t>държавите — членки на ЕС (вкл. отвъдморски държави и територии (ОДТ))</w:t>
      </w:r>
    </w:p>
    <w:p w14:paraId="346FD509" w14:textId="0BF8D141" w:rsidR="00D11251" w:rsidRPr="009F3D7B" w:rsidRDefault="00D11251" w:rsidP="008B1F42">
      <w:pPr>
        <w:widowControl w:val="0"/>
        <w:numPr>
          <w:ilvl w:val="0"/>
          <w:numId w:val="37"/>
        </w:numPr>
        <w:spacing w:after="120"/>
        <w:ind w:left="1276"/>
        <w:jc w:val="left"/>
        <w:rPr>
          <w:rFonts w:cs="Arial"/>
        </w:rPr>
      </w:pPr>
      <w:r w:rsidRPr="009F3D7B">
        <w:t>държави извън ЕС:</w:t>
      </w:r>
    </w:p>
    <w:p w14:paraId="414C90BD" w14:textId="7B329655" w:rsidR="004F0F5C" w:rsidRPr="009F3D7B" w:rsidRDefault="004F0F5C" w:rsidP="008B1F42">
      <w:pPr>
        <w:pStyle w:val="Text1"/>
        <w:numPr>
          <w:ilvl w:val="0"/>
          <w:numId w:val="38"/>
        </w:numPr>
        <w:tabs>
          <w:tab w:val="clear" w:pos="2160"/>
        </w:tabs>
        <w:spacing w:after="120"/>
        <w:ind w:left="1701"/>
        <w:rPr>
          <w:rFonts w:cs="Arial"/>
        </w:rPr>
      </w:pPr>
      <w:r w:rsidRPr="009F3D7B">
        <w:t>държави, асоциирани към програмата CERV или държави, които водят преговори за споразумение за асоцииране и в които споразумението влиза в сила преди сключването на споразумението за отпускане на безвъзмездни средства (</w:t>
      </w:r>
      <w:hyperlink r:id="rId33" w:history="1">
        <w:r w:rsidRPr="009F3D7B">
          <w:rPr>
            <w:rStyle w:val="Hyperlink"/>
          </w:rPr>
          <w:t>списък на държавите участнички</w:t>
        </w:r>
      </w:hyperlink>
      <w:r w:rsidRPr="009F3D7B">
        <w:t>)</w:t>
      </w:r>
    </w:p>
    <w:p w14:paraId="511297B8" w14:textId="3133FE23" w:rsidR="006F58BD" w:rsidRPr="009F3D7B" w:rsidRDefault="00D11251" w:rsidP="008B1F42">
      <w:pPr>
        <w:widowControl w:val="0"/>
        <w:numPr>
          <w:ilvl w:val="0"/>
          <w:numId w:val="36"/>
        </w:numPr>
        <w:spacing w:after="120"/>
        <w:ind w:left="709" w:right="227" w:hanging="357"/>
        <w:jc w:val="left"/>
        <w:rPr>
          <w:rFonts w:cs="Arial"/>
        </w:rPr>
      </w:pPr>
      <w:r w:rsidRPr="009F3D7B">
        <w:t>други условия за допустимост:</w:t>
      </w:r>
    </w:p>
    <w:p w14:paraId="3403588B" w14:textId="671BC073" w:rsidR="00E85E35" w:rsidRPr="009F3D7B" w:rsidRDefault="00E85E35" w:rsidP="0062273B">
      <w:pPr>
        <w:widowControl w:val="0"/>
        <w:ind w:firstLine="720"/>
        <w:rPr>
          <w:b/>
          <w:bCs/>
        </w:rPr>
      </w:pPr>
      <w:r w:rsidRPr="009F3D7B">
        <w:rPr>
          <w:b/>
          <w:color w:val="A50021"/>
        </w:rPr>
        <w:t>CERV-2022-CITIZENS-TOWN-TT — Побратимяване на градове:</w:t>
      </w:r>
      <w:r w:rsidRPr="009F3D7B">
        <w:rPr>
          <w:b/>
          <w:bCs/>
        </w:rPr>
        <w:t xml:space="preserve"> </w:t>
      </w:r>
    </w:p>
    <w:p w14:paraId="33CEAF57" w14:textId="6E0BD8D2" w:rsidR="007303E9" w:rsidRPr="009F3D7B" w:rsidRDefault="000159B8" w:rsidP="00B41972">
      <w:pPr>
        <w:widowControl w:val="0"/>
        <w:numPr>
          <w:ilvl w:val="1"/>
          <w:numId w:val="36"/>
        </w:numPr>
        <w:spacing w:after="120"/>
        <w:ind w:left="1418" w:hanging="416"/>
        <w:jc w:val="left"/>
        <w:rPr>
          <w:rFonts w:cs="Arial"/>
        </w:rPr>
      </w:pPr>
      <w:r w:rsidRPr="009F3D7B">
        <w:t>за кандидата: да бъде публичен орган или организация с нестопанска цел: градове/общини и/или други равнища на местни органи или техни комитети за побратимяване, или други организации с нестопанска цел, представляващи местни органи.</w:t>
      </w:r>
    </w:p>
    <w:p w14:paraId="6386E76B" w14:textId="10829B1A" w:rsidR="000159B8" w:rsidRPr="009F3D7B" w:rsidRDefault="000159B8" w:rsidP="00E85E35">
      <w:pPr>
        <w:widowControl w:val="0"/>
        <w:numPr>
          <w:ilvl w:val="1"/>
          <w:numId w:val="36"/>
        </w:numPr>
        <w:spacing w:after="120"/>
        <w:ind w:left="1418" w:hanging="416"/>
        <w:jc w:val="left"/>
        <w:rPr>
          <w:rFonts w:cs="Arial"/>
        </w:rPr>
      </w:pPr>
      <w:r w:rsidRPr="009F3D7B">
        <w:t>проектът трябва да включва общини от най-малко две допустими държави, от които поне една е държава — членка на ЕС.</w:t>
      </w:r>
    </w:p>
    <w:p w14:paraId="69F32FFD" w14:textId="5AE10145" w:rsidR="000159B8" w:rsidRPr="009F3D7B" w:rsidRDefault="000159B8" w:rsidP="000159B8">
      <w:pPr>
        <w:widowControl w:val="0"/>
        <w:numPr>
          <w:ilvl w:val="1"/>
          <w:numId w:val="36"/>
        </w:numPr>
        <w:spacing w:after="120"/>
        <w:ind w:left="1418" w:hanging="416"/>
        <w:jc w:val="left"/>
        <w:rPr>
          <w:rFonts w:eastAsia="Verdana" w:cs="Verdana"/>
        </w:rPr>
      </w:pPr>
      <w:r w:rsidRPr="009F3D7B">
        <w:t>дейностите трябва да се провеждат в допустима държава, участваща в проекта.</w:t>
      </w:r>
    </w:p>
    <w:p w14:paraId="611776F1" w14:textId="5F534056" w:rsidR="00942BB9" w:rsidRPr="009F3D7B" w:rsidRDefault="00942BB9" w:rsidP="000159B8">
      <w:pPr>
        <w:widowControl w:val="0"/>
        <w:numPr>
          <w:ilvl w:val="1"/>
          <w:numId w:val="36"/>
        </w:numPr>
        <w:spacing w:after="120"/>
        <w:ind w:left="1418" w:hanging="416"/>
        <w:jc w:val="left"/>
        <w:rPr>
          <w:rFonts w:eastAsia="Verdana" w:cs="Verdana"/>
        </w:rPr>
      </w:pPr>
      <w:r w:rsidRPr="009F3D7B">
        <w:t>мероприятията трябва да включват най-малко 50 преки участници, от които най-малко 25 участници са „поканени участници</w:t>
      </w:r>
      <w:r w:rsidR="00CC2315" w:rsidRPr="009F3D7B">
        <w:rPr>
          <w:rStyle w:val="FootnoteReference"/>
          <w:rFonts w:eastAsia="Verdana" w:cs="Verdana"/>
        </w:rPr>
        <w:footnoteReference w:id="12"/>
      </w:r>
      <w:r w:rsidRPr="009F3D7B">
        <w:t xml:space="preserve">“. </w:t>
      </w:r>
    </w:p>
    <w:p w14:paraId="7A8FF669" w14:textId="6A62825D" w:rsidR="00E85E35" w:rsidRPr="009F3D7B" w:rsidRDefault="00E85E35" w:rsidP="0062273B">
      <w:pPr>
        <w:widowControl w:val="0"/>
        <w:ind w:firstLine="720"/>
        <w:rPr>
          <w:b/>
          <w:color w:val="A50021"/>
        </w:rPr>
      </w:pPr>
      <w:r w:rsidRPr="009F3D7B">
        <w:rPr>
          <w:b/>
          <w:color w:val="A50021"/>
        </w:rPr>
        <w:t>CERV-2022-CITIZENS-TOWN-NT — Мрежи от градове</w:t>
      </w:r>
    </w:p>
    <w:p w14:paraId="7034CCF5" w14:textId="383FF38D" w:rsidR="000159B8" w:rsidRPr="009F3D7B" w:rsidRDefault="000159B8" w:rsidP="000159B8">
      <w:pPr>
        <w:widowControl w:val="0"/>
        <w:numPr>
          <w:ilvl w:val="1"/>
          <w:numId w:val="36"/>
        </w:numPr>
        <w:spacing w:after="120"/>
        <w:ind w:left="1418" w:hanging="416"/>
        <w:jc w:val="left"/>
        <w:rPr>
          <w:rFonts w:cs="Arial"/>
        </w:rPr>
      </w:pPr>
      <w:r w:rsidRPr="009F3D7B">
        <w:t>за кандидата</w:t>
      </w:r>
      <w:r w:rsidRPr="009F3D7B">
        <w:rPr>
          <w:rStyle w:val="FootnoteReference"/>
          <w:rFonts w:cs="Arial"/>
        </w:rPr>
        <w:footnoteReference w:id="13"/>
      </w:r>
      <w:r w:rsidRPr="009F3D7B">
        <w:t xml:space="preserve"> и партньорите: да бъдат публични органи или организации с нестопанска цел: градове/общини и/или други равнища на местни органи или техни комитети за побратимяване, или други организации с нестопанска цел, представляващи местни органи.</w:t>
      </w:r>
    </w:p>
    <w:p w14:paraId="07E9E7B6" w14:textId="4658A64A" w:rsidR="000159B8" w:rsidRPr="009F3D7B" w:rsidRDefault="000159B8" w:rsidP="000159B8">
      <w:pPr>
        <w:widowControl w:val="0"/>
        <w:numPr>
          <w:ilvl w:val="1"/>
          <w:numId w:val="36"/>
        </w:numPr>
        <w:spacing w:after="120"/>
        <w:ind w:left="1418" w:right="227" w:hanging="142"/>
        <w:jc w:val="left"/>
        <w:rPr>
          <w:rFonts w:cs="Arial"/>
        </w:rPr>
      </w:pPr>
      <w:r w:rsidRPr="009F3D7B">
        <w:t>проектът трябва да включва общини от най-малко пет допустими държави, от които поне три са държави — членки на ЕС.</w:t>
      </w:r>
    </w:p>
    <w:p w14:paraId="7F71F908" w14:textId="79ED681A" w:rsidR="000159B8" w:rsidRPr="009F3D7B" w:rsidRDefault="000159B8" w:rsidP="000159B8">
      <w:pPr>
        <w:widowControl w:val="0"/>
        <w:numPr>
          <w:ilvl w:val="1"/>
          <w:numId w:val="36"/>
        </w:numPr>
        <w:spacing w:after="120"/>
        <w:ind w:left="1418" w:right="227" w:hanging="142"/>
        <w:jc w:val="left"/>
      </w:pPr>
      <w:r w:rsidRPr="009F3D7B">
        <w:t>дейностите трябва да се провеждат в най-малко две различни държави, които са допустими за участие по програмата.</w:t>
      </w:r>
    </w:p>
    <w:p w14:paraId="690454F4" w14:textId="5EBE286C" w:rsidR="00D11251" w:rsidRPr="009F3D7B" w:rsidRDefault="00EF14AD" w:rsidP="00D11251">
      <w:pPr>
        <w:rPr>
          <w:rFonts w:cs="Arial"/>
        </w:rPr>
      </w:pPr>
      <w:r w:rsidRPr="009F3D7B">
        <w:lastRenderedPageBreak/>
        <w:t xml:space="preserve">Бенефициерите и свързаните с тях субекти трябва да се регистрират в </w:t>
      </w:r>
      <w:hyperlink r:id="rId34" w:history="1">
        <w:r w:rsidRPr="009F3D7B">
          <w:rPr>
            <w:rStyle w:val="Hyperlink"/>
          </w:rPr>
          <w:t>Регистъра на участниците</w:t>
        </w:r>
      </w:hyperlink>
      <w:r w:rsidRPr="009F3D7B">
        <w:t xml:space="preserve"> — преди подаване на предложението — и да бъдат валидирани от Централната служба по валидиране (валидиране в рамките на Европейската изпълнителна агенция за научни изследвания (REA)). За валидирането от тях ще се изисква да приложат документи, показващи правен статут и произход.</w:t>
      </w:r>
    </w:p>
    <w:p w14:paraId="663BF90B" w14:textId="77777777" w:rsidR="00D11251" w:rsidRPr="009F3D7B" w:rsidRDefault="00D11251" w:rsidP="00D11251">
      <w:pPr>
        <w:rPr>
          <w:iCs/>
        </w:rPr>
      </w:pPr>
      <w:r w:rsidRPr="009F3D7B">
        <w:t xml:space="preserve">В консорциума могат да участват и други субекти с друга роля в него, например асоциирани партньори, подизпълнители, трети страни, които допринасят в натура и т.н. </w:t>
      </w:r>
      <w:r w:rsidRPr="009F3D7B">
        <w:rPr>
          <w:i/>
          <w:iCs/>
        </w:rPr>
        <w:t>(вж. раздел 13)</w:t>
      </w:r>
      <w:r w:rsidRPr="009F3D7B">
        <w:t>.</w:t>
      </w:r>
    </w:p>
    <w:p w14:paraId="4C122898" w14:textId="77777777" w:rsidR="00D11251" w:rsidRPr="009F3D7B" w:rsidRDefault="00D11251" w:rsidP="00D11251">
      <w:pPr>
        <w:rPr>
          <w:i/>
          <w:color w:val="A50021"/>
          <w:highlight w:val="yellow"/>
        </w:rPr>
      </w:pPr>
      <w:r w:rsidRPr="009F3D7B">
        <w:rPr>
          <w:i/>
          <w:color w:val="A50021"/>
        </w:rPr>
        <w:t>Специфични случаи</w:t>
      </w:r>
      <w:r w:rsidRPr="009F3D7B">
        <w:rPr>
          <w:i/>
          <w:color w:val="A50021"/>
          <w:highlight w:val="yellow"/>
        </w:rPr>
        <w:t xml:space="preserve"> </w:t>
      </w:r>
    </w:p>
    <w:p w14:paraId="7C0C81EC" w14:textId="3519175F" w:rsidR="00D11251" w:rsidRPr="009F3D7B" w:rsidRDefault="00D11251" w:rsidP="00D11251">
      <w:pPr>
        <w:rPr>
          <w:rFonts w:cs="Arial"/>
        </w:rPr>
      </w:pPr>
      <w:r w:rsidRPr="009F3D7B">
        <w:t>Физически лица — физическите лица НЕ са допустими (с изключение на самостоятелно заети лица, т.е. еднолични търговци, когато дружеството не притежава правосубектност, различна от тази на физическото лице).</w:t>
      </w:r>
    </w:p>
    <w:p w14:paraId="06E140DC" w14:textId="5B93CEEF" w:rsidR="00D11251" w:rsidRPr="009F3D7B" w:rsidRDefault="00D51B6C" w:rsidP="00D11251">
      <w:pPr>
        <w:rPr>
          <w:rFonts w:cs="Arial"/>
        </w:rPr>
      </w:pPr>
      <w:r w:rsidRPr="009F3D7B">
        <w:t>Международни организации — международни организации са допустими. Правилата за допустимите държави не се прилагат за тях.</w:t>
      </w:r>
    </w:p>
    <w:p w14:paraId="45271331" w14:textId="77777777" w:rsidR="00D11251" w:rsidRPr="009F3D7B" w:rsidRDefault="00D11251" w:rsidP="00D11251">
      <w:pPr>
        <w:rPr>
          <w:rFonts w:cs="Arial"/>
          <w:iCs/>
        </w:rPr>
      </w:pPr>
      <w:r w:rsidRPr="009F3D7B">
        <w:t>Субекти без правосубектност — субекти, които нямат юридическа правосубектност съгласно тяхното национално право могат, по изключение, да участват, при условие че техните представители имат право да поемат правни задължения от тяхно име и ако предоставят гаранции за защита на финансовите интереси на ЕС, равностойни на гаранциите, предоставяни от юридическите лица</w:t>
      </w:r>
      <w:r w:rsidRPr="009F3D7B">
        <w:rPr>
          <w:rStyle w:val="FootnoteReference"/>
          <w:rFonts w:cs="Arial"/>
          <w:iCs/>
        </w:rPr>
        <w:footnoteReference w:id="14"/>
      </w:r>
      <w:r w:rsidRPr="009F3D7B">
        <w:t>.</w:t>
      </w:r>
    </w:p>
    <w:p w14:paraId="42989BB3" w14:textId="77777777" w:rsidR="00D11251" w:rsidRPr="009F3D7B" w:rsidRDefault="00D11251" w:rsidP="00D11251">
      <w:pPr>
        <w:rPr>
          <w:rFonts w:eastAsia="Verdana" w:cs="Verdana"/>
        </w:rPr>
      </w:pPr>
      <w:r w:rsidRPr="009F3D7B">
        <w:t>Органи на ЕС — органите на ЕС (с изключение на Съвместния изследователски център на Европейската комисия) НЕ могат да бъдат част от консорциума.</w:t>
      </w:r>
    </w:p>
    <w:p w14:paraId="73A5993C" w14:textId="5CAF4A75" w:rsidR="005056C4" w:rsidRPr="009F3D7B" w:rsidRDefault="6C7DCFD5" w:rsidP="42BB08A3">
      <w:pPr>
        <w:rPr>
          <w:rFonts w:cs="Arial"/>
        </w:rPr>
      </w:pPr>
      <w:r w:rsidRPr="009F3D7B">
        <w:t>Асоциации и обединения по икономически интереси — субекти, в състава на които влизат членове, могат да участват като „единствени бенефициери“ или като „бенефициери, които нямат юридическа правосубектност“</w:t>
      </w:r>
      <w:r w:rsidR="00D11251" w:rsidRPr="009F3D7B">
        <w:rPr>
          <w:rStyle w:val="FootnoteReference"/>
        </w:rPr>
        <w:footnoteReference w:id="15"/>
      </w:r>
      <w:r w:rsidRPr="009F3D7B">
        <w:t xml:space="preserve">. </w:t>
      </w:r>
      <w:r w:rsidRPr="009F3D7B">
        <w:rPr>
          <w:noProof/>
          <w:color w:val="7F7F7F"/>
          <w:sz w:val="18"/>
          <w:szCs w:val="21"/>
          <w:lang w:val="en-IE" w:eastAsia="en-IE"/>
        </w:rPr>
        <w:drawing>
          <wp:inline distT="0" distB="0" distL="0" distR="0" wp14:anchorId="75F831DD" wp14:editId="5DD55874">
            <wp:extent cx="187960" cy="187960"/>
            <wp:effectExtent l="0" t="0" r="0" b="0"/>
            <wp:docPr id="6" name="Picture 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9F3D7B">
        <w:rPr>
          <w:color w:val="7F7F7F"/>
          <w:sz w:val="18"/>
          <w:szCs w:val="18"/>
        </w:rPr>
        <w:t xml:space="preserve"> </w:t>
      </w:r>
      <w:r w:rsidRPr="009F3D7B">
        <w:t xml:space="preserve">Следва да се има предвид, че ако членовете изпълняват дейности, те трябва също да участват (или като бенефициери, или като свързани субекти, в противен случай техните разходи НЯМА да бъдат допустими). </w:t>
      </w:r>
    </w:p>
    <w:p w14:paraId="367E29D4" w14:textId="50768096" w:rsidR="00DC3A61" w:rsidRPr="009F3D7B" w:rsidRDefault="00DC3A61" w:rsidP="00202AF1">
      <w:pPr>
        <w:pStyle w:val="NormalWeb"/>
        <w:spacing w:before="0" w:beforeAutospacing="0" w:after="200" w:afterAutospacing="0"/>
        <w:jc w:val="both"/>
        <w:rPr>
          <w:rFonts w:ascii="Verdana" w:hAnsi="Verdana"/>
          <w:color w:val="000000"/>
          <w:sz w:val="20"/>
          <w:szCs w:val="20"/>
        </w:rPr>
      </w:pPr>
      <w:r w:rsidRPr="009F3D7B">
        <w:rPr>
          <w:rFonts w:ascii="Verdana" w:hAnsi="Verdana"/>
          <w:color w:val="000000"/>
          <w:sz w:val="20"/>
          <w:szCs w:val="20"/>
        </w:rPr>
        <w:t xml:space="preserve">Точки за контакт по програмата — допустими са като координатори или бенефициери в открити покани за представяне на предложения, ако разполагат с процедури за разделяне на функциите по управление на проекта и предоставяне на информация и ако могат да докажат разделение на разходите (т.е. че предоставените за проекта безвъзмездни средства не се използват за разходи, които се покриват от други безвъзмездни средства, отпуснати за тях). Това изисква следното: </w:t>
      </w:r>
    </w:p>
    <w:p w14:paraId="21178116" w14:textId="4EF7788A" w:rsidR="00DC3A61" w:rsidRPr="009F3D7B" w:rsidRDefault="00DC3A61" w:rsidP="008B1F42">
      <w:pPr>
        <w:numPr>
          <w:ilvl w:val="0"/>
          <w:numId w:val="45"/>
        </w:numPr>
        <w:rPr>
          <w:color w:val="000000"/>
        </w:rPr>
      </w:pPr>
      <w:r w:rsidRPr="009F3D7B">
        <w:rPr>
          <w:color w:val="000000"/>
        </w:rPr>
        <w:t xml:space="preserve">използване на аналитично счетоводство, което дава възможност за счетоводно управление на разходите с показатели за разпределяне на разходите и кодове за осчетоводяването им И прилагане на тези показатели и кодове за идентифициране и разделяне на разходите (т.е. за разпределянето им към един от двата вида безвъзмездни средства) </w:t>
      </w:r>
    </w:p>
    <w:p w14:paraId="1DBFDF05" w14:textId="5BA07C46" w:rsidR="00DC3A61" w:rsidRPr="009F3D7B" w:rsidRDefault="00DC3A61" w:rsidP="008B1F42">
      <w:pPr>
        <w:numPr>
          <w:ilvl w:val="0"/>
          <w:numId w:val="45"/>
        </w:numPr>
        <w:rPr>
          <w:color w:val="000000"/>
        </w:rPr>
      </w:pPr>
      <w:r w:rsidRPr="009F3D7B">
        <w:rPr>
          <w:color w:val="000000"/>
        </w:rPr>
        <w:t xml:space="preserve">записване на всички реални разходи, направени във връзка с дейностите, които са обхванати по двата документа за безвъзмездни средства (вкл. непреките разходи) </w:t>
      </w:r>
    </w:p>
    <w:p w14:paraId="08082F37" w14:textId="6D2FEB8E" w:rsidR="00832213" w:rsidRPr="009F3D7B" w:rsidRDefault="00DC3A61" w:rsidP="008B1F42">
      <w:pPr>
        <w:numPr>
          <w:ilvl w:val="0"/>
          <w:numId w:val="45"/>
        </w:numPr>
        <w:rPr>
          <w:rFonts w:cs="Arial"/>
        </w:rPr>
      </w:pPr>
      <w:r w:rsidRPr="009F3D7B">
        <w:rPr>
          <w:color w:val="000000"/>
        </w:rPr>
        <w:lastRenderedPageBreak/>
        <w:t>разпределяне на разходите по начин, който води до справедлив, обективен и реалистичен резултат.</w:t>
      </w:r>
    </w:p>
    <w:p w14:paraId="63646EA9" w14:textId="75D8A1BB" w:rsidR="00F556B0" w:rsidRPr="009F3D7B" w:rsidRDefault="00F556B0" w:rsidP="00202AF1">
      <w:pPr>
        <w:rPr>
          <w:iCs/>
        </w:rPr>
      </w:pPr>
      <w:r w:rsidRPr="009F3D7B">
        <w:t xml:space="preserve">Държави, които понастоящем водят преговори по споразумения за асоцииране — бенефициери от държави, с които се водят преговори </w:t>
      </w:r>
      <w:r w:rsidRPr="009F3D7B">
        <w:rPr>
          <w:i/>
          <w:szCs w:val="18"/>
        </w:rPr>
        <w:t>(вж. по-горе)</w:t>
      </w:r>
      <w:r w:rsidRPr="009F3D7B">
        <w:t xml:space="preserve"> могат да участват в поканата и да сключват споразумения за безвъзмездни средства, ако преговорите приключат преди сключването на споразумението (с обратно действие, ако това е предвидено в споразумението).</w:t>
      </w:r>
    </w:p>
    <w:p w14:paraId="6FC8312B" w14:textId="66033254" w:rsidR="000F4465" w:rsidRPr="009F3D7B" w:rsidRDefault="00FE2BCA" w:rsidP="00D11251">
      <w:pPr>
        <w:pStyle w:val="Text1"/>
        <w:tabs>
          <w:tab w:val="clear" w:pos="2160"/>
        </w:tabs>
        <w:spacing w:after="120"/>
        <w:ind w:left="0"/>
      </w:pPr>
      <w:r w:rsidRPr="009F3D7B">
        <w:t xml:space="preserve">Ограничителни мерки на ЕС — специални правила се прилагат по отношение на определени субекти </w:t>
      </w:r>
      <w:r w:rsidRPr="009F3D7B">
        <w:rPr>
          <w:i/>
        </w:rPr>
        <w:t>(напр. субекти, които подлежат на</w:t>
      </w:r>
      <w:r w:rsidRPr="009F3D7B">
        <w:t xml:space="preserve"> </w:t>
      </w:r>
      <w:hyperlink r:id="rId36" w:history="1">
        <w:r w:rsidRPr="009F3D7B">
          <w:rPr>
            <w:rStyle w:val="Hyperlink"/>
            <w:i/>
          </w:rPr>
          <w:t>ограничителните мерки на ЕС</w:t>
        </w:r>
      </w:hyperlink>
      <w:r w:rsidRPr="009F3D7B">
        <w:rPr>
          <w:i/>
        </w:rPr>
        <w:t xml:space="preserve"> в съответствие с член 29 от Договора за Европейския съюз (ДЕС) и член 215 от Договора за функционирането на Европейския съюз (ДЕФС)</w:t>
      </w:r>
      <w:r w:rsidRPr="009F3D7B">
        <w:rPr>
          <w:rFonts w:eastAsia="Arial Unicode MS" w:cs="Arial"/>
          <w:i/>
          <w:vertAlign w:val="superscript"/>
          <w:lang w:eastAsia="en-GB"/>
        </w:rPr>
        <w:footnoteReference w:id="16"/>
      </w:r>
      <w:r w:rsidRPr="009F3D7B">
        <w:t>,</w:t>
      </w:r>
      <w:r w:rsidRPr="009F3D7B">
        <w:rPr>
          <w:i/>
        </w:rPr>
        <w:t xml:space="preserve"> и субекти, които влизат в обхвата на Насоки на Комисията </w:t>
      </w:r>
      <w:hyperlink r:id="rId37" w:history="1">
        <w:r w:rsidRPr="009F3D7B">
          <w:rPr>
            <w:rStyle w:val="Hyperlink"/>
            <w:i/>
          </w:rPr>
          <w:t>2013/C 205/05</w:t>
        </w:r>
      </w:hyperlink>
      <w:r w:rsidRPr="009F3D7B">
        <w:rPr>
          <w:rStyle w:val="FootnoteReference"/>
          <w:rFonts w:cs="Arial"/>
          <w:i/>
        </w:rPr>
        <w:footnoteReference w:id="17"/>
      </w:r>
      <w:r w:rsidRPr="009F3D7B">
        <w:rPr>
          <w:i/>
        </w:rPr>
        <w:t>)</w:t>
      </w:r>
      <w:r w:rsidRPr="009F3D7B">
        <w:t>. Такива субекти не могат да бъдат допуснати до участие в никакво свое качество, включително като бенефициери, свързани субекти, асоциирани партньори, подизпълнители или получатели на финансова подкрепа за трети страни (ако има такива).</w:t>
      </w:r>
    </w:p>
    <w:p w14:paraId="718A4FB8" w14:textId="23AE9C4E" w:rsidR="00736C6F" w:rsidRPr="009F3D7B" w:rsidRDefault="005A3754" w:rsidP="00736C6F">
      <w:pPr>
        <w:autoSpaceDE w:val="0"/>
        <w:autoSpaceDN w:val="0"/>
        <w:adjustRightInd w:val="0"/>
        <w:rPr>
          <w:rFonts w:cs="Verdana"/>
        </w:rPr>
      </w:pPr>
      <w:r w:rsidRPr="009F3D7B">
        <w:rPr>
          <w:noProof/>
          <w:lang w:val="en-IE" w:eastAsia="en-IE"/>
        </w:rPr>
        <w:drawing>
          <wp:inline distT="0" distB="0" distL="0" distR="0" wp14:anchorId="4D9DE831" wp14:editId="2CF3293B">
            <wp:extent cx="187960" cy="187960"/>
            <wp:effectExtent l="0" t="0" r="0" b="0"/>
            <wp:docPr id="7" name="Picture 217534909"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534909" name="Picture 217534909"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9F3D7B">
        <w:t xml:space="preserve">За повече информация </w:t>
      </w:r>
      <w:r w:rsidRPr="009F3D7B">
        <w:rPr>
          <w:i/>
          <w:iCs/>
        </w:rPr>
        <w:t xml:space="preserve">вж. </w:t>
      </w:r>
      <w:hyperlink r:id="rId38">
        <w:r w:rsidRPr="009F3D7B">
          <w:rPr>
            <w:rStyle w:val="Hyperlink"/>
            <w:i/>
            <w:iCs/>
          </w:rPr>
          <w:t>Правила относно валидирането на правни субекти, определяне на упълномощен представител на правния субект (УППС) и оценка на финансовия капацитет</w:t>
        </w:r>
      </w:hyperlink>
      <w:r w:rsidRPr="009F3D7B">
        <w:t xml:space="preserve">. </w:t>
      </w:r>
    </w:p>
    <w:p w14:paraId="1DD70A2C" w14:textId="78969716" w:rsidR="00027143" w:rsidRPr="009F3D7B" w:rsidRDefault="00736C6F" w:rsidP="00CC2315">
      <w:pPr>
        <w:pStyle w:val="Heading3"/>
      </w:pPr>
      <w:bookmarkStart w:id="15" w:name="_Toc92981832"/>
      <w:r w:rsidRPr="009F3D7B">
        <w:t>Състав на консорциума</w:t>
      </w:r>
      <w:bookmarkEnd w:id="15"/>
    </w:p>
    <w:p w14:paraId="667D29A2" w14:textId="1ADD61B2" w:rsidR="007903BC" w:rsidRPr="009F3D7B" w:rsidRDefault="007903BC" w:rsidP="007903BC">
      <w:pPr>
        <w:widowControl w:val="0"/>
        <w:rPr>
          <w:b/>
          <w:bCs/>
        </w:rPr>
      </w:pPr>
      <w:r w:rsidRPr="009F3D7B">
        <w:rPr>
          <w:b/>
          <w:color w:val="A50021"/>
        </w:rPr>
        <w:t>CERV-2022-CITIZENS-TOWN-TT — Побратимяване на градове:</w:t>
      </w:r>
      <w:r w:rsidRPr="009F3D7B">
        <w:rPr>
          <w:b/>
          <w:bCs/>
        </w:rPr>
        <w:t xml:space="preserve"> </w:t>
      </w:r>
    </w:p>
    <w:p w14:paraId="1CC7CA67" w14:textId="27B50492" w:rsidR="007903BC" w:rsidRPr="009F3D7B" w:rsidRDefault="007903BC" w:rsidP="007903BC">
      <w:pPr>
        <w:widowControl w:val="0"/>
        <w:rPr>
          <w:i/>
          <w:iCs/>
        </w:rPr>
      </w:pPr>
      <w:r w:rsidRPr="009F3D7B">
        <w:t>Допускат се само предложения от отделни кандидати.</w:t>
      </w:r>
    </w:p>
    <w:p w14:paraId="37AC9AD9" w14:textId="64A403D2" w:rsidR="007903BC" w:rsidRPr="009F3D7B" w:rsidRDefault="007903BC" w:rsidP="007903BC">
      <w:pPr>
        <w:pStyle w:val="Text3"/>
        <w:tabs>
          <w:tab w:val="left" w:pos="567"/>
        </w:tabs>
        <w:ind w:left="0"/>
        <w:rPr>
          <w:rFonts w:eastAsia="Verdana" w:cs="Verdana"/>
        </w:rPr>
      </w:pPr>
      <w:r w:rsidRPr="009F3D7B">
        <w:t>Проектите за побратимяване на градове трябва да включват общини от най-малко две допустими държави, от които поне една е държава — членка на ЕС.</w:t>
      </w:r>
    </w:p>
    <w:p w14:paraId="5B216039" w14:textId="203107A8" w:rsidR="007903BC" w:rsidRPr="009F3D7B" w:rsidRDefault="007903BC" w:rsidP="007903BC">
      <w:pPr>
        <w:widowControl w:val="0"/>
        <w:rPr>
          <w:b/>
          <w:color w:val="A50021"/>
        </w:rPr>
      </w:pPr>
      <w:r w:rsidRPr="009F3D7B">
        <w:rPr>
          <w:b/>
          <w:color w:val="A50021"/>
        </w:rPr>
        <w:t>CERV-2022-CITIZENS-TOWN-NT — Мрежи от градове</w:t>
      </w:r>
    </w:p>
    <w:p w14:paraId="2A754E5D" w14:textId="17B8FF9F" w:rsidR="007903BC" w:rsidRPr="009F3D7B" w:rsidRDefault="007903BC" w:rsidP="007903BC">
      <w:pPr>
        <w:widowControl w:val="0"/>
      </w:pPr>
      <w:r w:rsidRPr="009F3D7B">
        <w:t xml:space="preserve">Предложенията трябва да бъдат представени от консорциум от най-малко петима кандидати (бенефициери; субекти, които не са свързани лица), който отговаря на следните условия: </w:t>
      </w:r>
    </w:p>
    <w:p w14:paraId="683D723D" w14:textId="1473FE2C" w:rsidR="007903BC" w:rsidRPr="009F3D7B" w:rsidRDefault="007903BC" w:rsidP="007903BC">
      <w:pPr>
        <w:numPr>
          <w:ilvl w:val="0"/>
          <w:numId w:val="53"/>
        </w:numPr>
        <w:ind w:left="360"/>
      </w:pPr>
      <w:r w:rsidRPr="009F3D7B">
        <w:t>субектите са общини от най-малко 5 допустими държави, от които поне 3 са държави — членки на ЕС.</w:t>
      </w:r>
    </w:p>
    <w:p w14:paraId="4E8B42AB" w14:textId="77777777" w:rsidR="00656CD7" w:rsidRPr="009F3D7B" w:rsidRDefault="00736C6F" w:rsidP="00510B7E">
      <w:pPr>
        <w:pStyle w:val="Heading3"/>
      </w:pPr>
      <w:bookmarkStart w:id="16" w:name="_Toc92981833"/>
      <w:r w:rsidRPr="009F3D7B">
        <w:t>Допустими дейности</w:t>
      </w:r>
      <w:bookmarkEnd w:id="16"/>
    </w:p>
    <w:p w14:paraId="5C9A0D56" w14:textId="6D5E2AD2" w:rsidR="000159B8" w:rsidRPr="009F3D7B" w:rsidRDefault="00656CD7" w:rsidP="00656CD7">
      <w:r w:rsidRPr="009F3D7B">
        <w:t>Допустими дейности са дейностите, посочени в раздел 2 по-горе.</w:t>
      </w:r>
    </w:p>
    <w:p w14:paraId="4DCC9648" w14:textId="77777777" w:rsidR="00656CD7" w:rsidRPr="009F3D7B" w:rsidRDefault="00267836" w:rsidP="00656CD7">
      <w:r w:rsidRPr="009F3D7B">
        <w:t>В проектите следва да се вземат под внимание резултатите от проекти, подпомагани от други програми на ЕС за финансиране. Взаимното допълване трябва да бъде описано в предложението за проекта (част Б от формуляра за кандидатстване).</w:t>
      </w:r>
    </w:p>
    <w:p w14:paraId="3CAE18EE" w14:textId="77777777" w:rsidR="00C96229" w:rsidRPr="009F3D7B" w:rsidRDefault="00C96229" w:rsidP="00656CD7">
      <w:r w:rsidRPr="009F3D7B">
        <w:t xml:space="preserve">Проектите трябва да съответстват на политическите интереси и приоритети на ЕС </w:t>
      </w:r>
      <w:r w:rsidRPr="009F3D7B">
        <w:rPr>
          <w:i/>
        </w:rPr>
        <w:t>(напр. околна среда, социална политика, политика за сигурност, индустриална и търговска политика и т.н.)</w:t>
      </w:r>
      <w:r w:rsidRPr="009F3D7B">
        <w:t>.</w:t>
      </w:r>
    </w:p>
    <w:p w14:paraId="23359E9F" w14:textId="69E0A675" w:rsidR="00557219" w:rsidRPr="009F3D7B" w:rsidRDefault="004A47F3" w:rsidP="0075170E">
      <w:pPr>
        <w:rPr>
          <w:highlight w:val="yellow"/>
        </w:rPr>
      </w:pPr>
      <w:r w:rsidRPr="009F3D7B">
        <w:lastRenderedPageBreak/>
        <w:t>Не се разрешава предоставянето на финансова подкрепа на трети страни.</w:t>
      </w:r>
    </w:p>
    <w:p w14:paraId="4ED03ED8" w14:textId="7C17FD62" w:rsidR="00942BB9" w:rsidRPr="009F3D7B" w:rsidRDefault="00E81CEB" w:rsidP="00942BB9">
      <w:pPr>
        <w:pStyle w:val="Text3"/>
        <w:tabs>
          <w:tab w:val="clear" w:pos="2160"/>
          <w:tab w:val="left" w:pos="567"/>
        </w:tabs>
        <w:ind w:left="0"/>
        <w:rPr>
          <w:b/>
          <w:color w:val="A50021"/>
        </w:rPr>
      </w:pPr>
      <w:r w:rsidRPr="009F3D7B">
        <w:rPr>
          <w:b/>
          <w:color w:val="A50021"/>
        </w:rPr>
        <w:t>CERV-2022-CITIZENS-TOWN-TT — Побратимяване на градове:</w:t>
      </w:r>
    </w:p>
    <w:p w14:paraId="2607B279" w14:textId="77777777" w:rsidR="00942BB9" w:rsidRPr="009F3D7B" w:rsidRDefault="00942BB9" w:rsidP="00942BB9">
      <w:pPr>
        <w:pStyle w:val="Text3"/>
        <w:tabs>
          <w:tab w:val="clear" w:pos="2160"/>
          <w:tab w:val="left" w:pos="567"/>
        </w:tabs>
        <w:ind w:left="0"/>
        <w:rPr>
          <w:rFonts w:eastAsia="Verdana" w:cs="Verdana"/>
        </w:rPr>
      </w:pPr>
      <w:r w:rsidRPr="009F3D7B">
        <w:t>Мероприятията за побратимяване на градове трябва да включват най-малко 50 преки участници, от които най-малко 25 участници са „поканени участници“. „Поканени участници“ са пътуващите делегации от допустими държави — партньори по проекта, различни от държавата, която е домакин на мероприятието за побратимяване на градове.</w:t>
      </w:r>
    </w:p>
    <w:p w14:paraId="09E75F68" w14:textId="77777777" w:rsidR="00500DB3" w:rsidRPr="009F3D7B" w:rsidRDefault="00330493" w:rsidP="00510B7E">
      <w:pPr>
        <w:pStyle w:val="Heading3"/>
      </w:pPr>
      <w:bookmarkStart w:id="17" w:name="_Toc92981834"/>
      <w:r w:rsidRPr="009F3D7B">
        <w:t>Географско разположение (целеви държави)</w:t>
      </w:r>
      <w:bookmarkEnd w:id="17"/>
    </w:p>
    <w:p w14:paraId="0C43BD80" w14:textId="6FE81E62" w:rsidR="00C76084" w:rsidRPr="009F3D7B" w:rsidRDefault="00C76084" w:rsidP="00C76084">
      <w:r w:rsidRPr="009F3D7B">
        <w:t xml:space="preserve">Предложенията трябва да са свързани с дейности, които се провеждат в допустимите държави </w:t>
      </w:r>
      <w:r w:rsidRPr="009F3D7B">
        <w:rPr>
          <w:i/>
        </w:rPr>
        <w:t>(вж. по-горе)</w:t>
      </w:r>
      <w:r w:rsidRPr="009F3D7B">
        <w:t>.</w:t>
      </w:r>
    </w:p>
    <w:p w14:paraId="2B7201A8" w14:textId="071CD026" w:rsidR="0075170E" w:rsidRPr="009F3D7B" w:rsidRDefault="0075170E" w:rsidP="0075170E">
      <w:pPr>
        <w:pStyle w:val="Text3"/>
        <w:tabs>
          <w:tab w:val="left" w:pos="567"/>
        </w:tabs>
        <w:ind w:left="0"/>
        <w:rPr>
          <w:b/>
          <w:color w:val="A50021"/>
        </w:rPr>
      </w:pPr>
      <w:r w:rsidRPr="009F3D7B">
        <w:rPr>
          <w:b/>
          <w:color w:val="A50021"/>
        </w:rPr>
        <w:t>CERV-2022-CITIZENS-TOWN-TT — Побратимяване на градове</w:t>
      </w:r>
    </w:p>
    <w:p w14:paraId="4FB65ED9" w14:textId="729AC7F7" w:rsidR="0075170E" w:rsidRPr="009F3D7B" w:rsidRDefault="0075170E" w:rsidP="0075170E">
      <w:pPr>
        <w:pStyle w:val="Text3"/>
        <w:tabs>
          <w:tab w:val="left" w:pos="567"/>
        </w:tabs>
        <w:ind w:left="0"/>
        <w:rPr>
          <w:rFonts w:eastAsia="Verdana" w:cs="Verdana"/>
        </w:rPr>
      </w:pPr>
      <w:r w:rsidRPr="009F3D7B">
        <w:t>Дейностите трябва да се провеждат в допустима държава, участваща в проекта.</w:t>
      </w:r>
    </w:p>
    <w:p w14:paraId="22619C5A" w14:textId="1782A5E2" w:rsidR="0075170E" w:rsidRPr="009F3D7B" w:rsidRDefault="0075170E" w:rsidP="0075170E">
      <w:pPr>
        <w:pStyle w:val="Text3"/>
        <w:tabs>
          <w:tab w:val="left" w:pos="567"/>
        </w:tabs>
        <w:ind w:left="0"/>
        <w:rPr>
          <w:b/>
          <w:color w:val="A50021"/>
        </w:rPr>
      </w:pPr>
      <w:r w:rsidRPr="009F3D7B">
        <w:rPr>
          <w:b/>
          <w:color w:val="A50021"/>
        </w:rPr>
        <w:t>CERV-2022-CITIZENS-TOWN-NT — Мрежи от градове</w:t>
      </w:r>
    </w:p>
    <w:p w14:paraId="15B7E34B" w14:textId="77777777" w:rsidR="0075170E" w:rsidRPr="009F3D7B" w:rsidRDefault="0075170E" w:rsidP="0075170E">
      <w:r w:rsidRPr="009F3D7B">
        <w:t>Дейностите трябва да се провеждат в най-малко две различни държави, които са допустими за участие по програмата.</w:t>
      </w:r>
    </w:p>
    <w:p w14:paraId="5ED1FBB4" w14:textId="5B3FEB91" w:rsidR="0075170E" w:rsidRPr="009F3D7B" w:rsidRDefault="00312A94" w:rsidP="00CC2315">
      <w:pPr>
        <w:pStyle w:val="Heading3"/>
      </w:pPr>
      <w:bookmarkStart w:id="18" w:name="_Toc92981835"/>
      <w:r w:rsidRPr="009F3D7B">
        <w:t>Продължителност</w:t>
      </w:r>
      <w:bookmarkEnd w:id="18"/>
    </w:p>
    <w:p w14:paraId="2932A4E8" w14:textId="57A7E390" w:rsidR="0075170E" w:rsidRPr="009F3D7B" w:rsidRDefault="0075170E" w:rsidP="0075170E">
      <w:pPr>
        <w:pStyle w:val="Text3"/>
        <w:tabs>
          <w:tab w:val="left" w:pos="567"/>
        </w:tabs>
        <w:ind w:left="0"/>
        <w:rPr>
          <w:b/>
          <w:color w:val="A50021"/>
        </w:rPr>
      </w:pPr>
      <w:r w:rsidRPr="009F3D7B">
        <w:rPr>
          <w:b/>
          <w:color w:val="A50021"/>
        </w:rPr>
        <w:t>CERV-2022-CITIZENS-TOWN-TT — Побратимяване на градове</w:t>
      </w:r>
    </w:p>
    <w:p w14:paraId="16ED1FD7" w14:textId="77777777" w:rsidR="0075170E" w:rsidRPr="009F3D7B" w:rsidRDefault="0075170E" w:rsidP="0075170E">
      <w:r w:rsidRPr="009F3D7B">
        <w:t>Продължителността на проектите следва да бъде до 12 месеца (възможно е удължаване, ако е надлежно обосновано и с подписване на изменение към споразумението).</w:t>
      </w:r>
    </w:p>
    <w:p w14:paraId="21EB407E" w14:textId="02DDA381" w:rsidR="0075170E" w:rsidRPr="009F3D7B" w:rsidRDefault="0075170E" w:rsidP="0075170E">
      <w:pPr>
        <w:pStyle w:val="Text3"/>
        <w:tabs>
          <w:tab w:val="left" w:pos="567"/>
        </w:tabs>
        <w:ind w:left="0"/>
        <w:rPr>
          <w:b/>
          <w:color w:val="A50021"/>
        </w:rPr>
      </w:pPr>
      <w:r w:rsidRPr="009F3D7B">
        <w:rPr>
          <w:b/>
          <w:color w:val="A50021"/>
        </w:rPr>
        <w:t xml:space="preserve">CERV-2022-CITIZENS-TOWN-NT — Мрежи от градове </w:t>
      </w:r>
    </w:p>
    <w:p w14:paraId="5915DCE4" w14:textId="705101FA" w:rsidR="0075170E" w:rsidRPr="009F3D7B" w:rsidRDefault="00D37706" w:rsidP="0075170E">
      <w:r w:rsidRPr="009F3D7B">
        <w:t>Продължителността на проектите следва да бъде обикновено между 12 и 24 месеца (възможно е удължаване, ако е надлежно обосновано и е подписано изменение към споразумението).</w:t>
      </w:r>
    </w:p>
    <w:p w14:paraId="6E47F135" w14:textId="56E7A647" w:rsidR="007926FA" w:rsidRPr="009F3D7B" w:rsidRDefault="007926FA" w:rsidP="00510B7E">
      <w:pPr>
        <w:pStyle w:val="Heading3"/>
      </w:pPr>
      <w:bookmarkStart w:id="19" w:name="_Toc92981836"/>
      <w:r w:rsidRPr="009F3D7B">
        <w:t>Етика и ценности на ЕС</w:t>
      </w:r>
      <w:bookmarkEnd w:id="19"/>
    </w:p>
    <w:p w14:paraId="58FD832D" w14:textId="77777777" w:rsidR="007926FA" w:rsidRPr="009F3D7B" w:rsidRDefault="007926FA" w:rsidP="007926FA">
      <w:pPr>
        <w:pStyle w:val="Text3"/>
        <w:ind w:left="0"/>
        <w:rPr>
          <w:rFonts w:eastAsia="Calibri"/>
          <w:color w:val="000000"/>
        </w:rPr>
      </w:pPr>
      <w:r w:rsidRPr="009F3D7B">
        <w:t>Проектите трябва да отговарят на:</w:t>
      </w:r>
    </w:p>
    <w:p w14:paraId="109E382E" w14:textId="1126BB4E" w:rsidR="00B703B7" w:rsidRPr="009F3D7B" w:rsidRDefault="009E08C3" w:rsidP="008B1F42">
      <w:pPr>
        <w:numPr>
          <w:ilvl w:val="0"/>
          <w:numId w:val="33"/>
        </w:numPr>
        <w:spacing w:after="120"/>
        <w:ind w:left="709"/>
        <w:jc w:val="left"/>
      </w:pPr>
      <w:r w:rsidRPr="009F3D7B">
        <w:t xml:space="preserve">най-високите етични стандарти </w:t>
      </w:r>
    </w:p>
    <w:p w14:paraId="20DE0698" w14:textId="52F85922" w:rsidR="00B703B7" w:rsidRPr="009F3D7B" w:rsidRDefault="00B703B7" w:rsidP="008B1F42">
      <w:pPr>
        <w:numPr>
          <w:ilvl w:val="0"/>
          <w:numId w:val="33"/>
        </w:numPr>
        <w:spacing w:after="120"/>
        <w:ind w:left="709"/>
        <w:jc w:val="left"/>
        <w:rPr>
          <w:sz w:val="24"/>
          <w:szCs w:val="24"/>
        </w:rPr>
      </w:pPr>
      <w:r w:rsidRPr="009F3D7B">
        <w:tab/>
        <w:t xml:space="preserve">ценностите на ЕС, основани на член 2 от Договора за Европейския съюз и член 21 от Хартата на основните права на ЕС, и </w:t>
      </w:r>
    </w:p>
    <w:p w14:paraId="00AFAC72" w14:textId="7CAF235D" w:rsidR="00B703B7" w:rsidRPr="009F3D7B" w:rsidRDefault="00B703B7" w:rsidP="008B1F42">
      <w:pPr>
        <w:numPr>
          <w:ilvl w:val="0"/>
          <w:numId w:val="33"/>
        </w:numPr>
        <w:ind w:left="709" w:hanging="357"/>
        <w:jc w:val="left"/>
        <w:rPr>
          <w:rFonts w:ascii="Calibri" w:eastAsia="Calibri" w:hAnsi="Calibri" w:cs="Calibri"/>
        </w:rPr>
      </w:pPr>
      <w:r w:rsidRPr="009F3D7B">
        <w:t xml:space="preserve">друго приложимо право на ЕС, международно и национално право (вкл. Общия регламент относно защитата на данните </w:t>
      </w:r>
      <w:hyperlink r:id="rId39" w:history="1">
        <w:r w:rsidRPr="009F3D7B">
          <w:rPr>
            <w:rStyle w:val="Hyperlink"/>
          </w:rPr>
          <w:t>2016/679</w:t>
        </w:r>
      </w:hyperlink>
      <w:r w:rsidRPr="009F3D7B">
        <w:t>).</w:t>
      </w:r>
    </w:p>
    <w:p w14:paraId="4377E80A" w14:textId="2F33AF75" w:rsidR="00E95AAC" w:rsidRPr="009F3D7B" w:rsidRDefault="00E95AAC" w:rsidP="42BB08A3">
      <w:pPr>
        <w:widowControl w:val="0"/>
        <w:rPr>
          <w:rFonts w:eastAsia="Calibri"/>
          <w:color w:val="000000"/>
        </w:rPr>
      </w:pPr>
      <w:r w:rsidRPr="009F3D7B">
        <w:rPr>
          <w:color w:val="000000"/>
        </w:rPr>
        <w:t xml:space="preserve">С проектите трябва да се цели насърчаване на равенството между половете и недискриминацията в съответствие с </w:t>
      </w:r>
      <w:hyperlink r:id="rId40" w:history="1">
        <w:r w:rsidRPr="009F3D7B">
          <w:rPr>
            <w:rStyle w:val="Hyperlink"/>
          </w:rPr>
          <w:t>инструментариума за интегриране на принципа на равенство между половете</w:t>
        </w:r>
      </w:hyperlink>
      <w:r w:rsidRPr="009F3D7B">
        <w:rPr>
          <w:color w:val="000000"/>
        </w:rPr>
        <w:t xml:space="preserve">. Дейностите по проектите следва да допринасят за равнопоставеното овластяване на жените и мъжете в цялото им многообразие, като се гарантира, че те реализират пълния си потенциал и се ползват с еднакви права </w:t>
      </w:r>
      <w:r w:rsidRPr="009F3D7B">
        <w:rPr>
          <w:i/>
          <w:iCs/>
          <w:color w:val="000000"/>
        </w:rPr>
        <w:t xml:space="preserve">(вж. </w:t>
      </w:r>
      <w:hyperlink r:id="rId41" w:anchor=":~:text=Non-discrimination%20mainstreaming%20is%20about%20%E2%80%98placing%20equality%20considerations%20at,the%20EU-%20wide%20network%20of%20specialised%20equality%20bodies%29." w:history="1">
        <w:r w:rsidRPr="009F3D7B">
          <w:rPr>
            <w:rStyle w:val="Hyperlink"/>
            <w:i/>
            <w:iCs/>
          </w:rPr>
          <w:t>инструменти за интегриране на принципа на недискриминация, проучвания на конкретни случаи и бъдещи действия</w:t>
        </w:r>
      </w:hyperlink>
      <w:r w:rsidRPr="009F3D7B">
        <w:rPr>
          <w:i/>
          <w:iCs/>
          <w:color w:val="000000"/>
        </w:rPr>
        <w:t>)</w:t>
      </w:r>
      <w:r w:rsidRPr="009F3D7B">
        <w:rPr>
          <w:color w:val="000000"/>
        </w:rPr>
        <w:t xml:space="preserve">. С тях следва да се цели също така намаляване на равнищата на дискриминация, на която са подложени определени групи (както и групите, изложени на риск от множествена дискриминация), и да се подобрят резултатите в областта на </w:t>
      </w:r>
      <w:r w:rsidRPr="009F3D7B">
        <w:rPr>
          <w:color w:val="000000"/>
        </w:rPr>
        <w:lastRenderedPageBreak/>
        <w:t>равенството за отделните лица</w:t>
      </w:r>
      <w:r w:rsidRPr="009F3D7B">
        <w:rPr>
          <w:rStyle w:val="FootnoteReference"/>
          <w:rFonts w:eastAsia="Calibri"/>
          <w:color w:val="000000"/>
          <w:lang w:val="en-IE" w:eastAsia="en-GB"/>
        </w:rPr>
        <w:footnoteReference w:id="18"/>
      </w:r>
      <w:r w:rsidRPr="009F3D7B">
        <w:rPr>
          <w:color w:val="000000"/>
        </w:rPr>
        <w:t xml:space="preserve">. Предложенията следва да включват съображения, свързани с пола и недискриминацията, и да са насочени към балансирано представителство на половете в екипите и дейностите по проектите. Важно е също така индивидуалните данни, събирани от бенефициерите, да бъдат разбити по пол </w:t>
      </w:r>
      <w:r w:rsidRPr="009F3D7B">
        <w:rPr>
          <w:i/>
          <w:iCs/>
          <w:color w:val="000000"/>
        </w:rPr>
        <w:t>(</w:t>
      </w:r>
      <w:hyperlink r:id="rId42" w:history="1">
        <w:r w:rsidRPr="009F3D7B">
          <w:rPr>
            <w:rStyle w:val="Hyperlink"/>
            <w:i/>
            <w:iCs/>
          </w:rPr>
          <w:t>данни, групирани по полов признак</w:t>
        </w:r>
      </w:hyperlink>
      <w:r w:rsidRPr="009F3D7B">
        <w:rPr>
          <w:i/>
          <w:iCs/>
          <w:color w:val="000000"/>
        </w:rPr>
        <w:t>)</w:t>
      </w:r>
      <w:r w:rsidRPr="009F3D7B">
        <w:rPr>
          <w:color w:val="000000"/>
        </w:rPr>
        <w:t xml:space="preserve">, увреждане или възраст, когато е възможно. </w:t>
      </w:r>
    </w:p>
    <w:p w14:paraId="28266E90" w14:textId="10C9CFF0" w:rsidR="00E95AAC" w:rsidRPr="009F3D7B" w:rsidRDefault="00E95AAC" w:rsidP="42BB08A3">
      <w:pPr>
        <w:widowControl w:val="0"/>
        <w:rPr>
          <w:rFonts w:eastAsia="Calibri"/>
          <w:color w:val="000000"/>
        </w:rPr>
      </w:pPr>
      <w:r w:rsidRPr="009F3D7B">
        <w:t>Кандидатите трябва да докажат в предложението си, че спазват етичните принципи и ценностите на ЕС, основани на член 2 от Договора за Европейския съюз и член 21 от Хартата на основните права на ЕС.</w:t>
      </w:r>
      <w:r w:rsidRPr="009F3D7B">
        <w:rPr>
          <w:color w:val="000000"/>
        </w:rPr>
        <w:t xml:space="preserve"> </w:t>
      </w:r>
    </w:p>
    <w:p w14:paraId="293AE190" w14:textId="6CDEE4B5" w:rsidR="008C58B6" w:rsidRPr="009F3D7B" w:rsidRDefault="008C58B6" w:rsidP="42BB08A3">
      <w:pPr>
        <w:widowControl w:val="0"/>
        <w:rPr>
          <w:rFonts w:eastAsia="Calibri"/>
          <w:color w:val="000000"/>
        </w:rPr>
      </w:pPr>
      <w:r w:rsidRPr="009F3D7B">
        <w:t xml:space="preserve">Освен това участниците в дейности, в които участват деца, трябва да имат политика за закрила на детето, която да обхваща четирите области, описани в </w:t>
      </w:r>
      <w:hyperlink r:id="rId43" w:history="1">
        <w:r w:rsidRPr="009F3D7B">
          <w:rPr>
            <w:rStyle w:val="Hyperlink"/>
          </w:rPr>
          <w:t>Стандартите за закрила на детето на организацията Keeping Children Safe</w:t>
        </w:r>
      </w:hyperlink>
      <w:r w:rsidRPr="009F3D7B">
        <w:rPr>
          <w:rStyle w:val="Hyperlink"/>
          <w:color w:val="auto"/>
          <w:u w:val="none"/>
        </w:rPr>
        <w:t>.</w:t>
      </w:r>
      <w:r w:rsidRPr="009F3D7B">
        <w:t xml:space="preserve"> Тази политика трябва да бъде достъпна онлайн и прозрачна за всички, които осъществяват контакт с организацията. Тя трябва да включва ясна информация относно набирането на служители (вкл. стажанти и доброволци) и да включва проверки на личното досие (проучване). В нея трябва да се съдържат и ясни процедури и правила за служителите, включително правила за докладване, както и продължаващо обучение.</w:t>
      </w:r>
    </w:p>
    <w:p w14:paraId="53A471EE" w14:textId="683081E0" w:rsidR="00656CD7" w:rsidRPr="009F3D7B" w:rsidRDefault="007926FA" w:rsidP="000579AF">
      <w:pPr>
        <w:pStyle w:val="Heading1"/>
        <w:numPr>
          <w:ilvl w:val="0"/>
          <w:numId w:val="54"/>
        </w:numPr>
        <w:tabs>
          <w:tab w:val="left" w:pos="284"/>
        </w:tabs>
        <w:ind w:left="0" w:firstLine="0"/>
      </w:pPr>
      <w:bookmarkStart w:id="20" w:name="_Toc92981837"/>
      <w:r w:rsidRPr="009F3D7B">
        <w:t>Финансов и оперативен капацитет и изключване</w:t>
      </w:r>
      <w:bookmarkEnd w:id="20"/>
    </w:p>
    <w:p w14:paraId="66B3A3A8" w14:textId="77777777" w:rsidR="006E2A2A" w:rsidRPr="009F3D7B" w:rsidRDefault="006E2A2A" w:rsidP="00510B7E">
      <w:pPr>
        <w:pStyle w:val="Heading3"/>
      </w:pPr>
      <w:bookmarkStart w:id="21" w:name="_Toc92981838"/>
      <w:r w:rsidRPr="009F3D7B">
        <w:t>Финансов капацитет</w:t>
      </w:r>
      <w:bookmarkEnd w:id="21"/>
    </w:p>
    <w:p w14:paraId="149A48F6" w14:textId="77777777" w:rsidR="006E2A2A" w:rsidRPr="009F3D7B" w:rsidRDefault="00C3565C" w:rsidP="006E2A2A">
      <w:pPr>
        <w:autoSpaceDE w:val="0"/>
        <w:autoSpaceDN w:val="0"/>
        <w:adjustRightInd w:val="0"/>
        <w:rPr>
          <w:rFonts w:cs="Verdana"/>
        </w:rPr>
      </w:pPr>
      <w:r w:rsidRPr="009F3D7B">
        <w:t xml:space="preserve">Кандидатите трябва да разполагат със </w:t>
      </w:r>
      <w:r w:rsidRPr="009F3D7B">
        <w:rPr>
          <w:b/>
        </w:rPr>
        <w:t xml:space="preserve">стабилни и достатъчни ресурси </w:t>
      </w:r>
      <w:r w:rsidRPr="009F3D7B">
        <w:t>за успешното изпълнение на проектите и да дадат своя принос за целта. Организациите, които участват в няколко проекта, трябва да разполагат с достатъчен капацитет за изпълнението на всички тези проекти.</w:t>
      </w:r>
    </w:p>
    <w:p w14:paraId="7DEDD28A" w14:textId="3DF8DF5A" w:rsidR="006E2A2A" w:rsidRPr="009F3D7B" w:rsidRDefault="006E2A2A" w:rsidP="006E2A2A">
      <w:pPr>
        <w:autoSpaceDE w:val="0"/>
        <w:autoSpaceDN w:val="0"/>
        <w:adjustRightInd w:val="0"/>
        <w:rPr>
          <w:rFonts w:cs="Verdana"/>
        </w:rPr>
      </w:pPr>
      <w:r w:rsidRPr="009F3D7B">
        <w:rPr>
          <w:color w:val="000000"/>
        </w:rPr>
        <w:t xml:space="preserve">Проверката на финансовия капацитет ще бъде извършена въз основа на документите, които трябва да приложите в </w:t>
      </w:r>
      <w:hyperlink r:id="rId44" w:history="1">
        <w:r w:rsidRPr="009F3D7B">
          <w:rPr>
            <w:rStyle w:val="Hyperlink"/>
          </w:rPr>
          <w:t>Регистъра на участниците</w:t>
        </w:r>
      </w:hyperlink>
      <w:r w:rsidRPr="009F3D7B">
        <w:rPr>
          <w:color w:val="000000"/>
        </w:rPr>
        <w:t xml:space="preserve"> в етапа на подготовката за предоставяне на безвъзмездните средства </w:t>
      </w:r>
      <w:r w:rsidRPr="009F3D7B">
        <w:rPr>
          <w:i/>
          <w:color w:val="000000"/>
        </w:rPr>
        <w:t>(напр. отчета за приходите и разходите и счетоводния баланс, бизнес плана, одитния доклад, изготвен от одобрен външен одитор, в който са заверени отчетите за последната финансова година и т.н.</w:t>
      </w:r>
      <w:r w:rsidRPr="009F3D7B">
        <w:rPr>
          <w:i/>
        </w:rPr>
        <w:t>)</w:t>
      </w:r>
      <w:r w:rsidRPr="009F3D7B">
        <w:t>. Анализът ще се основава на неутрални финансови показатели, но ще вземе предвид и други аспекти, например зависимостта от финансирането от ЕС, както и дефицита и приходите през предходните години.</w:t>
      </w:r>
    </w:p>
    <w:p w14:paraId="27B2FBC9" w14:textId="77777777" w:rsidR="006E2A2A" w:rsidRPr="009F3D7B" w:rsidRDefault="00736C6F" w:rsidP="006E2A2A">
      <w:pPr>
        <w:autoSpaceDE w:val="0"/>
        <w:autoSpaceDN w:val="0"/>
        <w:adjustRightInd w:val="0"/>
        <w:spacing w:after="120"/>
        <w:rPr>
          <w:rFonts w:cs="Verdana"/>
        </w:rPr>
      </w:pPr>
      <w:r w:rsidRPr="009F3D7B">
        <w:t xml:space="preserve">Проверката стандартно ще се извършва по отношение на всички бенефициери, освен: </w:t>
      </w:r>
    </w:p>
    <w:p w14:paraId="1872070B" w14:textId="6F724904" w:rsidR="006E2A2A" w:rsidRPr="009F3D7B" w:rsidRDefault="006E2A2A" w:rsidP="008B1F42">
      <w:pPr>
        <w:widowControl w:val="0"/>
        <w:numPr>
          <w:ilvl w:val="0"/>
          <w:numId w:val="34"/>
        </w:numPr>
        <w:spacing w:after="120"/>
        <w:ind w:left="709"/>
        <w:jc w:val="left"/>
        <w:rPr>
          <w:rFonts w:cs="Verdana"/>
        </w:rPr>
      </w:pPr>
      <w:r w:rsidRPr="009F3D7B">
        <w:t>публични органи (субекти, създадени като публичен орган в съответствие с националното право, включително местни, регионални или национални органи) или международни организации</w:t>
      </w:r>
    </w:p>
    <w:p w14:paraId="6984ED3C" w14:textId="77777777" w:rsidR="006E2A2A" w:rsidRPr="009F3D7B" w:rsidRDefault="006E2A2A" w:rsidP="008B1F42">
      <w:pPr>
        <w:widowControl w:val="0"/>
        <w:numPr>
          <w:ilvl w:val="0"/>
          <w:numId w:val="34"/>
        </w:numPr>
        <w:ind w:left="709" w:hanging="357"/>
        <w:rPr>
          <w:rFonts w:cs="Verdana"/>
        </w:rPr>
      </w:pPr>
      <w:r w:rsidRPr="009F3D7B">
        <w:t>ако размерът на поисканите безвъзмездни средства поотделно за всеки от бенефициерите не надвишава 60 000 EUR.</w:t>
      </w:r>
    </w:p>
    <w:p w14:paraId="2B8E1880" w14:textId="77777777" w:rsidR="008D31F6" w:rsidRPr="009F3D7B" w:rsidRDefault="008D31F6" w:rsidP="008D31F6">
      <w:pPr>
        <w:autoSpaceDE w:val="0"/>
        <w:autoSpaceDN w:val="0"/>
        <w:adjustRightInd w:val="0"/>
        <w:rPr>
          <w:rFonts w:cs="Verdana"/>
        </w:rPr>
      </w:pPr>
      <w:r w:rsidRPr="009F3D7B">
        <w:t>Ако е необходимо, това може да се направи и за свързани субекти.</w:t>
      </w:r>
    </w:p>
    <w:p w14:paraId="054EAA17" w14:textId="77777777" w:rsidR="006E2A2A" w:rsidRPr="009F3D7B" w:rsidRDefault="006E2A2A" w:rsidP="006E2A2A">
      <w:pPr>
        <w:autoSpaceDE w:val="0"/>
        <w:autoSpaceDN w:val="0"/>
        <w:adjustRightInd w:val="0"/>
        <w:spacing w:after="120"/>
        <w:rPr>
          <w:rFonts w:cs="Verdana"/>
        </w:rPr>
      </w:pPr>
      <w:r w:rsidRPr="009F3D7B">
        <w:t>В случай че преценим, че финансовият ви капацитет не е достатъчен, може да изискаме:</w:t>
      </w:r>
    </w:p>
    <w:p w14:paraId="35DFE1B0" w14:textId="77777777" w:rsidR="006E2A2A" w:rsidRPr="009F3D7B" w:rsidRDefault="006E2A2A" w:rsidP="008B1F42">
      <w:pPr>
        <w:widowControl w:val="0"/>
        <w:numPr>
          <w:ilvl w:val="0"/>
          <w:numId w:val="35"/>
        </w:numPr>
        <w:spacing w:after="120"/>
        <w:jc w:val="left"/>
        <w:rPr>
          <w:rFonts w:cs="Verdana"/>
        </w:rPr>
      </w:pPr>
      <w:r w:rsidRPr="009F3D7B">
        <w:t>допълнителна информация</w:t>
      </w:r>
    </w:p>
    <w:p w14:paraId="68E1F2A7" w14:textId="77777777" w:rsidR="006E2A2A" w:rsidRPr="009F3D7B" w:rsidRDefault="006E2A2A" w:rsidP="008B1F42">
      <w:pPr>
        <w:widowControl w:val="0"/>
        <w:numPr>
          <w:ilvl w:val="0"/>
          <w:numId w:val="35"/>
        </w:numPr>
        <w:spacing w:after="120"/>
        <w:jc w:val="left"/>
        <w:rPr>
          <w:rFonts w:cs="Verdana"/>
        </w:rPr>
      </w:pPr>
      <w:r w:rsidRPr="009F3D7B">
        <w:t xml:space="preserve">засилен режим на финансова отговорност, т.е. солидарна отговорност за </w:t>
      </w:r>
      <w:r w:rsidRPr="009F3D7B">
        <w:lastRenderedPageBreak/>
        <w:t xml:space="preserve">всички бенефициери или солидарна отговорност на свързаните субекти </w:t>
      </w:r>
      <w:r w:rsidRPr="009F3D7B">
        <w:rPr>
          <w:i/>
        </w:rPr>
        <w:t>(вж. раздел 10 по-долу)</w:t>
      </w:r>
    </w:p>
    <w:p w14:paraId="3F26E914" w14:textId="77777777" w:rsidR="006E2A2A" w:rsidRPr="009F3D7B" w:rsidRDefault="006E2A2A" w:rsidP="008B1F42">
      <w:pPr>
        <w:widowControl w:val="0"/>
        <w:numPr>
          <w:ilvl w:val="0"/>
          <w:numId w:val="35"/>
        </w:numPr>
        <w:spacing w:after="120"/>
        <w:jc w:val="left"/>
        <w:rPr>
          <w:rFonts w:cs="Verdana"/>
        </w:rPr>
      </w:pPr>
      <w:r w:rsidRPr="009F3D7B">
        <w:t xml:space="preserve">предварително финансиране, изплатено на вноски </w:t>
      </w:r>
    </w:p>
    <w:p w14:paraId="52C87A22" w14:textId="77777777" w:rsidR="006E2A2A" w:rsidRPr="009F3D7B" w:rsidRDefault="006E2A2A" w:rsidP="008B1F42">
      <w:pPr>
        <w:widowControl w:val="0"/>
        <w:numPr>
          <w:ilvl w:val="0"/>
          <w:numId w:val="35"/>
        </w:numPr>
        <w:spacing w:after="120"/>
        <w:jc w:val="left"/>
        <w:rPr>
          <w:rFonts w:cs="Verdana"/>
        </w:rPr>
      </w:pPr>
      <w:r w:rsidRPr="009F3D7B">
        <w:t xml:space="preserve">(една или повече) гаранции за предварително финансиране </w:t>
      </w:r>
      <w:r w:rsidRPr="009F3D7B">
        <w:rPr>
          <w:i/>
        </w:rPr>
        <w:t>(вж. раздел 10 по-долу)</w:t>
      </w:r>
    </w:p>
    <w:p w14:paraId="70024A55" w14:textId="77777777" w:rsidR="006E2A2A" w:rsidRPr="009F3D7B" w:rsidRDefault="006E2A2A" w:rsidP="006526A5">
      <w:pPr>
        <w:autoSpaceDE w:val="0"/>
        <w:autoSpaceDN w:val="0"/>
        <w:adjustRightInd w:val="0"/>
        <w:spacing w:after="120"/>
        <w:ind w:left="360"/>
        <w:rPr>
          <w:rFonts w:cs="Verdana"/>
        </w:rPr>
      </w:pPr>
      <w:r w:rsidRPr="009F3D7B">
        <w:t>или</w:t>
      </w:r>
    </w:p>
    <w:p w14:paraId="22EA92DF" w14:textId="77777777" w:rsidR="006E2A2A" w:rsidRPr="009F3D7B" w:rsidRDefault="00F82473" w:rsidP="008B1F42">
      <w:pPr>
        <w:widowControl w:val="0"/>
        <w:numPr>
          <w:ilvl w:val="0"/>
          <w:numId w:val="35"/>
        </w:numPr>
        <w:spacing w:after="120"/>
        <w:jc w:val="left"/>
        <w:rPr>
          <w:rFonts w:cs="Verdana"/>
        </w:rPr>
      </w:pPr>
      <w:r w:rsidRPr="009F3D7B">
        <w:t>да не се предлага предварително финансиране</w:t>
      </w:r>
    </w:p>
    <w:p w14:paraId="1C112F62" w14:textId="77777777" w:rsidR="004872A5" w:rsidRPr="009F3D7B" w:rsidRDefault="00F82473" w:rsidP="008B1F42">
      <w:pPr>
        <w:widowControl w:val="0"/>
        <w:numPr>
          <w:ilvl w:val="0"/>
          <w:numId w:val="35"/>
        </w:numPr>
        <w:ind w:left="714" w:hanging="357"/>
        <w:jc w:val="left"/>
        <w:rPr>
          <w:rFonts w:cs="Verdana"/>
        </w:rPr>
      </w:pPr>
      <w:r w:rsidRPr="009F3D7B">
        <w:t>да поискаме да бъдете заменени или, ако е необходимо, да отхвърлим цялото предложение.</w:t>
      </w:r>
    </w:p>
    <w:p w14:paraId="51C2ADF5" w14:textId="0F9D533E" w:rsidR="004872A5" w:rsidRPr="009F3D7B" w:rsidRDefault="005A3754" w:rsidP="004872A5">
      <w:pPr>
        <w:autoSpaceDE w:val="0"/>
        <w:autoSpaceDN w:val="0"/>
        <w:adjustRightInd w:val="0"/>
        <w:rPr>
          <w:rFonts w:cs="Verdana"/>
        </w:rPr>
      </w:pPr>
      <w:r w:rsidRPr="009F3D7B">
        <w:rPr>
          <w:noProof/>
          <w:lang w:val="en-IE" w:eastAsia="en-IE"/>
        </w:rPr>
        <w:drawing>
          <wp:inline distT="0" distB="0" distL="0" distR="0" wp14:anchorId="3DE171D9" wp14:editId="51BBA326">
            <wp:extent cx="187960" cy="187960"/>
            <wp:effectExtent l="0" t="0" r="0" b="0"/>
            <wp:docPr id="8" name="Picture 670183101"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0183101" name="Picture 670183101"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9F3D7B">
        <w:t xml:space="preserve">За повече информация </w:t>
      </w:r>
      <w:r w:rsidRPr="009F3D7B">
        <w:rPr>
          <w:i/>
          <w:iCs/>
        </w:rPr>
        <w:t xml:space="preserve">вж. </w:t>
      </w:r>
      <w:hyperlink r:id="rId45">
        <w:r w:rsidRPr="009F3D7B">
          <w:rPr>
            <w:rStyle w:val="Hyperlink"/>
            <w:i/>
            <w:iCs/>
          </w:rPr>
          <w:t>Правила относно валидирането на правни субекти, определяне на упълномощен представител на правния субект (УППС) и оценка на финансовия капацитет</w:t>
        </w:r>
      </w:hyperlink>
      <w:r w:rsidRPr="009F3D7B">
        <w:t xml:space="preserve">. </w:t>
      </w:r>
    </w:p>
    <w:p w14:paraId="3ACB9AAA" w14:textId="77777777" w:rsidR="006E2A2A" w:rsidRPr="009F3D7B" w:rsidRDefault="006E2A2A" w:rsidP="00510B7E">
      <w:pPr>
        <w:pStyle w:val="Heading3"/>
      </w:pPr>
      <w:bookmarkStart w:id="22" w:name="_Toc92981839"/>
      <w:r w:rsidRPr="009F3D7B">
        <w:t>Оперативен капацитет</w:t>
      </w:r>
      <w:bookmarkEnd w:id="22"/>
    </w:p>
    <w:p w14:paraId="2FF93796" w14:textId="77777777" w:rsidR="006E2A2A" w:rsidRPr="009F3D7B" w:rsidRDefault="00C3565C" w:rsidP="006E2A2A">
      <w:pPr>
        <w:pStyle w:val="Text3"/>
        <w:ind w:left="0"/>
      </w:pPr>
      <w:r w:rsidRPr="009F3D7B">
        <w:t xml:space="preserve">Кандидатите трябва да разполагат с </w:t>
      </w:r>
      <w:r w:rsidRPr="009F3D7B">
        <w:rPr>
          <w:b/>
          <w:bCs/>
        </w:rPr>
        <w:t>ноу-хау, квалификации</w:t>
      </w:r>
      <w:r w:rsidRPr="009F3D7B">
        <w:t xml:space="preserve"> и </w:t>
      </w:r>
      <w:r w:rsidRPr="009F3D7B">
        <w:rPr>
          <w:b/>
          <w:bCs/>
        </w:rPr>
        <w:t>ресурси</w:t>
      </w:r>
      <w:r w:rsidRPr="009F3D7B">
        <w:t xml:space="preserve">, за успешното изпълнение на проектите и за да дадат своя принос за целта (вкл. достатъчен опит в проекти, които са сравними по мащаби и естество). </w:t>
      </w:r>
    </w:p>
    <w:p w14:paraId="2201BC88" w14:textId="782EDE19" w:rsidR="00ED6A73" w:rsidRPr="009F3D7B" w:rsidRDefault="00B63826" w:rsidP="00B63826">
      <w:pPr>
        <w:pStyle w:val="Text3"/>
        <w:ind w:left="0"/>
      </w:pPr>
      <w:r w:rsidRPr="009F3D7B">
        <w:t xml:space="preserve">Този капацитет ще бъде оценен заедно с критериите за предоставяне на безвъзмездни средства по отношение на качеството, въз основа на компетентността и опита на кандидатите и техните екипи по проектите, включително оперативните ресурси (човешки, технически и други) или, по изключение, мерките, предложени за сдобиването с такива преди започване на задачата. </w:t>
      </w:r>
    </w:p>
    <w:p w14:paraId="4FA70017" w14:textId="4406A1FB" w:rsidR="00B63826" w:rsidRPr="009F3D7B" w:rsidRDefault="00B63826" w:rsidP="00B63826">
      <w:pPr>
        <w:pStyle w:val="Text3"/>
        <w:ind w:left="0"/>
        <w:rPr>
          <w:iCs/>
        </w:rPr>
      </w:pPr>
      <w:r w:rsidRPr="009F3D7B">
        <w:t xml:space="preserve">Ако оценката на критерия за предоставяне на безвъзмездни средства е положителна, се счита, че кандидатите имат достатъчен оперативен капацитет. </w:t>
      </w:r>
    </w:p>
    <w:p w14:paraId="100BC74F" w14:textId="210545B4" w:rsidR="006E2A2A" w:rsidRPr="009F3D7B" w:rsidRDefault="006E2A2A" w:rsidP="006E2A2A">
      <w:pPr>
        <w:pStyle w:val="Text3"/>
        <w:spacing w:after="120"/>
        <w:ind w:left="0"/>
        <w:rPr>
          <w:iCs/>
        </w:rPr>
      </w:pPr>
      <w:r w:rsidRPr="009F3D7B">
        <w:t>Кандидатите трябва да докажат този капацитет чрез следната информация:</w:t>
      </w:r>
    </w:p>
    <w:p w14:paraId="2EE9C956" w14:textId="77777777" w:rsidR="006E2A2A" w:rsidRPr="009F3D7B" w:rsidRDefault="006E2A2A" w:rsidP="008B1F42">
      <w:pPr>
        <w:widowControl w:val="0"/>
        <w:numPr>
          <w:ilvl w:val="0"/>
          <w:numId w:val="39"/>
        </w:numPr>
        <w:spacing w:after="120"/>
        <w:ind w:left="709"/>
        <w:rPr>
          <w:iCs/>
        </w:rPr>
      </w:pPr>
      <w:r w:rsidRPr="009F3D7B">
        <w:t>общи профили (квалификации и опит) на служителите, отговарящи за управлението и изпълнението на проекта</w:t>
      </w:r>
    </w:p>
    <w:p w14:paraId="59DDC574" w14:textId="11BA162A" w:rsidR="006E2A2A" w:rsidRPr="009F3D7B" w:rsidRDefault="003D41B5" w:rsidP="008B1F42">
      <w:pPr>
        <w:widowControl w:val="0"/>
        <w:numPr>
          <w:ilvl w:val="0"/>
          <w:numId w:val="39"/>
        </w:numPr>
        <w:spacing w:after="120"/>
        <w:ind w:left="709"/>
        <w:jc w:val="left"/>
        <w:rPr>
          <w:iCs/>
        </w:rPr>
      </w:pPr>
      <w:r w:rsidRPr="009F3D7B">
        <w:t>описание на участниците в консорциума (ако е приложимо)</w:t>
      </w:r>
    </w:p>
    <w:p w14:paraId="636FD13C" w14:textId="34E49CF9" w:rsidR="0091480A" w:rsidRPr="009F3D7B" w:rsidRDefault="009F0186" w:rsidP="008B1F42">
      <w:pPr>
        <w:widowControl w:val="0"/>
        <w:numPr>
          <w:ilvl w:val="0"/>
          <w:numId w:val="39"/>
        </w:numPr>
        <w:spacing w:after="120"/>
        <w:ind w:left="709"/>
        <w:jc w:val="left"/>
        <w:rPr>
          <w:iCs/>
        </w:rPr>
      </w:pPr>
      <w:r w:rsidRPr="009F3D7B">
        <w:t>списък на предишни проекти (основните проекти през последните 4 години).</w:t>
      </w:r>
    </w:p>
    <w:p w14:paraId="4146F9AB" w14:textId="77777777" w:rsidR="00500DB3" w:rsidRPr="009F3D7B" w:rsidRDefault="00FD4F03" w:rsidP="006E2A2A">
      <w:pPr>
        <w:pStyle w:val="Text3"/>
        <w:ind w:left="0"/>
        <w:rPr>
          <w:iCs/>
        </w:rPr>
      </w:pPr>
      <w:r w:rsidRPr="009F3D7B">
        <w:t>Може да бъдат изисквани допълнителни придружаващи документи, ако са необходими за доказване на оперативния капацитет на някой от кандидатите.</w:t>
      </w:r>
    </w:p>
    <w:p w14:paraId="5AE4F088" w14:textId="4829F045" w:rsidR="006E2A2A" w:rsidRPr="009F3D7B" w:rsidRDefault="006E2A2A" w:rsidP="006E2A2A">
      <w:pPr>
        <w:pStyle w:val="Text3"/>
        <w:ind w:left="0"/>
        <w:rPr>
          <w:iCs/>
        </w:rPr>
      </w:pPr>
      <w:r w:rsidRPr="009F3D7B">
        <w:t xml:space="preserve">Публичните органи, организациите на държавите членки и международните организации са освободени от проверката на оперативния капацитет. </w:t>
      </w:r>
    </w:p>
    <w:p w14:paraId="66520A48" w14:textId="77777777" w:rsidR="00276AD7" w:rsidRPr="009F3D7B" w:rsidRDefault="00267836" w:rsidP="00510B7E">
      <w:pPr>
        <w:pStyle w:val="Heading3"/>
      </w:pPr>
      <w:bookmarkStart w:id="23" w:name="_Toc92981840"/>
      <w:r w:rsidRPr="009F3D7B">
        <w:t>Изключване</w:t>
      </w:r>
      <w:bookmarkEnd w:id="23"/>
    </w:p>
    <w:p w14:paraId="746153C7" w14:textId="77777777" w:rsidR="00267836" w:rsidRPr="009F3D7B" w:rsidRDefault="0030065F" w:rsidP="002B5DFF">
      <w:pPr>
        <w:pStyle w:val="Text1"/>
        <w:spacing w:after="120"/>
        <w:ind w:left="0"/>
        <w:rPr>
          <w:rFonts w:eastAsia="Calibri"/>
        </w:rPr>
      </w:pPr>
      <w:r w:rsidRPr="009F3D7B">
        <w:t xml:space="preserve">Кандидатите, за които се прилага </w:t>
      </w:r>
      <w:r w:rsidRPr="009F3D7B">
        <w:rPr>
          <w:b/>
        </w:rPr>
        <w:t>решение на ЕС за изключване</w:t>
      </w:r>
      <w:r w:rsidRPr="009F3D7B">
        <w:t xml:space="preserve"> или се намират в някое от следните </w:t>
      </w:r>
      <w:r w:rsidRPr="009F3D7B">
        <w:rPr>
          <w:b/>
        </w:rPr>
        <w:t>положения, налагащи изключване</w:t>
      </w:r>
      <w:r w:rsidRPr="009F3D7B">
        <w:t>, заради което им е забранено да получават финансиране от ЕС, НЕ могат да участват</w:t>
      </w:r>
      <w:r w:rsidR="005124D8" w:rsidRPr="009F3D7B">
        <w:rPr>
          <w:rFonts w:eastAsia="SimSun"/>
          <w:vertAlign w:val="superscript"/>
        </w:rPr>
        <w:footnoteReference w:id="19"/>
      </w:r>
      <w:r w:rsidRPr="009F3D7B">
        <w:t>:</w:t>
      </w:r>
    </w:p>
    <w:p w14:paraId="7DBEE11E" w14:textId="77777777" w:rsidR="00267836" w:rsidRPr="009F3D7B" w:rsidRDefault="00267836" w:rsidP="00584316">
      <w:pPr>
        <w:numPr>
          <w:ilvl w:val="3"/>
          <w:numId w:val="19"/>
        </w:numPr>
        <w:snapToGrid w:val="0"/>
        <w:spacing w:after="120"/>
        <w:ind w:left="709"/>
        <w:rPr>
          <w:rFonts w:eastAsia="Calibri"/>
        </w:rPr>
      </w:pPr>
      <w:r w:rsidRPr="009F3D7B">
        <w:t xml:space="preserve">са в несъстоятелност, производство по ликвидация, тяхната дейност е под разпореждане на съда, сключили са споразумение с кредитори, преустановили са стопанската си дейност или се намират в аналогично </w:t>
      </w:r>
      <w:r w:rsidRPr="009F3D7B">
        <w:lastRenderedPageBreak/>
        <w:t>положение, произтичащо от сходна процедура (вкл. процедури за лица с неограничена отговорност по отношение на дълговете на кандидата)</w:t>
      </w:r>
    </w:p>
    <w:p w14:paraId="1ECF36A2" w14:textId="77777777" w:rsidR="00267836" w:rsidRPr="009F3D7B" w:rsidRDefault="00267836" w:rsidP="00584316">
      <w:pPr>
        <w:numPr>
          <w:ilvl w:val="2"/>
          <w:numId w:val="20"/>
        </w:numPr>
        <w:snapToGrid w:val="0"/>
        <w:spacing w:after="120"/>
        <w:ind w:left="709"/>
        <w:rPr>
          <w:rFonts w:eastAsia="Calibri"/>
        </w:rPr>
      </w:pPr>
      <w:r w:rsidRPr="009F3D7B">
        <w:t>нарушили са задълженията си по отношение на плащането на социално осигурителни вноски или данъци (вкл. ако такова нарушение е извършено от лица с неограничена отговорност по отношение на дълговете на кандидата)</w:t>
      </w:r>
    </w:p>
    <w:p w14:paraId="0E6FACB6" w14:textId="32F9B49C" w:rsidR="00267836" w:rsidRPr="009F3D7B" w:rsidRDefault="00267836" w:rsidP="00584316">
      <w:pPr>
        <w:numPr>
          <w:ilvl w:val="2"/>
          <w:numId w:val="20"/>
        </w:numPr>
        <w:snapToGrid w:val="0"/>
        <w:spacing w:after="120"/>
        <w:ind w:left="709"/>
        <w:rPr>
          <w:rFonts w:eastAsia="Calibri"/>
        </w:rPr>
      </w:pPr>
      <w:r w:rsidRPr="009F3D7B">
        <w:t>признати са за виновни за тежко професионално нарушение</w:t>
      </w:r>
      <w:r w:rsidRPr="009F3D7B">
        <w:rPr>
          <w:rFonts w:eastAsia="Calibri"/>
          <w:vertAlign w:val="superscript"/>
          <w:lang w:eastAsia="zh-CN"/>
        </w:rPr>
        <w:footnoteReference w:id="20"/>
      </w:r>
      <w:r w:rsidRPr="009F3D7B">
        <w:t xml:space="preserve"> (вкл. ако е извършено от лица с правомощия за представителство, вземане на решения или контрол, действителни собственици или лица, които са от съществено значение за възлагането/изпълнението на договора за безвъзмездни средства) </w:t>
      </w:r>
    </w:p>
    <w:p w14:paraId="0465AD17" w14:textId="74F042D4" w:rsidR="00267836" w:rsidRPr="009F3D7B" w:rsidRDefault="00FE58D1" w:rsidP="00584316">
      <w:pPr>
        <w:numPr>
          <w:ilvl w:val="2"/>
          <w:numId w:val="20"/>
        </w:numPr>
        <w:snapToGrid w:val="0"/>
        <w:spacing w:after="120"/>
        <w:ind w:left="709"/>
        <w:rPr>
          <w:rFonts w:eastAsia="Calibri"/>
        </w:rPr>
      </w:pPr>
      <w:r w:rsidRPr="009F3D7B">
        <w:t>извършили са измама, корупция, свързани са с престъпна организация, изпиране на пари, престъпления, свързани с тероризма (вкл. финансиране на тероризъм), експлоатация на детски труд или трафик на хора (вкл. ако е извършено от лица с правомощия за представителство, вземане на решения или контрол, действителни собственици или лица, които са от съществено значение за възлагането/изпълнението на договора за безвъзмездни средства)</w:t>
      </w:r>
    </w:p>
    <w:p w14:paraId="4BAE0C78" w14:textId="1064C024" w:rsidR="00267836" w:rsidRPr="009F3D7B" w:rsidRDefault="00267836" w:rsidP="00584316">
      <w:pPr>
        <w:numPr>
          <w:ilvl w:val="1"/>
          <w:numId w:val="19"/>
        </w:numPr>
        <w:snapToGrid w:val="0"/>
        <w:spacing w:after="120"/>
        <w:ind w:left="709" w:hanging="357"/>
        <w:rPr>
          <w:rFonts w:eastAsia="Calibri"/>
        </w:rPr>
      </w:pPr>
      <w:r w:rsidRPr="009F3D7B">
        <w:t>показали са съществени пропуски във връзка със спазването на основни задължения по изпълнението на договор за обществена поръчка на ЕС, на споразумение за предоставяне на безвъзмездни средства, награди, договори на експертни услуги или подобни (вкл. ако е извършено от лица с правомощия за представителство, вземане на решения или контрол, действителни собственици или лица, които са от съществено значение за възлагането/изпълнението на договора за безвъзмездни средства)</w:t>
      </w:r>
    </w:p>
    <w:p w14:paraId="6F212B83" w14:textId="218F394F" w:rsidR="00E94DFF" w:rsidRPr="009F3D7B" w:rsidRDefault="00267836" w:rsidP="00584316">
      <w:pPr>
        <w:numPr>
          <w:ilvl w:val="1"/>
          <w:numId w:val="19"/>
        </w:numPr>
        <w:snapToGrid w:val="0"/>
        <w:ind w:left="709" w:hanging="357"/>
        <w:rPr>
          <w:rFonts w:eastAsia="Calibri"/>
        </w:rPr>
      </w:pPr>
      <w:r w:rsidRPr="009F3D7B">
        <w:t>признати са за виновни за неправомерни действия по смисъла на член 1, параграф 2 от Регламент № </w:t>
      </w:r>
      <w:hyperlink r:id="rId46" w:history="1">
        <w:r w:rsidRPr="009F3D7B">
          <w:rPr>
            <w:rStyle w:val="Hyperlink"/>
          </w:rPr>
          <w:t>2988/95</w:t>
        </w:r>
      </w:hyperlink>
      <w:r w:rsidRPr="009F3D7B">
        <w:t xml:space="preserve"> (вкл. ако е извършено от лица с правомощия за представителство, вземане на решения или контрол, действителни собственици или лица, които са от съществено значение за възлагането/изпълнението на договора за безвъзмездни средства)</w:t>
      </w:r>
    </w:p>
    <w:p w14:paraId="668F2B36" w14:textId="65F190E1" w:rsidR="00276AD7" w:rsidRPr="009F3D7B" w:rsidRDefault="00E94DFF" w:rsidP="00584316">
      <w:pPr>
        <w:numPr>
          <w:ilvl w:val="1"/>
          <w:numId w:val="19"/>
        </w:numPr>
        <w:snapToGrid w:val="0"/>
        <w:ind w:left="709" w:hanging="357"/>
        <w:rPr>
          <w:rFonts w:eastAsia="Calibri"/>
        </w:rPr>
      </w:pPr>
      <w:r w:rsidRPr="009F3D7B">
        <w:t>учредени са в друга юрисдикция с намерението да се заобиколят данъчни, социални или други правни задължения в държавата на произход, или са учредили друг субект с такава цел (вкл. ако е извършено от лица с правомощия за представителство, вземане на решения или контрол, действителни собственици или лица, които са от съществено значение за възлагането/изпълнението на договора за безвъзмездни средства).</w:t>
      </w:r>
    </w:p>
    <w:p w14:paraId="1D79A2BE" w14:textId="77777777" w:rsidR="000844D0" w:rsidRPr="009F3D7B" w:rsidRDefault="000844D0" w:rsidP="00F81E91">
      <w:pPr>
        <w:snapToGrid w:val="0"/>
      </w:pPr>
      <w:r w:rsidRPr="009F3D7B">
        <w:t>Кандидатите ще бъдат изключени, ако се окаже, че</w:t>
      </w:r>
      <w:r w:rsidR="00C9027A" w:rsidRPr="009F3D7B">
        <w:rPr>
          <w:rStyle w:val="FootnoteReference"/>
          <w:rFonts w:eastAsia="Calibri"/>
          <w:lang w:eastAsia="zh-CN"/>
        </w:rPr>
        <w:footnoteReference w:id="21"/>
      </w:r>
      <w:r w:rsidRPr="009F3D7B">
        <w:t xml:space="preserve">: </w:t>
      </w:r>
    </w:p>
    <w:p w14:paraId="6555470F" w14:textId="77777777" w:rsidR="000844D0" w:rsidRPr="009F3D7B" w:rsidRDefault="00B7081A" w:rsidP="00584316">
      <w:pPr>
        <w:pStyle w:val="Default"/>
        <w:numPr>
          <w:ilvl w:val="0"/>
          <w:numId w:val="21"/>
        </w:numPr>
        <w:spacing w:after="200"/>
        <w:jc w:val="both"/>
        <w:rPr>
          <w:rFonts w:ascii="Verdana" w:hAnsi="Verdana"/>
          <w:sz w:val="20"/>
          <w:szCs w:val="20"/>
        </w:rPr>
      </w:pPr>
      <w:r w:rsidRPr="009F3D7B">
        <w:rPr>
          <w:rFonts w:ascii="Verdana" w:hAnsi="Verdana"/>
          <w:sz w:val="20"/>
          <w:szCs w:val="20"/>
        </w:rPr>
        <w:t xml:space="preserve">по време на процедурата по предоставяне на безвъзмездни средства са подали неверни данни при предоставянето на информацията, изисквана като условие за участие, или не са предоставили такава информация </w:t>
      </w:r>
    </w:p>
    <w:p w14:paraId="1393E75D" w14:textId="77777777" w:rsidR="00C93C87" w:rsidRPr="009F3D7B" w:rsidRDefault="00B7081A" w:rsidP="00584316">
      <w:pPr>
        <w:pStyle w:val="Default"/>
        <w:numPr>
          <w:ilvl w:val="0"/>
          <w:numId w:val="21"/>
        </w:numPr>
        <w:spacing w:after="200"/>
        <w:jc w:val="both"/>
        <w:rPr>
          <w:rFonts w:ascii="Verdana" w:hAnsi="Verdana"/>
          <w:sz w:val="20"/>
          <w:szCs w:val="20"/>
        </w:rPr>
      </w:pPr>
      <w:r w:rsidRPr="009F3D7B">
        <w:rPr>
          <w:rFonts w:ascii="Verdana" w:hAnsi="Verdana"/>
          <w:sz w:val="20"/>
          <w:szCs w:val="20"/>
        </w:rPr>
        <w:t>са участвали в подготвянето на процедурата по поканата за представяне на предложения и това води до нарушаване на конкуренцията, което не може да бъде поправено по друг начин (конфликт на интереси).</w:t>
      </w:r>
    </w:p>
    <w:p w14:paraId="52FA627E" w14:textId="6564E345" w:rsidR="0076737E" w:rsidRPr="009F3D7B" w:rsidRDefault="00510B7E" w:rsidP="000579AF">
      <w:pPr>
        <w:pStyle w:val="Heading1"/>
        <w:numPr>
          <w:ilvl w:val="0"/>
          <w:numId w:val="54"/>
        </w:numPr>
        <w:tabs>
          <w:tab w:val="left" w:pos="284"/>
        </w:tabs>
        <w:ind w:left="0" w:firstLine="0"/>
      </w:pPr>
      <w:bookmarkStart w:id="24" w:name="_Toc92981841"/>
      <w:r w:rsidRPr="009F3D7B">
        <w:t xml:space="preserve">Процедура за оценяване и процедура за предоставяне на безвъзмездни </w:t>
      </w:r>
      <w:r w:rsidRPr="009F3D7B">
        <w:lastRenderedPageBreak/>
        <w:t>средства</w:t>
      </w:r>
      <w:bookmarkEnd w:id="24"/>
    </w:p>
    <w:p w14:paraId="4AEDF33E" w14:textId="2A21C125" w:rsidR="001A2CE3" w:rsidRPr="009F3D7B" w:rsidRDefault="001E6C28" w:rsidP="001A2CE3">
      <w:r w:rsidRPr="009F3D7B">
        <w:t xml:space="preserve">Предложенията трябва да следват </w:t>
      </w:r>
      <w:r w:rsidRPr="009F3D7B">
        <w:rPr>
          <w:b/>
        </w:rPr>
        <w:t>стандартната процедура за кандидатстване и оценяване</w:t>
      </w:r>
      <w:r w:rsidRPr="009F3D7B">
        <w:t xml:space="preserve"> (процедура за кандидатстване на един етап + процедура за оценяване на един етап). </w:t>
      </w:r>
    </w:p>
    <w:p w14:paraId="1D076F53" w14:textId="1FE6714E" w:rsidR="00BD67F7" w:rsidRPr="009F3D7B" w:rsidRDefault="00593F0C" w:rsidP="0015357F">
      <w:r w:rsidRPr="009F3D7B">
        <w:rPr>
          <w:b/>
        </w:rPr>
        <w:t>Комисия за оценка</w:t>
      </w:r>
      <w:r w:rsidRPr="009F3D7B">
        <w:t xml:space="preserve"> (подпомагана от независими външни експерти) ще оценява всички предложения. Първо ще бъде проверено дали предложенията отговарят на формалните изисквания (приемливост и допустимост, </w:t>
      </w:r>
      <w:r w:rsidRPr="009F3D7B">
        <w:rPr>
          <w:i/>
        </w:rPr>
        <w:t>вж. раздели 5 и 6</w:t>
      </w:r>
      <w:r w:rsidRPr="009F3D7B">
        <w:t xml:space="preserve">). Предложенията, които са счетени за приемливи и допустими, ще бъдат оценени (за всяка тема) спрямо критериите за оперативния капацитет и за възлагане </w:t>
      </w:r>
      <w:r w:rsidRPr="009F3D7B">
        <w:rPr>
          <w:i/>
        </w:rPr>
        <w:t>(вж. раздели 7 и 9)</w:t>
      </w:r>
      <w:r w:rsidRPr="009F3D7B">
        <w:t xml:space="preserve"> и след това ще бъдат класирани според техните оценки.</w:t>
      </w:r>
    </w:p>
    <w:p w14:paraId="4BC27C4D" w14:textId="77777777" w:rsidR="00BE09D3" w:rsidRPr="009F3D7B" w:rsidRDefault="00500DB3" w:rsidP="00211623">
      <w:pPr>
        <w:autoSpaceDE w:val="0"/>
        <w:autoSpaceDN w:val="0"/>
        <w:adjustRightInd w:val="0"/>
        <w:rPr>
          <w:rFonts w:cs="Arial"/>
        </w:rPr>
      </w:pPr>
      <w:r w:rsidRPr="009F3D7B">
        <w:t xml:space="preserve">По отношение на предложения, които имат еднакъв брой точки (в обхвата на дадена тема или бюджетен пакет) ще бъде определен </w:t>
      </w:r>
      <w:r w:rsidRPr="009F3D7B">
        <w:rPr>
          <w:b/>
        </w:rPr>
        <w:t xml:space="preserve">приоритетен ред, </w:t>
      </w:r>
      <w:r w:rsidRPr="009F3D7B">
        <w:t xml:space="preserve">в съответствие със следния подход: </w:t>
      </w:r>
    </w:p>
    <w:p w14:paraId="7F276C70" w14:textId="4CF76B9F" w:rsidR="00500DB3" w:rsidRPr="009F3D7B" w:rsidRDefault="00BE09D3" w:rsidP="00BD5FB0">
      <w:pPr>
        <w:autoSpaceDE w:val="0"/>
        <w:autoSpaceDN w:val="0"/>
        <w:adjustRightInd w:val="0"/>
        <w:ind w:left="284"/>
        <w:rPr>
          <w:rFonts w:cs="Arial"/>
        </w:rPr>
      </w:pPr>
      <w:r w:rsidRPr="009F3D7B">
        <w:t xml:space="preserve">Последователно за всяка група предложения </w:t>
      </w:r>
      <w:r w:rsidRPr="009F3D7B">
        <w:rPr>
          <w:i/>
          <w:iCs/>
        </w:rPr>
        <w:t>ex aequo</w:t>
      </w:r>
      <w:r w:rsidRPr="009F3D7B">
        <w:t xml:space="preserve">, като се започне с групата с най-висок резултат и се продължи в низходящ ред: </w:t>
      </w:r>
    </w:p>
    <w:p w14:paraId="63274A2E" w14:textId="3280FD8A" w:rsidR="00500DB3" w:rsidRPr="009F3D7B" w:rsidRDefault="00500DB3" w:rsidP="00584316">
      <w:pPr>
        <w:numPr>
          <w:ilvl w:val="0"/>
          <w:numId w:val="30"/>
        </w:numPr>
        <w:autoSpaceDE w:val="0"/>
        <w:autoSpaceDN w:val="0"/>
        <w:adjustRightInd w:val="0"/>
        <w:ind w:left="714" w:hanging="357"/>
        <w:rPr>
          <w:rFonts w:cs="Arial"/>
        </w:rPr>
      </w:pPr>
      <w:r w:rsidRPr="009F3D7B">
        <w:t xml:space="preserve">Предложенията </w:t>
      </w:r>
      <w:r w:rsidRPr="009F3D7B">
        <w:rPr>
          <w:i/>
          <w:iCs/>
        </w:rPr>
        <w:t>ex aequo</w:t>
      </w:r>
      <w:r w:rsidRPr="009F3D7B">
        <w:t xml:space="preserve"> в рамките на една и съща тема ще бъдат подредени по приоритет в зависимост от оценките, които са получили по критерий за възлагане „Целесъобразност“. Ако броят точки е еднакъв, приоритетното разглеждане ще се базира на техния брой точки по критерий „Качество“. Ако броят точки е еднакъв, приоритетното разглеждане ще се базира на техния брой точки по критерий „Въздействие“. </w:t>
      </w:r>
    </w:p>
    <w:p w14:paraId="309BB099" w14:textId="0A549492" w:rsidR="00A53E20" w:rsidRPr="009F3D7B" w:rsidRDefault="00510B7E" w:rsidP="00A32077">
      <w:pPr>
        <w:shd w:val="clear" w:color="auto" w:fill="FFFFFF"/>
      </w:pPr>
      <w:r w:rsidRPr="009F3D7B">
        <w:t>По отношение на всички предложения ще бъде предоставена информация относно резултата от оценката (</w:t>
      </w:r>
      <w:r w:rsidRPr="009F3D7B">
        <w:rPr>
          <w:b/>
          <w:bCs/>
        </w:rPr>
        <w:t>писмо, съдържащо резултата от оценката</w:t>
      </w:r>
      <w:r w:rsidRPr="009F3D7B">
        <w:t xml:space="preserve">). За успешните предложения ще бъде отправена покана за подготовката за предоставяне на безвъзмездните средства; останалите ще бъдат включени в списъка с одобрени кандидати или ще бъдат отхвърлени. </w:t>
      </w:r>
    </w:p>
    <w:p w14:paraId="300D5057" w14:textId="45043F45" w:rsidR="006004D2" w:rsidRPr="009F3D7B" w:rsidRDefault="005A3754" w:rsidP="006004D2">
      <w:pPr>
        <w:ind w:right="-31"/>
      </w:pPr>
      <w:r w:rsidRPr="009F3D7B">
        <w:rPr>
          <w:noProof/>
          <w:lang w:val="en-IE" w:eastAsia="en-IE"/>
        </w:rPr>
        <w:drawing>
          <wp:inline distT="0" distB="0" distL="0" distR="0" wp14:anchorId="0CD967B4" wp14:editId="6D17CC44">
            <wp:extent cx="187960" cy="187960"/>
            <wp:effectExtent l="0" t="0" r="0" b="0"/>
            <wp:docPr id="9" name="Picture 5487983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879837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9F3D7B">
        <w:t xml:space="preserve">Непоемане на ангажимент за финансиране — Поканата за подготовката за предоставяне на безвъзмездни средства НЕ представлява поемане на официален ангажимент за финансиране. Все пак ще бъде необходимо да извършим различни проверки на законността преди предоставянето на безвъзмездни средства: валидиране на юридическото лице, проверка на финансовия капацитет, </w:t>
      </w:r>
      <w:r w:rsidRPr="009F3D7B">
        <w:rPr>
          <w:i/>
          <w:iCs/>
        </w:rPr>
        <w:t>проверка за изключване и т.н</w:t>
      </w:r>
      <w:r w:rsidRPr="009F3D7B">
        <w:t>.</w:t>
      </w:r>
    </w:p>
    <w:p w14:paraId="3A6DC8C6" w14:textId="25AE1349" w:rsidR="002B5DFF" w:rsidRPr="009F3D7B" w:rsidRDefault="002B5DFF" w:rsidP="002B5DFF">
      <w:pPr>
        <w:ind w:right="-31"/>
      </w:pPr>
      <w:r w:rsidRPr="009F3D7B">
        <w:rPr>
          <w:b/>
        </w:rPr>
        <w:t>Подготовката за предоставяне на безвъзмездни средства</w:t>
      </w:r>
      <w:r w:rsidRPr="009F3D7B">
        <w:t xml:space="preserve"> ще включва диалог, целящ прецизиране на техническите или финансовите аспекти на проекта, за което от вас може да се изисква да предоставите допълнителна информация. Тя може също така да включва коригиране на предложенията в отговор на препоръките на комисията за оценка или на други опасения. Съответствието ще бъде предпоставка за подписване на споразумението за предоставяне на безвъзмездни средства.</w:t>
      </w:r>
    </w:p>
    <w:p w14:paraId="20BC1964" w14:textId="0E963FA1" w:rsidR="006004D2" w:rsidRPr="009F3D7B" w:rsidRDefault="006004D2" w:rsidP="002B5DFF">
      <w:pPr>
        <w:ind w:right="-31"/>
      </w:pPr>
      <w:r w:rsidRPr="009F3D7B">
        <w:t xml:space="preserve">Ако считате, че по процедурата за оценяване е имало недостатъци, можете да подадете </w:t>
      </w:r>
      <w:r w:rsidRPr="009F3D7B">
        <w:rPr>
          <w:b/>
        </w:rPr>
        <w:t>жалба</w:t>
      </w:r>
      <w:r w:rsidRPr="009F3D7B">
        <w:t xml:space="preserve"> (като спазвате крайните срокове и процедурите, посочени в писмото, съдържащо резултата от оценката). Обърнете внимание, че за уведомленията, които не са били отворени в рамките на 10 дни след изпращането им, се счита, че са били получени и крайните срокове ще бъдат изчислявани от отварянето/получаването </w:t>
      </w:r>
      <w:r w:rsidRPr="009F3D7B">
        <w:rPr>
          <w:i/>
        </w:rPr>
        <w:t xml:space="preserve">(вж. също </w:t>
      </w:r>
      <w:hyperlink r:id="rId47" w:history="1">
        <w:r w:rsidRPr="009F3D7B">
          <w:rPr>
            <w:rStyle w:val="Hyperlink"/>
            <w:i/>
          </w:rPr>
          <w:t>Срокове и условия на портала за финансиране и обществени поръчки</w:t>
        </w:r>
      </w:hyperlink>
      <w:r w:rsidRPr="009F3D7B">
        <w:rPr>
          <w:i/>
        </w:rPr>
        <w:t>)</w:t>
      </w:r>
      <w:r w:rsidRPr="009F3D7B">
        <w:t>. Имайте предвид също, че за жалби, подадени по електронен път, може да има ограничения за броя на символите.</w:t>
      </w:r>
    </w:p>
    <w:p w14:paraId="6B26D36A" w14:textId="263DE822" w:rsidR="00417F25" w:rsidRPr="009F3D7B" w:rsidRDefault="00417F25" w:rsidP="000579AF">
      <w:pPr>
        <w:pStyle w:val="Heading1"/>
        <w:numPr>
          <w:ilvl w:val="0"/>
          <w:numId w:val="54"/>
        </w:numPr>
        <w:tabs>
          <w:tab w:val="left" w:pos="284"/>
        </w:tabs>
        <w:ind w:left="0" w:firstLine="0"/>
      </w:pPr>
      <w:bookmarkStart w:id="25" w:name="_Toc92981842"/>
      <w:r w:rsidRPr="009F3D7B">
        <w:t>Критерии за предоставяне на безвъзмездни средства</w:t>
      </w:r>
      <w:bookmarkEnd w:id="25"/>
    </w:p>
    <w:p w14:paraId="71E5D15E" w14:textId="6A12DD70" w:rsidR="00417F25" w:rsidRPr="009F3D7B" w:rsidRDefault="00510B7E" w:rsidP="00417F25">
      <w:pPr>
        <w:pStyle w:val="Text1"/>
        <w:ind w:left="0"/>
        <w:rPr>
          <w:rFonts w:cs="Arial"/>
        </w:rPr>
      </w:pPr>
      <w:r w:rsidRPr="009F3D7B">
        <w:rPr>
          <w:b/>
        </w:rPr>
        <w:lastRenderedPageBreak/>
        <w:t xml:space="preserve">Критериите за предоставяне на безвъзмездни средства </w:t>
      </w:r>
      <w:r w:rsidRPr="009F3D7B">
        <w:t>за процедурата по настоящата покана за представяне на предложения, са следните:</w:t>
      </w:r>
    </w:p>
    <w:p w14:paraId="75369EF4" w14:textId="1A7F2DAF" w:rsidR="00C3341E" w:rsidRPr="009F3D7B" w:rsidRDefault="00C3341E" w:rsidP="42BB08A3">
      <w:pPr>
        <w:numPr>
          <w:ilvl w:val="0"/>
          <w:numId w:val="22"/>
        </w:numPr>
        <w:spacing w:line="259" w:lineRule="auto"/>
        <w:ind w:left="720"/>
        <w:rPr>
          <w:rFonts w:cs="Arial"/>
        </w:rPr>
      </w:pPr>
      <w:r w:rsidRPr="009F3D7B">
        <w:rPr>
          <w:b/>
          <w:bCs/>
          <w:color w:val="A50021"/>
        </w:rPr>
        <w:t>Целесъобразност:</w:t>
      </w:r>
      <w:r w:rsidRPr="009F3D7B">
        <w:t xml:space="preserve"> степен, в която предложението съответства на приоритетите и целите на поканата; ясно определени потребности и надеждна оценка на потребностите; ясно определена целева група, като аспектите, свързани с равенството между половете, се отчитат по подходящ начин; принос към стратегическия и законодателния контекст на ЕС; европейско/транснационално измерение; въздействие/интерес за редица държави (държави от ЕС или допустими държави извън ЕС); възможност за използване на резултатите в други държави (потенциал за трансфер на добри практики); потенциал за развитие на взаимно доверие/трансгранично сътрудничество. </w:t>
      </w:r>
      <w:r w:rsidRPr="009F3D7B">
        <w:rPr>
          <w:color w:val="4AA55B"/>
          <w:sz w:val="19"/>
          <w:szCs w:val="19"/>
        </w:rPr>
        <w:t>(40 точки)</w:t>
      </w:r>
    </w:p>
    <w:p w14:paraId="0B54B54E" w14:textId="5C3C8A79" w:rsidR="0036370D" w:rsidRPr="009F3D7B" w:rsidRDefault="00C3341E" w:rsidP="42BB08A3">
      <w:pPr>
        <w:numPr>
          <w:ilvl w:val="0"/>
          <w:numId w:val="22"/>
        </w:numPr>
        <w:ind w:left="720"/>
        <w:rPr>
          <w:rFonts w:cs="Arial"/>
        </w:rPr>
      </w:pPr>
      <w:r w:rsidRPr="009F3D7B">
        <w:rPr>
          <w:b/>
          <w:bCs/>
          <w:color w:val="A50021"/>
        </w:rPr>
        <w:t>Качество:</w:t>
      </w:r>
      <w:r w:rsidRPr="009F3D7B">
        <w:t xml:space="preserve"> яснота и съгласуваност на проекта; логически връзки между установените проблеми, потребности и предложени решения (концепция за логическата рамка); методология за изпълнение на проекта, като аспектите, свързани с равенството между половете са взети предвид по подходящ начин (организация на работата, график, разпределение на ресурсите и разпределение на задачите между партньорите, рискове и управление, мониторинг и оценка на риска); вземане под внимание на въпросите, свързани с етиката; осъществимост на проекта в рамките на предложения срок. </w:t>
      </w:r>
      <w:r w:rsidRPr="009F3D7B">
        <w:rPr>
          <w:color w:val="4AA55B"/>
          <w:sz w:val="19"/>
          <w:szCs w:val="19"/>
        </w:rPr>
        <w:t>(40 точки)</w:t>
      </w:r>
    </w:p>
    <w:p w14:paraId="245A3914" w14:textId="174240EB" w:rsidR="00417F25" w:rsidRPr="009F3D7B" w:rsidRDefault="00C3341E" w:rsidP="42BB08A3">
      <w:pPr>
        <w:numPr>
          <w:ilvl w:val="0"/>
          <w:numId w:val="22"/>
        </w:numPr>
        <w:ind w:left="720"/>
        <w:rPr>
          <w:rFonts w:cs="Arial"/>
        </w:rPr>
      </w:pPr>
      <w:r w:rsidRPr="009F3D7B">
        <w:rPr>
          <w:b/>
          <w:bCs/>
          <w:color w:val="A50021"/>
        </w:rPr>
        <w:t>Въздействие:</w:t>
      </w:r>
      <w:r w:rsidRPr="009F3D7B">
        <w:rPr>
          <w:color w:val="A50021"/>
        </w:rPr>
        <w:t xml:space="preserve"> </w:t>
      </w:r>
      <w:r w:rsidRPr="009F3D7B">
        <w:t xml:space="preserve">амбиция и очаквано дългосрочно въздействие на резултатите върху целевите групи/широката общественост; подходяща стратегия за разпространение с цел осигуряване на устойчивост и дългосрочно въздействие; потенциал за положителен мултиплициращ ефект; устойчивост на резултатите след приключване на финансирането от ЕС. </w:t>
      </w:r>
      <w:r w:rsidRPr="009F3D7B">
        <w:rPr>
          <w:color w:val="4AA55B"/>
          <w:sz w:val="19"/>
          <w:szCs w:val="19"/>
        </w:rPr>
        <w:t>(20 точки)</w:t>
      </w:r>
    </w:p>
    <w:tbl>
      <w:tblPr>
        <w:tblpPr w:leftFromText="180" w:rightFromText="180" w:vertAnchor="text" w:tblpX="358"/>
        <w:tblW w:w="8539"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left w:w="0" w:type="dxa"/>
          <w:right w:w="0" w:type="dxa"/>
        </w:tblCellMar>
        <w:tblLook w:val="04A0" w:firstRow="1" w:lastRow="0" w:firstColumn="1" w:lastColumn="0" w:noHBand="0" w:noVBand="1"/>
      </w:tblPr>
      <w:tblGrid>
        <w:gridCol w:w="5703"/>
        <w:gridCol w:w="1467"/>
        <w:gridCol w:w="1369"/>
      </w:tblGrid>
      <w:tr w:rsidR="00417F25" w:rsidRPr="009F3D7B" w14:paraId="40C13E7F"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4C7228" w14:textId="77777777" w:rsidR="00417F25" w:rsidRPr="009F3D7B" w:rsidRDefault="00417F25" w:rsidP="00417F25">
            <w:pPr>
              <w:spacing w:before="120" w:after="120"/>
              <w:rPr>
                <w:rFonts w:cs="Arial"/>
                <w:color w:val="595959"/>
                <w:sz w:val="16"/>
                <w:szCs w:val="16"/>
              </w:rPr>
            </w:pPr>
            <w:r w:rsidRPr="009F3D7B">
              <w:rPr>
                <w:b/>
                <w:bCs/>
                <w:color w:val="000000"/>
                <w:sz w:val="16"/>
                <w:szCs w:val="16"/>
              </w:rPr>
              <w:t>Критерии за отпускане на безвъзмездни средства</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73C443B7" w14:textId="77777777" w:rsidR="00417F25" w:rsidRPr="009F3D7B" w:rsidRDefault="00417F25" w:rsidP="7EABDF9A">
            <w:pPr>
              <w:spacing w:before="120" w:after="120"/>
              <w:jc w:val="center"/>
              <w:rPr>
                <w:rFonts w:cs="Arial"/>
                <w:b/>
                <w:bCs/>
                <w:color w:val="595959"/>
                <w:sz w:val="16"/>
                <w:szCs w:val="16"/>
              </w:rPr>
            </w:pPr>
            <w:r w:rsidRPr="009F3D7B">
              <w:rPr>
                <w:b/>
                <w:bCs/>
                <w:color w:val="000000"/>
                <w:sz w:val="16"/>
                <w:szCs w:val="16"/>
              </w:rPr>
              <w:t>Минимална положителна оценка</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B66C5DB" w14:textId="77777777" w:rsidR="00417F25" w:rsidRPr="009F3D7B" w:rsidRDefault="00417F25" w:rsidP="00417F25">
            <w:pPr>
              <w:spacing w:before="120" w:after="120"/>
              <w:jc w:val="center"/>
              <w:rPr>
                <w:rFonts w:cs="Arial"/>
                <w:b/>
                <w:bCs/>
                <w:color w:val="595959"/>
                <w:sz w:val="16"/>
              </w:rPr>
            </w:pPr>
            <w:r w:rsidRPr="009F3D7B">
              <w:rPr>
                <w:b/>
                <w:bCs/>
                <w:color w:val="595959"/>
                <w:sz w:val="16"/>
              </w:rPr>
              <w:t>Максимална оценка</w:t>
            </w:r>
          </w:p>
        </w:tc>
      </w:tr>
      <w:tr w:rsidR="00417F25" w:rsidRPr="009F3D7B" w14:paraId="46BB364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5087631B" w14:textId="77777777" w:rsidR="00417F25" w:rsidRPr="009F3D7B" w:rsidRDefault="00417F25" w:rsidP="00417F25">
            <w:pPr>
              <w:spacing w:before="120" w:after="120"/>
              <w:rPr>
                <w:rFonts w:cs="Arial"/>
                <w:color w:val="595959"/>
                <w:sz w:val="16"/>
              </w:rPr>
            </w:pPr>
            <w:r w:rsidRPr="009F3D7B">
              <w:rPr>
                <w:color w:val="595959"/>
                <w:sz w:val="16"/>
              </w:rPr>
              <w:t xml:space="preserve">Целесъобразност </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4F1DBE5" w14:textId="2917FB44" w:rsidR="00417F25" w:rsidRPr="009F3D7B" w:rsidRDefault="77501A39" w:rsidP="006F137B">
            <w:pPr>
              <w:spacing w:before="120" w:after="120"/>
              <w:jc w:val="center"/>
              <w:rPr>
                <w:rFonts w:cs="Arial"/>
                <w:color w:val="595959"/>
                <w:sz w:val="16"/>
                <w:szCs w:val="16"/>
              </w:rPr>
            </w:pPr>
            <w:r w:rsidRPr="009F3D7B">
              <w:rPr>
                <w:color w:val="595959"/>
                <w:sz w:val="16"/>
                <w:szCs w:val="16"/>
              </w:rPr>
              <w:t>25</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D8DDF44" w14:textId="10FBECA7" w:rsidR="00417F25" w:rsidRPr="009F3D7B" w:rsidRDefault="7A1506A9" w:rsidP="006F137B">
            <w:pPr>
              <w:spacing w:before="120" w:after="120" w:line="259" w:lineRule="auto"/>
              <w:jc w:val="center"/>
              <w:rPr>
                <w:sz w:val="16"/>
                <w:szCs w:val="16"/>
              </w:rPr>
            </w:pPr>
            <w:r w:rsidRPr="009F3D7B">
              <w:rPr>
                <w:color w:val="000000"/>
                <w:sz w:val="16"/>
                <w:szCs w:val="16"/>
              </w:rPr>
              <w:t>40</w:t>
            </w:r>
          </w:p>
        </w:tc>
      </w:tr>
      <w:tr w:rsidR="00417F25" w:rsidRPr="009F3D7B" w14:paraId="3973431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71F18E4" w14:textId="77777777" w:rsidR="00417F25" w:rsidRPr="009F3D7B" w:rsidRDefault="00417F25" w:rsidP="00417F25">
            <w:pPr>
              <w:spacing w:before="120" w:after="120"/>
              <w:rPr>
                <w:rFonts w:cs="Arial"/>
                <w:color w:val="595959"/>
                <w:sz w:val="16"/>
                <w:vertAlign w:val="superscript"/>
              </w:rPr>
            </w:pPr>
            <w:r w:rsidRPr="009F3D7B">
              <w:rPr>
                <w:color w:val="595959"/>
                <w:sz w:val="16"/>
              </w:rPr>
              <w:t>Качество — разработване и изпълнение на проекта</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F0AB268" w14:textId="46CF4D50" w:rsidR="00417F25" w:rsidRPr="009F3D7B" w:rsidRDefault="001411B2" w:rsidP="42BB08A3">
            <w:pPr>
              <w:spacing w:before="120" w:after="120"/>
              <w:jc w:val="center"/>
              <w:rPr>
                <w:rFonts w:cs="Arial"/>
                <w:color w:val="595959"/>
                <w:sz w:val="16"/>
                <w:szCs w:val="16"/>
              </w:rPr>
            </w:pPr>
            <w:r w:rsidRPr="009F3D7B">
              <w:rPr>
                <w:color w:val="000000"/>
                <w:sz w:val="16"/>
                <w:szCs w:val="16"/>
              </w:rPr>
              <w:t>Не е приложимо</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86AEF82" w14:textId="36F0E958" w:rsidR="00417F25" w:rsidRPr="009F3D7B" w:rsidRDefault="5A0A8866" w:rsidP="00142C5E">
            <w:pPr>
              <w:spacing w:before="120" w:after="120" w:line="259" w:lineRule="auto"/>
              <w:jc w:val="center"/>
              <w:rPr>
                <w:sz w:val="16"/>
                <w:szCs w:val="16"/>
              </w:rPr>
            </w:pPr>
            <w:r w:rsidRPr="009F3D7B">
              <w:rPr>
                <w:color w:val="595959"/>
                <w:sz w:val="16"/>
                <w:szCs w:val="16"/>
              </w:rPr>
              <w:t>40</w:t>
            </w:r>
          </w:p>
        </w:tc>
      </w:tr>
      <w:tr w:rsidR="00417F25" w:rsidRPr="009F3D7B" w14:paraId="57E68FC8"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15E2972A" w14:textId="77777777" w:rsidR="00417F25" w:rsidRPr="009F3D7B" w:rsidRDefault="00417F25" w:rsidP="00417F25">
            <w:pPr>
              <w:spacing w:before="120" w:after="120"/>
              <w:rPr>
                <w:rFonts w:cs="Arial"/>
                <w:color w:val="595959"/>
                <w:sz w:val="16"/>
              </w:rPr>
            </w:pPr>
            <w:r w:rsidRPr="009F3D7B">
              <w:rPr>
                <w:color w:val="595959"/>
                <w:sz w:val="16"/>
              </w:rPr>
              <w:t>Въздействие</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30CDE1C1" w14:textId="639251E3" w:rsidR="00417F25" w:rsidRPr="009F3D7B" w:rsidRDefault="001411B2" w:rsidP="42BB08A3">
            <w:pPr>
              <w:spacing w:before="120" w:after="120"/>
              <w:jc w:val="center"/>
              <w:rPr>
                <w:rFonts w:cs="Arial"/>
                <w:color w:val="595959"/>
                <w:sz w:val="16"/>
                <w:szCs w:val="16"/>
              </w:rPr>
            </w:pPr>
            <w:r w:rsidRPr="009F3D7B">
              <w:rPr>
                <w:color w:val="000000"/>
                <w:sz w:val="16"/>
                <w:szCs w:val="16"/>
              </w:rPr>
              <w:t>Не е приложимо</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655A6521" w14:textId="70DB36AF" w:rsidR="00417F25" w:rsidRPr="009F3D7B" w:rsidRDefault="1689B5CD" w:rsidP="00142C5E">
            <w:pPr>
              <w:spacing w:before="120" w:after="120" w:line="259" w:lineRule="auto"/>
              <w:jc w:val="center"/>
              <w:rPr>
                <w:sz w:val="16"/>
                <w:szCs w:val="16"/>
              </w:rPr>
            </w:pPr>
            <w:r w:rsidRPr="009F3D7B">
              <w:rPr>
                <w:color w:val="595959"/>
                <w:sz w:val="16"/>
                <w:szCs w:val="16"/>
              </w:rPr>
              <w:t>20</w:t>
            </w:r>
          </w:p>
        </w:tc>
      </w:tr>
      <w:tr w:rsidR="00417F25" w:rsidRPr="009F3D7B" w14:paraId="112E5C23"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326E1F8" w14:textId="77777777" w:rsidR="00417F25" w:rsidRPr="009F3D7B" w:rsidRDefault="00417F25" w:rsidP="00417F25">
            <w:pPr>
              <w:spacing w:before="120" w:after="120"/>
              <w:rPr>
                <w:rFonts w:cs="Arial"/>
                <w:color w:val="595959"/>
                <w:sz w:val="16"/>
              </w:rPr>
            </w:pPr>
            <w:r w:rsidRPr="009F3D7B">
              <w:rPr>
                <w:b/>
                <w:bCs/>
                <w:color w:val="595959"/>
                <w:sz w:val="16"/>
              </w:rPr>
              <w:t>Обща (положителна) оценка</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5B7B9AA" w14:textId="77777777" w:rsidR="00417F25" w:rsidRPr="009F3D7B" w:rsidRDefault="00417F25" w:rsidP="00417F25">
            <w:pPr>
              <w:spacing w:before="120" w:after="120"/>
              <w:jc w:val="center"/>
              <w:rPr>
                <w:rFonts w:cs="Arial"/>
                <w:color w:val="595959"/>
                <w:sz w:val="16"/>
                <w:szCs w:val="16"/>
              </w:rPr>
            </w:pPr>
            <w:r w:rsidRPr="009F3D7B">
              <w:rPr>
                <w:b/>
                <w:bCs/>
                <w:color w:val="000000"/>
                <w:sz w:val="16"/>
                <w:szCs w:val="16"/>
                <w:lang w:eastAsia="en-GB"/>
              </w:rPr>
              <w:t>70</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5A8F0B" w14:textId="77777777" w:rsidR="00417F25" w:rsidRPr="009F3D7B" w:rsidRDefault="00417F25" w:rsidP="00417F25">
            <w:pPr>
              <w:spacing w:before="120" w:after="120"/>
              <w:jc w:val="center"/>
              <w:rPr>
                <w:rFonts w:cs="Arial"/>
                <w:b/>
                <w:bCs/>
                <w:color w:val="595959"/>
                <w:sz w:val="16"/>
              </w:rPr>
            </w:pPr>
            <w:r w:rsidRPr="009F3D7B">
              <w:rPr>
                <w:b/>
                <w:bCs/>
                <w:color w:val="595959"/>
                <w:sz w:val="16"/>
              </w:rPr>
              <w:t>100</w:t>
            </w:r>
          </w:p>
        </w:tc>
      </w:tr>
    </w:tbl>
    <w:p w14:paraId="3A91549A" w14:textId="77777777" w:rsidR="00417F25" w:rsidRPr="009F3D7B" w:rsidRDefault="00417F25" w:rsidP="00417F25">
      <w:pPr>
        <w:pStyle w:val="Text1"/>
        <w:ind w:left="0"/>
        <w:rPr>
          <w:rFonts w:cs="Arial"/>
          <w:lang w:eastAsia="en-GB"/>
        </w:rPr>
      </w:pPr>
    </w:p>
    <w:p w14:paraId="74676006" w14:textId="77777777" w:rsidR="00417F25" w:rsidRPr="009F3D7B" w:rsidRDefault="00417F25" w:rsidP="00417F25">
      <w:pPr>
        <w:pStyle w:val="Text1"/>
        <w:ind w:left="0"/>
        <w:rPr>
          <w:rFonts w:cs="Arial"/>
        </w:rPr>
      </w:pPr>
      <w:r w:rsidRPr="009F3D7B">
        <w:t>Максимален брой точки: 100 точки.</w:t>
      </w:r>
    </w:p>
    <w:p w14:paraId="54D540AD" w14:textId="25B25F2B" w:rsidR="00417F25" w:rsidRPr="009F3D7B" w:rsidRDefault="00417F25" w:rsidP="42BB08A3">
      <w:pPr>
        <w:pStyle w:val="Text1"/>
        <w:ind w:left="0"/>
        <w:rPr>
          <w:rFonts w:cs="Arial"/>
        </w:rPr>
      </w:pPr>
      <w:r w:rsidRPr="009F3D7B">
        <w:t>Индивидуален праг за критерия „Целесъобразност“: 25/40 точки.</w:t>
      </w:r>
    </w:p>
    <w:p w14:paraId="088F1A3D" w14:textId="77777777" w:rsidR="00417F25" w:rsidRPr="009F3D7B" w:rsidRDefault="00417F25" w:rsidP="00417F25">
      <w:pPr>
        <w:pStyle w:val="Text1"/>
        <w:ind w:left="0"/>
        <w:rPr>
          <w:rFonts w:cs="Arial"/>
        </w:rPr>
      </w:pPr>
      <w:r w:rsidRPr="009F3D7B">
        <w:t xml:space="preserve">Общ праг: 70 точки. </w:t>
      </w:r>
    </w:p>
    <w:p w14:paraId="743867A2" w14:textId="5FB32EC7" w:rsidR="00417F25" w:rsidRPr="009F3D7B" w:rsidRDefault="000A7529" w:rsidP="42BB08A3">
      <w:pPr>
        <w:pStyle w:val="Text1"/>
        <w:ind w:left="0"/>
        <w:rPr>
          <w:rFonts w:cs="Arial"/>
        </w:rPr>
      </w:pPr>
      <w:r w:rsidRPr="009F3D7B">
        <w:t xml:space="preserve">Предложенията, преминали индивидуалния праг за критерия „Целесъобразност“ И общия праг ще бъдат разгледани за финансиране в рамките на ограниченията на наличния бюджет за процедурата по поканата за представяне на предложения. Другите предложения ще бъдат отхвърлени. </w:t>
      </w:r>
    </w:p>
    <w:p w14:paraId="32ECB61A" w14:textId="407D4955" w:rsidR="00276AD7" w:rsidRPr="009F3D7B" w:rsidRDefault="00276AD7" w:rsidP="000579AF">
      <w:pPr>
        <w:pStyle w:val="Heading1"/>
        <w:numPr>
          <w:ilvl w:val="0"/>
          <w:numId w:val="54"/>
        </w:numPr>
        <w:tabs>
          <w:tab w:val="left" w:pos="426"/>
        </w:tabs>
        <w:ind w:left="0" w:firstLine="0"/>
      </w:pPr>
      <w:bookmarkStart w:id="26" w:name="_Toc92981843"/>
      <w:r w:rsidRPr="009F3D7B">
        <w:t xml:space="preserve">Правна и финансова уредба относно споразуменията за предоставяне </w:t>
      </w:r>
      <w:r w:rsidRPr="009F3D7B">
        <w:lastRenderedPageBreak/>
        <w:t>на безвъзмездни средства</w:t>
      </w:r>
      <w:bookmarkEnd w:id="26"/>
    </w:p>
    <w:p w14:paraId="3E12CDD9" w14:textId="77777777" w:rsidR="00F468B9" w:rsidRPr="009F3D7B" w:rsidRDefault="00510B7E" w:rsidP="00F468B9">
      <w:r w:rsidRPr="009F3D7B">
        <w:t xml:space="preserve">Ако оценката ви е положителна, ще получите покана за подготовката за предоставяне на безвъзмездните средства за вашия проект, като в етапа на подготовката трябва да изготвите споразумението за предоставяне на безвъзмездни средства, заедно със служител на ЕС по проекта. </w:t>
      </w:r>
    </w:p>
    <w:p w14:paraId="726FE5D4" w14:textId="77777777" w:rsidR="00A55E10" w:rsidRPr="009F3D7B" w:rsidRDefault="009A4762" w:rsidP="00F468B9">
      <w:r w:rsidRPr="009F3D7B">
        <w:t xml:space="preserve">Това споразумение за предоставяне на безвъзмездни средства ще определи рамката по отношение на безвъзмездните средства и по отношение на свързаните с тях срокове и условия, по-специално по отношение на предвидените резултати, отчитането и плащанията. </w:t>
      </w:r>
    </w:p>
    <w:p w14:paraId="49D0FAB7" w14:textId="3513B23F" w:rsidR="00F468B9" w:rsidRPr="009F3D7B" w:rsidRDefault="004E3F9E" w:rsidP="00F468B9">
      <w:r w:rsidRPr="009F3D7B">
        <w:t xml:space="preserve">Образецът на споразумението за предоставяне на безвъзмездни средства, който ще бъде използван (както и всички останали уместни образци и документи с насоки), е достъпен в раздел </w:t>
      </w:r>
      <w:hyperlink r:id="rId48" w:history="1">
        <w:r w:rsidRPr="009F3D7B">
          <w:rPr>
            <w:rStyle w:val="Hyperlink"/>
          </w:rPr>
          <w:t>„Документи за справка“ на портала</w:t>
        </w:r>
      </w:hyperlink>
      <w:r w:rsidRPr="009F3D7B">
        <w:t>.</w:t>
      </w:r>
    </w:p>
    <w:p w14:paraId="712F0C54" w14:textId="77777777" w:rsidR="00F468B9" w:rsidRPr="009F3D7B" w:rsidRDefault="00EF5018" w:rsidP="00510B7E">
      <w:pPr>
        <w:pStyle w:val="Heading3"/>
      </w:pPr>
      <w:bookmarkStart w:id="27" w:name="_Toc92981844"/>
      <w:r w:rsidRPr="009F3D7B">
        <w:t>Начална дата и продължителност на проекта</w:t>
      </w:r>
      <w:bookmarkEnd w:id="27"/>
      <w:r w:rsidRPr="009F3D7B">
        <w:t xml:space="preserve"> </w:t>
      </w:r>
    </w:p>
    <w:p w14:paraId="34F8E827" w14:textId="193AA9A8" w:rsidR="00EF5018" w:rsidRPr="009F3D7B" w:rsidRDefault="00EF5018" w:rsidP="00EF5018">
      <w:r w:rsidRPr="009F3D7B">
        <w:t xml:space="preserve">Началната дата и продължителността на проекта ще бъдат определени в споразумението за предоставяне на безвъзмездни средства </w:t>
      </w:r>
      <w:r w:rsidRPr="009F3D7B">
        <w:rPr>
          <w:i/>
          <w:iCs/>
        </w:rPr>
        <w:t>(Информационен лист, точка 1)</w:t>
      </w:r>
      <w:r w:rsidRPr="009F3D7B">
        <w:t>. По принцип началната дата трябва да бъде след подписването на споразумението за предоставяне на безвъзмездни средства. Прилагане със задна дата е възможно по надлежно обосновани причини, но никога по-рано от датата на подаване на предложението.</w:t>
      </w:r>
    </w:p>
    <w:p w14:paraId="15D66063" w14:textId="51D1D632" w:rsidR="00CB07A3" w:rsidRPr="009F3D7B" w:rsidRDefault="00CB07A3" w:rsidP="00EF5018">
      <w:pPr>
        <w:rPr>
          <w:rFonts w:cs="Arial"/>
        </w:rPr>
      </w:pPr>
      <w:r w:rsidRPr="009F3D7B">
        <w:t xml:space="preserve">Продължителност на проекта: </w:t>
      </w:r>
    </w:p>
    <w:p w14:paraId="2429D9A2" w14:textId="7FD8DB37" w:rsidR="00273AA8" w:rsidRPr="009F3D7B" w:rsidRDefault="00273AA8" w:rsidP="00273AA8">
      <w:pPr>
        <w:rPr>
          <w:rFonts w:cs="Arial"/>
        </w:rPr>
      </w:pPr>
      <w:r w:rsidRPr="009F3D7B">
        <w:rPr>
          <w:color w:val="A50021"/>
        </w:rPr>
        <w:t>CERV-2022-CITIZENS-TOWN-TT — Побратимяване на градове:</w:t>
      </w:r>
      <w:r w:rsidRPr="009F3D7B">
        <w:t xml:space="preserve"> до 12 месеца.</w:t>
      </w:r>
    </w:p>
    <w:p w14:paraId="748ED34C" w14:textId="21136B02" w:rsidR="00273AA8" w:rsidRPr="009F3D7B" w:rsidRDefault="00273AA8" w:rsidP="00273AA8">
      <w:pPr>
        <w:rPr>
          <w:rFonts w:cs="Arial"/>
        </w:rPr>
      </w:pPr>
      <w:r w:rsidRPr="009F3D7B">
        <w:rPr>
          <w:color w:val="A50021"/>
        </w:rPr>
        <w:t>CERV-2022-CITIZENS-TOWN-NT — Мрежи от градове:</w:t>
      </w:r>
      <w:r w:rsidRPr="009F3D7B">
        <w:t xml:space="preserve"> между 12 и 24 месеца. </w:t>
      </w:r>
    </w:p>
    <w:p w14:paraId="264CF456" w14:textId="407B2FF3" w:rsidR="00273AA8" w:rsidRPr="009F3D7B" w:rsidRDefault="00273AA8" w:rsidP="00273AA8">
      <w:pPr>
        <w:rPr>
          <w:rFonts w:cs="Arial"/>
        </w:rPr>
      </w:pPr>
      <w:r w:rsidRPr="009F3D7B">
        <w:t>(Удължаване е възможно само по изключение, по надлежно обосновани причини и чрез изменение).</w:t>
      </w:r>
    </w:p>
    <w:p w14:paraId="77CA20A6" w14:textId="77777777" w:rsidR="002D1390" w:rsidRPr="009F3D7B" w:rsidRDefault="002D1390" w:rsidP="00510B7E">
      <w:pPr>
        <w:pStyle w:val="Heading3"/>
      </w:pPr>
      <w:bookmarkStart w:id="28" w:name="_Toc92981845"/>
      <w:r w:rsidRPr="009F3D7B">
        <w:t>Основни етапи и междинни резултати</w:t>
      </w:r>
      <w:bookmarkEnd w:id="28"/>
    </w:p>
    <w:p w14:paraId="2053727F" w14:textId="77777777" w:rsidR="002D1390" w:rsidRPr="009F3D7B" w:rsidRDefault="002D1390" w:rsidP="002D1390">
      <w:pPr>
        <w:rPr>
          <w:rFonts w:cs="Arial"/>
        </w:rPr>
      </w:pPr>
      <w:r w:rsidRPr="009F3D7B">
        <w:t>Предвидените основни етапи и междинни резултати за всеки проект ще бъдат управлявани посредством системата за управление на безвъзмездните средства на портала и ще бъдат отразени в приложение 1 към споразумението за предоставяне на безвъзмездни средства.</w:t>
      </w:r>
    </w:p>
    <w:p w14:paraId="14B285DB" w14:textId="77777777" w:rsidR="00F468B9" w:rsidRPr="009F3D7B" w:rsidRDefault="00D20E76" w:rsidP="00510B7E">
      <w:pPr>
        <w:pStyle w:val="Heading3"/>
      </w:pPr>
      <w:bookmarkStart w:id="29" w:name="_Toc92981846"/>
      <w:r w:rsidRPr="009F3D7B">
        <w:t>Форма на безвъзмездните средства, процент на финансиране и максимален размер на безвъзмездните средства</w:t>
      </w:r>
      <w:bookmarkEnd w:id="29"/>
    </w:p>
    <w:p w14:paraId="1FC5D80F" w14:textId="77777777" w:rsidR="00F243C2" w:rsidRPr="009F3D7B" w:rsidRDefault="002D1390" w:rsidP="009C7F6F">
      <w:r w:rsidRPr="009F3D7B">
        <w:t xml:space="preserve">Параметрите на безвъзмездните средства </w:t>
      </w:r>
      <w:r w:rsidRPr="009F3D7B">
        <w:rPr>
          <w:i/>
        </w:rPr>
        <w:t>(максимален размер на безвъзмездните средства, процент на финансиране, общи допустими разходи и т.н.)</w:t>
      </w:r>
      <w:r w:rsidRPr="009F3D7B">
        <w:t xml:space="preserve"> ще бъдат определени в споразумението за предоставяне на безвъзмездни средства </w:t>
      </w:r>
      <w:r w:rsidRPr="009F3D7B">
        <w:rPr>
          <w:i/>
        </w:rPr>
        <w:t>(Информационен лист, точка 3 и член 5)</w:t>
      </w:r>
      <w:r w:rsidRPr="009F3D7B">
        <w:t>.</w:t>
      </w:r>
    </w:p>
    <w:p w14:paraId="6D2C45B2" w14:textId="73D0FA7A" w:rsidR="00273AA8" w:rsidRPr="009F3D7B" w:rsidRDefault="00CB07A3" w:rsidP="009C7F6F">
      <w:r w:rsidRPr="009F3D7B">
        <w:t xml:space="preserve">Бюджет на проекта (максимален размер на безвъзмездните средства): </w:t>
      </w:r>
    </w:p>
    <w:p w14:paraId="7C5032A3" w14:textId="32B40F6F" w:rsidR="00273AA8" w:rsidRPr="009F3D7B" w:rsidRDefault="00273AA8" w:rsidP="00273AA8">
      <w:r w:rsidRPr="009F3D7B">
        <w:rPr>
          <w:b/>
          <w:bCs/>
          <w:color w:val="A50021"/>
        </w:rPr>
        <w:t>CERV-2022-CITIZENS-TOWN-TT — Побратимяване на градове</w:t>
      </w:r>
      <w:r w:rsidRPr="009F3D7B">
        <w:t>: 30 000 EUR на проект.</w:t>
      </w:r>
    </w:p>
    <w:p w14:paraId="2BB38450" w14:textId="044F40F5" w:rsidR="00273AA8" w:rsidRPr="009F3D7B" w:rsidRDefault="00E81CEB" w:rsidP="00273AA8">
      <w:pPr>
        <w:rPr>
          <w:b/>
          <w:color w:val="A50021"/>
        </w:rPr>
      </w:pPr>
      <w:r w:rsidRPr="009F3D7B">
        <w:rPr>
          <w:b/>
          <w:bCs/>
          <w:color w:val="A50021"/>
        </w:rPr>
        <w:t>CERV-2022-CITIZENS-TOWN-NT — Мрежи от градове</w:t>
      </w:r>
      <w:r w:rsidRPr="009F3D7B">
        <w:t xml:space="preserve">: без ограничения. </w:t>
      </w:r>
    </w:p>
    <w:p w14:paraId="03FE8574" w14:textId="5AC33A9A" w:rsidR="009C7F6F" w:rsidRPr="009F3D7B" w:rsidRDefault="009C7F6F" w:rsidP="009C7F6F">
      <w:r w:rsidRPr="009F3D7B">
        <w:t>Размерът на предоставените безвъзмездни средства може да бъде по-малък от размера на поисканата сума.</w:t>
      </w:r>
      <w:r w:rsidRPr="009F3D7B">
        <w:rPr>
          <w:highlight w:val="yellow"/>
        </w:rPr>
        <w:t xml:space="preserve"> </w:t>
      </w:r>
    </w:p>
    <w:p w14:paraId="032903FC" w14:textId="762E8A78" w:rsidR="009C7F6F" w:rsidRPr="009F3D7B" w:rsidRDefault="002D1390" w:rsidP="00EF5018">
      <w:r w:rsidRPr="009F3D7B">
        <w:lastRenderedPageBreak/>
        <w:t>Безвъзмездните средства ще бъдат под формата на еднократна сума. Това означава, че чрез безвъзмездните средства ще бъде възстановена фиксирана сума въз основа на еднократна сума или финансиране, което не е свързано с разходите. Сумата ще бъде определена от предоставящия безвъзмездните средства орган въз основа на предварително определените от него променливи суми и разчетите, посочени от бенефициерите в техния бюджет на проекта.</w:t>
      </w:r>
    </w:p>
    <w:p w14:paraId="23ACF302" w14:textId="77777777" w:rsidR="00C35FDF" w:rsidRPr="009F3D7B" w:rsidRDefault="002D1390" w:rsidP="00510B7E">
      <w:pPr>
        <w:pStyle w:val="Heading3"/>
      </w:pPr>
      <w:bookmarkStart w:id="30" w:name="_Toc92981847"/>
      <w:r w:rsidRPr="009F3D7B">
        <w:t>Бюджетни категории и правила относно допустимостта на разходите</w:t>
      </w:r>
      <w:bookmarkEnd w:id="30"/>
    </w:p>
    <w:p w14:paraId="0D9CC84A" w14:textId="222E6896" w:rsidR="00965369" w:rsidRPr="009F3D7B" w:rsidRDefault="00965369" w:rsidP="00C35FDF">
      <w:pPr>
        <w:rPr>
          <w:szCs w:val="21"/>
        </w:rPr>
      </w:pPr>
      <w:r w:rsidRPr="009F3D7B">
        <w:t xml:space="preserve">Бюджетните категории и правилата относно допустимостта на разходите са определени в споразумението за предоставяне на безвъзмездни средства </w:t>
      </w:r>
      <w:r w:rsidRPr="009F3D7B">
        <w:rPr>
          <w:i/>
          <w:szCs w:val="21"/>
        </w:rPr>
        <w:t>(Информационен лист, точка 3, член 6 и приложение 2)</w:t>
      </w:r>
      <w:r w:rsidRPr="009F3D7B">
        <w:t>.</w:t>
      </w:r>
    </w:p>
    <w:p w14:paraId="09C2A6BD" w14:textId="77777777" w:rsidR="00E85C9D" w:rsidRPr="009F3D7B" w:rsidRDefault="00E85C9D" w:rsidP="00E85C9D">
      <w:pPr>
        <w:spacing w:after="120"/>
        <w:rPr>
          <w:i/>
        </w:rPr>
      </w:pPr>
      <w:r w:rsidRPr="009F3D7B">
        <w:rPr>
          <w:i/>
        </w:rPr>
        <w:t>Бюджетни категории за процедурата по настоящата покана за представяне на предложения:</w:t>
      </w:r>
    </w:p>
    <w:p w14:paraId="5AA85092" w14:textId="5699AD8F" w:rsidR="00273AA8" w:rsidRPr="009F3D7B" w:rsidRDefault="00E85C9D" w:rsidP="00273AA8">
      <w:pPr>
        <w:widowControl w:val="0"/>
        <w:numPr>
          <w:ilvl w:val="0"/>
          <w:numId w:val="31"/>
        </w:numPr>
        <w:ind w:left="709" w:hanging="357"/>
        <w:jc w:val="left"/>
        <w:rPr>
          <w:b/>
        </w:rPr>
      </w:pPr>
      <w:r w:rsidRPr="009F3D7B">
        <w:rPr>
          <w:b/>
        </w:rPr>
        <w:t>Вноски на еднократни суми</w:t>
      </w:r>
      <w:r w:rsidR="00D77F61" w:rsidRPr="009F3D7B">
        <w:rPr>
          <w:rStyle w:val="FootnoteReference"/>
          <w:b/>
        </w:rPr>
        <w:footnoteReference w:id="22"/>
      </w:r>
    </w:p>
    <w:p w14:paraId="1DFE5A16" w14:textId="4F08AA43" w:rsidR="00273AA8" w:rsidRPr="009F3D7B" w:rsidRDefault="00273AA8" w:rsidP="00273AA8">
      <w:pPr>
        <w:spacing w:after="120"/>
        <w:rPr>
          <w:b/>
          <w:bCs/>
          <w:color w:val="A50021"/>
        </w:rPr>
      </w:pPr>
      <w:r w:rsidRPr="009F3D7B">
        <w:rPr>
          <w:b/>
          <w:bCs/>
          <w:color w:val="A50021"/>
        </w:rPr>
        <w:t>CERV-2022-CITIZENS-TOWN-TT — Побратимяване на градове</w:t>
      </w:r>
    </w:p>
    <w:p w14:paraId="41D2CC4B" w14:textId="306D1EAA" w:rsidR="00273AA8" w:rsidRPr="009F3D7B" w:rsidRDefault="00273AA8" w:rsidP="00273AA8">
      <w:pPr>
        <w:spacing w:after="120"/>
        <w:rPr>
          <w:rFonts w:eastAsia="Verdana" w:cs="Verdana"/>
          <w:iCs/>
        </w:rPr>
      </w:pPr>
      <w:r w:rsidRPr="009F3D7B">
        <w:t>Изчисляването на еднократната сума се основава на един параметър: брой на международните (или „поканените“) участници (брой на участниците, пътуващи от допустими държави по проекта, различни от държавата, която е домакин на мероприятието за побратимяване на градове).</w:t>
      </w:r>
    </w:p>
    <w:p w14:paraId="0241D98C" w14:textId="77777777" w:rsidR="00273AA8" w:rsidRPr="009F3D7B" w:rsidRDefault="00273AA8" w:rsidP="00273AA8">
      <w:pPr>
        <w:spacing w:after="120"/>
      </w:pPr>
      <w:r w:rsidRPr="009F3D7B">
        <w:t xml:space="preserve">Едно събитие съответства на един работен пакет във формуляра за кандидатстване.  </w:t>
      </w:r>
    </w:p>
    <w:p w14:paraId="653E3972" w14:textId="01D2E985" w:rsidR="00273AA8" w:rsidRPr="009F3D7B" w:rsidRDefault="00273AA8" w:rsidP="00273AA8">
      <w:pPr>
        <w:widowControl w:val="0"/>
        <w:jc w:val="left"/>
      </w:pPr>
      <w:r w:rsidRPr="009F3D7B">
        <w:t xml:space="preserve">1 работен пакет = 1 събитие = една или няколко дейности </w:t>
      </w:r>
      <w:r w:rsidRPr="009F3D7B">
        <w:rPr>
          <w:rFonts w:ascii="Segoe UI" w:hAnsi="Segoe UI"/>
        </w:rPr>
        <w:t xml:space="preserve"> </w:t>
      </w:r>
    </w:p>
    <w:p w14:paraId="4EF42BF7" w14:textId="56AB1036" w:rsidR="00273AA8" w:rsidRPr="009F3D7B" w:rsidRDefault="00273AA8" w:rsidP="00273AA8">
      <w:pPr>
        <w:spacing w:after="120"/>
        <w:rPr>
          <w:rFonts w:eastAsia="Verdana" w:cs="Verdana"/>
          <w:iCs/>
        </w:rPr>
      </w:pPr>
      <w:r w:rsidRPr="009F3D7B">
        <w:rPr>
          <w:b/>
          <w:bCs/>
          <w:color w:val="A50021"/>
        </w:rPr>
        <w:t>CERV-2022-CITIZENS-TOWN-NT — Мрежи от градове</w:t>
      </w:r>
    </w:p>
    <w:p w14:paraId="084790F4" w14:textId="77777777" w:rsidR="00273AA8" w:rsidRPr="009F3D7B" w:rsidRDefault="00273AA8" w:rsidP="00273AA8">
      <w:pPr>
        <w:spacing w:after="120"/>
      </w:pPr>
      <w:r w:rsidRPr="009F3D7B">
        <w:t>Изчисляването на еднократната сума се основава на два параметъра: брой на преките участници и брой на допустимите държави за всяко събитие (на място или онлайн).</w:t>
      </w:r>
    </w:p>
    <w:p w14:paraId="3C909B89" w14:textId="77777777" w:rsidR="00273AA8" w:rsidRPr="009F3D7B" w:rsidRDefault="00273AA8" w:rsidP="00273AA8">
      <w:pPr>
        <w:spacing w:after="120"/>
      </w:pPr>
      <w:r w:rsidRPr="009F3D7B">
        <w:t xml:space="preserve">Дадено събитие се провежда в рамките на определен срок и може да включва различни видове дейности (конференции, работни срещи, обучения, семинари, дебати, уебинари, изложби, прожекции/създаване на филми, кампании, публикации, анкети, изследвания, флашмоби и т.н.). </w:t>
      </w:r>
    </w:p>
    <w:p w14:paraId="12ABA7C5" w14:textId="77777777" w:rsidR="00273AA8" w:rsidRPr="009F3D7B" w:rsidRDefault="00273AA8" w:rsidP="00273AA8">
      <w:pPr>
        <w:spacing w:after="120"/>
      </w:pPr>
      <w:r w:rsidRPr="009F3D7B">
        <w:t xml:space="preserve">Едно събитие съответства на един работен пакет във формуляра за кандидатстване.  </w:t>
      </w:r>
    </w:p>
    <w:p w14:paraId="757C1A00" w14:textId="5E4FF19A" w:rsidR="00273AA8" w:rsidRPr="009F3D7B" w:rsidRDefault="00273AA8" w:rsidP="00273AA8">
      <w:pPr>
        <w:widowControl w:val="0"/>
        <w:jc w:val="left"/>
      </w:pPr>
      <w:r w:rsidRPr="009F3D7B">
        <w:t xml:space="preserve">1 работен пакет = 1 събитие = една или няколко дейности </w:t>
      </w:r>
      <w:r w:rsidRPr="009F3D7B">
        <w:rPr>
          <w:rFonts w:ascii="Segoe UI" w:hAnsi="Segoe UI"/>
        </w:rPr>
        <w:t xml:space="preserve"> </w:t>
      </w:r>
    </w:p>
    <w:p w14:paraId="14EC2EA5" w14:textId="14E12378" w:rsidR="00741682" w:rsidRPr="009F3D7B" w:rsidRDefault="00F243C2" w:rsidP="00510B7E">
      <w:pPr>
        <w:pStyle w:val="Heading3"/>
      </w:pPr>
      <w:bookmarkStart w:id="31" w:name="_Toc92981848"/>
      <w:r w:rsidRPr="009F3D7B">
        <w:t>Условия и ред за отчитането и за извършване на плащанията</w:t>
      </w:r>
      <w:bookmarkEnd w:id="31"/>
      <w:r w:rsidRPr="009F3D7B">
        <w:t xml:space="preserve"> </w:t>
      </w:r>
    </w:p>
    <w:p w14:paraId="43C62C09" w14:textId="0BF1CA1B" w:rsidR="00F243C2" w:rsidRPr="009F3D7B" w:rsidRDefault="00F243C2" w:rsidP="00741682">
      <w:pPr>
        <w:pStyle w:val="Text2"/>
        <w:ind w:left="0"/>
        <w:rPr>
          <w:rFonts w:cs="Arial"/>
        </w:rPr>
      </w:pPr>
      <w:r w:rsidRPr="009F3D7B">
        <w:t xml:space="preserve">Условията и редът за отчитането и за извършване на плащанията са определени в споразумението за предоставяне на безвъзмездни средства </w:t>
      </w:r>
      <w:r w:rsidRPr="009F3D7B">
        <w:rPr>
          <w:i/>
        </w:rPr>
        <w:t>(Информационен лист, точка 4 и членове 21 и 22)</w:t>
      </w:r>
      <w:r w:rsidRPr="009F3D7B">
        <w:t>.</w:t>
      </w:r>
    </w:p>
    <w:p w14:paraId="03D37E60" w14:textId="6DF5E4B5" w:rsidR="00273AA8" w:rsidRPr="009F3D7B" w:rsidRDefault="00273AA8" w:rsidP="00273AA8">
      <w:pPr>
        <w:spacing w:after="120"/>
        <w:rPr>
          <w:b/>
          <w:bCs/>
          <w:color w:val="A50021"/>
        </w:rPr>
      </w:pPr>
      <w:r w:rsidRPr="009F3D7B">
        <w:rPr>
          <w:b/>
          <w:bCs/>
          <w:color w:val="A50021"/>
        </w:rPr>
        <w:t>CERV-2022-CITIZENS-TOWN-TT — Побратимяване на градове</w:t>
      </w:r>
    </w:p>
    <w:p w14:paraId="63A3CB57" w14:textId="77777777" w:rsidR="00273AA8" w:rsidRPr="009F3D7B" w:rsidRDefault="00273AA8" w:rsidP="00273AA8">
      <w:pPr>
        <w:pStyle w:val="Text2"/>
        <w:ind w:left="0"/>
      </w:pPr>
      <w:r w:rsidRPr="009F3D7B">
        <w:t>След подписването на споразумението за отпускане на безвъзмездни средства няма да получите предварително финансиране.</w:t>
      </w:r>
    </w:p>
    <w:p w14:paraId="1DBCB7BA" w14:textId="77777777" w:rsidR="00273AA8" w:rsidRPr="009F3D7B" w:rsidRDefault="00273AA8" w:rsidP="00273AA8">
      <w:r w:rsidRPr="009F3D7B">
        <w:t xml:space="preserve">Плащане на остатъка: В края на проекта, ще изчислим окончателния размер на предоставените ви безвъзмездни средства. Ако общият размер на предходни </w:t>
      </w:r>
      <w:r w:rsidRPr="009F3D7B">
        <w:lastRenderedPageBreak/>
        <w:t>плащания надвишава окончателния размер на безвъзмездните средства, ще поискаме от вас (вашия координатор) да върне разликата (събиране на вземания).</w:t>
      </w:r>
    </w:p>
    <w:p w14:paraId="6BE11C5B" w14:textId="5E8F163B" w:rsidR="00273AA8" w:rsidRPr="009F3D7B" w:rsidRDefault="00273AA8" w:rsidP="00273AA8">
      <w:pPr>
        <w:spacing w:after="120"/>
        <w:rPr>
          <w:b/>
          <w:bCs/>
          <w:color w:val="A50021"/>
        </w:rPr>
      </w:pPr>
      <w:r w:rsidRPr="009F3D7B">
        <w:rPr>
          <w:b/>
          <w:bCs/>
          <w:color w:val="A50021"/>
        </w:rPr>
        <w:t xml:space="preserve">CERV-2022-CITIZENS-TOWN-NT — Мрежи от градове </w:t>
      </w:r>
    </w:p>
    <w:p w14:paraId="55E312F9" w14:textId="696F180F" w:rsidR="00273AA8" w:rsidRPr="009F3D7B" w:rsidRDefault="00273AA8" w:rsidP="00273AA8">
      <w:pPr>
        <w:widowControl w:val="0"/>
        <w:rPr>
          <w:rFonts w:cs="Arial"/>
        </w:rPr>
      </w:pPr>
      <w:r w:rsidRPr="009F3D7B">
        <w:t xml:space="preserve">След подписването на споразумението за предоставяне на безвъзмездни средства е обичайно да получите </w:t>
      </w:r>
      <w:r w:rsidRPr="009F3D7B">
        <w:rPr>
          <w:b/>
        </w:rPr>
        <w:t>предварително финансиране</w:t>
      </w:r>
      <w:r w:rsidRPr="009F3D7B">
        <w:t xml:space="preserve">, за да започнете работа по проекта (променлив процент, който стандартно е </w:t>
      </w:r>
      <w:r w:rsidRPr="009F3D7B">
        <w:rPr>
          <w:b/>
        </w:rPr>
        <w:t>60%</w:t>
      </w:r>
      <w:r w:rsidRPr="009F3D7B">
        <w:t xml:space="preserve"> от максималния размер на безвъзмездните средства; по изключение — по-малко или никакво предварително финансиране). Предварителното финансиране ще бъде изплатено 30 дни след влизането в сила/финансовата гаранция (ако се изисква) — която от датите е най-късна.</w:t>
      </w:r>
    </w:p>
    <w:p w14:paraId="6177614D" w14:textId="40FBA4EA" w:rsidR="00741682" w:rsidRPr="009F3D7B" w:rsidRDefault="00AE5C30" w:rsidP="00741682">
      <w:pPr>
        <w:pStyle w:val="Text2"/>
        <w:ind w:left="0"/>
        <w:rPr>
          <w:rFonts w:cs="Arial"/>
        </w:rPr>
      </w:pPr>
      <w:r w:rsidRPr="009F3D7B">
        <w:rPr>
          <w:b/>
        </w:rPr>
        <w:t>Плащане на остатъка</w:t>
      </w:r>
      <w:r w:rsidRPr="009F3D7B">
        <w:t>: В края на проекта ще изчислим окончателния размер на предоставените ви безвъзмездни средства. Ако общият размер на предходните плащания надвишава окончателния размер на безвъзмездните средства, ще поискаме от координатора да върне разликата (събиране на вземания).</w:t>
      </w:r>
    </w:p>
    <w:p w14:paraId="3BDCBF75" w14:textId="77777777" w:rsidR="00B21F85" w:rsidRPr="009F3D7B" w:rsidRDefault="00B21F85" w:rsidP="00741682">
      <w:pPr>
        <w:pStyle w:val="Text2"/>
        <w:ind w:left="0"/>
      </w:pPr>
      <w:r w:rsidRPr="009F3D7B">
        <w:t>Всички плащания ще бъдат направени към координатора.</w:t>
      </w:r>
    </w:p>
    <w:p w14:paraId="7FE7E033" w14:textId="5C5DBFEB" w:rsidR="00A82A58" w:rsidRPr="009F3D7B" w:rsidRDefault="005A3754" w:rsidP="00A82A58">
      <w:pPr>
        <w:pStyle w:val="Text2"/>
        <w:ind w:left="0"/>
      </w:pPr>
      <w:r w:rsidRPr="009F3D7B">
        <w:rPr>
          <w:noProof/>
          <w:lang w:val="en-IE" w:eastAsia="en-IE"/>
        </w:rPr>
        <w:drawing>
          <wp:inline distT="0" distB="0" distL="0" distR="0" wp14:anchorId="4AE7EFB5" wp14:editId="6394BE84">
            <wp:extent cx="187960" cy="18796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9F3D7B">
        <w:t xml:space="preserve"> Имайте предвид, че плащанията ще бъдат автоматично намалени, ако някой от членовете на вашия консорциум има неизплатени задължения към ЕС (отпуснал орган или други органи на ЕС). Тези дългове ще бъдат компенсирани от нас — в съответствие с условията, определени в споразумението за отпускане на безвъзмездни средства </w:t>
      </w:r>
      <w:r w:rsidRPr="009F3D7B">
        <w:rPr>
          <w:i/>
        </w:rPr>
        <w:t>(вж. член 22)</w:t>
      </w:r>
      <w:r w:rsidRPr="009F3D7B">
        <w:t>.</w:t>
      </w:r>
    </w:p>
    <w:p w14:paraId="1EA9C858" w14:textId="1424599E" w:rsidR="000C6DE8" w:rsidRPr="009F3D7B" w:rsidRDefault="000C6DE8" w:rsidP="00A82A58">
      <w:pPr>
        <w:pStyle w:val="Text2"/>
        <w:ind w:left="0"/>
        <w:rPr>
          <w:rFonts w:cs="Arial"/>
        </w:rPr>
      </w:pPr>
      <w:r w:rsidRPr="009F3D7B">
        <w:t xml:space="preserve">Обърнете внимание, че носите отговорност за воденето на документация за цялата извършена работа. </w:t>
      </w:r>
    </w:p>
    <w:p w14:paraId="6F7B0297" w14:textId="77777777" w:rsidR="00C038C5" w:rsidRPr="009F3D7B" w:rsidRDefault="00C038C5" w:rsidP="00C038C5">
      <w:pPr>
        <w:pStyle w:val="Heading3"/>
      </w:pPr>
      <w:bookmarkStart w:id="32" w:name="_Toc92981849"/>
      <w:r w:rsidRPr="009F3D7B">
        <w:t>Гаранции за предварително финансиране</w:t>
      </w:r>
      <w:bookmarkEnd w:id="32"/>
      <w:r w:rsidRPr="009F3D7B">
        <w:t xml:space="preserve"> </w:t>
      </w:r>
    </w:p>
    <w:p w14:paraId="5D1F5E81" w14:textId="77777777" w:rsidR="00C038C5" w:rsidRPr="009F3D7B" w:rsidRDefault="00C038C5" w:rsidP="00C038C5">
      <w:pPr>
        <w:pStyle w:val="Text2"/>
        <w:ind w:left="0"/>
      </w:pPr>
      <w:r w:rsidRPr="009F3D7B">
        <w:t xml:space="preserve">Ако се изисква гаранция за предварително финансиране, тя ще бъде определена в споразумението за предоставяне на безвъзмездни средства </w:t>
      </w:r>
      <w:r w:rsidRPr="009F3D7B">
        <w:rPr>
          <w:i/>
        </w:rPr>
        <w:t>(Информационен лист, точка 4)</w:t>
      </w:r>
      <w:r w:rsidRPr="009F3D7B">
        <w:t>. Размерът ѝ ще бъде определен в етапа на подготовката на споразумението за предоставяне на безвъзмездни средства, като обичайно този размер е еднакъв с или по-малък от предварителното финансиране за предоставяните ви безвъзмездни средства.</w:t>
      </w:r>
    </w:p>
    <w:p w14:paraId="17795A40" w14:textId="77777777" w:rsidR="00C038C5" w:rsidRPr="009F3D7B" w:rsidRDefault="00C038C5" w:rsidP="00C038C5">
      <w:pPr>
        <w:pStyle w:val="Text2"/>
        <w:ind w:left="0"/>
      </w:pPr>
      <w:r w:rsidRPr="009F3D7B">
        <w:t>Гаранцията трябва да бъде предоставена в евро и да бъде издадена от одобрена банка или финансова институция, установена в държава — членка на ЕС. Ако сте установени в държава извън ЕС и желаете да предоставите гаранция от банка/финансова институция във вашата държава, свържете се с нас (това може да бъде прието по изключение, ако се предлага равностойно обезпечение).</w:t>
      </w:r>
    </w:p>
    <w:p w14:paraId="2588057F" w14:textId="77777777" w:rsidR="00C038C5" w:rsidRPr="009F3D7B" w:rsidRDefault="00C038C5" w:rsidP="00C038C5">
      <w:pPr>
        <w:pStyle w:val="Text2"/>
        <w:ind w:left="0"/>
      </w:pPr>
      <w:r w:rsidRPr="009F3D7B">
        <w:t>Суми, блокирани в банкови сметки, НЯМА да се приемат като финансови гаранции.</w:t>
      </w:r>
    </w:p>
    <w:p w14:paraId="6E478E1C" w14:textId="77777777" w:rsidR="00C038C5" w:rsidRPr="009F3D7B" w:rsidRDefault="00C038C5" w:rsidP="00C038C5">
      <w:pPr>
        <w:pStyle w:val="Text2"/>
        <w:ind w:left="0"/>
      </w:pPr>
      <w:r w:rsidRPr="009F3D7B">
        <w:t xml:space="preserve">Гаранциите за предварителното финансиране официално НЕ са свързани с отделни членове на консорциума, което означава, че разполагате със свобода относно начина на предоставяне на размера на гаранцията </w:t>
      </w:r>
      <w:r w:rsidRPr="009F3D7B">
        <w:rPr>
          <w:i/>
        </w:rPr>
        <w:t>(от един или няколко бенефициери, за общата сума, или няколко гаранции за частични суми, от съответния бенефициер или от друг бенефициер и т.н.)</w:t>
      </w:r>
      <w:r w:rsidRPr="009F3D7B">
        <w:t>. Същевременно е важно да се осигурява покритие за изисквания размер и гаранцията(ите) да ни бъде(ат) изпратена(и) навреме, за да предоставим предварителното финансиране (сканирано копие чрез портала И оригинал — по пощата).</w:t>
      </w:r>
    </w:p>
    <w:p w14:paraId="5675231B" w14:textId="77777777" w:rsidR="00C038C5" w:rsidRPr="009F3D7B" w:rsidRDefault="00C038C5" w:rsidP="00C038C5">
      <w:pPr>
        <w:pStyle w:val="Text2"/>
        <w:ind w:left="0"/>
      </w:pPr>
      <w:r w:rsidRPr="009F3D7B">
        <w:t>Ако това е договорено с нас, банковата гаранция може да бъде заменена с гаранция на трета страна.</w:t>
      </w:r>
    </w:p>
    <w:p w14:paraId="66D0A676" w14:textId="77777777" w:rsidR="00C038C5" w:rsidRPr="009F3D7B" w:rsidRDefault="00C038C5" w:rsidP="00C038C5">
      <w:pPr>
        <w:pStyle w:val="Text2"/>
        <w:ind w:left="0"/>
      </w:pPr>
      <w:r w:rsidRPr="009F3D7B">
        <w:lastRenderedPageBreak/>
        <w:t>Гаранцията ще бъде освободена в края на предоставянето на безвъзмездните средства съгласно условията, определени в споразумението за предоставяне на безвъзмездни средства.</w:t>
      </w:r>
    </w:p>
    <w:p w14:paraId="6D8EED08" w14:textId="77777777" w:rsidR="00EE2BCF" w:rsidRPr="009F3D7B" w:rsidRDefault="00EE2BCF" w:rsidP="00510B7E">
      <w:pPr>
        <w:pStyle w:val="Heading3"/>
      </w:pPr>
      <w:bookmarkStart w:id="33" w:name="_Toc92981850"/>
      <w:r w:rsidRPr="009F3D7B">
        <w:t>Сертификати</w:t>
      </w:r>
      <w:bookmarkEnd w:id="33"/>
    </w:p>
    <w:p w14:paraId="1F2848E4" w14:textId="48031B10" w:rsidR="005224A7" w:rsidRPr="009F3D7B" w:rsidRDefault="005224A7" w:rsidP="00D16BC1">
      <w:pPr>
        <w:spacing w:after="120"/>
        <w:rPr>
          <w:highlight w:val="yellow"/>
        </w:rPr>
      </w:pPr>
      <w:r w:rsidRPr="009F3D7B">
        <w:t xml:space="preserve">В зависимост от вида на действието, размера на безвъзмездните средства и вида на бенефициерите, от вас може да бъде поискано да предоставите различни сертификати. Видовете, сроковете и праговете по отношение на всеки един от сертификатите са определени в споразумението за предоставяне на безвъзмездни средства </w:t>
      </w:r>
      <w:r w:rsidRPr="009F3D7B">
        <w:rPr>
          <w:i/>
        </w:rPr>
        <w:t>(Информационен лист, точка 4 и член 24)</w:t>
      </w:r>
      <w:r w:rsidRPr="009F3D7B">
        <w:t>.</w:t>
      </w:r>
    </w:p>
    <w:p w14:paraId="67810567" w14:textId="77777777" w:rsidR="007C1E0D" w:rsidRPr="009F3D7B" w:rsidRDefault="007C1E0D" w:rsidP="00510B7E">
      <w:pPr>
        <w:pStyle w:val="Heading3"/>
      </w:pPr>
      <w:bookmarkStart w:id="34" w:name="_Toc92981851"/>
      <w:r w:rsidRPr="009F3D7B">
        <w:t>Режим на отговорност по отношение на събиранията на вземания</w:t>
      </w:r>
      <w:bookmarkEnd w:id="34"/>
    </w:p>
    <w:p w14:paraId="5BB9318F" w14:textId="77777777" w:rsidR="002D1390" w:rsidRPr="009F3D7B" w:rsidRDefault="007C1E0D" w:rsidP="0015357F">
      <w:pPr>
        <w:widowControl w:val="0"/>
        <w:spacing w:after="120"/>
        <w:rPr>
          <w:i/>
        </w:rPr>
      </w:pPr>
      <w:r w:rsidRPr="009F3D7B">
        <w:t xml:space="preserve">Режимът на отговорност по отношение на събиранията на вземания ще бъде определен в споразумението за предоставяне на безвъзмездни средства </w:t>
      </w:r>
      <w:r w:rsidRPr="009F3D7B">
        <w:rPr>
          <w:i/>
        </w:rPr>
        <w:t>(Информационен лист, точка 4.4 и член 22)</w:t>
      </w:r>
      <w:r w:rsidRPr="009F3D7B">
        <w:t>.</w:t>
      </w:r>
    </w:p>
    <w:p w14:paraId="6AAF1F6D" w14:textId="78BE0A71" w:rsidR="007C1E0D" w:rsidRPr="009F3D7B" w:rsidRDefault="00196064" w:rsidP="0015357F">
      <w:pPr>
        <w:widowControl w:val="0"/>
        <w:spacing w:after="120"/>
      </w:pPr>
      <w:r w:rsidRPr="009F3D7B">
        <w:t>За бенефициерите е един от следните:</w:t>
      </w:r>
    </w:p>
    <w:p w14:paraId="4A08B607" w14:textId="5ACE3AC3" w:rsidR="00965369" w:rsidRPr="009F3D7B" w:rsidRDefault="00965369" w:rsidP="00584316">
      <w:pPr>
        <w:widowControl w:val="0"/>
        <w:numPr>
          <w:ilvl w:val="0"/>
          <w:numId w:val="31"/>
        </w:numPr>
        <w:spacing w:after="120"/>
        <w:ind w:left="709"/>
        <w:jc w:val="left"/>
        <w:rPr>
          <w:rFonts w:eastAsia="Calibri" w:cs="Arial"/>
        </w:rPr>
      </w:pPr>
      <w:r w:rsidRPr="009F3D7B">
        <w:t xml:space="preserve">ограничена солидарна отговорност с индивидуални тавани — </w:t>
      </w:r>
      <w:r w:rsidRPr="009F3D7B">
        <w:rPr>
          <w:i/>
        </w:rPr>
        <w:t>всеки бенефициер до максималния размер на предоставяните безвъзмездни средства</w:t>
      </w:r>
    </w:p>
    <w:p w14:paraId="22A8F057" w14:textId="77777777" w:rsidR="007C1E0D" w:rsidRPr="009F3D7B" w:rsidRDefault="007C1E0D" w:rsidP="00584316">
      <w:pPr>
        <w:widowControl w:val="0"/>
        <w:numPr>
          <w:ilvl w:val="0"/>
          <w:numId w:val="31"/>
        </w:numPr>
        <w:spacing w:after="120"/>
        <w:ind w:left="709"/>
        <w:jc w:val="left"/>
        <w:rPr>
          <w:bCs/>
        </w:rPr>
      </w:pPr>
      <w:r w:rsidRPr="009F3D7B">
        <w:t xml:space="preserve">безусловна солидарна отговорност — </w:t>
      </w:r>
      <w:r w:rsidRPr="009F3D7B">
        <w:rPr>
          <w:i/>
          <w:szCs w:val="18"/>
        </w:rPr>
        <w:t>всеки бенефициер до максималния размер на безвъзмездните средства за действието</w:t>
      </w:r>
      <w:r w:rsidRPr="009F3D7B">
        <w:t xml:space="preserve"> </w:t>
      </w:r>
    </w:p>
    <w:p w14:paraId="46190429" w14:textId="77777777" w:rsidR="00E85905" w:rsidRPr="009F3D7B" w:rsidRDefault="00E85905" w:rsidP="00E85905">
      <w:pPr>
        <w:widowControl w:val="0"/>
        <w:spacing w:after="120"/>
        <w:ind w:left="435"/>
        <w:rPr>
          <w:bCs/>
        </w:rPr>
      </w:pPr>
      <w:r w:rsidRPr="009F3D7B">
        <w:t>или</w:t>
      </w:r>
    </w:p>
    <w:p w14:paraId="48C16878" w14:textId="2DA3851E" w:rsidR="007C1E0D" w:rsidRPr="009F3D7B" w:rsidRDefault="007C1E0D" w:rsidP="00584316">
      <w:pPr>
        <w:widowControl w:val="0"/>
        <w:numPr>
          <w:ilvl w:val="0"/>
          <w:numId w:val="31"/>
        </w:numPr>
        <w:spacing w:after="120"/>
        <w:ind w:left="709"/>
        <w:jc w:val="left"/>
        <w:rPr>
          <w:bCs/>
        </w:rPr>
      </w:pPr>
      <w:r w:rsidRPr="009F3D7B">
        <w:t xml:space="preserve">индивидуална финансова отговорност — </w:t>
      </w:r>
      <w:r w:rsidRPr="009F3D7B">
        <w:rPr>
          <w:i/>
          <w:szCs w:val="18"/>
        </w:rPr>
        <w:t>всеки бенефициер единствено за неговите собствени задължения</w:t>
      </w:r>
      <w:r w:rsidRPr="009F3D7B">
        <w:t xml:space="preserve">. </w:t>
      </w:r>
    </w:p>
    <w:p w14:paraId="3ED199B0" w14:textId="77777777" w:rsidR="00196064" w:rsidRPr="009F3D7B" w:rsidRDefault="00196064" w:rsidP="00196064">
      <w:pPr>
        <w:widowControl w:val="0"/>
        <w:rPr>
          <w:bCs/>
        </w:rPr>
      </w:pPr>
      <w:r w:rsidRPr="009F3D7B">
        <w:t>Освен това предоставящият безвъзмездните средства орган може да изиска солидарна отговорност на свързаните субекти (с техния бенефициер).</w:t>
      </w:r>
    </w:p>
    <w:p w14:paraId="0A01C377" w14:textId="77777777" w:rsidR="002D1390" w:rsidRPr="009F3D7B" w:rsidRDefault="002D1390" w:rsidP="00510B7E">
      <w:pPr>
        <w:pStyle w:val="Heading3"/>
      </w:pPr>
      <w:bookmarkStart w:id="35" w:name="_Toc92981852"/>
      <w:r w:rsidRPr="009F3D7B">
        <w:t>Разпоредби, свързани с изпълнението на проекта</w:t>
      </w:r>
      <w:bookmarkEnd w:id="35"/>
    </w:p>
    <w:p w14:paraId="41C36EDF" w14:textId="77777777" w:rsidR="00C36932" w:rsidRPr="009F3D7B" w:rsidRDefault="00C36932" w:rsidP="00C36932">
      <w:pPr>
        <w:widowControl w:val="0"/>
        <w:rPr>
          <w:bCs/>
          <w:i/>
        </w:rPr>
      </w:pPr>
      <w:r w:rsidRPr="009F3D7B">
        <w:t xml:space="preserve">Правила относно правата на интелектуална собственост: </w:t>
      </w:r>
      <w:r w:rsidRPr="009F3D7B">
        <w:rPr>
          <w:bCs/>
          <w:i/>
        </w:rPr>
        <w:t>вж. Образец на споразумение за предоставяне на безвъзмездни средства (член 16 и приложение 5)</w:t>
      </w:r>
    </w:p>
    <w:p w14:paraId="255EA0A4" w14:textId="769E98BA" w:rsidR="00C36932" w:rsidRPr="009F3D7B" w:rsidRDefault="00C36932" w:rsidP="008C3D9D">
      <w:pPr>
        <w:widowControl w:val="0"/>
        <w:numPr>
          <w:ilvl w:val="0"/>
          <w:numId w:val="31"/>
        </w:numPr>
        <w:ind w:left="709"/>
        <w:jc w:val="left"/>
        <w:rPr>
          <w:bCs/>
        </w:rPr>
      </w:pPr>
      <w:r w:rsidRPr="009F3D7B">
        <w:t>права на ползване на резултатите: Да</w:t>
      </w:r>
    </w:p>
    <w:p w14:paraId="1203D3C9" w14:textId="77777777" w:rsidR="00C36932" w:rsidRPr="009F3D7B" w:rsidRDefault="00C36932" w:rsidP="008C3D9D">
      <w:pPr>
        <w:widowControl w:val="0"/>
        <w:rPr>
          <w:bCs/>
          <w:i/>
        </w:rPr>
      </w:pPr>
      <w:r w:rsidRPr="009F3D7B">
        <w:t xml:space="preserve">Обмен на информация, разпространение и прозрачност на финансирането: </w:t>
      </w:r>
      <w:r w:rsidRPr="009F3D7B">
        <w:rPr>
          <w:bCs/>
          <w:i/>
        </w:rPr>
        <w:t>вж. Образец на споразумение за предоставяне на безвъзмездни средства (член 17 и приложение 5):</w:t>
      </w:r>
    </w:p>
    <w:p w14:paraId="3B53DB48" w14:textId="3BE8BC8F" w:rsidR="006C2D98" w:rsidRPr="009F3D7B" w:rsidRDefault="006C2D98" w:rsidP="008C3D9D">
      <w:pPr>
        <w:widowControl w:val="0"/>
        <w:numPr>
          <w:ilvl w:val="0"/>
          <w:numId w:val="31"/>
        </w:numPr>
        <w:ind w:left="709" w:hanging="357"/>
        <w:jc w:val="left"/>
        <w:rPr>
          <w:bCs/>
          <w:i/>
        </w:rPr>
      </w:pPr>
      <w:r w:rsidRPr="009F3D7B">
        <w:t>допълнителни дейности по обмен на информация и разпространение: Да</w:t>
      </w:r>
    </w:p>
    <w:p w14:paraId="79092A73" w14:textId="77777777" w:rsidR="00E752E3" w:rsidRPr="009F3D7B" w:rsidRDefault="00E752E3" w:rsidP="00510B7E">
      <w:pPr>
        <w:pStyle w:val="Heading3"/>
      </w:pPr>
      <w:bookmarkStart w:id="36" w:name="_Toc92981853"/>
      <w:r w:rsidRPr="009F3D7B">
        <w:t>Други особености</w:t>
      </w:r>
      <w:bookmarkEnd w:id="36"/>
      <w:r w:rsidRPr="009F3D7B">
        <w:t xml:space="preserve"> </w:t>
      </w:r>
    </w:p>
    <w:p w14:paraId="6FAE6CF8" w14:textId="3320AC1C" w:rsidR="006C2D98" w:rsidRPr="009F3D7B" w:rsidRDefault="006C2D98" w:rsidP="006C2D98">
      <w:pPr>
        <w:widowControl w:val="0"/>
        <w:rPr>
          <w:bCs/>
        </w:rPr>
      </w:pPr>
      <w:r w:rsidRPr="009F3D7B">
        <w:t>Не е приложимо</w:t>
      </w:r>
    </w:p>
    <w:p w14:paraId="550096E5" w14:textId="77777777" w:rsidR="00E752E3" w:rsidRPr="009F3D7B" w:rsidRDefault="00E752E3" w:rsidP="00510B7E">
      <w:pPr>
        <w:pStyle w:val="Heading3"/>
      </w:pPr>
      <w:bookmarkStart w:id="37" w:name="_Toc92981854"/>
      <w:r w:rsidRPr="009F3D7B">
        <w:t>Неизпълнение и нарушение на договора</w:t>
      </w:r>
      <w:bookmarkEnd w:id="37"/>
    </w:p>
    <w:p w14:paraId="12A9A690" w14:textId="77777777" w:rsidR="00E85C9D" w:rsidRPr="009F3D7B" w:rsidRDefault="00E752E3" w:rsidP="00E85C9D">
      <w:pPr>
        <w:widowControl w:val="0"/>
        <w:rPr>
          <w:bCs/>
        </w:rPr>
      </w:pPr>
      <w:r w:rsidRPr="009F3D7B">
        <w:t>Споразумението за предоставяне на безвъзмездни средства (глава 5) определя мерките, които бихме могли да предприемем в случай на нарушение на договора (и други въпроси, свързани с неизпълнението му).</w:t>
      </w:r>
    </w:p>
    <w:p w14:paraId="11678DD9" w14:textId="4FA9DB8D" w:rsidR="00E752E3" w:rsidRPr="009F3D7B" w:rsidRDefault="005A3754" w:rsidP="00E752E3">
      <w:pPr>
        <w:autoSpaceDE w:val="0"/>
        <w:autoSpaceDN w:val="0"/>
        <w:adjustRightInd w:val="0"/>
        <w:rPr>
          <w:rFonts w:cs="Verdana"/>
        </w:rPr>
      </w:pPr>
      <w:r w:rsidRPr="009F3D7B">
        <w:rPr>
          <w:noProof/>
          <w:lang w:val="en-IE" w:eastAsia="en-IE"/>
        </w:rPr>
        <w:drawing>
          <wp:inline distT="0" distB="0" distL="0" distR="0" wp14:anchorId="4DC826B7" wp14:editId="67CF715E">
            <wp:extent cx="187960" cy="187960"/>
            <wp:effectExtent l="0" t="0" r="0" b="0"/>
            <wp:docPr id="11" name="Picture 926709888"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6709888" name="Picture 926709888"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9F3D7B">
        <w:t xml:space="preserve"> За повече информация вж. </w:t>
      </w:r>
      <w:hyperlink r:id="rId49">
        <w:r w:rsidRPr="009F3D7B">
          <w:rPr>
            <w:rStyle w:val="Hyperlink"/>
            <w:i/>
            <w:iCs/>
          </w:rPr>
          <w:t>АСПБС — Анотирано споразумение за предоставяне на безвъзмездни средства</w:t>
        </w:r>
      </w:hyperlink>
      <w:r w:rsidRPr="009F3D7B">
        <w:t xml:space="preserve">. </w:t>
      </w:r>
    </w:p>
    <w:p w14:paraId="52D0B17F" w14:textId="3C52329B" w:rsidR="00774448" w:rsidRPr="009F3D7B" w:rsidRDefault="00774448" w:rsidP="000579AF">
      <w:pPr>
        <w:pStyle w:val="Heading1"/>
        <w:numPr>
          <w:ilvl w:val="0"/>
          <w:numId w:val="54"/>
        </w:numPr>
        <w:tabs>
          <w:tab w:val="left" w:pos="426"/>
        </w:tabs>
        <w:ind w:left="0" w:firstLine="0"/>
      </w:pPr>
      <w:bookmarkStart w:id="38" w:name="_Toc92981855"/>
      <w:r w:rsidRPr="009F3D7B">
        <w:lastRenderedPageBreak/>
        <w:t>Как да кандидатствате</w:t>
      </w:r>
      <w:bookmarkEnd w:id="38"/>
    </w:p>
    <w:p w14:paraId="761BA98F" w14:textId="77777777" w:rsidR="00A82A58" w:rsidRPr="009F3D7B" w:rsidRDefault="00A82A58" w:rsidP="00A82A58">
      <w:pPr>
        <w:widowControl w:val="0"/>
      </w:pPr>
      <w:r w:rsidRPr="009F3D7B">
        <w:t xml:space="preserve">Всички предложения трябва да бъдат подадени пряко онлайн чрез системата за кандидатстване по електронен път на портала за финансиране и обществени поръчки. Заявления на хартиен носител НЕ се приемат. </w:t>
      </w:r>
    </w:p>
    <w:p w14:paraId="1E44B7CE" w14:textId="77777777" w:rsidR="00A82A58" w:rsidRPr="009F3D7B" w:rsidRDefault="00A82A58" w:rsidP="00A82A58">
      <w:r w:rsidRPr="009F3D7B">
        <w:t xml:space="preserve">Подаването на документите се извършва </w:t>
      </w:r>
      <w:r w:rsidRPr="009F3D7B">
        <w:rPr>
          <w:b/>
        </w:rPr>
        <w:t>на 2 етапа</w:t>
      </w:r>
      <w:r w:rsidRPr="009F3D7B">
        <w:t xml:space="preserve">: </w:t>
      </w:r>
    </w:p>
    <w:p w14:paraId="4D4C2031" w14:textId="4DCA710F" w:rsidR="00A82A58" w:rsidRPr="009F3D7B" w:rsidRDefault="00A82A58" w:rsidP="00965369">
      <w:pPr>
        <w:pStyle w:val="ListParagraph"/>
        <w:numPr>
          <w:ilvl w:val="1"/>
          <w:numId w:val="56"/>
        </w:numPr>
        <w:tabs>
          <w:tab w:val="left" w:pos="284"/>
        </w:tabs>
        <w:spacing w:after="200"/>
        <w:ind w:left="0" w:firstLine="0"/>
        <w:contextualSpacing w:val="0"/>
        <w:rPr>
          <w:sz w:val="20"/>
          <w:szCs w:val="20"/>
        </w:rPr>
      </w:pPr>
      <w:r w:rsidRPr="009F3D7B">
        <w:rPr>
          <w:b/>
          <w:sz w:val="20"/>
          <w:szCs w:val="20"/>
        </w:rPr>
        <w:t>създайте потребителски профил и регистрирайте своята организация</w:t>
      </w:r>
      <w:r w:rsidRPr="009F3D7B">
        <w:rPr>
          <w:sz w:val="20"/>
          <w:szCs w:val="20"/>
        </w:rPr>
        <w:t xml:space="preserve"> </w:t>
      </w:r>
    </w:p>
    <w:p w14:paraId="7C7BE724" w14:textId="425880B2" w:rsidR="00A82A58" w:rsidRPr="009F3D7B" w:rsidRDefault="00A82A58" w:rsidP="00965369">
      <w:r w:rsidRPr="009F3D7B">
        <w:t xml:space="preserve">За да използват системата за подаване (единственият начин за кандидатстване), всички участници трябва да </w:t>
      </w:r>
      <w:hyperlink r:id="rId50" w:history="1">
        <w:r w:rsidRPr="009F3D7B">
          <w:rPr>
            <w:color w:val="0088CC"/>
            <w:u w:val="single"/>
          </w:rPr>
          <w:t>създадат потребителски профил в EU Login</w:t>
        </w:r>
      </w:hyperlink>
      <w:r w:rsidRPr="009F3D7B">
        <w:t>.</w:t>
      </w:r>
    </w:p>
    <w:p w14:paraId="385F4D22" w14:textId="584E09A6" w:rsidR="00A82A58" w:rsidRPr="009F3D7B" w:rsidRDefault="00A82A58" w:rsidP="00A82A58">
      <w:r w:rsidRPr="009F3D7B">
        <w:t xml:space="preserve">След като сте си създали профил в EULogin, можете да </w:t>
      </w:r>
      <w:hyperlink r:id="rId51" w:history="1">
        <w:r w:rsidRPr="009F3D7B">
          <w:rPr>
            <w:color w:val="0088CC"/>
            <w:u w:val="single"/>
          </w:rPr>
          <w:t>регистрирате организацията си</w:t>
        </w:r>
      </w:hyperlink>
      <w:r w:rsidRPr="009F3D7B">
        <w:t xml:space="preserve"> в Регистъра на участниците. След като приключите окончателно с регистрацията, ще получите 9-цифров идентификационен код на участник (PIC номер).</w:t>
      </w:r>
    </w:p>
    <w:p w14:paraId="3B1EF156" w14:textId="467F6BCD" w:rsidR="00A82A58" w:rsidRPr="009F3D7B" w:rsidRDefault="00A82A58" w:rsidP="00965369">
      <w:pPr>
        <w:pStyle w:val="ListParagraph"/>
        <w:numPr>
          <w:ilvl w:val="1"/>
          <w:numId w:val="56"/>
        </w:numPr>
        <w:tabs>
          <w:tab w:val="left" w:pos="284"/>
        </w:tabs>
        <w:spacing w:after="200"/>
        <w:ind w:left="0" w:firstLine="0"/>
        <w:contextualSpacing w:val="0"/>
        <w:rPr>
          <w:sz w:val="20"/>
          <w:szCs w:val="20"/>
        </w:rPr>
      </w:pPr>
      <w:r w:rsidRPr="009F3D7B">
        <w:rPr>
          <w:b/>
          <w:sz w:val="20"/>
          <w:szCs w:val="20"/>
        </w:rPr>
        <w:t>подайте предложението</w:t>
      </w:r>
    </w:p>
    <w:p w14:paraId="2D1D3DDF" w14:textId="44D50F1A" w:rsidR="00A82A58" w:rsidRPr="009F3D7B" w:rsidRDefault="00A82A58" w:rsidP="00A82A58">
      <w:pPr>
        <w:tabs>
          <w:tab w:val="left" w:pos="142"/>
        </w:tabs>
      </w:pPr>
      <w:r w:rsidRPr="009F3D7B">
        <w:t xml:space="preserve">Влезте в системата за електронно подаване чрез тематичната страница в раздел </w:t>
      </w:r>
      <w:hyperlink r:id="rId52" w:history="1">
        <w:r w:rsidRPr="009F3D7B">
          <w:rPr>
            <w:rStyle w:val="Hyperlink"/>
          </w:rPr>
          <w:t>Търсене на финансиране и обществени поръчки</w:t>
        </w:r>
      </w:hyperlink>
      <w:r w:rsidRPr="009F3D7B">
        <w:t xml:space="preserve"> (или за покани, изпратени чрез покана за представяне на предложения, чрез връзката, предоставена в писмото покана).</w:t>
      </w:r>
    </w:p>
    <w:p w14:paraId="55DB4E61" w14:textId="04712426" w:rsidR="00A82A58" w:rsidRPr="009F3D7B" w:rsidRDefault="00A82A58" w:rsidP="00A82A58">
      <w:r w:rsidRPr="009F3D7B">
        <w:t xml:space="preserve">Подайте предложението си в 4 части по следния начин: </w:t>
      </w:r>
    </w:p>
    <w:p w14:paraId="595ACC2F" w14:textId="77777777" w:rsidR="00A82A58" w:rsidRPr="009F3D7B" w:rsidRDefault="00A82A58" w:rsidP="00A82A58">
      <w:pPr>
        <w:numPr>
          <w:ilvl w:val="0"/>
          <w:numId w:val="20"/>
        </w:numPr>
        <w:tabs>
          <w:tab w:val="num" w:pos="765"/>
        </w:tabs>
        <w:ind w:left="765"/>
      </w:pPr>
      <w:r w:rsidRPr="009F3D7B">
        <w:t>Част А включва административна информация за кандидатстващите организации (бъдещ координатор, бенефициери, свързани субекти и асоциирани партньори) и обобщен бюджет за предложението. Попълнете я директно онлайн.</w:t>
      </w:r>
    </w:p>
    <w:p w14:paraId="0B5804F7" w14:textId="77777777" w:rsidR="00A82A58" w:rsidRPr="009F3D7B" w:rsidRDefault="00A82A58" w:rsidP="00A82A58">
      <w:pPr>
        <w:numPr>
          <w:ilvl w:val="0"/>
          <w:numId w:val="20"/>
        </w:numPr>
        <w:tabs>
          <w:tab w:val="num" w:pos="765"/>
        </w:tabs>
        <w:ind w:left="765"/>
      </w:pPr>
      <w:r w:rsidRPr="009F3D7B">
        <w:t>Част Б (описание на действието) се отнася за техническото съдържание на предложението. Изтеглете задължителния образец във формат Word от системата за подаване, попълнете го и го качете като PDF файл.</w:t>
      </w:r>
    </w:p>
    <w:p w14:paraId="4AC31BB2" w14:textId="303BF488" w:rsidR="00A82A58" w:rsidRPr="009F3D7B" w:rsidRDefault="00A82A58" w:rsidP="00A82A58">
      <w:pPr>
        <w:numPr>
          <w:ilvl w:val="0"/>
          <w:numId w:val="20"/>
        </w:numPr>
        <w:tabs>
          <w:tab w:val="num" w:pos="765"/>
        </w:tabs>
        <w:ind w:left="765"/>
      </w:pPr>
      <w:r w:rsidRPr="009F3D7B">
        <w:t>Част В, съдържаща допълнителни данни за проекта. Попълва се директно онлайн.</w:t>
      </w:r>
    </w:p>
    <w:p w14:paraId="3A0A5CB2" w14:textId="77777777" w:rsidR="00A82A58" w:rsidRPr="009F3D7B" w:rsidRDefault="00A82A58" w:rsidP="00A82A58">
      <w:pPr>
        <w:numPr>
          <w:ilvl w:val="0"/>
          <w:numId w:val="20"/>
        </w:numPr>
        <w:tabs>
          <w:tab w:val="num" w:pos="765"/>
        </w:tabs>
        <w:ind w:left="765"/>
      </w:pPr>
      <w:r w:rsidRPr="009F3D7B">
        <w:t xml:space="preserve">Приложения </w:t>
      </w:r>
      <w:r w:rsidRPr="009F3D7B">
        <w:rPr>
          <w:i/>
        </w:rPr>
        <w:t>(вж. раздел 5)</w:t>
      </w:r>
      <w:r w:rsidRPr="009F3D7B">
        <w:t xml:space="preserve">. Качете ги като PDF файл (единичен или множествен в зависимост от времевите интервали). Понякога качването в Excel е възможно в зависимост от вида на файла. </w:t>
      </w:r>
    </w:p>
    <w:p w14:paraId="3A92FB1F" w14:textId="77777777" w:rsidR="00A82A58" w:rsidRPr="009F3D7B" w:rsidRDefault="00A82A58" w:rsidP="00A82A58">
      <w:r w:rsidRPr="009F3D7B">
        <w:t xml:space="preserve">Предложението трябва да бъде изготвено съгласно </w:t>
      </w:r>
      <w:r w:rsidRPr="009F3D7B">
        <w:rPr>
          <w:b/>
        </w:rPr>
        <w:t>ограниченията за броя на страниците</w:t>
      </w:r>
      <w:r w:rsidRPr="009F3D7B">
        <w:t xml:space="preserve"> </w:t>
      </w:r>
      <w:r w:rsidRPr="009F3D7B">
        <w:rPr>
          <w:i/>
        </w:rPr>
        <w:t>(вж. раздел 5)</w:t>
      </w:r>
      <w:r w:rsidRPr="009F3D7B">
        <w:t xml:space="preserve">; страниците над определеното ограничение няма да бъдат взети под внимание. </w:t>
      </w:r>
    </w:p>
    <w:p w14:paraId="20D3A891" w14:textId="3BD2430A" w:rsidR="00774448" w:rsidRPr="009F3D7B" w:rsidRDefault="00774448" w:rsidP="00A82A58">
      <w:r w:rsidRPr="009F3D7B">
        <w:t xml:space="preserve">Документите трябва да бъдат качени в </w:t>
      </w:r>
      <w:r w:rsidRPr="009F3D7B">
        <w:rPr>
          <w:b/>
        </w:rPr>
        <w:t>правилната категория</w:t>
      </w:r>
      <w:r w:rsidRPr="009F3D7B">
        <w:t xml:space="preserve"> в системата за подаване, в противен случай предложението може да се счита за непълно, а оттам и за недопустимо.</w:t>
      </w:r>
    </w:p>
    <w:p w14:paraId="72F683C9" w14:textId="77777777" w:rsidR="00774448" w:rsidRPr="009F3D7B" w:rsidRDefault="00774448" w:rsidP="00774448">
      <w:r w:rsidRPr="009F3D7B">
        <w:t xml:space="preserve">Предложението трябва да бъде подадено </w:t>
      </w:r>
      <w:r w:rsidRPr="009F3D7B">
        <w:rPr>
          <w:b/>
        </w:rPr>
        <w:t>преди крайния срок на поканата за представяне на предложения</w:t>
      </w:r>
      <w:r w:rsidRPr="009F3D7B">
        <w:t xml:space="preserve"> </w:t>
      </w:r>
      <w:r w:rsidRPr="009F3D7B">
        <w:rPr>
          <w:i/>
        </w:rPr>
        <w:t>(вж. раздел 4)</w:t>
      </w:r>
      <w:r w:rsidRPr="009F3D7B">
        <w:t xml:space="preserve">. След изтичането на този срок системата се затваря и предложения повече не могат да бъдат подавани. </w:t>
      </w:r>
    </w:p>
    <w:p w14:paraId="762AB04D" w14:textId="3CB14491" w:rsidR="00774448" w:rsidRPr="009F3D7B" w:rsidRDefault="00774448" w:rsidP="00774448">
      <w:r w:rsidRPr="009F3D7B">
        <w:t xml:space="preserve">След подаване на предложението ще получите </w:t>
      </w:r>
      <w:r w:rsidRPr="009F3D7B">
        <w:rPr>
          <w:b/>
        </w:rPr>
        <w:t>електронно писмо за потвърждение</w:t>
      </w:r>
      <w:r w:rsidRPr="009F3D7B">
        <w:t xml:space="preserve"> (с датата и часа на подаването). Ако не получите това електронно писмо за потвърждение, това означава, че вашето предложение НЕ е подадено. Ако смятате, че това се дължи на грешка в системата за подаване, трябва незабавно да подадете жалба чрез </w:t>
      </w:r>
      <w:hyperlink r:id="rId53" w:history="1">
        <w:r w:rsidRPr="009F3D7B">
          <w:rPr>
            <w:color w:val="0088CC"/>
            <w:u w:val="single"/>
          </w:rPr>
          <w:t xml:space="preserve">уеб формуляра на бюрото за помощ във връзка </w:t>
        </w:r>
        <w:r w:rsidRPr="009F3D7B">
          <w:rPr>
            <w:color w:val="0088CC"/>
            <w:u w:val="single"/>
          </w:rPr>
          <w:lastRenderedPageBreak/>
          <w:t>с ИТ</w:t>
        </w:r>
      </w:hyperlink>
      <w:r w:rsidRPr="009F3D7B">
        <w:t>, като обясните обстоятелствата и приложите копие от предложението (и, ако е възможно, снимки на екрана, за да покажете какво се е случило).</w:t>
      </w:r>
    </w:p>
    <w:p w14:paraId="5EBA6498" w14:textId="77A04CA2" w:rsidR="00774448" w:rsidRPr="009F3D7B" w:rsidRDefault="00774448" w:rsidP="00774448">
      <w:r w:rsidRPr="009F3D7B">
        <w:t xml:space="preserve">Подробна информация за процесите и процедурите е предоставена в </w:t>
      </w:r>
      <w:hyperlink r:id="rId54" w:history="1">
        <w:r w:rsidRPr="009F3D7B">
          <w:rPr>
            <w:rStyle w:val="Hyperlink"/>
          </w:rPr>
          <w:t>онлайн наръчника</w:t>
        </w:r>
      </w:hyperlink>
      <w:r w:rsidRPr="009F3D7B">
        <w:t>. Онлайн наръчникът съдържа и връзки към често задавани въпроси и подробни инструкции относно системата за електронен обмен на портала.</w:t>
      </w:r>
    </w:p>
    <w:p w14:paraId="2FB20757" w14:textId="11484925" w:rsidR="002D1390" w:rsidRPr="009F3D7B" w:rsidRDefault="002D1390" w:rsidP="000579AF">
      <w:pPr>
        <w:pStyle w:val="Heading1"/>
        <w:numPr>
          <w:ilvl w:val="0"/>
          <w:numId w:val="54"/>
        </w:numPr>
        <w:tabs>
          <w:tab w:val="left" w:pos="426"/>
        </w:tabs>
        <w:ind w:left="0" w:firstLine="0"/>
      </w:pPr>
      <w:bookmarkStart w:id="39" w:name="_Toc92981856"/>
      <w:r w:rsidRPr="009F3D7B">
        <w:t>Помощ</w:t>
      </w:r>
      <w:bookmarkEnd w:id="39"/>
    </w:p>
    <w:p w14:paraId="5BD07290" w14:textId="77777777" w:rsidR="00B870D7" w:rsidRPr="009F3D7B" w:rsidRDefault="00B870D7" w:rsidP="00B870D7">
      <w:pPr>
        <w:spacing w:after="120"/>
        <w:rPr>
          <w:szCs w:val="21"/>
        </w:rPr>
      </w:pPr>
      <w:r w:rsidRPr="009F3D7B">
        <w:t xml:space="preserve">Доколкото е възможно, </w:t>
      </w:r>
      <w:r w:rsidRPr="009F3D7B">
        <w:rPr>
          <w:b/>
          <w:i/>
          <w:szCs w:val="21"/>
        </w:rPr>
        <w:t>опитвайте се сами да откриете отговорите, от които се нуждаете</w:t>
      </w:r>
      <w:r w:rsidRPr="009F3D7B">
        <w:t xml:space="preserve"> в този и в други документи (разполагаме с ограничени ресурси за обработване на директни запитвания):</w:t>
      </w:r>
    </w:p>
    <w:p w14:paraId="66C7F5F9" w14:textId="5BA8DA83" w:rsidR="00B870D7" w:rsidRPr="009F3D7B" w:rsidRDefault="00120788" w:rsidP="00584316">
      <w:pPr>
        <w:widowControl w:val="0"/>
        <w:numPr>
          <w:ilvl w:val="0"/>
          <w:numId w:val="31"/>
        </w:numPr>
        <w:spacing w:after="120"/>
        <w:ind w:left="709"/>
        <w:jc w:val="left"/>
        <w:rPr>
          <w:szCs w:val="21"/>
        </w:rPr>
      </w:pPr>
      <w:hyperlink r:id="rId55" w:history="1">
        <w:r w:rsidR="00D9124D" w:rsidRPr="009F3D7B">
          <w:rPr>
            <w:rStyle w:val="Hyperlink"/>
          </w:rPr>
          <w:t>Онлайн наръчник</w:t>
        </w:r>
      </w:hyperlink>
      <w:r w:rsidR="00D9124D" w:rsidRPr="009F3D7B">
        <w:t xml:space="preserve"> </w:t>
      </w:r>
    </w:p>
    <w:p w14:paraId="20342E5F" w14:textId="77777777" w:rsidR="00B870D7" w:rsidRPr="009F3D7B" w:rsidRDefault="00B870D7" w:rsidP="00584316">
      <w:pPr>
        <w:widowControl w:val="0"/>
        <w:numPr>
          <w:ilvl w:val="0"/>
          <w:numId w:val="31"/>
        </w:numPr>
        <w:spacing w:after="120"/>
        <w:ind w:left="709"/>
        <w:jc w:val="left"/>
        <w:rPr>
          <w:szCs w:val="21"/>
          <w:u w:val="single"/>
        </w:rPr>
      </w:pPr>
      <w:r w:rsidRPr="009F3D7B">
        <w:t>Често задавани въпроси на тематичната страница (за специфични за поканата въпроси в покани за открити процедури; не се прилага за действия по покана)</w:t>
      </w:r>
    </w:p>
    <w:p w14:paraId="15BC9D11" w14:textId="77D3B093" w:rsidR="00B870D7" w:rsidRPr="009F3D7B" w:rsidRDefault="00120788" w:rsidP="00584316">
      <w:pPr>
        <w:widowControl w:val="0"/>
        <w:numPr>
          <w:ilvl w:val="0"/>
          <w:numId w:val="31"/>
        </w:numPr>
        <w:ind w:left="709" w:hanging="357"/>
        <w:jc w:val="left"/>
        <w:rPr>
          <w:szCs w:val="21"/>
          <w:u w:val="single"/>
        </w:rPr>
      </w:pPr>
      <w:hyperlink r:id="rId56" w:history="1">
        <w:r w:rsidR="00D9124D" w:rsidRPr="009F3D7B">
          <w:rPr>
            <w:rStyle w:val="Hyperlink"/>
          </w:rPr>
          <w:t>Често задавани въпроси (ЧЗВ) на портала</w:t>
        </w:r>
      </w:hyperlink>
      <w:r w:rsidR="00D9124D" w:rsidRPr="009F3D7B">
        <w:t xml:space="preserve"> (за общи въпроси)</w:t>
      </w:r>
    </w:p>
    <w:p w14:paraId="7FE24C65" w14:textId="77777777" w:rsidR="00A53E20" w:rsidRPr="009F3D7B" w:rsidRDefault="00A53E20" w:rsidP="00A53E20">
      <w:pPr>
        <w:rPr>
          <w:color w:val="000000"/>
          <w:szCs w:val="21"/>
        </w:rPr>
      </w:pPr>
      <w:r w:rsidRPr="009F3D7B">
        <w:rPr>
          <w:color w:val="000000"/>
          <w:szCs w:val="21"/>
        </w:rPr>
        <w:t>Проверявайте тематичната страница на уебсайта редовно, тъй като ще я използваме за публикуване на актуализирана информация относно процедурата по поканата за представяне на предложения. (За покани ще се свържем директно с вас в случай на актуализация на поканата за представяне на предложения).</w:t>
      </w:r>
    </w:p>
    <w:p w14:paraId="2799B9E0" w14:textId="77777777" w:rsidR="00A53E20" w:rsidRPr="009F3D7B" w:rsidRDefault="00A53E20" w:rsidP="00A53E20">
      <w:pPr>
        <w:widowControl w:val="0"/>
        <w:rPr>
          <w:i/>
        </w:rPr>
      </w:pPr>
      <w:r w:rsidRPr="009F3D7B">
        <w:rPr>
          <w:i/>
        </w:rPr>
        <w:t>Данни за връзка</w:t>
      </w:r>
    </w:p>
    <w:p w14:paraId="4F7C9187" w14:textId="0F29E134" w:rsidR="00A53E20" w:rsidRPr="009F3D7B" w:rsidRDefault="00A53E20" w:rsidP="00A53E20">
      <w:pPr>
        <w:pStyle w:val="Default"/>
        <w:spacing w:after="120"/>
        <w:jc w:val="both"/>
        <w:rPr>
          <w:rFonts w:ascii="Verdana" w:hAnsi="Verdana" w:cs="Arial"/>
          <w:color w:val="auto"/>
          <w:sz w:val="20"/>
          <w:szCs w:val="20"/>
        </w:rPr>
      </w:pPr>
      <w:r w:rsidRPr="009F3D7B">
        <w:rPr>
          <w:rFonts w:ascii="Verdana" w:hAnsi="Verdana"/>
          <w:color w:val="auto"/>
          <w:sz w:val="20"/>
          <w:szCs w:val="20"/>
        </w:rPr>
        <w:t xml:space="preserve">За индивидуални въпроси относно системата за кандидатстване на портала се свържете с </w:t>
      </w:r>
      <w:hyperlink r:id="rId57" w:history="1">
        <w:r w:rsidRPr="009F3D7B">
          <w:rPr>
            <w:rStyle w:val="Hyperlink"/>
            <w:rFonts w:ascii="Verdana" w:hAnsi="Verdana"/>
            <w:sz w:val="20"/>
            <w:szCs w:val="20"/>
          </w:rPr>
          <w:t>бюрото за помощ във връзка с ИТ</w:t>
        </w:r>
      </w:hyperlink>
      <w:r w:rsidRPr="009F3D7B">
        <w:rPr>
          <w:rFonts w:ascii="Verdana" w:hAnsi="Verdana"/>
          <w:color w:val="auto"/>
          <w:sz w:val="20"/>
          <w:szCs w:val="20"/>
        </w:rPr>
        <w:t>.</w:t>
      </w:r>
    </w:p>
    <w:p w14:paraId="0208E6F8" w14:textId="77777777" w:rsidR="007654F8" w:rsidRPr="009F3D7B" w:rsidRDefault="00A53E20" w:rsidP="007654F8">
      <w:pPr>
        <w:pStyle w:val="Text1"/>
        <w:spacing w:after="120"/>
        <w:ind w:left="0"/>
        <w:rPr>
          <w:rFonts w:cs="Arial"/>
        </w:rPr>
      </w:pPr>
      <w:r w:rsidRPr="009F3D7B">
        <w:t xml:space="preserve">Въпроси, които не са свързани с ИТ, трябва да бъдат изпращани на следния имейл адрес: </w:t>
      </w:r>
    </w:p>
    <w:p w14:paraId="78E7C8FF" w14:textId="54B14DA6" w:rsidR="00CD6C4F" w:rsidRPr="009F3D7B" w:rsidRDefault="00120788" w:rsidP="007654F8">
      <w:pPr>
        <w:pStyle w:val="Text1"/>
        <w:spacing w:after="120"/>
        <w:ind w:left="0"/>
        <w:rPr>
          <w:rFonts w:cs="Arial"/>
        </w:rPr>
      </w:pPr>
      <w:hyperlink r:id="rId58" w:history="1">
        <w:r w:rsidR="00D9124D" w:rsidRPr="009F3D7B">
          <w:rPr>
            <w:rStyle w:val="Hyperlink"/>
            <w:color w:val="FF0000"/>
          </w:rPr>
          <w:t>EACEA-CERV@ec.europa.eu</w:t>
        </w:r>
      </w:hyperlink>
      <w:r w:rsidR="00D9124D" w:rsidRPr="009F3D7B">
        <w:t xml:space="preserve">. </w:t>
      </w:r>
    </w:p>
    <w:p w14:paraId="5BAEED01" w14:textId="77777777" w:rsidR="00A53E20" w:rsidRPr="009F3D7B" w:rsidRDefault="00A53E20" w:rsidP="00CD6C4F">
      <w:pPr>
        <w:pStyle w:val="Text1"/>
        <w:spacing w:after="120"/>
        <w:ind w:left="0"/>
        <w:rPr>
          <w:rFonts w:cs="Arial"/>
        </w:rPr>
      </w:pPr>
      <w:r w:rsidRPr="009F3D7B">
        <w:t xml:space="preserve">Посочете ясно референтния номер на поканата за представяне на предложения и темата, за която се отнася въпросът </w:t>
      </w:r>
      <w:r w:rsidRPr="009F3D7B">
        <w:rPr>
          <w:i/>
        </w:rPr>
        <w:t>(вж. заглавната страница)</w:t>
      </w:r>
      <w:r w:rsidRPr="009F3D7B">
        <w:t>.</w:t>
      </w:r>
    </w:p>
    <w:p w14:paraId="60C73839" w14:textId="77777777" w:rsidR="00376DCA" w:rsidRPr="009F3D7B" w:rsidRDefault="00376DCA" w:rsidP="007C37E2"/>
    <w:p w14:paraId="55C4BC05" w14:textId="76070ACC" w:rsidR="008D7360" w:rsidRPr="009F3D7B" w:rsidRDefault="00376DCA" w:rsidP="000579AF">
      <w:pPr>
        <w:pStyle w:val="Heading1"/>
        <w:numPr>
          <w:ilvl w:val="0"/>
          <w:numId w:val="54"/>
        </w:numPr>
        <w:tabs>
          <w:tab w:val="left" w:pos="426"/>
        </w:tabs>
        <w:ind w:left="0" w:firstLine="0"/>
      </w:pPr>
      <w:r w:rsidRPr="009F3D7B">
        <w:br w:type="page"/>
      </w:r>
      <w:bookmarkStart w:id="40" w:name="_Toc92981857"/>
      <w:r w:rsidRPr="009F3D7B">
        <w:lastRenderedPageBreak/>
        <w:t>Важно</w:t>
      </w:r>
      <w:bookmarkEnd w:id="40"/>
    </w:p>
    <w:tbl>
      <w:tblPr>
        <w:tblStyle w:val="TableGrid"/>
        <w:tblW w:w="0" w:type="auto"/>
        <w:tblLook w:val="04A0" w:firstRow="1" w:lastRow="0" w:firstColumn="1" w:lastColumn="0" w:noHBand="0" w:noVBand="1"/>
      </w:tblPr>
      <w:tblGrid>
        <w:gridCol w:w="8642"/>
      </w:tblGrid>
      <w:tr w:rsidR="00F65BD7" w14:paraId="7AA659F5" w14:textId="77777777" w:rsidTr="00F65BD7">
        <w:tc>
          <w:tcPr>
            <w:tcW w:w="8642" w:type="dxa"/>
            <w:tcBorders>
              <w:top w:val="single" w:sz="4" w:space="0" w:color="BFBFBF"/>
              <w:left w:val="single" w:sz="4" w:space="0" w:color="BFBFBF"/>
              <w:bottom w:val="single" w:sz="4" w:space="0" w:color="BFBFBF"/>
              <w:right w:val="single" w:sz="4" w:space="0" w:color="BFBFBF"/>
            </w:tcBorders>
            <w:shd w:val="clear" w:color="auto" w:fill="F2F2F2"/>
          </w:tcPr>
          <w:p w14:paraId="4CDDB723" w14:textId="77777777" w:rsidR="00F65BD7" w:rsidRPr="009F3D7B" w:rsidRDefault="00F65BD7" w:rsidP="00F65BD7">
            <w:pPr>
              <w:pStyle w:val="Text1"/>
              <w:spacing w:before="120" w:after="120"/>
              <w:ind w:left="0"/>
              <w:rPr>
                <w:rFonts w:cs="Arial"/>
                <w:color w:val="595959"/>
                <w:sz w:val="16"/>
                <w:szCs w:val="18"/>
              </w:rPr>
            </w:pPr>
            <w:r w:rsidRPr="009F3D7B">
              <w:rPr>
                <w:b/>
                <w:noProof/>
                <w:color w:val="7F7F7F"/>
                <w:sz w:val="18"/>
                <w:szCs w:val="21"/>
                <w:lang w:val="en-IE" w:eastAsia="en-IE"/>
              </w:rPr>
              <w:drawing>
                <wp:inline distT="0" distB="0" distL="0" distR="0" wp14:anchorId="66FB693D" wp14:editId="56012A0B">
                  <wp:extent cx="187960" cy="187960"/>
                  <wp:effectExtent l="0" t="0" r="0" b="0"/>
                  <wp:docPr id="12" name="Picture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9F3D7B">
              <w:rPr>
                <w:sz w:val="18"/>
                <w:szCs w:val="18"/>
              </w:rPr>
              <w:t xml:space="preserve"> </w:t>
            </w:r>
            <w:r w:rsidRPr="009F3D7B">
              <w:rPr>
                <w:b/>
                <w:color w:val="595959"/>
                <w:sz w:val="18"/>
                <w:szCs w:val="18"/>
              </w:rPr>
              <w:t xml:space="preserve">ВАЖНО </w:t>
            </w:r>
          </w:p>
          <w:p w14:paraId="70C78BAF" w14:textId="77777777" w:rsidR="00F65BD7" w:rsidRPr="009F3D7B" w:rsidRDefault="00F65BD7" w:rsidP="00F65BD7">
            <w:pPr>
              <w:numPr>
                <w:ilvl w:val="0"/>
                <w:numId w:val="25"/>
              </w:numPr>
              <w:spacing w:after="120"/>
              <w:ind w:left="567" w:right="79" w:hanging="447"/>
              <w:rPr>
                <w:color w:val="595959"/>
                <w:sz w:val="18"/>
                <w:szCs w:val="18"/>
              </w:rPr>
            </w:pPr>
            <w:r w:rsidRPr="009F3D7B">
              <w:rPr>
                <w:b/>
                <w:color w:val="595959"/>
                <w:sz w:val="18"/>
                <w:szCs w:val="18"/>
              </w:rPr>
              <w:t>Не чакайте края на срока</w:t>
            </w:r>
            <w:r w:rsidRPr="009F3D7B">
              <w:rPr>
                <w:color w:val="595959"/>
                <w:sz w:val="18"/>
                <w:szCs w:val="18"/>
              </w:rPr>
              <w:t xml:space="preserve"> — Попълнете формулярите достатъчно рано преди крайния срок, за да избегнете </w:t>
            </w:r>
            <w:r w:rsidRPr="009F3D7B">
              <w:rPr>
                <w:b/>
                <w:color w:val="595959"/>
                <w:sz w:val="18"/>
                <w:szCs w:val="18"/>
              </w:rPr>
              <w:t>технически проблеми</w:t>
            </w:r>
            <w:r w:rsidRPr="009F3D7B">
              <w:rPr>
                <w:color w:val="595959"/>
                <w:sz w:val="18"/>
                <w:szCs w:val="18"/>
              </w:rPr>
              <w:t xml:space="preserve"> в последния момент. Проблемите, които се дължат на подаване в последния момент </w:t>
            </w:r>
            <w:r w:rsidRPr="009F3D7B">
              <w:rPr>
                <w:i/>
                <w:color w:val="595959"/>
                <w:sz w:val="18"/>
                <w:szCs w:val="18"/>
              </w:rPr>
              <w:t>(напр. претоварване и т.н.),</w:t>
            </w:r>
            <w:r w:rsidRPr="009F3D7B">
              <w:rPr>
                <w:color w:val="595959"/>
                <w:sz w:val="18"/>
                <w:szCs w:val="18"/>
              </w:rPr>
              <w:t xml:space="preserve"> ще бъдат изцяло на ваш риск. Крайният срок на поканата за представяне на предложения НЕ може да бъде удължаван.</w:t>
            </w:r>
          </w:p>
          <w:p w14:paraId="3246ADD7" w14:textId="77777777" w:rsidR="00F65BD7" w:rsidRPr="009F3D7B" w:rsidRDefault="00F65BD7" w:rsidP="00F65BD7">
            <w:pPr>
              <w:numPr>
                <w:ilvl w:val="0"/>
                <w:numId w:val="25"/>
              </w:numPr>
              <w:ind w:left="567" w:right="79" w:hanging="447"/>
              <w:rPr>
                <w:color w:val="595959"/>
                <w:sz w:val="18"/>
                <w:szCs w:val="18"/>
              </w:rPr>
            </w:pPr>
            <w:r w:rsidRPr="009F3D7B">
              <w:rPr>
                <w:b/>
                <w:color w:val="595959"/>
                <w:sz w:val="18"/>
                <w:szCs w:val="18"/>
              </w:rPr>
              <w:t>Проверявайте</w:t>
            </w:r>
            <w:r w:rsidRPr="009F3D7B">
              <w:rPr>
                <w:color w:val="595959"/>
                <w:sz w:val="18"/>
                <w:szCs w:val="18"/>
              </w:rPr>
              <w:t xml:space="preserve"> тематичната страница на уебсайта редовно. Ще я използваме за публикуване на актуализирана и допълнителна информация относно процедурата по поканата за представяне на предложения (актуална информация относно поканата и темите).</w:t>
            </w:r>
          </w:p>
          <w:p w14:paraId="5C87CEEB" w14:textId="77777777" w:rsidR="00F65BD7" w:rsidRPr="009F3D7B" w:rsidRDefault="00F65BD7" w:rsidP="00F65BD7">
            <w:pPr>
              <w:numPr>
                <w:ilvl w:val="0"/>
                <w:numId w:val="25"/>
              </w:numPr>
              <w:ind w:left="567" w:right="79" w:hanging="447"/>
              <w:rPr>
                <w:rFonts w:cs="Arial"/>
                <w:color w:val="595959"/>
                <w:sz w:val="18"/>
                <w:szCs w:val="18"/>
              </w:rPr>
            </w:pPr>
            <w:r w:rsidRPr="009F3D7B">
              <w:rPr>
                <w:color w:val="595959"/>
                <w:sz w:val="18"/>
                <w:szCs w:val="18"/>
              </w:rPr>
              <w:t xml:space="preserve">Система за електронен обмен на информация на портала за финансиране и обществени поръчки — като подават своето предложение, всички участници </w:t>
            </w:r>
            <w:r w:rsidRPr="009F3D7B">
              <w:rPr>
                <w:b/>
                <w:color w:val="595959"/>
                <w:sz w:val="18"/>
                <w:szCs w:val="18"/>
              </w:rPr>
              <w:t>приемат</w:t>
            </w:r>
            <w:r w:rsidRPr="009F3D7B">
              <w:rPr>
                <w:color w:val="595959"/>
                <w:sz w:val="18"/>
                <w:szCs w:val="18"/>
              </w:rPr>
              <w:t xml:space="preserve"> да използват системата за електронен обмен на информацията в съответствие с</w:t>
            </w:r>
            <w:r w:rsidRPr="009F3D7B">
              <w:rPr>
                <w:sz w:val="18"/>
                <w:szCs w:val="18"/>
              </w:rPr>
              <w:t xml:space="preserve"> </w:t>
            </w:r>
            <w:hyperlink r:id="rId59" w:history="1">
              <w:r w:rsidRPr="009F3D7B">
                <w:rPr>
                  <w:rStyle w:val="Hyperlink"/>
                  <w:sz w:val="18"/>
                  <w:szCs w:val="18"/>
                </w:rPr>
                <w:t>Условията за използване на портала</w:t>
              </w:r>
            </w:hyperlink>
            <w:r w:rsidRPr="009F3D7B">
              <w:rPr>
                <w:color w:val="7F7F7F"/>
                <w:sz w:val="18"/>
                <w:szCs w:val="18"/>
              </w:rPr>
              <w:t>.</w:t>
            </w:r>
          </w:p>
          <w:p w14:paraId="611A07F4" w14:textId="77777777" w:rsidR="00F65BD7" w:rsidRPr="009F3D7B" w:rsidRDefault="00F65BD7" w:rsidP="00F65BD7">
            <w:pPr>
              <w:numPr>
                <w:ilvl w:val="0"/>
                <w:numId w:val="25"/>
              </w:numPr>
              <w:ind w:left="567" w:right="79" w:hanging="447"/>
              <w:rPr>
                <w:rFonts w:cs="Arial"/>
                <w:color w:val="595959"/>
                <w:sz w:val="18"/>
                <w:szCs w:val="18"/>
              </w:rPr>
            </w:pPr>
            <w:r w:rsidRPr="009F3D7B">
              <w:rPr>
                <w:b/>
                <w:color w:val="595959"/>
                <w:sz w:val="18"/>
                <w:szCs w:val="18"/>
              </w:rPr>
              <w:t>Регистрация</w:t>
            </w:r>
            <w:r w:rsidRPr="009F3D7B">
              <w:rPr>
                <w:color w:val="595959"/>
                <w:sz w:val="18"/>
                <w:szCs w:val="18"/>
              </w:rPr>
              <w:t xml:space="preserve"> — преди подаване на предложението, всички бенефициери, свързани субекти и асоциирани партньори трябва да бъдат регистрирани в </w:t>
            </w:r>
            <w:hyperlink r:id="rId60" w:history="1">
              <w:r w:rsidRPr="009F3D7B">
                <w:rPr>
                  <w:rStyle w:val="Hyperlink"/>
                  <w:sz w:val="18"/>
                  <w:szCs w:val="18"/>
                </w:rPr>
                <w:t>Регистъра на участниците</w:t>
              </w:r>
            </w:hyperlink>
            <w:r w:rsidRPr="009F3D7B">
              <w:rPr>
                <w:color w:val="595959"/>
                <w:sz w:val="18"/>
                <w:szCs w:val="18"/>
              </w:rPr>
              <w:t>. Идентификационният код на участника (PIC) (по един за участник) е задължителен за формуляра за кандидатстване.</w:t>
            </w:r>
          </w:p>
          <w:p w14:paraId="3EAFFBC6" w14:textId="77777777" w:rsidR="00F65BD7" w:rsidRPr="009F3D7B" w:rsidRDefault="00F65BD7" w:rsidP="00F65BD7">
            <w:pPr>
              <w:numPr>
                <w:ilvl w:val="0"/>
                <w:numId w:val="25"/>
              </w:numPr>
              <w:spacing w:after="120"/>
              <w:ind w:left="567" w:right="79" w:hanging="445"/>
              <w:rPr>
                <w:rFonts w:cs="Arial"/>
                <w:iCs/>
                <w:color w:val="595959"/>
                <w:sz w:val="18"/>
                <w:szCs w:val="18"/>
              </w:rPr>
            </w:pPr>
            <w:r w:rsidRPr="009F3D7B">
              <w:rPr>
                <w:b/>
                <w:iCs/>
                <w:color w:val="595959"/>
                <w:sz w:val="18"/>
                <w:szCs w:val="18"/>
              </w:rPr>
              <w:t>Роли в консорциума —</w:t>
            </w:r>
            <w:r w:rsidRPr="009F3D7B">
              <w:rPr>
                <w:iCs/>
                <w:color w:val="595959"/>
                <w:sz w:val="18"/>
                <w:szCs w:val="18"/>
              </w:rPr>
              <w:t xml:space="preserve"> при създаването на консорциум, трябва да помислите за организации, които ще помогнат за постигането на целите и за решаването на проблеми.</w:t>
            </w:r>
          </w:p>
          <w:p w14:paraId="005AB67F" w14:textId="77777777" w:rsidR="00F65BD7" w:rsidRPr="009F3D7B" w:rsidRDefault="00F65BD7" w:rsidP="00F65BD7">
            <w:pPr>
              <w:spacing w:after="120"/>
              <w:ind w:left="567" w:right="79"/>
              <w:rPr>
                <w:rFonts w:eastAsia="Calibri"/>
                <w:sz w:val="18"/>
                <w:szCs w:val="18"/>
              </w:rPr>
            </w:pPr>
            <w:r w:rsidRPr="009F3D7B">
              <w:rPr>
                <w:color w:val="595959"/>
                <w:sz w:val="18"/>
                <w:szCs w:val="18"/>
              </w:rPr>
              <w:t xml:space="preserve">Функциите следва да се определят в зависимост от равнището на участие в проекта. Основните участници трябва да участват като </w:t>
            </w:r>
            <w:r w:rsidRPr="009F3D7B">
              <w:rPr>
                <w:b/>
                <w:color w:val="595959"/>
                <w:sz w:val="18"/>
                <w:szCs w:val="18"/>
              </w:rPr>
              <w:t>бенефициери</w:t>
            </w:r>
            <w:r w:rsidRPr="009F3D7B">
              <w:rPr>
                <w:color w:val="595959"/>
                <w:sz w:val="18"/>
                <w:szCs w:val="18"/>
              </w:rPr>
              <w:t xml:space="preserve"> или </w:t>
            </w:r>
            <w:r w:rsidRPr="009F3D7B">
              <w:rPr>
                <w:b/>
                <w:color w:val="595959"/>
                <w:sz w:val="18"/>
                <w:szCs w:val="18"/>
              </w:rPr>
              <w:t>свързани субекти</w:t>
            </w:r>
            <w:r w:rsidRPr="009F3D7B">
              <w:rPr>
                <w:color w:val="595959"/>
                <w:sz w:val="18"/>
                <w:szCs w:val="18"/>
              </w:rPr>
              <w:t xml:space="preserve">; други субекти могат да участват като асоциирани партньори, подизпълнители, трети страни, които допринасят в натура. </w:t>
            </w:r>
            <w:r w:rsidRPr="009F3D7B">
              <w:rPr>
                <w:b/>
                <w:color w:val="595959"/>
                <w:sz w:val="18"/>
                <w:szCs w:val="18"/>
              </w:rPr>
              <w:t>Асоциираните партньори</w:t>
            </w:r>
            <w:r w:rsidRPr="009F3D7B">
              <w:rPr>
                <w:color w:val="595959"/>
                <w:sz w:val="18"/>
                <w:szCs w:val="18"/>
              </w:rPr>
              <w:t xml:space="preserve"> и трети страни, които допринасят в натура, следва сами да поемат своите разходи (те няма да бъдат официални получатели на финансиране от ЕС). </w:t>
            </w:r>
            <w:r w:rsidRPr="009F3D7B">
              <w:rPr>
                <w:b/>
                <w:color w:val="595959"/>
                <w:sz w:val="18"/>
                <w:szCs w:val="18"/>
              </w:rPr>
              <w:t>Възлагането на подизпълнители</w:t>
            </w:r>
            <w:r w:rsidRPr="009F3D7B">
              <w:rPr>
                <w:color w:val="595959"/>
                <w:sz w:val="18"/>
                <w:szCs w:val="18"/>
              </w:rPr>
              <w:t xml:space="preserve"> обикновено следва да е ограничено и да се извършва от трети страни (не от един от бенефициерите/свързаните субекти). Възлагането на подизпълнители, надхвърлящо 30 % от общите допустими разходи, трябва да бъде обосновано в предложението.</w:t>
            </w:r>
          </w:p>
          <w:p w14:paraId="3317D844" w14:textId="77777777" w:rsidR="00F65BD7" w:rsidRPr="009F3D7B" w:rsidRDefault="00F65BD7" w:rsidP="00F65BD7">
            <w:pPr>
              <w:numPr>
                <w:ilvl w:val="0"/>
                <w:numId w:val="25"/>
              </w:numPr>
              <w:ind w:left="567" w:right="78" w:hanging="445"/>
              <w:rPr>
                <w:rFonts w:cs="Arial"/>
                <w:iCs/>
                <w:color w:val="595959"/>
                <w:sz w:val="18"/>
                <w:szCs w:val="18"/>
              </w:rPr>
            </w:pPr>
            <w:r w:rsidRPr="009F3D7B">
              <w:rPr>
                <w:b/>
                <w:color w:val="595959"/>
                <w:sz w:val="18"/>
                <w:szCs w:val="18"/>
              </w:rPr>
              <w:t xml:space="preserve">Координатор — </w:t>
            </w:r>
            <w:r w:rsidRPr="009F3D7B">
              <w:rPr>
                <w:color w:val="595959"/>
                <w:sz w:val="18"/>
                <w:szCs w:val="18"/>
              </w:rPr>
              <w:t>в случаите на споразумение за предоставяне на безвъзмездни средства с няколко бенефициери, бенефициерите участват като консорциум (група бенефициери). Те трябва да изберат координатор, който да поеме управлението и координацията на проекта и да представлява консорциума пред възлагащия орган. В случаите на споразумение за предоставяне на безвъзмездни средства с един бенефициер, единственият бенефициер автоматично ще бъде и координатор.</w:t>
            </w:r>
          </w:p>
          <w:p w14:paraId="34D0700A" w14:textId="77777777" w:rsidR="00F65BD7" w:rsidRPr="009F3D7B" w:rsidRDefault="00F65BD7" w:rsidP="00F65BD7">
            <w:pPr>
              <w:numPr>
                <w:ilvl w:val="0"/>
                <w:numId w:val="25"/>
              </w:numPr>
              <w:ind w:left="567" w:right="78" w:hanging="445"/>
              <w:rPr>
                <w:rFonts w:eastAsia="Verdana" w:cs="Verdana"/>
                <w:color w:val="595959"/>
                <w:sz w:val="18"/>
                <w:szCs w:val="18"/>
              </w:rPr>
            </w:pPr>
            <w:r w:rsidRPr="009F3D7B">
              <w:rPr>
                <w:b/>
                <w:color w:val="595959"/>
                <w:sz w:val="18"/>
                <w:szCs w:val="18"/>
              </w:rPr>
              <w:t>Свързани субекти</w:t>
            </w:r>
            <w:r w:rsidRPr="009F3D7B">
              <w:rPr>
                <w:color w:val="595959"/>
                <w:sz w:val="18"/>
                <w:szCs w:val="18"/>
              </w:rPr>
              <w:t xml:space="preserve"> — кандидатите могат да участват със свързани субекти (т.е. субекти, свързани с бенефициер, които участват в действието със сходни права и задължения като бенефициерите, но не подписват споразумението за безвъзмездни средства и следователно самите те не стават бенефициери). Те ще получат част от безвъзмездните средства и следователно трябва да отговарят на всички условия на поканата и да бъдат валидирани (подобно на бенефициерите); но те не се включват в минималните критерии за допустимост за състава на консорциума (ако има такива).</w:t>
            </w:r>
          </w:p>
          <w:p w14:paraId="3B66EE80" w14:textId="77777777" w:rsidR="00F65BD7" w:rsidRPr="009F3D7B" w:rsidRDefault="00F65BD7" w:rsidP="00F65BD7">
            <w:pPr>
              <w:numPr>
                <w:ilvl w:val="0"/>
                <w:numId w:val="25"/>
              </w:numPr>
              <w:ind w:left="567" w:right="78" w:hanging="445"/>
              <w:rPr>
                <w:rFonts w:eastAsia="Verdana" w:cs="Verdana"/>
                <w:color w:val="595959"/>
                <w:sz w:val="18"/>
                <w:szCs w:val="18"/>
              </w:rPr>
            </w:pPr>
            <w:r w:rsidRPr="009F3D7B">
              <w:rPr>
                <w:b/>
                <w:color w:val="595959"/>
                <w:sz w:val="18"/>
                <w:szCs w:val="18"/>
              </w:rPr>
              <w:t xml:space="preserve">Асоциирани партньори </w:t>
            </w:r>
            <w:r w:rsidRPr="009F3D7B">
              <w:rPr>
                <w:color w:val="595959"/>
                <w:sz w:val="18"/>
                <w:szCs w:val="18"/>
              </w:rPr>
              <w:t>— кандидатите могат да участват с асоциирани партньори (т.е. партньорски организации, които участват в действието, но без право да получат безвъзмездни средства). Те участват без финансиране и поради това не е необходимо да бъдат валидирани.</w:t>
            </w:r>
          </w:p>
          <w:p w14:paraId="20B007E1" w14:textId="5B7DFE54" w:rsidR="00F65BD7" w:rsidRPr="00F65BD7" w:rsidRDefault="00F65BD7" w:rsidP="00F65BD7">
            <w:pPr>
              <w:numPr>
                <w:ilvl w:val="0"/>
                <w:numId w:val="25"/>
              </w:numPr>
              <w:ind w:left="567" w:right="79" w:hanging="445"/>
              <w:rPr>
                <w:rFonts w:cs="Arial"/>
                <w:color w:val="595959"/>
                <w:sz w:val="18"/>
                <w:szCs w:val="18"/>
              </w:rPr>
            </w:pPr>
            <w:r w:rsidRPr="009F3D7B">
              <w:rPr>
                <w:b/>
                <w:color w:val="595959"/>
                <w:sz w:val="18"/>
                <w:szCs w:val="18"/>
              </w:rPr>
              <w:t xml:space="preserve">Споразумение за създаване на консорциум </w:t>
            </w:r>
            <w:r w:rsidRPr="009F3D7B">
              <w:rPr>
                <w:color w:val="595959"/>
                <w:sz w:val="18"/>
                <w:szCs w:val="18"/>
              </w:rPr>
              <w:t xml:space="preserve">— по практически причини и по правни съображения се препоръчва да се сключи вътрешно споразумение, което да позволява да се намира решение при извънредни или непредвидени </w:t>
            </w:r>
            <w:r w:rsidRPr="009F3D7B">
              <w:rPr>
                <w:color w:val="595959"/>
                <w:sz w:val="18"/>
                <w:szCs w:val="18"/>
              </w:rPr>
              <w:lastRenderedPageBreak/>
              <w:t>обстоятелства (във всички случаи, дори, ако това не е задължително съгласно споразумението за предоставяне на безвъзмездни средства). Споразумението за създаване на консорциум също така ви дава възможност да преразпределите безвъзмездните средства в съответствие със собствените ви вътрешни принципи и параметри на консорциума (напр. един бенефициер може да преразпредели безвъзмездните средства, предоставени на него, на друг бенефициер). По този начин споразумението за създаване на консорциум дава възможност да съобразите безвъзмездните средства от ЕС с потребностите на вашия консорциум и може също така да подпомогне вашата защита в случай на спорове.</w:t>
            </w:r>
          </w:p>
          <w:p w14:paraId="761FC2ED" w14:textId="77777777" w:rsidR="00F65BD7" w:rsidRPr="009F3D7B" w:rsidRDefault="00F65BD7" w:rsidP="00F65BD7">
            <w:pPr>
              <w:numPr>
                <w:ilvl w:val="0"/>
                <w:numId w:val="25"/>
              </w:numPr>
              <w:ind w:left="567" w:right="78" w:hanging="445"/>
              <w:rPr>
                <w:color w:val="595959"/>
                <w:sz w:val="18"/>
                <w:szCs w:val="18"/>
              </w:rPr>
            </w:pPr>
            <w:r w:rsidRPr="009F3D7B">
              <w:rPr>
                <w:b/>
                <w:color w:val="595959"/>
                <w:sz w:val="18"/>
                <w:szCs w:val="18"/>
              </w:rPr>
              <w:t>Балансиран бюджет на проекта</w:t>
            </w:r>
            <w:r w:rsidRPr="009F3D7B">
              <w:rPr>
                <w:i/>
                <w:color w:val="4AA55B"/>
                <w:sz w:val="18"/>
                <w:szCs w:val="18"/>
              </w:rPr>
              <w:t xml:space="preserve"> </w:t>
            </w:r>
            <w:r w:rsidRPr="009F3D7B">
              <w:rPr>
                <w:b/>
                <w:color w:val="595959"/>
                <w:sz w:val="18"/>
                <w:szCs w:val="18"/>
              </w:rPr>
              <w:t>—</w:t>
            </w:r>
            <w:r w:rsidRPr="009F3D7B">
              <w:rPr>
                <w:color w:val="595959"/>
                <w:sz w:val="18"/>
                <w:szCs w:val="18"/>
              </w:rPr>
              <w:t xml:space="preserve"> за предложенията за предоставяне на безвъзмездни средства трябва да се осигури балансиран бюджет и достатъчно други ресурси за успешното изпълнение на проекта </w:t>
            </w:r>
            <w:r w:rsidRPr="009F3D7B">
              <w:rPr>
                <w:i/>
                <w:color w:val="595959"/>
                <w:sz w:val="18"/>
                <w:szCs w:val="18"/>
              </w:rPr>
              <w:t>(напр. собствени вноски, доходи, генерирани от действието, финансови вноски от трети страни и т.н.)</w:t>
            </w:r>
            <w:r w:rsidRPr="009F3D7B">
              <w:rPr>
                <w:color w:val="595959"/>
                <w:sz w:val="18"/>
                <w:szCs w:val="18"/>
              </w:rPr>
              <w:t xml:space="preserve">. От вас може да бъде поискано да намалите прогнозните си разходи, ако те са недопустими (вкл. прекомерни). </w:t>
            </w:r>
          </w:p>
          <w:p w14:paraId="3B85E4FA" w14:textId="77777777" w:rsidR="00F65BD7" w:rsidRPr="009F3D7B" w:rsidRDefault="00F65BD7" w:rsidP="00F65BD7">
            <w:pPr>
              <w:numPr>
                <w:ilvl w:val="0"/>
                <w:numId w:val="25"/>
              </w:numPr>
              <w:ind w:left="567" w:right="78" w:hanging="445"/>
              <w:rPr>
                <w:color w:val="595959"/>
                <w:sz w:val="18"/>
                <w:szCs w:val="18"/>
              </w:rPr>
            </w:pPr>
            <w:r w:rsidRPr="009F3D7B">
              <w:rPr>
                <w:b/>
                <w:color w:val="595959"/>
                <w:sz w:val="18"/>
                <w:szCs w:val="18"/>
              </w:rPr>
              <w:t>Правило за недопускане на печалба —</w:t>
            </w:r>
            <w:r w:rsidRPr="009F3D7B">
              <w:rPr>
                <w:color w:val="595959"/>
                <w:sz w:val="18"/>
                <w:szCs w:val="18"/>
              </w:rPr>
              <w:t xml:space="preserve"> безвъзмездните средства НЕ може да бъдат използвани за реализирането на печалба (т.е. допълнителни приходи + безвъзмездните средства от ЕС за покриване на разходите). Ще проверим това в края на проекта. </w:t>
            </w:r>
          </w:p>
          <w:p w14:paraId="1AAE0D6F" w14:textId="77777777" w:rsidR="00F65BD7" w:rsidRPr="009F3D7B" w:rsidRDefault="00F65BD7" w:rsidP="00F65BD7">
            <w:pPr>
              <w:numPr>
                <w:ilvl w:val="0"/>
                <w:numId w:val="25"/>
              </w:numPr>
              <w:ind w:left="567" w:right="79" w:hanging="445"/>
              <w:rPr>
                <w:color w:val="595959"/>
                <w:sz w:val="18"/>
                <w:szCs w:val="18"/>
              </w:rPr>
            </w:pPr>
            <w:r w:rsidRPr="009F3D7B">
              <w:rPr>
                <w:b/>
                <w:color w:val="595959"/>
                <w:sz w:val="18"/>
                <w:szCs w:val="18"/>
              </w:rPr>
              <w:t>Забрана за двойно финансиране —</w:t>
            </w:r>
            <w:r w:rsidRPr="009F3D7B">
              <w:rPr>
                <w:color w:val="595959"/>
                <w:sz w:val="18"/>
                <w:szCs w:val="18"/>
              </w:rPr>
              <w:t xml:space="preserve"> съществува строга забрана за двойно финансиране от бюджета на ЕС (освен в рамките на действия в областта на полезните взаимодействия в ЕС). Извън рамките на такива действия за взаимодействие, за всяко действие могат да бъдат получени безвъзмездни средства от бюджета на ЕС само ВЕДНЪЖ, като при НИКАКВИ обстоятелства разходни позиции не могат да бъдат декларирани по две различни действия, финансирани от ЕС.</w:t>
            </w:r>
          </w:p>
          <w:p w14:paraId="22462129" w14:textId="77777777" w:rsidR="00F65BD7" w:rsidRPr="009F3D7B" w:rsidRDefault="00F65BD7" w:rsidP="00F65BD7">
            <w:pPr>
              <w:numPr>
                <w:ilvl w:val="0"/>
                <w:numId w:val="25"/>
              </w:numPr>
              <w:ind w:left="567" w:right="78" w:hanging="445"/>
              <w:rPr>
                <w:rFonts w:eastAsia="Verdana" w:cs="Verdana"/>
                <w:color w:val="595959"/>
                <w:sz w:val="18"/>
                <w:szCs w:val="18"/>
              </w:rPr>
            </w:pPr>
            <w:r w:rsidRPr="009F3D7B">
              <w:rPr>
                <w:b/>
                <w:color w:val="595959"/>
                <w:sz w:val="18"/>
                <w:szCs w:val="18"/>
              </w:rPr>
              <w:t xml:space="preserve">Приключени/текущи проекти — </w:t>
            </w:r>
            <w:r w:rsidRPr="009F3D7B">
              <w:rPr>
                <w:color w:val="595959"/>
                <w:sz w:val="18"/>
                <w:szCs w:val="18"/>
              </w:rPr>
              <w:t>предложения за проекти, които вече са приключени, ще бъдат отхвърляни; предложения за проекти, които вече са започнати, ще бъдат оценявани за всеки конкретен случай поотделно (в този случай не могат да бъдат възстановявани разходи за дейности, които са били извършени преди началната дата на проекта/подаването на предложението).</w:t>
            </w:r>
          </w:p>
          <w:p w14:paraId="7772E075" w14:textId="77777777" w:rsidR="00F65BD7" w:rsidRPr="009F3D7B" w:rsidRDefault="00F65BD7" w:rsidP="00F65BD7">
            <w:pPr>
              <w:numPr>
                <w:ilvl w:val="0"/>
                <w:numId w:val="25"/>
              </w:numPr>
              <w:ind w:left="567" w:right="79" w:hanging="445"/>
              <w:rPr>
                <w:color w:val="595959"/>
                <w:sz w:val="18"/>
                <w:szCs w:val="18"/>
              </w:rPr>
            </w:pPr>
            <w:r w:rsidRPr="009F3D7B">
              <w:rPr>
                <w:b/>
                <w:bCs/>
                <w:color w:val="595959"/>
                <w:sz w:val="18"/>
                <w:szCs w:val="18"/>
              </w:rPr>
              <w:t xml:space="preserve">Комбиниране с безвъзмездни средства от ЕС за оперативни разходи </w:t>
            </w:r>
            <w:r w:rsidRPr="009F3D7B">
              <w:rPr>
                <w:b/>
                <w:color w:val="595959"/>
                <w:sz w:val="18"/>
                <w:szCs w:val="18"/>
              </w:rPr>
              <w:t xml:space="preserve">— </w:t>
            </w:r>
            <w:r w:rsidRPr="009F3D7B">
              <w:rPr>
                <w:color w:val="595959"/>
                <w:sz w:val="18"/>
                <w:szCs w:val="18"/>
              </w:rPr>
              <w:t xml:space="preserve">комбиниране с безвъзмездни средства от ЕС за оперативни разходи е възможно, ако проектът остане извън работната програма за безвъзмездни средства за оперативни разходи и ако гарантирате, че разходните позиции са ясно разграничени в счетоводните ви отчети и НЕ са декларирани два пъти </w:t>
            </w:r>
            <w:r w:rsidRPr="009F3D7B">
              <w:rPr>
                <w:i/>
                <w:color w:val="595959"/>
                <w:sz w:val="18"/>
                <w:szCs w:val="18"/>
              </w:rPr>
              <w:t xml:space="preserve">(вж. </w:t>
            </w:r>
            <w:hyperlink r:id="rId61" w:history="1">
              <w:r w:rsidRPr="009F3D7B">
                <w:rPr>
                  <w:rStyle w:val="Hyperlink"/>
                  <w:i/>
                  <w:sz w:val="18"/>
                  <w:szCs w:val="18"/>
                </w:rPr>
                <w:t>член 6.2.Д от АСПБС — Образец на анотирано споразумение за предоставяне на безвъзмездни средства</w:t>
              </w:r>
            </w:hyperlink>
            <w:r w:rsidRPr="009F3D7B">
              <w:rPr>
                <w:i/>
                <w:color w:val="595959"/>
                <w:sz w:val="18"/>
                <w:szCs w:val="18"/>
              </w:rPr>
              <w:t>).</w:t>
            </w:r>
            <w:r w:rsidRPr="009F3D7B">
              <w:rPr>
                <w:color w:val="4AA55B"/>
                <w:sz w:val="18"/>
                <w:szCs w:val="18"/>
                <w:highlight w:val="yellow"/>
              </w:rPr>
              <w:t xml:space="preserve"> </w:t>
            </w:r>
          </w:p>
          <w:p w14:paraId="0D19DC0C" w14:textId="77777777" w:rsidR="00F65BD7" w:rsidRPr="009F3D7B" w:rsidRDefault="00F65BD7" w:rsidP="00F65BD7">
            <w:pPr>
              <w:numPr>
                <w:ilvl w:val="0"/>
                <w:numId w:val="25"/>
              </w:numPr>
              <w:ind w:left="567" w:right="79" w:hanging="445"/>
              <w:rPr>
                <w:color w:val="595959"/>
                <w:sz w:val="18"/>
                <w:szCs w:val="18"/>
              </w:rPr>
            </w:pPr>
            <w:r w:rsidRPr="009F3D7B">
              <w:rPr>
                <w:b/>
                <w:color w:val="595959"/>
                <w:sz w:val="18"/>
                <w:szCs w:val="18"/>
              </w:rPr>
              <w:t>Няколко предложения —</w:t>
            </w:r>
            <w:r w:rsidRPr="009F3D7B">
              <w:rPr>
                <w:color w:val="595959"/>
                <w:sz w:val="18"/>
                <w:szCs w:val="18"/>
              </w:rPr>
              <w:t xml:space="preserve"> кандидатите могат да представят повече от едно предложение за </w:t>
            </w:r>
            <w:r w:rsidRPr="009F3D7B">
              <w:rPr>
                <w:i/>
                <w:color w:val="595959"/>
                <w:sz w:val="18"/>
                <w:szCs w:val="18"/>
              </w:rPr>
              <w:t>различни</w:t>
            </w:r>
            <w:r w:rsidRPr="009F3D7B">
              <w:rPr>
                <w:color w:val="595959"/>
                <w:sz w:val="18"/>
                <w:szCs w:val="18"/>
              </w:rPr>
              <w:t xml:space="preserve"> проекти в рамките на една и съща процедура по покана за представяне на предложения (и да им бъде предоставено финансиране за тях).</w:t>
            </w:r>
          </w:p>
          <w:p w14:paraId="341B6F6F" w14:textId="77777777" w:rsidR="00F65BD7" w:rsidRPr="009F3D7B" w:rsidRDefault="00F65BD7" w:rsidP="00F65BD7">
            <w:pPr>
              <w:spacing w:after="120"/>
              <w:ind w:left="567" w:right="79"/>
              <w:rPr>
                <w:color w:val="595959"/>
                <w:sz w:val="18"/>
                <w:szCs w:val="18"/>
              </w:rPr>
            </w:pPr>
            <w:r w:rsidRPr="009F3D7B">
              <w:rPr>
                <w:color w:val="595959"/>
                <w:sz w:val="18"/>
                <w:szCs w:val="18"/>
              </w:rPr>
              <w:t>Организациите могат да участват в няколко предложения.</w:t>
            </w:r>
          </w:p>
          <w:p w14:paraId="1B8EBC35" w14:textId="77777777" w:rsidR="00F65BD7" w:rsidRPr="009F3D7B" w:rsidRDefault="00F65BD7" w:rsidP="00F65BD7">
            <w:pPr>
              <w:ind w:left="567" w:right="79"/>
              <w:rPr>
                <w:color w:val="595959"/>
                <w:sz w:val="18"/>
                <w:szCs w:val="18"/>
              </w:rPr>
            </w:pPr>
            <w:r w:rsidRPr="009F3D7B">
              <w:rPr>
                <w:color w:val="595959"/>
                <w:sz w:val="18"/>
                <w:szCs w:val="18"/>
              </w:rPr>
              <w:t xml:space="preserve">НО: ако има няколко предложения за </w:t>
            </w:r>
            <w:r w:rsidRPr="009F3D7B">
              <w:rPr>
                <w:i/>
                <w:color w:val="595959"/>
                <w:sz w:val="18"/>
                <w:szCs w:val="18"/>
              </w:rPr>
              <w:t>много сходни</w:t>
            </w:r>
            <w:r w:rsidRPr="009F3D7B">
              <w:rPr>
                <w:color w:val="595959"/>
                <w:sz w:val="18"/>
                <w:szCs w:val="18"/>
              </w:rPr>
              <w:t xml:space="preserve"> проекти, ще бъде прието и оценено само едно; кандидатите ще бъдат помолени да оттеглят едно от тях (или то ще бъде отхвърлено).</w:t>
            </w:r>
          </w:p>
          <w:p w14:paraId="4DD710A6" w14:textId="77777777" w:rsidR="00F65BD7" w:rsidRPr="009F3D7B" w:rsidRDefault="00F65BD7" w:rsidP="00F65BD7">
            <w:pPr>
              <w:numPr>
                <w:ilvl w:val="0"/>
                <w:numId w:val="25"/>
              </w:numPr>
              <w:ind w:left="567" w:right="79" w:hanging="445"/>
              <w:rPr>
                <w:rFonts w:cs="Arial"/>
                <w:b/>
                <w:iCs/>
                <w:color w:val="595959"/>
                <w:sz w:val="18"/>
                <w:szCs w:val="18"/>
              </w:rPr>
            </w:pPr>
            <w:r w:rsidRPr="009F3D7B">
              <w:rPr>
                <w:b/>
                <w:color w:val="595959"/>
                <w:sz w:val="18"/>
              </w:rPr>
              <w:t>Повторно представяне</w:t>
            </w:r>
            <w:r w:rsidRPr="009F3D7B">
              <w:rPr>
                <w:color w:val="595959"/>
                <w:sz w:val="18"/>
              </w:rPr>
              <w:t xml:space="preserve"> </w:t>
            </w:r>
            <w:r w:rsidRPr="009F3D7B">
              <w:rPr>
                <w:b/>
                <w:color w:val="595959"/>
                <w:sz w:val="18"/>
                <w:szCs w:val="18"/>
              </w:rPr>
              <w:t>—</w:t>
            </w:r>
            <w:r w:rsidRPr="009F3D7B">
              <w:rPr>
                <w:color w:val="595959"/>
                <w:sz w:val="18"/>
              </w:rPr>
              <w:t xml:space="preserve"> предложенията могат да бъдат променени и представени отново преди крайния срок за подаване на предложения.</w:t>
            </w:r>
          </w:p>
          <w:p w14:paraId="4EA69083" w14:textId="77777777" w:rsidR="00F65BD7" w:rsidRPr="009F3D7B" w:rsidRDefault="00F65BD7" w:rsidP="00F65BD7">
            <w:pPr>
              <w:numPr>
                <w:ilvl w:val="0"/>
                <w:numId w:val="25"/>
              </w:numPr>
              <w:spacing w:after="120"/>
              <w:ind w:left="567" w:right="79" w:hanging="447"/>
              <w:rPr>
                <w:b/>
                <w:bCs/>
                <w:noProof/>
                <w:sz w:val="18"/>
                <w:szCs w:val="18"/>
              </w:rPr>
            </w:pPr>
            <w:r w:rsidRPr="009F3D7B">
              <w:rPr>
                <w:b/>
                <w:color w:val="595959"/>
                <w:sz w:val="18"/>
                <w:szCs w:val="18"/>
              </w:rPr>
              <w:t>Отхвърляне —</w:t>
            </w:r>
            <w:r w:rsidRPr="009F3D7B">
              <w:rPr>
                <w:color w:val="595959"/>
                <w:sz w:val="18"/>
                <w:szCs w:val="18"/>
              </w:rPr>
              <w:t xml:space="preserve"> като представят своето предложение, всички кандидати приемат условията на поканата за представяне на предложения, посочени в настоящата покана (и в документите, с които е свързана). Предложенията, които не съответстват на условията на поканата за представяне на предложения, ще бъдат </w:t>
            </w:r>
            <w:r w:rsidRPr="009F3D7B">
              <w:rPr>
                <w:b/>
                <w:color w:val="595959"/>
                <w:sz w:val="18"/>
                <w:szCs w:val="18"/>
              </w:rPr>
              <w:t>отхвърлени</w:t>
            </w:r>
            <w:r w:rsidRPr="009F3D7B">
              <w:rPr>
                <w:color w:val="595959"/>
                <w:sz w:val="18"/>
                <w:szCs w:val="18"/>
              </w:rPr>
              <w:t>. Това се отнася и за кандидатите: всички кандидати трябва да отговарят на критериите, ако някой от тях не отговаря, той трябва да бъде заменен или цялото предложение ще бъде отхвърлено.</w:t>
            </w:r>
          </w:p>
          <w:p w14:paraId="6702D41E" w14:textId="77777777" w:rsidR="00F65BD7" w:rsidRPr="009F3D7B" w:rsidRDefault="00F65BD7" w:rsidP="00F65BD7">
            <w:pPr>
              <w:numPr>
                <w:ilvl w:val="0"/>
                <w:numId w:val="25"/>
              </w:numPr>
              <w:spacing w:after="120"/>
              <w:ind w:left="567" w:right="79" w:hanging="447"/>
              <w:rPr>
                <w:color w:val="595959"/>
                <w:sz w:val="18"/>
                <w:szCs w:val="18"/>
              </w:rPr>
            </w:pPr>
            <w:r w:rsidRPr="009F3D7B">
              <w:rPr>
                <w:b/>
                <w:color w:val="595959"/>
                <w:sz w:val="18"/>
                <w:szCs w:val="18"/>
              </w:rPr>
              <w:lastRenderedPageBreak/>
              <w:t xml:space="preserve">Анулиране — </w:t>
            </w:r>
            <w:r w:rsidRPr="009F3D7B">
              <w:rPr>
                <w:color w:val="595959"/>
                <w:sz w:val="18"/>
                <w:szCs w:val="18"/>
              </w:rPr>
              <w:t>има много обстоятелства, които биха могли да доведат до анулиране на процедурата по поканата за представяне на предложения. В този случай ще бъдете уведомени чрез обаждане или чрез актуализиране на темите. Обърнете внимание, че не се полагат компенсации за отменени процедури.</w:t>
            </w:r>
          </w:p>
          <w:p w14:paraId="380EE3D3" w14:textId="23589539" w:rsidR="00F65BD7" w:rsidRPr="00F65BD7" w:rsidRDefault="00F65BD7" w:rsidP="00F65BD7">
            <w:pPr>
              <w:numPr>
                <w:ilvl w:val="0"/>
                <w:numId w:val="25"/>
              </w:numPr>
              <w:ind w:left="567" w:right="79" w:hanging="445"/>
              <w:rPr>
                <w:color w:val="595959"/>
                <w:sz w:val="18"/>
                <w:szCs w:val="18"/>
              </w:rPr>
            </w:pPr>
            <w:r w:rsidRPr="009F3D7B">
              <w:rPr>
                <w:b/>
                <w:color w:val="595959"/>
                <w:sz w:val="18"/>
                <w:szCs w:val="18"/>
              </w:rPr>
              <w:t>Език —</w:t>
            </w:r>
            <w:r w:rsidRPr="009F3D7B">
              <w:rPr>
                <w:color w:val="595959"/>
                <w:sz w:val="18"/>
                <w:szCs w:val="18"/>
              </w:rPr>
              <w:t xml:space="preserve"> можете да изпратите предложението си на всеки от официалните езици на ЕС (резюмето/обобщението на проекта трябва винаги да бъде на английски език). От съображения за ефективност препоръчваме да използвате английски език в цялата документация на предложението. Ако поканата за представяне на предложения ви е необходима на друг официален език на ЕС, подайте искане за това в рамките на 10 дни след публикуването и́ (относно информацията за връзка, </w:t>
            </w:r>
            <w:r w:rsidRPr="009F3D7B">
              <w:rPr>
                <w:i/>
                <w:color w:val="595959"/>
                <w:sz w:val="18"/>
                <w:szCs w:val="18"/>
              </w:rPr>
              <w:t>вж. раздел 12</w:t>
            </w:r>
            <w:r w:rsidRPr="009F3D7B">
              <w:rPr>
                <w:color w:val="595959"/>
                <w:sz w:val="18"/>
                <w:szCs w:val="18"/>
              </w:rPr>
              <w:t>).</w:t>
            </w:r>
          </w:p>
          <w:p w14:paraId="75D7E6EF" w14:textId="77777777" w:rsidR="00F65BD7" w:rsidRPr="009F3D7B" w:rsidRDefault="00F65BD7" w:rsidP="00F65BD7">
            <w:pPr>
              <w:numPr>
                <w:ilvl w:val="0"/>
                <w:numId w:val="26"/>
              </w:numPr>
              <w:spacing w:after="120"/>
              <w:ind w:left="567" w:right="79" w:hanging="425"/>
              <w:rPr>
                <w:color w:val="595959"/>
                <w:sz w:val="18"/>
                <w:szCs w:val="18"/>
              </w:rPr>
            </w:pPr>
            <w:r w:rsidRPr="009F3D7B">
              <w:rPr>
                <w:b/>
                <w:color w:val="595959"/>
                <w:sz w:val="18"/>
                <w:szCs w:val="18"/>
              </w:rPr>
              <w:t>Прозрачност —</w:t>
            </w:r>
            <w:r w:rsidRPr="009F3D7B">
              <w:rPr>
                <w:color w:val="595959"/>
                <w:sz w:val="18"/>
                <w:szCs w:val="18"/>
              </w:rPr>
              <w:t xml:space="preserve"> в съответствие с член 38 от </w:t>
            </w:r>
            <w:hyperlink r:id="rId62" w:history="1">
              <w:r w:rsidRPr="009F3D7B">
                <w:rPr>
                  <w:color w:val="0088CC"/>
                  <w:sz w:val="18"/>
                  <w:szCs w:val="24"/>
                  <w:u w:val="single"/>
                </w:rPr>
                <w:t>Финансовия регламент на ЕС</w:t>
              </w:r>
            </w:hyperlink>
            <w:r w:rsidRPr="009F3D7B">
              <w:rPr>
                <w:color w:val="595959"/>
                <w:sz w:val="18"/>
                <w:szCs w:val="18"/>
              </w:rPr>
              <w:t xml:space="preserve">, информация относно предоставени от ЕС безвъзмездни средства се публикува всяка година на </w:t>
            </w:r>
            <w:hyperlink r:id="rId63" w:history="1">
              <w:r w:rsidRPr="009F3D7B">
                <w:rPr>
                  <w:rStyle w:val="Hyperlink"/>
                  <w:sz w:val="18"/>
                  <w:szCs w:val="18"/>
                </w:rPr>
                <w:t>уебсайта на Европейския съюз</w:t>
              </w:r>
            </w:hyperlink>
            <w:r w:rsidRPr="009F3D7B">
              <w:rPr>
                <w:color w:val="595959"/>
                <w:sz w:val="18"/>
                <w:szCs w:val="18"/>
              </w:rPr>
              <w:t>.</w:t>
            </w:r>
          </w:p>
          <w:p w14:paraId="76C34672" w14:textId="77777777" w:rsidR="00F65BD7" w:rsidRPr="009F3D7B" w:rsidRDefault="00F65BD7" w:rsidP="00F65BD7">
            <w:pPr>
              <w:spacing w:after="60"/>
              <w:ind w:left="567" w:right="79"/>
              <w:rPr>
                <w:color w:val="595959"/>
                <w:sz w:val="18"/>
                <w:szCs w:val="18"/>
              </w:rPr>
            </w:pPr>
            <w:r w:rsidRPr="009F3D7B">
              <w:rPr>
                <w:color w:val="595959"/>
                <w:sz w:val="18"/>
                <w:szCs w:val="18"/>
              </w:rPr>
              <w:t>Това включва:</w:t>
            </w:r>
          </w:p>
          <w:p w14:paraId="3C728BB6" w14:textId="77777777" w:rsidR="00F65BD7" w:rsidRPr="009F3D7B" w:rsidRDefault="00F65BD7" w:rsidP="00F65BD7">
            <w:pPr>
              <w:widowControl w:val="0"/>
              <w:numPr>
                <w:ilvl w:val="0"/>
                <w:numId w:val="27"/>
              </w:numPr>
              <w:spacing w:after="60"/>
              <w:ind w:left="1134" w:hanging="380"/>
              <w:jc w:val="left"/>
              <w:rPr>
                <w:color w:val="595959"/>
                <w:sz w:val="18"/>
                <w:szCs w:val="18"/>
              </w:rPr>
            </w:pPr>
            <w:r w:rsidRPr="009F3D7B">
              <w:rPr>
                <w:color w:val="595959"/>
                <w:sz w:val="18"/>
                <w:szCs w:val="18"/>
              </w:rPr>
              <w:t>имена на бенефициерите</w:t>
            </w:r>
          </w:p>
          <w:p w14:paraId="1166882E" w14:textId="77777777" w:rsidR="00F65BD7" w:rsidRPr="009F3D7B" w:rsidRDefault="00F65BD7" w:rsidP="00F65BD7">
            <w:pPr>
              <w:widowControl w:val="0"/>
              <w:numPr>
                <w:ilvl w:val="0"/>
                <w:numId w:val="27"/>
              </w:numPr>
              <w:spacing w:after="60"/>
              <w:ind w:left="1134" w:hanging="380"/>
              <w:jc w:val="left"/>
              <w:rPr>
                <w:color w:val="595959"/>
                <w:sz w:val="18"/>
                <w:szCs w:val="18"/>
              </w:rPr>
            </w:pPr>
            <w:r w:rsidRPr="009F3D7B">
              <w:rPr>
                <w:color w:val="595959"/>
                <w:sz w:val="18"/>
                <w:szCs w:val="18"/>
              </w:rPr>
              <w:t>адреси на бенефициерите</w:t>
            </w:r>
          </w:p>
          <w:p w14:paraId="258315FE" w14:textId="77777777" w:rsidR="00F65BD7" w:rsidRPr="009F3D7B" w:rsidRDefault="00F65BD7" w:rsidP="00F65BD7">
            <w:pPr>
              <w:widowControl w:val="0"/>
              <w:numPr>
                <w:ilvl w:val="0"/>
                <w:numId w:val="27"/>
              </w:numPr>
              <w:spacing w:after="60"/>
              <w:ind w:left="1134" w:hanging="380"/>
              <w:jc w:val="left"/>
              <w:rPr>
                <w:color w:val="595959"/>
                <w:sz w:val="18"/>
                <w:szCs w:val="18"/>
              </w:rPr>
            </w:pPr>
            <w:r w:rsidRPr="009F3D7B">
              <w:rPr>
                <w:color w:val="595959"/>
                <w:sz w:val="18"/>
                <w:szCs w:val="18"/>
              </w:rPr>
              <w:t>целите, за които са предоставени безвъзмездните средства</w:t>
            </w:r>
          </w:p>
          <w:p w14:paraId="30EF7D7A" w14:textId="77777777" w:rsidR="00F65BD7" w:rsidRPr="009F3D7B" w:rsidRDefault="00F65BD7" w:rsidP="00F65BD7">
            <w:pPr>
              <w:widowControl w:val="0"/>
              <w:numPr>
                <w:ilvl w:val="0"/>
                <w:numId w:val="27"/>
              </w:numPr>
              <w:spacing w:after="120"/>
              <w:ind w:left="1134" w:hanging="380"/>
              <w:jc w:val="left"/>
              <w:rPr>
                <w:color w:val="595959"/>
                <w:sz w:val="18"/>
                <w:szCs w:val="18"/>
              </w:rPr>
            </w:pPr>
            <w:r w:rsidRPr="009F3D7B">
              <w:rPr>
                <w:color w:val="595959"/>
                <w:sz w:val="18"/>
                <w:szCs w:val="18"/>
              </w:rPr>
              <w:t>максималния размер на предоставените безвъзмездни средства.</w:t>
            </w:r>
          </w:p>
          <w:p w14:paraId="6EAD80BE" w14:textId="77777777" w:rsidR="00F65BD7" w:rsidRPr="009F3D7B" w:rsidRDefault="00F65BD7" w:rsidP="00F65BD7">
            <w:pPr>
              <w:widowControl w:val="0"/>
              <w:ind w:left="567"/>
              <w:rPr>
                <w:color w:val="595959"/>
                <w:sz w:val="18"/>
                <w:szCs w:val="18"/>
              </w:rPr>
            </w:pPr>
            <w:r w:rsidRPr="009F3D7B">
              <w:rPr>
                <w:color w:val="595959"/>
                <w:sz w:val="18"/>
                <w:szCs w:val="18"/>
              </w:rPr>
              <w:t>Публикуването може по изключение да бъде отменено (при наличие на мотивирано и надлежно обосновано искане), ако съществува риск оповестяването да застраши правата и свободите ви в съответствие с Хартата на основните права на ЕС или да навреди на вашите търговските интереси.</w:t>
            </w:r>
          </w:p>
          <w:p w14:paraId="1130E78C" w14:textId="77777777" w:rsidR="00F65BD7" w:rsidRPr="009F3D7B" w:rsidRDefault="00F65BD7" w:rsidP="00F65BD7">
            <w:pPr>
              <w:pStyle w:val="Default"/>
              <w:widowControl w:val="0"/>
              <w:numPr>
                <w:ilvl w:val="0"/>
                <w:numId w:val="26"/>
              </w:numPr>
              <w:spacing w:after="120"/>
              <w:ind w:left="567" w:hanging="447"/>
              <w:jc w:val="both"/>
              <w:rPr>
                <w:rFonts w:ascii="Verdana" w:hAnsi="Verdana"/>
                <w:color w:val="595959"/>
                <w:sz w:val="18"/>
                <w:szCs w:val="18"/>
              </w:rPr>
            </w:pPr>
            <w:r w:rsidRPr="009F3D7B">
              <w:rPr>
                <w:rFonts w:ascii="Verdana" w:hAnsi="Verdana"/>
                <w:b/>
                <w:color w:val="595959"/>
                <w:sz w:val="18"/>
                <w:szCs w:val="18"/>
              </w:rPr>
              <w:t>Защита на личните данни —</w:t>
            </w:r>
            <w:r w:rsidRPr="009F3D7B">
              <w:rPr>
                <w:rFonts w:ascii="Verdana" w:hAnsi="Verdana"/>
                <w:color w:val="595959"/>
                <w:sz w:val="18"/>
                <w:szCs w:val="18"/>
              </w:rPr>
              <w:t xml:space="preserve"> подаването на предложение в рамките на процедурата по настоящата покана за представяне на предложения включва събиране, използване и обработване на лични данни. Тези данни ще бъдат обработвани в съответствие с приложимата правна рамка. Те ще бъдат обработвани единствено с цел оценяване на вашето предложение, последващо управление на предоставените ви безвъзмездни средства и, ако е необходимо, извършване на мониторинг, оценка и комуникация в рамките на дадена програма. Подробна информация за това е дадена в </w:t>
            </w:r>
            <w:hyperlink r:id="rId64" w:history="1">
              <w:r w:rsidRPr="009F3D7B">
                <w:rPr>
                  <w:rStyle w:val="Hyperlink"/>
                  <w:rFonts w:ascii="Verdana" w:hAnsi="Verdana"/>
                  <w:sz w:val="18"/>
                  <w:szCs w:val="20"/>
                </w:rPr>
                <w:t>Декларацията за поверителност на портала за финансиране и обществени поръчки</w:t>
              </w:r>
            </w:hyperlink>
            <w:r w:rsidRPr="009F3D7B">
              <w:rPr>
                <w:rFonts w:ascii="Verdana" w:hAnsi="Verdana"/>
                <w:color w:val="595959"/>
                <w:sz w:val="18"/>
                <w:szCs w:val="18"/>
              </w:rPr>
              <w:t>.</w:t>
            </w:r>
          </w:p>
          <w:p w14:paraId="0AD724AB" w14:textId="1C2AFBE9" w:rsidR="00F65BD7" w:rsidRPr="003B43F0" w:rsidRDefault="00F65BD7" w:rsidP="00DC47B2">
            <w:pPr>
              <w:widowControl w:val="0"/>
              <w:ind w:right="366"/>
              <w:rPr>
                <w:rFonts w:cs="Arial"/>
              </w:rPr>
            </w:pPr>
          </w:p>
        </w:tc>
      </w:tr>
    </w:tbl>
    <w:p w14:paraId="502C0B01" w14:textId="77777777" w:rsidR="00F65BD7" w:rsidRPr="003B43F0" w:rsidRDefault="00F65BD7" w:rsidP="00DC47B2">
      <w:pPr>
        <w:widowControl w:val="0"/>
        <w:ind w:right="366"/>
        <w:rPr>
          <w:rFonts w:cs="Arial"/>
        </w:rPr>
      </w:pPr>
    </w:p>
    <w:sectPr w:rsidR="00F65BD7" w:rsidRPr="003B43F0" w:rsidSect="00A2572D">
      <w:headerReference w:type="first" r:id="rId65"/>
      <w:pgSz w:w="11906" w:h="16838" w:code="9"/>
      <w:pgMar w:top="1560" w:right="1588" w:bottom="1276" w:left="1588" w:header="567" w:footer="7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0A63D" w14:textId="77777777" w:rsidR="005C1B5E" w:rsidRPr="009F3D7B" w:rsidRDefault="005C1B5E" w:rsidP="00B02821">
      <w:pPr>
        <w:spacing w:after="0"/>
      </w:pPr>
      <w:r w:rsidRPr="009F3D7B">
        <w:separator/>
      </w:r>
    </w:p>
  </w:endnote>
  <w:endnote w:type="continuationSeparator" w:id="0">
    <w:p w14:paraId="5E4852A8" w14:textId="77777777" w:rsidR="005C1B5E" w:rsidRPr="009F3D7B" w:rsidRDefault="005C1B5E" w:rsidP="00B02821">
      <w:pPr>
        <w:spacing w:after="0"/>
      </w:pPr>
      <w:r w:rsidRPr="009F3D7B">
        <w:continuationSeparator/>
      </w:r>
    </w:p>
  </w:endnote>
  <w:endnote w:type="continuationNotice" w:id="1">
    <w:p w14:paraId="3A4B1D9C" w14:textId="77777777" w:rsidR="005C1B5E" w:rsidRPr="009F3D7B" w:rsidRDefault="005C1B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 Square Sans Pro">
    <w:panose1 w:val="020B0506040000020004"/>
    <w:charset w:val="00"/>
    <w:family w:val="swiss"/>
    <w:pitch w:val="variable"/>
    <w:sig w:usb0="A00002BF" w:usb1="5000E0FB" w:usb2="0000000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FCF89" w14:textId="15292C15" w:rsidR="005C1B5E" w:rsidRPr="009F3D7B" w:rsidRDefault="005C1B5E" w:rsidP="009E1BA1">
    <w:pPr>
      <w:pStyle w:val="Footer"/>
      <w:ind w:right="-1"/>
      <w:jc w:val="right"/>
      <w:rPr>
        <w:rFonts w:ascii="Verdana" w:hAnsi="Verdana"/>
      </w:rPr>
    </w:pPr>
    <w:r w:rsidRPr="009F3D7B">
      <w:rPr>
        <w:rFonts w:ascii="Verdana" w:hAnsi="Verdana"/>
      </w:rPr>
      <w:fldChar w:fldCharType="begin"/>
    </w:r>
    <w:r w:rsidRPr="009F3D7B">
      <w:rPr>
        <w:rFonts w:ascii="Verdana" w:hAnsi="Verdana"/>
      </w:rPr>
      <w:instrText xml:space="preserve"> PAGE   \* MERGEFORMAT </w:instrText>
    </w:r>
    <w:r w:rsidRPr="009F3D7B">
      <w:rPr>
        <w:rFonts w:ascii="Verdana" w:hAnsi="Verdana"/>
      </w:rPr>
      <w:fldChar w:fldCharType="separate"/>
    </w:r>
    <w:r w:rsidR="00120788">
      <w:rPr>
        <w:rFonts w:ascii="Verdana" w:hAnsi="Verdana"/>
        <w:noProof/>
      </w:rPr>
      <w:t>2</w:t>
    </w:r>
    <w:r w:rsidRPr="009F3D7B">
      <w:rPr>
        <w:rFonts w:ascii="Verdana" w:hAnsi="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6BD1" w14:textId="44898DC0" w:rsidR="005C1B5E" w:rsidRPr="009F3D7B" w:rsidRDefault="005C1B5E" w:rsidP="00971780">
    <w:pPr>
      <w:autoSpaceDE w:val="0"/>
      <w:autoSpaceDN w:val="0"/>
      <w:adjustRightInd w:val="0"/>
      <w:spacing w:after="0"/>
    </w:pPr>
    <w:r w:rsidRPr="009F3D7B">
      <w:rPr>
        <w:noProof/>
        <w:lang w:val="en-IE" w:eastAsia="en-IE"/>
      </w:rPr>
      <mc:AlternateContent>
        <mc:Choice Requires="wps">
          <w:drawing>
            <wp:anchor distT="0" distB="0" distL="114300" distR="114300" simplePos="0" relativeHeight="251658240" behindDoc="0" locked="0" layoutInCell="1" allowOverlap="1" wp14:anchorId="7D21EC33" wp14:editId="1E65DADA">
              <wp:simplePos x="0" y="0"/>
              <wp:positionH relativeFrom="column">
                <wp:posOffset>2272665</wp:posOffset>
              </wp:positionH>
              <wp:positionV relativeFrom="page">
                <wp:posOffset>10395585</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4" style="position:absolute;margin-left:178.95pt;margin-top:818.55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004494" stroked="f" w14:anchorId="74C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">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92B73" w14:textId="77777777" w:rsidR="005C1B5E" w:rsidRPr="009F3D7B" w:rsidRDefault="005C1B5E" w:rsidP="00B02821">
      <w:pPr>
        <w:spacing w:after="0"/>
      </w:pPr>
      <w:r w:rsidRPr="009F3D7B">
        <w:separator/>
      </w:r>
    </w:p>
  </w:footnote>
  <w:footnote w:type="continuationSeparator" w:id="0">
    <w:p w14:paraId="107E5550" w14:textId="77777777" w:rsidR="005C1B5E" w:rsidRPr="009F3D7B" w:rsidRDefault="005C1B5E" w:rsidP="00B02821">
      <w:pPr>
        <w:spacing w:after="0"/>
      </w:pPr>
      <w:r w:rsidRPr="009F3D7B">
        <w:continuationSeparator/>
      </w:r>
    </w:p>
  </w:footnote>
  <w:footnote w:type="continuationNotice" w:id="1">
    <w:p w14:paraId="416A5574" w14:textId="77777777" w:rsidR="005C1B5E" w:rsidRPr="009F3D7B" w:rsidRDefault="005C1B5E">
      <w:pPr>
        <w:spacing w:after="0"/>
      </w:pPr>
    </w:p>
  </w:footnote>
  <w:footnote w:id="2">
    <w:p w14:paraId="1D801B00" w14:textId="279D0F77" w:rsidR="005C1B5E" w:rsidRPr="009F3D7B" w:rsidRDefault="005C1B5E" w:rsidP="00924362">
      <w:pPr>
        <w:pStyle w:val="FootnoteText"/>
        <w:spacing w:after="0"/>
        <w:ind w:left="284" w:hanging="284"/>
        <w:rPr>
          <w:color w:val="000000"/>
          <w:sz w:val="16"/>
          <w:szCs w:val="16"/>
        </w:rPr>
      </w:pPr>
      <w:r w:rsidRPr="009F3D7B">
        <w:rPr>
          <w:rStyle w:val="FootnoteReference"/>
          <w:sz w:val="16"/>
          <w:szCs w:val="16"/>
        </w:rPr>
        <w:footnoteRef/>
      </w:r>
      <w:r w:rsidRPr="009F3D7B">
        <w:rPr>
          <w:sz w:val="16"/>
          <w:szCs w:val="16"/>
        </w:rPr>
        <w:t xml:space="preserve"> </w:t>
      </w:r>
      <w:r w:rsidRPr="009F3D7B">
        <w:rPr>
          <w:sz w:val="16"/>
          <w:szCs w:val="16"/>
        </w:rPr>
        <w:tab/>
        <w:t>Регламент (ЕС) 2021/692 на Европейския парламент и на Съвета от 28 април 2021 г. за създаване на програма „Граждани, равенство, права и ценности“ (OВ L 156, 5.5.2021 г., стр. 1).</w:t>
      </w:r>
    </w:p>
  </w:footnote>
  <w:footnote w:id="3">
    <w:p w14:paraId="61A4F60E" w14:textId="3164B12C" w:rsidR="005C1B5E" w:rsidRPr="009F3D7B" w:rsidRDefault="005C1B5E" w:rsidP="00924362">
      <w:pPr>
        <w:pStyle w:val="FootnoteText"/>
        <w:spacing w:after="0"/>
        <w:ind w:left="284" w:hanging="284"/>
        <w:rPr>
          <w:sz w:val="16"/>
          <w:szCs w:val="16"/>
        </w:rPr>
      </w:pPr>
      <w:r w:rsidRPr="009F3D7B">
        <w:rPr>
          <w:rStyle w:val="FootnoteReference"/>
          <w:sz w:val="16"/>
          <w:szCs w:val="16"/>
        </w:rPr>
        <w:footnoteRef/>
      </w:r>
      <w:r w:rsidRPr="009F3D7B">
        <w:rPr>
          <w:sz w:val="16"/>
          <w:szCs w:val="16"/>
        </w:rPr>
        <w:t xml:space="preserve"> </w:t>
      </w:r>
      <w:r w:rsidRPr="009F3D7B">
        <w:rPr>
          <w:sz w:val="16"/>
          <w:szCs w:val="16"/>
        </w:rPr>
        <w:tab/>
        <w:t>Решение за изпълнение C(2021) 2583 final на Комисията от 19.4.2021 г. относно финансирането на програмата „Граждани, равенство, права и ценности“ и приемането на многогодишната работна програма за периода 2021—2022 г.</w:t>
      </w:r>
    </w:p>
  </w:footnote>
  <w:footnote w:id="4">
    <w:p w14:paraId="190283C3" w14:textId="11605722" w:rsidR="005C1B5E" w:rsidRPr="009F3D7B" w:rsidRDefault="005C1B5E" w:rsidP="00924362">
      <w:pPr>
        <w:pStyle w:val="FootnoteText"/>
        <w:spacing w:after="0"/>
        <w:ind w:left="284" w:hanging="284"/>
        <w:rPr>
          <w:sz w:val="16"/>
          <w:szCs w:val="16"/>
        </w:rPr>
      </w:pPr>
      <w:r w:rsidRPr="009F3D7B">
        <w:rPr>
          <w:sz w:val="16"/>
          <w:szCs w:val="16"/>
          <w:vertAlign w:val="superscript"/>
        </w:rPr>
        <w:footnoteRef/>
      </w:r>
      <w:r w:rsidRPr="009F3D7B">
        <w:rPr>
          <w:sz w:val="16"/>
          <w:szCs w:val="16"/>
        </w:rPr>
        <w:t xml:space="preserve"> </w:t>
      </w:r>
      <w:r w:rsidRPr="009F3D7B">
        <w:rPr>
          <w:sz w:val="16"/>
          <w:szCs w:val="16"/>
        </w:rPr>
        <w:tab/>
        <w:t>Регламент (ЕС) № 1381/2013 на Европейския парламент и на Съвета от 17 декември 2013 г. за създаване на програма „Права, равенство и гражданство“ за периода 2014—2020 г. (OВ L 354, 28.12.2013 г., стр. 62)</w:t>
      </w:r>
    </w:p>
  </w:footnote>
  <w:footnote w:id="5">
    <w:p w14:paraId="10858EDC" w14:textId="37FB5CA3" w:rsidR="005C1B5E" w:rsidRPr="009F3D7B" w:rsidRDefault="005C1B5E" w:rsidP="00924362">
      <w:pPr>
        <w:pStyle w:val="FootnoteText"/>
        <w:spacing w:after="0"/>
        <w:ind w:left="284" w:hanging="284"/>
        <w:rPr>
          <w:sz w:val="16"/>
          <w:szCs w:val="16"/>
        </w:rPr>
      </w:pPr>
      <w:r w:rsidRPr="009F3D7B">
        <w:rPr>
          <w:sz w:val="16"/>
          <w:szCs w:val="16"/>
          <w:vertAlign w:val="superscript"/>
        </w:rPr>
        <w:footnoteRef/>
      </w:r>
      <w:r w:rsidRPr="009F3D7B">
        <w:rPr>
          <w:sz w:val="16"/>
          <w:szCs w:val="16"/>
        </w:rPr>
        <w:t xml:space="preserve"> </w:t>
      </w:r>
      <w:r w:rsidRPr="009F3D7B">
        <w:rPr>
          <w:sz w:val="16"/>
          <w:szCs w:val="16"/>
          <w:vertAlign w:val="superscript"/>
        </w:rPr>
        <w:tab/>
      </w:r>
      <w:r w:rsidRPr="009F3D7B">
        <w:rPr>
          <w:sz w:val="16"/>
          <w:szCs w:val="16"/>
        </w:rPr>
        <w:t>Регламент (ЕС) № 390/2014 на Съвета от 14 април 2014 г. за създаване на програма „Европа за гражданите“ за периода 2014—2020 г. (ОВ L 115, 17.4.2014 г., стр. 3)</w:t>
      </w:r>
    </w:p>
  </w:footnote>
  <w:footnote w:id="6">
    <w:p w14:paraId="6EC6382E" w14:textId="30FCB744" w:rsidR="005C1B5E" w:rsidRPr="009F3D7B" w:rsidRDefault="005C1B5E" w:rsidP="00924362">
      <w:pPr>
        <w:pStyle w:val="FootnoteText"/>
        <w:spacing w:after="0"/>
        <w:ind w:left="284" w:hanging="284"/>
        <w:rPr>
          <w:sz w:val="16"/>
          <w:szCs w:val="16"/>
        </w:rPr>
      </w:pPr>
      <w:r w:rsidRPr="009F3D7B">
        <w:rPr>
          <w:rStyle w:val="FootnoteReference"/>
          <w:sz w:val="16"/>
          <w:szCs w:val="16"/>
        </w:rPr>
        <w:footnoteRef/>
      </w:r>
      <w:r w:rsidRPr="009F3D7B">
        <w:rPr>
          <w:sz w:val="16"/>
          <w:szCs w:val="16"/>
        </w:rPr>
        <w:t xml:space="preserve"> </w:t>
      </w:r>
      <w:r w:rsidRPr="009F3D7B">
        <w:rPr>
          <w:sz w:val="16"/>
          <w:szCs w:val="16"/>
        </w:rPr>
        <w:tab/>
      </w:r>
      <w:hyperlink w:anchor=":~:text=The%20European%20Democracy%20Action%20Plan%20is%20designed%20to,the%20EU%20by%20promoting%20free%20and%20fair%20elections" w:history="1">
        <w:r w:rsidRPr="009F3D7B">
          <w:rPr>
            <w:rStyle w:val="Hyperlink"/>
            <w:sz w:val="16"/>
            <w:szCs w:val="16"/>
          </w:rPr>
          <w:t xml:space="preserve">План за действие за европейската демокрация </w:t>
        </w:r>
      </w:hyperlink>
    </w:p>
  </w:footnote>
  <w:footnote w:id="7">
    <w:p w14:paraId="456627A2" w14:textId="6A0F7D00" w:rsidR="005C1B5E" w:rsidRPr="009F3D7B" w:rsidRDefault="005C1B5E" w:rsidP="00924362">
      <w:pPr>
        <w:pStyle w:val="FootnoteText"/>
        <w:spacing w:after="0"/>
        <w:ind w:left="284" w:hanging="284"/>
        <w:rPr>
          <w:sz w:val="16"/>
          <w:szCs w:val="16"/>
        </w:rPr>
      </w:pPr>
      <w:r w:rsidRPr="009F3D7B">
        <w:rPr>
          <w:rStyle w:val="FootnoteReference"/>
          <w:sz w:val="16"/>
          <w:szCs w:val="16"/>
        </w:rPr>
        <w:footnoteRef/>
      </w:r>
      <w:r w:rsidRPr="009F3D7B">
        <w:rPr>
          <w:sz w:val="16"/>
          <w:szCs w:val="16"/>
        </w:rPr>
        <w:t xml:space="preserve"> </w:t>
      </w:r>
      <w:r w:rsidRPr="009F3D7B">
        <w:rPr>
          <w:sz w:val="16"/>
          <w:szCs w:val="16"/>
        </w:rPr>
        <w:tab/>
      </w:r>
      <w:hyperlink r:id="rId1" w:history="1">
        <w:r w:rsidRPr="009F3D7B">
          <w:rPr>
            <w:rStyle w:val="Hyperlink"/>
            <w:sz w:val="16"/>
            <w:szCs w:val="16"/>
          </w:rPr>
          <w:t xml:space="preserve">Стратегическа рамка на ЕС за равенство, приобщаване и участие на ромите </w:t>
        </w:r>
      </w:hyperlink>
    </w:p>
  </w:footnote>
  <w:footnote w:id="8">
    <w:p w14:paraId="7B0B537B" w14:textId="6F3B45E9" w:rsidR="005C1B5E" w:rsidRPr="009F3D7B" w:rsidRDefault="005C1B5E" w:rsidP="00924362">
      <w:pPr>
        <w:pStyle w:val="FootnoteText"/>
        <w:spacing w:after="0"/>
        <w:ind w:left="284" w:hanging="284"/>
        <w:rPr>
          <w:sz w:val="16"/>
          <w:szCs w:val="16"/>
        </w:rPr>
      </w:pPr>
      <w:r w:rsidRPr="009F3D7B">
        <w:rPr>
          <w:rStyle w:val="FootnoteReference"/>
          <w:sz w:val="16"/>
          <w:szCs w:val="16"/>
        </w:rPr>
        <w:footnoteRef/>
      </w:r>
      <w:r w:rsidRPr="009F3D7B">
        <w:rPr>
          <w:sz w:val="16"/>
          <w:szCs w:val="16"/>
        </w:rPr>
        <w:t xml:space="preserve"> </w:t>
      </w:r>
      <w:r w:rsidRPr="009F3D7B">
        <w:rPr>
          <w:sz w:val="16"/>
          <w:szCs w:val="16"/>
        </w:rPr>
        <w:tab/>
      </w:r>
      <w:hyperlink r:id="rId2" w:history="1">
        <w:r w:rsidRPr="009F3D7B">
          <w:rPr>
            <w:rStyle w:val="Hyperlink"/>
            <w:sz w:val="16"/>
            <w:szCs w:val="16"/>
          </w:rPr>
          <w:t xml:space="preserve">Стратегия за укрепване на прилагането на Хартата на основните права в ЕС </w:t>
        </w:r>
      </w:hyperlink>
    </w:p>
  </w:footnote>
  <w:footnote w:id="9">
    <w:p w14:paraId="7C8E8985" w14:textId="4FF5DE79" w:rsidR="005C1B5E" w:rsidRPr="009F3D7B" w:rsidRDefault="005C1B5E" w:rsidP="00924362">
      <w:pPr>
        <w:pStyle w:val="FootnoteText"/>
        <w:spacing w:after="0"/>
        <w:ind w:left="284" w:hanging="284"/>
        <w:jc w:val="left"/>
        <w:rPr>
          <w:sz w:val="16"/>
          <w:szCs w:val="16"/>
        </w:rPr>
      </w:pPr>
      <w:r w:rsidRPr="009F3D7B">
        <w:rPr>
          <w:rStyle w:val="FootnoteReference"/>
          <w:sz w:val="16"/>
          <w:szCs w:val="16"/>
        </w:rPr>
        <w:footnoteRef/>
      </w:r>
      <w:r w:rsidRPr="009F3D7B">
        <w:rPr>
          <w:sz w:val="16"/>
          <w:szCs w:val="16"/>
        </w:rPr>
        <w:t xml:space="preserve"> </w:t>
      </w:r>
      <w:r w:rsidRPr="009F3D7B">
        <w:rPr>
          <w:sz w:val="16"/>
          <w:szCs w:val="16"/>
        </w:rPr>
        <w:tab/>
      </w:r>
      <w:hyperlink r:id="rId3" w:history="1">
        <w:r w:rsidRPr="009F3D7B">
          <w:rPr>
            <w:rStyle w:val="Hyperlink"/>
            <w:sz w:val="16"/>
            <w:szCs w:val="16"/>
          </w:rPr>
          <w:t>Доклад за гражданството на ЕС за 2020 г.</w:t>
        </w:r>
      </w:hyperlink>
    </w:p>
  </w:footnote>
  <w:footnote w:id="10">
    <w:p w14:paraId="5A4970F1" w14:textId="2664B847" w:rsidR="005C1B5E" w:rsidRPr="009F3D7B" w:rsidRDefault="005C1B5E" w:rsidP="00732A4F">
      <w:pPr>
        <w:keepLines/>
        <w:spacing w:after="0"/>
        <w:ind w:left="284" w:hanging="284"/>
        <w:rPr>
          <w:sz w:val="16"/>
          <w:szCs w:val="16"/>
        </w:rPr>
      </w:pPr>
      <w:r w:rsidRPr="009F3D7B">
        <w:rPr>
          <w:rStyle w:val="FootnoteReference"/>
          <w:sz w:val="16"/>
          <w:szCs w:val="16"/>
        </w:rPr>
        <w:footnoteRef/>
      </w:r>
      <w:r w:rsidRPr="009F3D7B">
        <w:rPr>
          <w:color w:val="2F5496"/>
          <w:sz w:val="16"/>
          <w:szCs w:val="16"/>
        </w:rPr>
        <w:t xml:space="preserve"> </w:t>
      </w:r>
      <w:r w:rsidRPr="009F3D7B">
        <w:rPr>
          <w:color w:val="2F5496"/>
          <w:sz w:val="16"/>
          <w:szCs w:val="16"/>
        </w:rPr>
        <w:tab/>
      </w:r>
      <w:hyperlink r:id="rId4" w:history="1">
        <w:r w:rsidRPr="009F3D7B">
          <w:rPr>
            <w:rStyle w:val="Hyperlink"/>
            <w:sz w:val="16"/>
            <w:szCs w:val="16"/>
          </w:rPr>
          <w:t>Конференцията за бъдещето на Европа</w:t>
        </w:r>
      </w:hyperlink>
      <w:r w:rsidRPr="009F3D7B">
        <w:rPr>
          <w:sz w:val="16"/>
          <w:szCs w:val="16"/>
        </w:rPr>
        <w:t xml:space="preserve"> е инициатива, която използва подход „от долу нагоре“, насочен към гражданите, и дава възможност на европейците да изразят очакванията си от Европейския съюз. Чрез нея гражданите ще получат по-голяма роля в определянето на бъдещите политики и амбиции на Съюза, което ще подобри неговата устойчивост. Това ще бъде постигнато чрез множество свързани с конференцията събития и дебати, които ще се организират на различни места в Съюза, както и чрез интерактивна многоезична цифрова платформа. Конферентни прояви, присъствени събирания или събирания в цифрова среда могат да бъдат организирани на различни равнища, включително на транснационално и европейско равнище. Участието на гражданите в тези мероприятия следва да има за цел да отразява многообразието на Европа. Побратимените общини се насърчават да участват в Конференцията за бъдещето на Европа.</w:t>
      </w:r>
    </w:p>
  </w:footnote>
  <w:footnote w:id="11">
    <w:p w14:paraId="0F69B04E" w14:textId="1D8FFFBA" w:rsidR="005C1B5E" w:rsidRPr="009F3D7B" w:rsidRDefault="005C1B5E" w:rsidP="00924362">
      <w:pPr>
        <w:pStyle w:val="FootnoteText"/>
        <w:spacing w:after="0"/>
        <w:ind w:left="284" w:hanging="284"/>
        <w:rPr>
          <w:sz w:val="16"/>
          <w:szCs w:val="16"/>
          <w:highlight w:val="green"/>
        </w:rPr>
      </w:pPr>
      <w:r w:rsidRPr="009F3D7B">
        <w:rPr>
          <w:rStyle w:val="FootnoteReference"/>
          <w:sz w:val="16"/>
          <w:szCs w:val="16"/>
        </w:rPr>
        <w:footnoteRef/>
      </w:r>
      <w:r w:rsidRPr="009F3D7B">
        <w:rPr>
          <w:sz w:val="16"/>
          <w:szCs w:val="16"/>
        </w:rPr>
        <w:t xml:space="preserve"> </w:t>
      </w:r>
      <w:r w:rsidRPr="009F3D7B">
        <w:rPr>
          <w:sz w:val="16"/>
          <w:szCs w:val="16"/>
        </w:rPr>
        <w:tab/>
        <w:t xml:space="preserve">За повече информация вж. раздел </w:t>
      </w:r>
      <w:r w:rsidRPr="009F3D7B">
        <w:rPr>
          <w:i/>
          <w:sz w:val="16"/>
          <w:szCs w:val="16"/>
        </w:rPr>
        <w:t>„Етика и ценности на ЕС“</w:t>
      </w:r>
    </w:p>
  </w:footnote>
  <w:footnote w:id="12">
    <w:p w14:paraId="17D7FFB5" w14:textId="79853DA1" w:rsidR="005C1B5E" w:rsidRPr="009F3D7B" w:rsidRDefault="005C1B5E" w:rsidP="00924362">
      <w:pPr>
        <w:pStyle w:val="FootnoteText"/>
        <w:spacing w:after="0"/>
        <w:ind w:left="284" w:hanging="284"/>
        <w:rPr>
          <w:sz w:val="16"/>
          <w:szCs w:val="16"/>
        </w:rPr>
      </w:pPr>
      <w:r w:rsidRPr="009F3D7B">
        <w:rPr>
          <w:rStyle w:val="FootnoteReference"/>
          <w:sz w:val="16"/>
          <w:szCs w:val="16"/>
        </w:rPr>
        <w:footnoteRef/>
      </w:r>
      <w:r w:rsidRPr="009F3D7B">
        <w:rPr>
          <w:sz w:val="16"/>
          <w:szCs w:val="16"/>
        </w:rPr>
        <w:t xml:space="preserve"> </w:t>
      </w:r>
      <w:r w:rsidRPr="009F3D7B">
        <w:rPr>
          <w:sz w:val="16"/>
          <w:szCs w:val="16"/>
        </w:rPr>
        <w:tab/>
        <w:t>„Поканени участници“ са пътуващи делегации от допустими държави — партньори по проекта, различни от държавата, която е домакин на мероприятието за побратимяване на градове.</w:t>
      </w:r>
    </w:p>
  </w:footnote>
  <w:footnote w:id="13">
    <w:p w14:paraId="228A0A98" w14:textId="079A3B62" w:rsidR="005C1B5E" w:rsidRPr="009F3D7B" w:rsidRDefault="005C1B5E" w:rsidP="00924362">
      <w:pPr>
        <w:pStyle w:val="FootnoteText"/>
        <w:spacing w:after="0"/>
        <w:ind w:left="284" w:hanging="284"/>
        <w:rPr>
          <w:sz w:val="16"/>
          <w:szCs w:val="16"/>
        </w:rPr>
      </w:pPr>
      <w:r w:rsidRPr="009F3D7B">
        <w:rPr>
          <w:rStyle w:val="FootnoteReference"/>
          <w:sz w:val="16"/>
          <w:szCs w:val="16"/>
        </w:rPr>
        <w:footnoteRef/>
      </w:r>
      <w:r w:rsidRPr="009F3D7B">
        <w:rPr>
          <w:sz w:val="16"/>
          <w:szCs w:val="16"/>
        </w:rPr>
        <w:t xml:space="preserve"> </w:t>
      </w:r>
      <w:r w:rsidRPr="009F3D7B">
        <w:rPr>
          <w:sz w:val="16"/>
          <w:szCs w:val="16"/>
        </w:rPr>
        <w:tab/>
        <w:t>Координаторът е основният кандидат на консорциума.</w:t>
      </w:r>
    </w:p>
  </w:footnote>
  <w:footnote w:id="14">
    <w:p w14:paraId="527456B7" w14:textId="00FE39FD" w:rsidR="005C1B5E" w:rsidRPr="009F3D7B" w:rsidRDefault="005C1B5E" w:rsidP="00924362">
      <w:pPr>
        <w:pStyle w:val="FootnoteText"/>
        <w:spacing w:after="0"/>
        <w:ind w:left="284" w:hanging="284"/>
        <w:rPr>
          <w:sz w:val="16"/>
          <w:szCs w:val="16"/>
        </w:rPr>
      </w:pPr>
      <w:r w:rsidRPr="009F3D7B">
        <w:rPr>
          <w:rStyle w:val="FootnoteReference"/>
          <w:sz w:val="16"/>
          <w:szCs w:val="16"/>
        </w:rPr>
        <w:footnoteRef/>
      </w:r>
      <w:r w:rsidRPr="009F3D7B">
        <w:rPr>
          <w:sz w:val="16"/>
          <w:szCs w:val="16"/>
        </w:rPr>
        <w:t xml:space="preserve"> </w:t>
      </w:r>
      <w:r w:rsidRPr="009F3D7B">
        <w:rPr>
          <w:sz w:val="16"/>
          <w:szCs w:val="16"/>
        </w:rPr>
        <w:tab/>
        <w:t xml:space="preserve">Вж. член 197, параграф 2, буква в) от Финансовия регламент на ЕС </w:t>
      </w:r>
      <w:hyperlink r:id="rId5" w:history="1">
        <w:r w:rsidRPr="009F3D7B">
          <w:rPr>
            <w:bCs/>
            <w:color w:val="0088CC"/>
            <w:sz w:val="16"/>
            <w:szCs w:val="16"/>
            <w:u w:val="single"/>
          </w:rPr>
          <w:t>2018/1046</w:t>
        </w:r>
      </w:hyperlink>
      <w:r w:rsidRPr="009F3D7B">
        <w:rPr>
          <w:sz w:val="16"/>
          <w:szCs w:val="16"/>
        </w:rPr>
        <w:t>.</w:t>
      </w:r>
    </w:p>
  </w:footnote>
  <w:footnote w:id="15">
    <w:p w14:paraId="58E63D84" w14:textId="3403493F" w:rsidR="005C1B5E" w:rsidRPr="009F3D7B" w:rsidRDefault="005C1B5E" w:rsidP="00924362">
      <w:pPr>
        <w:pStyle w:val="FootnoteText"/>
        <w:spacing w:after="0"/>
        <w:ind w:left="284" w:hanging="284"/>
        <w:rPr>
          <w:sz w:val="16"/>
          <w:szCs w:val="16"/>
        </w:rPr>
      </w:pPr>
      <w:r w:rsidRPr="009F3D7B">
        <w:rPr>
          <w:rStyle w:val="FootnoteReference"/>
          <w:sz w:val="16"/>
          <w:szCs w:val="16"/>
        </w:rPr>
        <w:footnoteRef/>
      </w:r>
      <w:r w:rsidRPr="009F3D7B">
        <w:rPr>
          <w:sz w:val="16"/>
          <w:szCs w:val="16"/>
        </w:rPr>
        <w:t xml:space="preserve"> </w:t>
      </w:r>
      <w:r w:rsidRPr="009F3D7B">
        <w:rPr>
          <w:sz w:val="16"/>
          <w:szCs w:val="16"/>
        </w:rPr>
        <w:tab/>
        <w:t xml:space="preserve">За определенията вж. член 187, параграф 2 и член 197, параграф 2, буква в) от Финансовия регламент на ЕС </w:t>
      </w:r>
      <w:hyperlink r:id="rId6" w:history="1">
        <w:r w:rsidRPr="009F3D7B">
          <w:rPr>
            <w:bCs/>
            <w:color w:val="0088CC"/>
            <w:sz w:val="16"/>
            <w:szCs w:val="16"/>
            <w:u w:val="single"/>
          </w:rPr>
          <w:t>2018/1046</w:t>
        </w:r>
      </w:hyperlink>
      <w:r w:rsidRPr="009F3D7B">
        <w:rPr>
          <w:sz w:val="16"/>
          <w:szCs w:val="16"/>
        </w:rPr>
        <w:t>.</w:t>
      </w:r>
    </w:p>
  </w:footnote>
  <w:footnote w:id="16">
    <w:p w14:paraId="52822DD7" w14:textId="7D1DC16A" w:rsidR="005C1B5E" w:rsidRPr="009F3D7B" w:rsidRDefault="005C1B5E" w:rsidP="000579AF">
      <w:pPr>
        <w:pStyle w:val="FootnoteText"/>
        <w:spacing w:after="0"/>
        <w:ind w:left="284" w:hanging="284"/>
        <w:rPr>
          <w:sz w:val="16"/>
          <w:szCs w:val="16"/>
        </w:rPr>
      </w:pPr>
      <w:r w:rsidRPr="009F3D7B">
        <w:rPr>
          <w:rStyle w:val="FootnoteReference"/>
          <w:sz w:val="16"/>
          <w:szCs w:val="16"/>
        </w:rPr>
        <w:footnoteRef/>
      </w:r>
      <w:r w:rsidRPr="009F3D7B">
        <w:rPr>
          <w:sz w:val="16"/>
          <w:szCs w:val="16"/>
        </w:rPr>
        <w:t xml:space="preserve"> </w:t>
      </w:r>
      <w:r w:rsidRPr="009F3D7B">
        <w:rPr>
          <w:sz w:val="16"/>
          <w:szCs w:val="16"/>
        </w:rPr>
        <w:tab/>
        <w:t xml:space="preserve">Следва да се има предвид, че в Официалния вестник на Европейския съюз е публикуван официалният списък и в случай на конфликт неговото съдържание има предимство пред това на </w:t>
      </w:r>
      <w:hyperlink r:id="rId7" w:history="1">
        <w:r w:rsidRPr="009F3D7B">
          <w:rPr>
            <w:rStyle w:val="Hyperlink"/>
            <w:sz w:val="16"/>
            <w:szCs w:val="16"/>
          </w:rPr>
          <w:t>Картата на санкциите на ЕС</w:t>
        </w:r>
      </w:hyperlink>
      <w:r w:rsidRPr="009F3D7B">
        <w:rPr>
          <w:sz w:val="16"/>
          <w:szCs w:val="16"/>
        </w:rPr>
        <w:t>.</w:t>
      </w:r>
    </w:p>
  </w:footnote>
  <w:footnote w:id="17">
    <w:p w14:paraId="67257775" w14:textId="7991E871" w:rsidR="005C1B5E" w:rsidRPr="009F3D7B" w:rsidRDefault="005C1B5E" w:rsidP="000579AF">
      <w:pPr>
        <w:pStyle w:val="CM1"/>
        <w:ind w:left="284" w:hanging="284"/>
        <w:jc w:val="both"/>
        <w:rPr>
          <w:rFonts w:ascii="Verdana" w:hAnsi="Verdana"/>
          <w:sz w:val="16"/>
          <w:szCs w:val="16"/>
        </w:rPr>
      </w:pPr>
      <w:r w:rsidRPr="009F3D7B">
        <w:rPr>
          <w:rStyle w:val="FootnoteReference"/>
          <w:rFonts w:ascii="Verdana" w:hAnsi="Verdana"/>
          <w:sz w:val="16"/>
          <w:szCs w:val="16"/>
        </w:rPr>
        <w:footnoteRef/>
      </w:r>
      <w:r w:rsidRPr="009F3D7B">
        <w:rPr>
          <w:rFonts w:ascii="Verdana" w:hAnsi="Verdana"/>
          <w:sz w:val="16"/>
          <w:szCs w:val="16"/>
        </w:rPr>
        <w:t xml:space="preserve"> </w:t>
      </w:r>
      <w:r w:rsidRPr="009F3D7B">
        <w:rPr>
          <w:sz w:val="16"/>
          <w:szCs w:val="16"/>
        </w:rPr>
        <w:tab/>
      </w:r>
      <w:r w:rsidRPr="009F3D7B">
        <w:rPr>
          <w:rFonts w:ascii="Verdana" w:hAnsi="Verdana"/>
          <w:sz w:val="16"/>
          <w:szCs w:val="16"/>
        </w:rPr>
        <w:t xml:space="preserve">Насоки на Комисията </w:t>
      </w:r>
      <w:hyperlink r:id="rId8" w:history="1">
        <w:r w:rsidRPr="009F3D7B">
          <w:rPr>
            <w:rStyle w:val="Hyperlink"/>
            <w:rFonts w:ascii="Verdana" w:hAnsi="Verdana"/>
            <w:sz w:val="16"/>
            <w:szCs w:val="16"/>
          </w:rPr>
          <w:t>2013/C 205/05</w:t>
        </w:r>
      </w:hyperlink>
      <w:r w:rsidRPr="009F3D7B">
        <w:rPr>
          <w:rFonts w:ascii="Verdana" w:hAnsi="Verdana"/>
          <w:sz w:val="16"/>
          <w:szCs w:val="16"/>
        </w:rPr>
        <w:t xml:space="preserve"> относно допустимостта на израелски субекти и техните дейности в териториите, окупирани от Израел след юни 1967 г., до безвъзмездни средства, награди и финансови инструменти, финансирани от ЕС от 2014 г. нататък (ОВ C 205, 19.7.2013 г., стр. 9—11). </w:t>
      </w:r>
    </w:p>
  </w:footnote>
  <w:footnote w:id="18">
    <w:p w14:paraId="2364A1FE" w14:textId="6D8F330E" w:rsidR="005C1B5E" w:rsidRPr="009F3D7B" w:rsidRDefault="005C1B5E" w:rsidP="000579AF">
      <w:pPr>
        <w:pStyle w:val="CM1"/>
        <w:ind w:left="284" w:hanging="284"/>
        <w:jc w:val="both"/>
        <w:rPr>
          <w:rFonts w:ascii="Verdana" w:hAnsi="Verdana"/>
          <w:sz w:val="16"/>
          <w:szCs w:val="16"/>
        </w:rPr>
      </w:pPr>
      <w:r w:rsidRPr="009F3D7B">
        <w:rPr>
          <w:rStyle w:val="FootnoteReference"/>
          <w:sz w:val="16"/>
          <w:szCs w:val="16"/>
        </w:rPr>
        <w:footnoteRef/>
      </w:r>
      <w:r w:rsidRPr="009F3D7B">
        <w:rPr>
          <w:sz w:val="16"/>
          <w:szCs w:val="16"/>
        </w:rPr>
        <w:t xml:space="preserve"> </w:t>
      </w:r>
      <w:r w:rsidRPr="009F3D7B">
        <w:rPr>
          <w:sz w:val="16"/>
          <w:szCs w:val="16"/>
        </w:rPr>
        <w:tab/>
      </w:r>
      <w:hyperlink r:id="rId9" w:anchor=":~:text=Non-discrimination%20mainstreaming%20is%20about%20%E2%80%98placing%20equality%20considerations%20at,the%20EU-%20wide%20network%20of%20specialised%20equality%20bodies%29." w:history="1">
        <w:r w:rsidRPr="009F3D7B">
          <w:rPr>
            <w:rStyle w:val="Hyperlink"/>
            <w:rFonts w:ascii="Verdana" w:hAnsi="Verdana"/>
            <w:sz w:val="16"/>
            <w:szCs w:val="16"/>
          </w:rPr>
          <w:t>Интегриране на принципа на недискриминация — инструменти, проучвания на конкретни случаи и бъдещи действия</w:t>
        </w:r>
      </w:hyperlink>
    </w:p>
  </w:footnote>
  <w:footnote w:id="19">
    <w:p w14:paraId="39B3B430" w14:textId="29A6919B" w:rsidR="005C1B5E" w:rsidRPr="009F3D7B" w:rsidRDefault="005C1B5E" w:rsidP="00163978">
      <w:pPr>
        <w:pStyle w:val="FootnoteText"/>
        <w:spacing w:after="0"/>
        <w:ind w:left="284" w:hanging="284"/>
        <w:rPr>
          <w:rStyle w:val="FootnoteReference"/>
          <w:sz w:val="16"/>
          <w:szCs w:val="16"/>
          <w:vertAlign w:val="baseline"/>
        </w:rPr>
      </w:pPr>
      <w:r w:rsidRPr="009F3D7B">
        <w:rPr>
          <w:rStyle w:val="FootnoteReference"/>
          <w:sz w:val="16"/>
          <w:szCs w:val="16"/>
        </w:rPr>
        <w:footnoteRef/>
      </w:r>
      <w:r w:rsidRPr="009F3D7B">
        <w:rPr>
          <w:sz w:val="16"/>
          <w:szCs w:val="16"/>
        </w:rPr>
        <w:t xml:space="preserve"> </w:t>
      </w:r>
      <w:r w:rsidRPr="009F3D7B">
        <w:rPr>
          <w:sz w:val="16"/>
          <w:szCs w:val="16"/>
        </w:rPr>
        <w:tab/>
        <w:t xml:space="preserve">Вж. членове 136 и 141 от Финансовия регламент на ЕС </w:t>
      </w:r>
      <w:hyperlink r:id="rId10" w:history="1">
        <w:r w:rsidRPr="009F3D7B">
          <w:rPr>
            <w:bCs/>
            <w:color w:val="0088CC"/>
            <w:sz w:val="16"/>
            <w:szCs w:val="16"/>
            <w:u w:val="single"/>
          </w:rPr>
          <w:t>2018/1046</w:t>
        </w:r>
      </w:hyperlink>
      <w:r w:rsidRPr="009F3D7B">
        <w:rPr>
          <w:sz w:val="16"/>
          <w:szCs w:val="16"/>
        </w:rPr>
        <w:t>.</w:t>
      </w:r>
    </w:p>
  </w:footnote>
  <w:footnote w:id="20">
    <w:p w14:paraId="3E147AE4" w14:textId="77777777" w:rsidR="005C1B5E" w:rsidRPr="009F3D7B" w:rsidRDefault="005C1B5E" w:rsidP="000579AF">
      <w:pPr>
        <w:pStyle w:val="FootnoteText"/>
        <w:spacing w:after="0"/>
        <w:ind w:left="284" w:hanging="284"/>
        <w:rPr>
          <w:sz w:val="16"/>
          <w:szCs w:val="16"/>
        </w:rPr>
      </w:pPr>
      <w:r w:rsidRPr="009F3D7B">
        <w:rPr>
          <w:rStyle w:val="FootnoteReference"/>
          <w:sz w:val="16"/>
          <w:szCs w:val="16"/>
        </w:rPr>
        <w:footnoteRef/>
      </w:r>
      <w:r w:rsidRPr="009F3D7B">
        <w:rPr>
          <w:sz w:val="16"/>
          <w:szCs w:val="16"/>
        </w:rPr>
        <w:t xml:space="preserve"> </w:t>
      </w:r>
      <w:r w:rsidRPr="009F3D7B">
        <w:rPr>
          <w:sz w:val="16"/>
          <w:szCs w:val="16"/>
        </w:rPr>
        <w:tab/>
        <w:t>„Професионалното нарушение“ включва: нарушение на етичните норми на професията, увреждащо действие, оказващо въздействие върху професионалната благонадеждност, предоставяне на неверни данни/ погрешно тълкуване на информация, участие в картелно или друго споразумение, нарушаващо конкуренцията, нарушения на права на интелектуална собственост, опит за повлияване върху процеси на вземане на решения или за получаване на поверителна информация от публични органи, която може да предостави предимства.</w:t>
      </w:r>
    </w:p>
  </w:footnote>
  <w:footnote w:id="21">
    <w:p w14:paraId="32BB546C" w14:textId="762CA1F9" w:rsidR="005C1B5E" w:rsidRPr="009F3D7B" w:rsidRDefault="005C1B5E" w:rsidP="009F3D7B">
      <w:pPr>
        <w:pStyle w:val="FootnoteText"/>
        <w:spacing w:after="0"/>
        <w:ind w:left="284" w:hanging="284"/>
        <w:rPr>
          <w:sz w:val="16"/>
          <w:szCs w:val="16"/>
        </w:rPr>
      </w:pPr>
      <w:r w:rsidRPr="009F3D7B">
        <w:rPr>
          <w:rStyle w:val="FootnoteReference"/>
          <w:sz w:val="16"/>
          <w:szCs w:val="16"/>
        </w:rPr>
        <w:footnoteRef/>
      </w:r>
      <w:r w:rsidRPr="009F3D7B">
        <w:rPr>
          <w:sz w:val="16"/>
          <w:szCs w:val="16"/>
        </w:rPr>
        <w:t xml:space="preserve"> </w:t>
      </w:r>
      <w:r w:rsidRPr="009F3D7B">
        <w:rPr>
          <w:sz w:val="16"/>
          <w:szCs w:val="16"/>
        </w:rPr>
        <w:tab/>
        <w:t xml:space="preserve">Вж. член 141 от Финансовия регламент на ЕС </w:t>
      </w:r>
      <w:hyperlink r:id="rId11" w:history="1">
        <w:r w:rsidRPr="009F3D7B">
          <w:rPr>
            <w:bCs/>
            <w:color w:val="0088CC"/>
            <w:sz w:val="16"/>
            <w:szCs w:val="16"/>
            <w:u w:val="single"/>
          </w:rPr>
          <w:t>2018/1046</w:t>
        </w:r>
      </w:hyperlink>
      <w:r w:rsidRPr="009F3D7B">
        <w:rPr>
          <w:sz w:val="16"/>
          <w:szCs w:val="16"/>
        </w:rPr>
        <w:t>.</w:t>
      </w:r>
    </w:p>
  </w:footnote>
  <w:footnote w:id="22">
    <w:p w14:paraId="482E0888" w14:textId="294ED647" w:rsidR="005C1B5E" w:rsidRPr="009F3D7B" w:rsidRDefault="005C1B5E" w:rsidP="009F3D7B">
      <w:pPr>
        <w:pStyle w:val="FootnoteText"/>
        <w:spacing w:after="0"/>
        <w:ind w:left="284" w:hanging="284"/>
        <w:rPr>
          <w:sz w:val="16"/>
          <w:szCs w:val="16"/>
        </w:rPr>
      </w:pPr>
      <w:r w:rsidRPr="009F3D7B">
        <w:rPr>
          <w:rStyle w:val="FootnoteReference"/>
          <w:sz w:val="16"/>
          <w:szCs w:val="16"/>
        </w:rPr>
        <w:footnoteRef/>
      </w:r>
      <w:r w:rsidRPr="009F3D7B">
        <w:rPr>
          <w:sz w:val="16"/>
          <w:szCs w:val="16"/>
        </w:rPr>
        <w:t xml:space="preserve"> </w:t>
      </w:r>
      <w:r w:rsidRPr="009F3D7B">
        <w:rPr>
          <w:sz w:val="16"/>
          <w:szCs w:val="16"/>
        </w:rPr>
        <w:tab/>
      </w:r>
      <w:hyperlink r:id="rId12" w:history="1">
        <w:r w:rsidRPr="009F3D7B">
          <w:rPr>
            <w:rStyle w:val="Hyperlink"/>
            <w:sz w:val="16"/>
            <w:szCs w:val="16"/>
          </w:rPr>
          <w:t>Решение</w:t>
        </w:r>
      </w:hyperlink>
      <w:r w:rsidRPr="009F3D7B">
        <w:rPr>
          <w:sz w:val="16"/>
          <w:szCs w:val="16"/>
        </w:rPr>
        <w:t xml:space="preserve"> от 26 март 2021 г. за разрешаване на използването на еднократни суми за действия по програма „Граждани, равенство, права и ценности“ (2021—2027 г.</w:t>
      </w:r>
      <w:r w:rsidRPr="009F3D7B">
        <w:rPr>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7FEE" w14:textId="68511716" w:rsidR="005C1B5E" w:rsidRPr="009F3D7B" w:rsidRDefault="005C1B5E" w:rsidP="00322207">
    <w:pPr>
      <w:tabs>
        <w:tab w:val="center" w:pos="4536"/>
        <w:tab w:val="right" w:pos="9072"/>
      </w:tabs>
      <w:spacing w:after="0"/>
      <w:rPr>
        <w:rFonts w:eastAsia="Calibri"/>
        <w:sz w:val="16"/>
      </w:rPr>
    </w:pPr>
    <w:r w:rsidRPr="009F3D7B">
      <w:rPr>
        <w:sz w:val="16"/>
      </w:rPr>
      <w:t>Покана: [CERV-2022-CITIZENS-TOWN] — [побратимяване на градове и мрежи от градове]</w:t>
    </w:r>
  </w:p>
  <w:p w14:paraId="15B1C007" w14:textId="77777777" w:rsidR="005C1B5E" w:rsidRPr="009F3D7B" w:rsidRDefault="005C1B5E" w:rsidP="00322207">
    <w:pPr>
      <w:tabs>
        <w:tab w:val="center" w:pos="4536"/>
        <w:tab w:val="right" w:pos="9072"/>
      </w:tabs>
      <w:spacing w:after="0" w:line="276" w:lineRule="auto"/>
      <w:rPr>
        <w:rFonts w:eastAsia="Calibri"/>
        <w:sz w:val="16"/>
      </w:rPr>
    </w:pPr>
  </w:p>
  <w:p w14:paraId="010F2120" w14:textId="205373BA" w:rsidR="005C1B5E" w:rsidRPr="009F3D7B" w:rsidRDefault="005C1B5E" w:rsidP="00C90797">
    <w:pPr>
      <w:spacing w:after="0"/>
      <w:jc w:val="right"/>
      <w:rPr>
        <w:rFonts w:eastAsia="Calibri"/>
        <w:color w:val="808080"/>
        <w:sz w:val="16"/>
        <w:szCs w:val="16"/>
      </w:rPr>
    </w:pPr>
    <w:r w:rsidRPr="009F3D7B">
      <w:rPr>
        <w:color w:val="4AA55B"/>
        <w:sz w:val="16"/>
      </w:rPr>
      <w:tab/>
    </w:r>
    <w:r w:rsidRPr="009F3D7B">
      <w:rPr>
        <w:color w:val="7F7F7F"/>
        <w:sz w:val="16"/>
        <w:szCs w:val="16"/>
      </w:rPr>
      <w:t>Безвъзмездни средства от ЕС</w:t>
    </w:r>
    <w:r w:rsidRPr="009F3D7B">
      <w:rPr>
        <w:color w:val="808080"/>
        <w:sz w:val="16"/>
        <w:szCs w:val="16"/>
      </w:rPr>
      <w:t xml:space="preserve">: </w:t>
    </w:r>
    <w:r w:rsidRPr="009F3D7B">
      <w:rPr>
        <w:color w:val="7F7F7F"/>
        <w:sz w:val="16"/>
        <w:szCs w:val="16"/>
      </w:rPr>
      <w:t>(CERV) Покана за представяне на предложения</w:t>
    </w:r>
    <w:r w:rsidRPr="009F3D7B">
      <w:rPr>
        <w:color w:val="808080"/>
        <w:sz w:val="16"/>
        <w:szCs w:val="16"/>
      </w:rPr>
      <w:t>: V1.0 – 16.11.2021 г.</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9273" w14:textId="5A6FCB6C" w:rsidR="005C1B5E" w:rsidRPr="009F3D7B" w:rsidRDefault="005C1B5E" w:rsidP="007A412A">
    <w:pPr>
      <w:pStyle w:val="Header"/>
      <w:jc w:val="center"/>
      <w:rPr>
        <w:rFonts w:ascii="Arial" w:hAnsi="Arial"/>
        <w:color w:val="595959"/>
        <w:szCs w:val="24"/>
      </w:rPr>
    </w:pPr>
    <w:r w:rsidRPr="009F3D7B">
      <w:rPr>
        <w:noProof/>
        <w:lang w:val="en-IE" w:eastAsia="en-IE"/>
      </w:rPr>
      <w:drawing>
        <wp:inline distT="0" distB="0" distL="0" distR="0" wp14:anchorId="4FA16163" wp14:editId="1ECA857D">
          <wp:extent cx="1922780" cy="914400"/>
          <wp:effectExtent l="0" t="0" r="0" b="0"/>
          <wp:docPr id="2" name="Picture 2"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8EEC9" w14:textId="377CC7BB" w:rsidR="005C1B5E" w:rsidRPr="009F3D7B" w:rsidRDefault="005C1B5E" w:rsidP="00771274">
    <w:pPr>
      <w:pStyle w:val="Header"/>
      <w:tabs>
        <w:tab w:val="clear" w:pos="4153"/>
        <w:tab w:val="clear" w:pos="8306"/>
        <w:tab w:val="left" w:pos="2659"/>
      </w:tabs>
      <w:spacing w:after="0"/>
    </w:pPr>
    <w:r w:rsidRPr="009F3D7B">
      <w:tab/>
    </w:r>
    <w:r w:rsidRPr="009F3D7B">
      <w:rPr>
        <w:noProof/>
        <w:lang w:val="en-IE" w:eastAsia="en-IE"/>
      </w:rPr>
      <w:drawing>
        <wp:inline distT="0" distB="0" distL="0" distR="0" wp14:anchorId="097AAA03" wp14:editId="590F354E">
          <wp:extent cx="1922780" cy="914400"/>
          <wp:effectExtent l="0" t="0" r="0" b="0"/>
          <wp:docPr id="14" name="Picture 14"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58F06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013C92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AE6C26"/>
    <w:multiLevelType w:val="hybridMultilevel"/>
    <w:tmpl w:val="2C38E760"/>
    <w:lvl w:ilvl="0" w:tplc="D2AEE564">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36E4EC3"/>
    <w:multiLevelType w:val="hybridMultilevel"/>
    <w:tmpl w:val="8C984A6A"/>
    <w:lvl w:ilvl="0" w:tplc="2B5A9408">
      <w:start w:val="1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93CAB"/>
    <w:multiLevelType w:val="hybridMultilevel"/>
    <w:tmpl w:val="4FEEC344"/>
    <w:lvl w:ilvl="0" w:tplc="8DA6C3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8F54C3"/>
    <w:multiLevelType w:val="multilevel"/>
    <w:tmpl w:val="445AC056"/>
    <w:lvl w:ilvl="0">
      <w:start w:val="1"/>
      <w:numFmt w:val="bullet"/>
      <w:pStyle w:val="ListDash3"/>
      <w:lvlText w:val="–"/>
      <w:lvlJc w:val="left"/>
      <w:pPr>
        <w:tabs>
          <w:tab w:val="num" w:pos="1723"/>
        </w:tabs>
        <w:ind w:left="172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34387"/>
    <w:multiLevelType w:val="hybridMultilevel"/>
    <w:tmpl w:val="B17EC242"/>
    <w:lvl w:ilvl="0" w:tplc="FEAA60BA">
      <w:start w:val="1"/>
      <w:numFmt w:val="bullet"/>
      <w:lvlText w:val="·"/>
      <w:lvlJc w:val="left"/>
      <w:pPr>
        <w:ind w:left="720" w:hanging="360"/>
      </w:pPr>
      <w:rPr>
        <w:rFonts w:ascii="Symbol" w:hAnsi="Symbol" w:hint="default"/>
      </w:rPr>
    </w:lvl>
    <w:lvl w:ilvl="1" w:tplc="4880BB64">
      <w:start w:val="1"/>
      <w:numFmt w:val="bullet"/>
      <w:lvlText w:val="o"/>
      <w:lvlJc w:val="left"/>
      <w:pPr>
        <w:ind w:left="1440" w:hanging="360"/>
      </w:pPr>
      <w:rPr>
        <w:rFonts w:ascii="Courier New" w:hAnsi="Courier New" w:cs="Times New Roman" w:hint="default"/>
      </w:rPr>
    </w:lvl>
    <w:lvl w:ilvl="2" w:tplc="5F68A3DA">
      <w:start w:val="1"/>
      <w:numFmt w:val="bullet"/>
      <w:lvlText w:val=""/>
      <w:lvlJc w:val="left"/>
      <w:pPr>
        <w:ind w:left="2160" w:hanging="360"/>
      </w:pPr>
      <w:rPr>
        <w:rFonts w:ascii="Wingdings" w:hAnsi="Wingdings" w:hint="default"/>
      </w:rPr>
    </w:lvl>
    <w:lvl w:ilvl="3" w:tplc="8234825C">
      <w:start w:val="1"/>
      <w:numFmt w:val="bullet"/>
      <w:lvlText w:val=""/>
      <w:lvlJc w:val="left"/>
      <w:pPr>
        <w:ind w:left="2880" w:hanging="360"/>
      </w:pPr>
      <w:rPr>
        <w:rFonts w:ascii="Symbol" w:hAnsi="Symbol" w:hint="default"/>
      </w:rPr>
    </w:lvl>
    <w:lvl w:ilvl="4" w:tplc="92E26BB8">
      <w:start w:val="1"/>
      <w:numFmt w:val="bullet"/>
      <w:lvlText w:val="o"/>
      <w:lvlJc w:val="left"/>
      <w:pPr>
        <w:ind w:left="3600" w:hanging="360"/>
      </w:pPr>
      <w:rPr>
        <w:rFonts w:ascii="Courier New" w:hAnsi="Courier New" w:cs="Times New Roman" w:hint="default"/>
      </w:rPr>
    </w:lvl>
    <w:lvl w:ilvl="5" w:tplc="C94884C8">
      <w:start w:val="1"/>
      <w:numFmt w:val="bullet"/>
      <w:lvlText w:val=""/>
      <w:lvlJc w:val="left"/>
      <w:pPr>
        <w:ind w:left="4320" w:hanging="360"/>
      </w:pPr>
      <w:rPr>
        <w:rFonts w:ascii="Wingdings" w:hAnsi="Wingdings" w:hint="default"/>
      </w:rPr>
    </w:lvl>
    <w:lvl w:ilvl="6" w:tplc="7CAC58A4">
      <w:start w:val="1"/>
      <w:numFmt w:val="bullet"/>
      <w:lvlText w:val=""/>
      <w:lvlJc w:val="left"/>
      <w:pPr>
        <w:ind w:left="5040" w:hanging="360"/>
      </w:pPr>
      <w:rPr>
        <w:rFonts w:ascii="Symbol" w:hAnsi="Symbol" w:hint="default"/>
      </w:rPr>
    </w:lvl>
    <w:lvl w:ilvl="7" w:tplc="27DA3F58">
      <w:start w:val="1"/>
      <w:numFmt w:val="bullet"/>
      <w:lvlText w:val="o"/>
      <w:lvlJc w:val="left"/>
      <w:pPr>
        <w:ind w:left="5760" w:hanging="360"/>
      </w:pPr>
      <w:rPr>
        <w:rFonts w:ascii="Courier New" w:hAnsi="Courier New" w:cs="Times New Roman" w:hint="default"/>
      </w:rPr>
    </w:lvl>
    <w:lvl w:ilvl="8" w:tplc="7AC2F7E8">
      <w:start w:val="1"/>
      <w:numFmt w:val="bullet"/>
      <w:lvlText w:val=""/>
      <w:lvlJc w:val="left"/>
      <w:pPr>
        <w:ind w:left="6480" w:hanging="360"/>
      </w:pPr>
      <w:rPr>
        <w:rFonts w:ascii="Wingdings" w:hAnsi="Wingdings" w:hint="default"/>
      </w:rPr>
    </w:lvl>
  </w:abstractNum>
  <w:abstractNum w:abstractNumId="7" w15:restartNumberingAfterBreak="0">
    <w:nsid w:val="13B00C30"/>
    <w:multiLevelType w:val="singleLevel"/>
    <w:tmpl w:val="0FD0142C"/>
    <w:lvl w:ilvl="0">
      <w:start w:val="1"/>
      <w:numFmt w:val="bullet"/>
      <w:pStyle w:val="ListDash4"/>
      <w:lvlText w:val="–"/>
      <w:lvlJc w:val="left"/>
      <w:pPr>
        <w:tabs>
          <w:tab w:val="num" w:pos="1723"/>
        </w:tabs>
        <w:ind w:left="1723" w:hanging="283"/>
      </w:pPr>
      <w:rPr>
        <w:rFonts w:ascii="Times New Roman" w:hAnsi="Times New Roman"/>
      </w:rPr>
    </w:lvl>
  </w:abstractNum>
  <w:abstractNum w:abstractNumId="8" w15:restartNumberingAfterBreak="0">
    <w:nsid w:val="141800C7"/>
    <w:multiLevelType w:val="hybridMultilevel"/>
    <w:tmpl w:val="11706440"/>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494262"/>
    <w:multiLevelType w:val="hybridMultilevel"/>
    <w:tmpl w:val="9F5C3216"/>
    <w:lvl w:ilvl="0" w:tplc="04E080B6">
      <w:start w:val="1"/>
      <w:numFmt w:val="bullet"/>
      <w:lvlText w:val=""/>
      <w:lvlJc w:val="left"/>
      <w:pPr>
        <w:ind w:left="720" w:hanging="360"/>
      </w:pPr>
      <w:rPr>
        <w:rFonts w:ascii="Symbol" w:hAnsi="Symbol" w:hint="default"/>
        <w:color w:val="59595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02B3C"/>
    <w:multiLevelType w:val="hybridMultilevel"/>
    <w:tmpl w:val="925C5806"/>
    <w:lvl w:ilvl="0" w:tplc="5F84B092">
      <w:start w:val="1"/>
      <w:numFmt w:val="bullet"/>
      <w:lvlText w:val=""/>
      <w:lvlJc w:val="left"/>
      <w:pPr>
        <w:ind w:left="720" w:hanging="360"/>
      </w:pPr>
      <w:rPr>
        <w:rFonts w:ascii="Symbol" w:hAnsi="Symbol" w:hint="default"/>
      </w:rPr>
    </w:lvl>
    <w:lvl w:ilvl="1" w:tplc="6D7A6886">
      <w:start w:val="1"/>
      <w:numFmt w:val="bullet"/>
      <w:lvlText w:val="o"/>
      <w:lvlJc w:val="left"/>
      <w:pPr>
        <w:ind w:left="1440" w:hanging="360"/>
      </w:pPr>
      <w:rPr>
        <w:rFonts w:ascii="Courier New" w:hAnsi="Courier New" w:cs="Times New Roman" w:hint="default"/>
      </w:rPr>
    </w:lvl>
    <w:lvl w:ilvl="2" w:tplc="540CB382">
      <w:start w:val="1"/>
      <w:numFmt w:val="bullet"/>
      <w:lvlText w:val=""/>
      <w:lvlJc w:val="left"/>
      <w:pPr>
        <w:ind w:left="2160" w:hanging="360"/>
      </w:pPr>
      <w:rPr>
        <w:rFonts w:ascii="Wingdings" w:hAnsi="Wingdings" w:hint="default"/>
      </w:rPr>
    </w:lvl>
    <w:lvl w:ilvl="3" w:tplc="18F6D324">
      <w:start w:val="1"/>
      <w:numFmt w:val="bullet"/>
      <w:lvlText w:val=""/>
      <w:lvlJc w:val="left"/>
      <w:pPr>
        <w:ind w:left="2880" w:hanging="360"/>
      </w:pPr>
      <w:rPr>
        <w:rFonts w:ascii="Symbol" w:hAnsi="Symbol" w:hint="default"/>
      </w:rPr>
    </w:lvl>
    <w:lvl w:ilvl="4" w:tplc="8D4AF8BA">
      <w:start w:val="1"/>
      <w:numFmt w:val="bullet"/>
      <w:lvlText w:val="o"/>
      <w:lvlJc w:val="left"/>
      <w:pPr>
        <w:ind w:left="3600" w:hanging="360"/>
      </w:pPr>
      <w:rPr>
        <w:rFonts w:ascii="Courier New" w:hAnsi="Courier New" w:cs="Times New Roman" w:hint="default"/>
      </w:rPr>
    </w:lvl>
    <w:lvl w:ilvl="5" w:tplc="9BF6974A">
      <w:start w:val="1"/>
      <w:numFmt w:val="bullet"/>
      <w:lvlText w:val=""/>
      <w:lvlJc w:val="left"/>
      <w:pPr>
        <w:ind w:left="4320" w:hanging="360"/>
      </w:pPr>
      <w:rPr>
        <w:rFonts w:ascii="Wingdings" w:hAnsi="Wingdings" w:hint="default"/>
      </w:rPr>
    </w:lvl>
    <w:lvl w:ilvl="6" w:tplc="953457D0">
      <w:start w:val="1"/>
      <w:numFmt w:val="bullet"/>
      <w:lvlText w:val=""/>
      <w:lvlJc w:val="left"/>
      <w:pPr>
        <w:ind w:left="5040" w:hanging="360"/>
      </w:pPr>
      <w:rPr>
        <w:rFonts w:ascii="Symbol" w:hAnsi="Symbol" w:hint="default"/>
      </w:rPr>
    </w:lvl>
    <w:lvl w:ilvl="7" w:tplc="2BA84904">
      <w:start w:val="1"/>
      <w:numFmt w:val="bullet"/>
      <w:lvlText w:val="o"/>
      <w:lvlJc w:val="left"/>
      <w:pPr>
        <w:ind w:left="5760" w:hanging="360"/>
      </w:pPr>
      <w:rPr>
        <w:rFonts w:ascii="Courier New" w:hAnsi="Courier New" w:cs="Times New Roman" w:hint="default"/>
      </w:rPr>
    </w:lvl>
    <w:lvl w:ilvl="8" w:tplc="7D52480A">
      <w:start w:val="1"/>
      <w:numFmt w:val="bullet"/>
      <w:lvlText w:val=""/>
      <w:lvlJc w:val="left"/>
      <w:pPr>
        <w:ind w:left="6480" w:hanging="360"/>
      </w:pPr>
      <w:rPr>
        <w:rFonts w:ascii="Wingdings" w:hAnsi="Wingdings" w:hint="default"/>
      </w:rPr>
    </w:lvl>
  </w:abstractNum>
  <w:abstractNum w:abstractNumId="12" w15:restartNumberingAfterBreak="0">
    <w:nsid w:val="1B511E85"/>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13" w15:restartNumberingAfterBreak="0">
    <w:nsid w:val="1C7D1A8D"/>
    <w:multiLevelType w:val="singleLevel"/>
    <w:tmpl w:val="B086A94E"/>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204774F5"/>
    <w:multiLevelType w:val="multilevel"/>
    <w:tmpl w:val="D9F42482"/>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72162AA"/>
    <w:multiLevelType w:val="hybridMultilevel"/>
    <w:tmpl w:val="D4BE07C6"/>
    <w:lvl w:ilvl="0" w:tplc="BE50AD9E">
      <w:start w:val="1"/>
      <w:numFmt w:val="bullet"/>
      <w:lvlText w:val=""/>
      <w:lvlJc w:val="left"/>
      <w:pPr>
        <w:ind w:left="720" w:hanging="360"/>
      </w:pPr>
      <w:rPr>
        <w:rFonts w:ascii="Symbol" w:hAnsi="Symbol" w:hint="default"/>
        <w:sz w:val="21"/>
        <w:szCs w:val="24"/>
      </w:rPr>
    </w:lvl>
    <w:lvl w:ilvl="1" w:tplc="96AE0BB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352FFF"/>
    <w:multiLevelType w:val="hybridMultilevel"/>
    <w:tmpl w:val="548CD240"/>
    <w:lvl w:ilvl="0" w:tplc="69B2380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E667A"/>
    <w:multiLevelType w:val="hybridMultilevel"/>
    <w:tmpl w:val="087A7580"/>
    <w:lvl w:ilvl="0" w:tplc="BE50AD9E">
      <w:start w:val="1"/>
      <w:numFmt w:val="bullet"/>
      <w:lvlText w:val=""/>
      <w:lvlJc w:val="left"/>
      <w:pPr>
        <w:ind w:left="720" w:hanging="360"/>
      </w:pPr>
      <w:rPr>
        <w:rFonts w:ascii="Symbol" w:hAnsi="Symbol" w:hint="default"/>
      </w:rPr>
    </w:lvl>
    <w:lvl w:ilvl="1" w:tplc="BE50AD9E">
      <w:start w:val="1"/>
      <w:numFmt w:val="bullet"/>
      <w:lvlText w:val=""/>
      <w:lvlJc w:val="left"/>
      <w:pPr>
        <w:ind w:left="1440" w:hanging="360"/>
      </w:pPr>
      <w:rPr>
        <w:rFonts w:ascii="Symbol" w:hAnsi="Symbol" w:hint="default"/>
        <w:sz w:val="21"/>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737DD"/>
    <w:multiLevelType w:val="hybridMultilevel"/>
    <w:tmpl w:val="5C64EC24"/>
    <w:lvl w:ilvl="0" w:tplc="9294DFBC">
      <w:numFmt w:val="bullet"/>
      <w:lvlText w:val="•"/>
      <w:lvlJc w:val="left"/>
      <w:pPr>
        <w:ind w:left="1080" w:hanging="720"/>
      </w:pPr>
      <w:rPr>
        <w:rFonts w:ascii="Verdana" w:eastAsia="Times New Roman" w:hAnsi="Verdana" w:cs="Times New Roman" w:hint="default"/>
      </w:rPr>
    </w:lvl>
    <w:lvl w:ilvl="1" w:tplc="BE50AD9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475FA"/>
    <w:multiLevelType w:val="multilevel"/>
    <w:tmpl w:val="F65826E8"/>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5646B0E"/>
    <w:multiLevelType w:val="multilevel"/>
    <w:tmpl w:val="C51C4B2C"/>
    <w:lvl w:ilvl="0">
      <w:start w:val="1"/>
      <w:numFmt w:val="bullet"/>
      <w:pStyle w:val="ListBullet3"/>
      <w:lvlText w:val=""/>
      <w:lvlJc w:val="left"/>
      <w:pPr>
        <w:tabs>
          <w:tab w:val="num" w:pos="1723"/>
        </w:tabs>
        <w:ind w:left="172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346497"/>
    <w:multiLevelType w:val="hybridMultilevel"/>
    <w:tmpl w:val="9DF6880C"/>
    <w:lvl w:ilvl="0" w:tplc="24C6155C">
      <w:start w:val="1"/>
      <w:numFmt w:val="bullet"/>
      <w:lvlText w:val=""/>
      <w:lvlJc w:val="left"/>
      <w:pPr>
        <w:ind w:left="720"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641BA"/>
    <w:multiLevelType w:val="hybridMultilevel"/>
    <w:tmpl w:val="943A1348"/>
    <w:lvl w:ilvl="0" w:tplc="F1F85750">
      <w:start w:val="1"/>
      <w:numFmt w:val="bullet"/>
      <w:lvlText w:val=""/>
      <w:lvlJc w:val="left"/>
      <w:pPr>
        <w:ind w:left="720" w:hanging="360"/>
      </w:pPr>
      <w:rPr>
        <w:rFonts w:ascii="Symbol" w:hAnsi="Symbol" w:hint="default"/>
        <w:color w:val="5959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D7EE5"/>
    <w:multiLevelType w:val="hybridMultilevel"/>
    <w:tmpl w:val="5DF04E64"/>
    <w:lvl w:ilvl="0" w:tplc="BE50AD9E">
      <w:start w:val="1"/>
      <w:numFmt w:val="bullet"/>
      <w:lvlText w:val=""/>
      <w:lvlJc w:val="left"/>
      <w:pPr>
        <w:ind w:left="7023" w:hanging="360"/>
      </w:pPr>
      <w:rPr>
        <w:rFonts w:ascii="Symbol" w:hAnsi="Symbol" w:hint="default"/>
        <w:b/>
        <w:strike w:val="0"/>
        <w:dstrike w:val="0"/>
        <w:color w:val="auto"/>
        <w:sz w:val="24"/>
        <w:u w:val="none"/>
        <w:effect w:val="none"/>
      </w:rPr>
    </w:lvl>
    <w:lvl w:ilvl="1" w:tplc="44FE2B32">
      <w:start w:val="3"/>
      <w:numFmt w:val="bullet"/>
      <w:lvlText w:val="-"/>
      <w:lvlJc w:val="left"/>
      <w:pPr>
        <w:ind w:left="3381" w:hanging="360"/>
      </w:pPr>
      <w:rPr>
        <w:rFonts w:ascii="Times New Roman" w:eastAsia="Calibri" w:hAnsi="Times New Roman" w:cs="Times New Roman" w:hint="default"/>
        <w:color w:val="auto"/>
      </w:rPr>
    </w:lvl>
    <w:lvl w:ilvl="2" w:tplc="08090005">
      <w:start w:val="1"/>
      <w:numFmt w:val="bullet"/>
      <w:lvlText w:val=""/>
      <w:lvlJc w:val="left"/>
      <w:pPr>
        <w:ind w:left="4101" w:hanging="360"/>
      </w:pPr>
      <w:rPr>
        <w:rFonts w:ascii="Wingdings" w:hAnsi="Wingdings" w:hint="default"/>
      </w:rPr>
    </w:lvl>
    <w:lvl w:ilvl="3" w:tplc="0809000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24" w15:restartNumberingAfterBreak="0">
    <w:nsid w:val="3E0216B9"/>
    <w:multiLevelType w:val="multilevel"/>
    <w:tmpl w:val="49C6B458"/>
    <w:lvl w:ilvl="0">
      <w:start w:val="1"/>
      <w:numFmt w:val="decimal"/>
      <w:lvlText w:val="%1."/>
      <w:lvlJc w:val="left"/>
      <w:pPr>
        <w:tabs>
          <w:tab w:val="num" w:pos="1440"/>
        </w:tabs>
        <w:ind w:left="1440" w:hanging="1440"/>
      </w:pPr>
      <w:rPr>
        <w:i w:val="0"/>
        <w:sz w:val="24"/>
        <w:szCs w:val="28"/>
      </w:rPr>
    </w:lvl>
    <w:lvl w:ilvl="1">
      <w:start w:val="1"/>
      <w:numFmt w:val="decimal"/>
      <w:lvlText w:val="%1.%2."/>
      <w:lvlJc w:val="left"/>
      <w:pPr>
        <w:tabs>
          <w:tab w:val="num" w:pos="1440"/>
        </w:tabs>
        <w:ind w:left="1440" w:hanging="1440"/>
      </w:pPr>
      <w:rPr>
        <w:rFonts w:ascii="Verdana" w:hAnsi="Verdana" w:hint="default"/>
        <w:b/>
        <w:sz w:val="22"/>
        <w:szCs w:val="22"/>
      </w:rPr>
    </w:lvl>
    <w:lvl w:ilvl="2">
      <w:start w:val="1"/>
      <w:numFmt w:val="decimal"/>
      <w:lvlText w:val="%1.%2.%3."/>
      <w:lvlJc w:val="left"/>
      <w:pPr>
        <w:tabs>
          <w:tab w:val="num" w:pos="1724"/>
        </w:tabs>
        <w:ind w:left="1724" w:hanging="1440"/>
      </w:pPr>
      <w:rPr>
        <w:i w:val="0"/>
        <w:sz w:val="24"/>
        <w:szCs w:val="24"/>
      </w:rPr>
    </w:lvl>
    <w:lvl w:ilvl="3">
      <w:start w:val="1"/>
      <w:numFmt w:val="decimal"/>
      <w:pStyle w:val="Heading4"/>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E60361F"/>
    <w:multiLevelType w:val="hybridMultilevel"/>
    <w:tmpl w:val="DF28AE3E"/>
    <w:lvl w:ilvl="0" w:tplc="239695B4">
      <w:start w:val="1"/>
      <w:numFmt w:val="bullet"/>
      <w:lvlText w:val=""/>
      <w:lvlJc w:val="left"/>
      <w:pPr>
        <w:ind w:left="720" w:hanging="360"/>
      </w:pPr>
      <w:rPr>
        <w:rFonts w:ascii="Symbol" w:hAnsi="Symbol" w:hint="default"/>
      </w:rPr>
    </w:lvl>
    <w:lvl w:ilvl="1" w:tplc="A6523FA2">
      <w:start w:val="1"/>
      <w:numFmt w:val="bullet"/>
      <w:lvlText w:val="o"/>
      <w:lvlJc w:val="left"/>
      <w:pPr>
        <w:ind w:left="1440" w:hanging="360"/>
      </w:pPr>
      <w:rPr>
        <w:rFonts w:ascii="Courier New" w:hAnsi="Courier New" w:cs="Times New Roman" w:hint="default"/>
      </w:rPr>
    </w:lvl>
    <w:lvl w:ilvl="2" w:tplc="AE2A2790">
      <w:start w:val="1"/>
      <w:numFmt w:val="bullet"/>
      <w:lvlText w:val=""/>
      <w:lvlJc w:val="left"/>
      <w:pPr>
        <w:ind w:left="2160" w:hanging="360"/>
      </w:pPr>
      <w:rPr>
        <w:rFonts w:ascii="Wingdings" w:hAnsi="Wingdings" w:hint="default"/>
      </w:rPr>
    </w:lvl>
    <w:lvl w:ilvl="3" w:tplc="27403B40">
      <w:start w:val="1"/>
      <w:numFmt w:val="bullet"/>
      <w:lvlText w:val=""/>
      <w:lvlJc w:val="left"/>
      <w:pPr>
        <w:ind w:left="2880" w:hanging="360"/>
      </w:pPr>
      <w:rPr>
        <w:rFonts w:ascii="Symbol" w:hAnsi="Symbol" w:hint="default"/>
      </w:rPr>
    </w:lvl>
    <w:lvl w:ilvl="4" w:tplc="4E4AC0A0">
      <w:start w:val="1"/>
      <w:numFmt w:val="bullet"/>
      <w:lvlText w:val="o"/>
      <w:lvlJc w:val="left"/>
      <w:pPr>
        <w:ind w:left="3600" w:hanging="360"/>
      </w:pPr>
      <w:rPr>
        <w:rFonts w:ascii="Courier New" w:hAnsi="Courier New" w:cs="Times New Roman" w:hint="default"/>
      </w:rPr>
    </w:lvl>
    <w:lvl w:ilvl="5" w:tplc="419A324E">
      <w:start w:val="1"/>
      <w:numFmt w:val="bullet"/>
      <w:lvlText w:val=""/>
      <w:lvlJc w:val="left"/>
      <w:pPr>
        <w:ind w:left="4320" w:hanging="360"/>
      </w:pPr>
      <w:rPr>
        <w:rFonts w:ascii="Wingdings" w:hAnsi="Wingdings" w:hint="default"/>
      </w:rPr>
    </w:lvl>
    <w:lvl w:ilvl="6" w:tplc="4656E830">
      <w:start w:val="1"/>
      <w:numFmt w:val="bullet"/>
      <w:lvlText w:val=""/>
      <w:lvlJc w:val="left"/>
      <w:pPr>
        <w:ind w:left="5040" w:hanging="360"/>
      </w:pPr>
      <w:rPr>
        <w:rFonts w:ascii="Symbol" w:hAnsi="Symbol" w:hint="default"/>
      </w:rPr>
    </w:lvl>
    <w:lvl w:ilvl="7" w:tplc="12B2BECA">
      <w:start w:val="1"/>
      <w:numFmt w:val="bullet"/>
      <w:lvlText w:val="o"/>
      <w:lvlJc w:val="left"/>
      <w:pPr>
        <w:ind w:left="5760" w:hanging="360"/>
      </w:pPr>
      <w:rPr>
        <w:rFonts w:ascii="Courier New" w:hAnsi="Courier New" w:cs="Times New Roman" w:hint="default"/>
      </w:rPr>
    </w:lvl>
    <w:lvl w:ilvl="8" w:tplc="02C8FA5A">
      <w:start w:val="1"/>
      <w:numFmt w:val="bullet"/>
      <w:lvlText w:val=""/>
      <w:lvlJc w:val="left"/>
      <w:pPr>
        <w:ind w:left="6480" w:hanging="360"/>
      </w:pPr>
      <w:rPr>
        <w:rFonts w:ascii="Wingdings" w:hAnsi="Wingdings" w:hint="default"/>
      </w:rPr>
    </w:lvl>
  </w:abstractNum>
  <w:abstractNum w:abstractNumId="26" w15:restartNumberingAfterBreak="0">
    <w:nsid w:val="420D3041"/>
    <w:multiLevelType w:val="hybridMultilevel"/>
    <w:tmpl w:val="D00CEF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64731"/>
    <w:multiLevelType w:val="hybridMultilevel"/>
    <w:tmpl w:val="E1C86960"/>
    <w:lvl w:ilvl="0" w:tplc="038A179E">
      <w:start w:val="1"/>
      <w:numFmt w:val="bullet"/>
      <w:pStyle w:val="ListDash2"/>
      <w:lvlText w:val="–"/>
      <w:lvlJc w:val="left"/>
      <w:pPr>
        <w:tabs>
          <w:tab w:val="num" w:pos="1723"/>
        </w:tabs>
        <w:ind w:left="1723" w:hanging="283"/>
      </w:pPr>
      <w:rPr>
        <w:rFonts w:ascii="Times New Roman" w:hAnsi="Times New Roman"/>
      </w:rPr>
    </w:lvl>
    <w:lvl w:ilvl="1" w:tplc="7C264ED0">
      <w:numFmt w:val="decimal"/>
      <w:lvlText w:val=""/>
      <w:lvlJc w:val="left"/>
    </w:lvl>
    <w:lvl w:ilvl="2" w:tplc="00D2EBD8">
      <w:numFmt w:val="decimal"/>
      <w:lvlText w:val=""/>
      <w:lvlJc w:val="left"/>
    </w:lvl>
    <w:lvl w:ilvl="3" w:tplc="676E3FC4">
      <w:numFmt w:val="decimal"/>
      <w:lvlText w:val=""/>
      <w:lvlJc w:val="left"/>
    </w:lvl>
    <w:lvl w:ilvl="4" w:tplc="A87C3F26">
      <w:numFmt w:val="decimal"/>
      <w:lvlText w:val=""/>
      <w:lvlJc w:val="left"/>
    </w:lvl>
    <w:lvl w:ilvl="5" w:tplc="E5627EE0">
      <w:numFmt w:val="decimal"/>
      <w:lvlText w:val=""/>
      <w:lvlJc w:val="left"/>
    </w:lvl>
    <w:lvl w:ilvl="6" w:tplc="D9E606CA">
      <w:numFmt w:val="decimal"/>
      <w:lvlText w:val=""/>
      <w:lvlJc w:val="left"/>
    </w:lvl>
    <w:lvl w:ilvl="7" w:tplc="DF82021A">
      <w:numFmt w:val="decimal"/>
      <w:lvlText w:val=""/>
      <w:lvlJc w:val="left"/>
    </w:lvl>
    <w:lvl w:ilvl="8" w:tplc="DDA6C10A">
      <w:numFmt w:val="decimal"/>
      <w:lvlText w:val=""/>
      <w:lvlJc w:val="left"/>
    </w:lvl>
  </w:abstractNum>
  <w:abstractNum w:abstractNumId="28" w15:restartNumberingAfterBreak="0">
    <w:nsid w:val="491C066E"/>
    <w:multiLevelType w:val="hybridMultilevel"/>
    <w:tmpl w:val="07DE2EB6"/>
    <w:lvl w:ilvl="0" w:tplc="8D7666F0">
      <w:start w:val="1"/>
      <w:numFmt w:val="lowerLetter"/>
      <w:lvlText w:val="%1)"/>
      <w:lvlJc w:val="left"/>
      <w:pPr>
        <w:ind w:left="720" w:hanging="360"/>
      </w:pPr>
      <w:rPr>
        <w:rFonts w:ascii="Verdana" w:hAnsi="Verdana" w:hint="default"/>
        <w:b w:val="0"/>
        <w:i w:val="0"/>
        <w:sz w:val="20"/>
        <w:szCs w:val="22"/>
        <w:u w:val="none"/>
      </w:rPr>
    </w:lvl>
    <w:lvl w:ilvl="1" w:tplc="D068B5EA">
      <w:start w:val="1"/>
      <mc:AlternateContent>
        <mc:Choice Requires="w14">
          <w:numFmt w:val="custom" w:format="а, й, к, ..."/>
        </mc:Choice>
        <mc:Fallback>
          <w:numFmt w:val="decimal"/>
        </mc:Fallback>
      </mc:AlternateContent>
      <w:lvlText w:val="%2)"/>
      <w:lvlJc w:val="left"/>
      <w:pPr>
        <w:ind w:left="1440" w:hanging="360"/>
      </w:pPr>
      <w:rPr>
        <w:rFonts w:eastAsia="Times New Roman" w:hint="default"/>
        <w:b w:val="0"/>
        <w:i w:val="0"/>
        <w:sz w:val="20"/>
        <w:szCs w:val="22"/>
        <w:u w:val="none"/>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4C801BB6"/>
    <w:multiLevelType w:val="hybridMultilevel"/>
    <w:tmpl w:val="8F32D7DE"/>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24C6155C">
      <w:start w:val="1"/>
      <w:numFmt w:val="bullet"/>
      <w:lvlText w:val=""/>
      <w:lvlJc w:val="left"/>
      <w:pPr>
        <w:ind w:left="1800" w:hanging="360"/>
      </w:pPr>
      <w:rPr>
        <w:rFonts w:ascii="Symbol" w:hAnsi="Symbol"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D22A24"/>
    <w:multiLevelType w:val="hybridMultilevel"/>
    <w:tmpl w:val="67A0E23E"/>
    <w:lvl w:ilvl="0" w:tplc="BE50AD9E">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1" w15:restartNumberingAfterBreak="0">
    <w:nsid w:val="500A42E9"/>
    <w:multiLevelType w:val="hybridMultilevel"/>
    <w:tmpl w:val="3BCC837E"/>
    <w:lvl w:ilvl="0" w:tplc="BE50AD9E">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6041FE"/>
    <w:multiLevelType w:val="hybridMultilevel"/>
    <w:tmpl w:val="F96417D2"/>
    <w:lvl w:ilvl="0" w:tplc="69B23806">
      <w:start w:val="1"/>
      <w:numFmt w:val="bullet"/>
      <w:lvlText w:val=""/>
      <w:lvlJc w:val="left"/>
      <w:pPr>
        <w:ind w:left="720" w:hanging="360"/>
      </w:pPr>
      <w:rPr>
        <w:rFonts w:ascii="Symbol" w:hAnsi="Symbol" w:hint="default"/>
        <w:color w:val="auto"/>
      </w:rPr>
    </w:lvl>
    <w:lvl w:ilvl="1" w:tplc="8DA6C39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B45DE7"/>
    <w:multiLevelType w:val="hybridMultilevel"/>
    <w:tmpl w:val="53C4DB58"/>
    <w:lvl w:ilvl="0" w:tplc="EE3C0108">
      <w:start w:val="1"/>
      <w:numFmt w:val="decimal"/>
      <w:pStyle w:val="ListNumber4"/>
      <w:lvlText w:val="(%1)"/>
      <w:lvlJc w:val="left"/>
      <w:pPr>
        <w:tabs>
          <w:tab w:val="num" w:pos="2149"/>
        </w:tabs>
        <w:ind w:left="2149" w:hanging="709"/>
      </w:pPr>
    </w:lvl>
    <w:lvl w:ilvl="1" w:tplc="D8749A26">
      <w:start w:val="1"/>
      <w:numFmt w:val="lowerLetter"/>
      <w:pStyle w:val="ListNumber4Level2"/>
      <w:lvlText w:val="(%2)"/>
      <w:lvlJc w:val="left"/>
      <w:pPr>
        <w:tabs>
          <w:tab w:val="num" w:pos="2857"/>
        </w:tabs>
        <w:ind w:left="2857" w:hanging="708"/>
      </w:pPr>
    </w:lvl>
    <w:lvl w:ilvl="2" w:tplc="21AE8B46">
      <w:start w:val="1"/>
      <w:numFmt w:val="bullet"/>
      <w:pStyle w:val="ListNumber4Level3"/>
      <w:lvlText w:val="–"/>
      <w:lvlJc w:val="left"/>
      <w:pPr>
        <w:tabs>
          <w:tab w:val="num" w:pos="3566"/>
        </w:tabs>
        <w:ind w:left="3566" w:hanging="709"/>
      </w:pPr>
      <w:rPr>
        <w:rFonts w:ascii="Times New Roman" w:hAnsi="Times New Roman" w:hint="default"/>
      </w:rPr>
    </w:lvl>
    <w:lvl w:ilvl="3" w:tplc="99840AC4">
      <w:start w:val="1"/>
      <w:numFmt w:val="bullet"/>
      <w:pStyle w:val="ListNumber4Level4"/>
      <w:lvlText w:val=""/>
      <w:lvlJc w:val="left"/>
      <w:pPr>
        <w:tabs>
          <w:tab w:val="num" w:pos="4275"/>
        </w:tabs>
        <w:ind w:left="4275" w:hanging="709"/>
      </w:pPr>
      <w:rPr>
        <w:rFonts w:ascii="Symbol" w:hAnsi="Symbol" w:hint="default"/>
      </w:rPr>
    </w:lvl>
    <w:lvl w:ilvl="4" w:tplc="654EBFD8">
      <w:start w:val="1"/>
      <w:numFmt w:val="lowerLetter"/>
      <w:lvlText w:val="(%5)"/>
      <w:lvlJc w:val="left"/>
      <w:pPr>
        <w:tabs>
          <w:tab w:val="num" w:pos="1800"/>
        </w:tabs>
        <w:ind w:left="1800" w:hanging="360"/>
      </w:pPr>
    </w:lvl>
    <w:lvl w:ilvl="5" w:tplc="6DF8574A">
      <w:start w:val="1"/>
      <w:numFmt w:val="lowerRoman"/>
      <w:lvlText w:val="(%6)"/>
      <w:lvlJc w:val="left"/>
      <w:pPr>
        <w:tabs>
          <w:tab w:val="num" w:pos="2160"/>
        </w:tabs>
        <w:ind w:left="2160" w:hanging="360"/>
      </w:pPr>
    </w:lvl>
    <w:lvl w:ilvl="6" w:tplc="4ABA14C0">
      <w:start w:val="1"/>
      <w:numFmt w:val="decimal"/>
      <w:lvlText w:val="%7."/>
      <w:lvlJc w:val="left"/>
      <w:pPr>
        <w:tabs>
          <w:tab w:val="num" w:pos="2520"/>
        </w:tabs>
        <w:ind w:left="2520" w:hanging="360"/>
      </w:pPr>
    </w:lvl>
    <w:lvl w:ilvl="7" w:tplc="47D2BEBC">
      <w:start w:val="1"/>
      <w:numFmt w:val="lowerLetter"/>
      <w:lvlText w:val="%8."/>
      <w:lvlJc w:val="left"/>
      <w:pPr>
        <w:tabs>
          <w:tab w:val="num" w:pos="2880"/>
        </w:tabs>
        <w:ind w:left="2880" w:hanging="360"/>
      </w:pPr>
    </w:lvl>
    <w:lvl w:ilvl="8" w:tplc="CB2E1996">
      <w:start w:val="1"/>
      <w:numFmt w:val="lowerRoman"/>
      <w:lvlText w:val="%9."/>
      <w:lvlJc w:val="left"/>
      <w:pPr>
        <w:tabs>
          <w:tab w:val="num" w:pos="3240"/>
        </w:tabs>
        <w:ind w:left="3240" w:hanging="360"/>
      </w:pPr>
    </w:lvl>
  </w:abstractNum>
  <w:abstractNum w:abstractNumId="34" w15:restartNumberingAfterBreak="0">
    <w:nsid w:val="52106FC3"/>
    <w:multiLevelType w:val="hybridMultilevel"/>
    <w:tmpl w:val="A5BA5E8C"/>
    <w:lvl w:ilvl="0" w:tplc="E72635F0">
      <w:start w:val="1"/>
      <w:numFmt w:val="bullet"/>
      <w:pStyle w:val="ListBullet1"/>
      <w:lvlText w:val=""/>
      <w:lvlJc w:val="left"/>
      <w:pPr>
        <w:tabs>
          <w:tab w:val="num" w:pos="1723"/>
        </w:tabs>
        <w:ind w:left="1723" w:hanging="283"/>
      </w:pPr>
      <w:rPr>
        <w:rFonts w:ascii="Symbol" w:hAnsi="Symbol"/>
      </w:rPr>
    </w:lvl>
    <w:lvl w:ilvl="1" w:tplc="A2A40ACA">
      <w:numFmt w:val="decimal"/>
      <w:lvlText w:val=""/>
      <w:lvlJc w:val="left"/>
    </w:lvl>
    <w:lvl w:ilvl="2" w:tplc="626E7278">
      <w:numFmt w:val="decimal"/>
      <w:lvlText w:val=""/>
      <w:lvlJc w:val="left"/>
    </w:lvl>
    <w:lvl w:ilvl="3" w:tplc="EF52CEAC">
      <w:numFmt w:val="decimal"/>
      <w:lvlText w:val=""/>
      <w:lvlJc w:val="left"/>
    </w:lvl>
    <w:lvl w:ilvl="4" w:tplc="5AB65512">
      <w:numFmt w:val="decimal"/>
      <w:lvlText w:val=""/>
      <w:lvlJc w:val="left"/>
    </w:lvl>
    <w:lvl w:ilvl="5" w:tplc="EFB80F84">
      <w:numFmt w:val="decimal"/>
      <w:lvlText w:val=""/>
      <w:lvlJc w:val="left"/>
    </w:lvl>
    <w:lvl w:ilvl="6" w:tplc="AB7EABD2">
      <w:numFmt w:val="decimal"/>
      <w:lvlText w:val=""/>
      <w:lvlJc w:val="left"/>
    </w:lvl>
    <w:lvl w:ilvl="7" w:tplc="434E9688">
      <w:numFmt w:val="decimal"/>
      <w:lvlText w:val=""/>
      <w:lvlJc w:val="left"/>
    </w:lvl>
    <w:lvl w:ilvl="8" w:tplc="5B6A80F4">
      <w:numFmt w:val="decimal"/>
      <w:lvlText w:val=""/>
      <w:lvlJc w:val="left"/>
    </w:lvl>
  </w:abstractNum>
  <w:abstractNum w:abstractNumId="35" w15:restartNumberingAfterBreak="0">
    <w:nsid w:val="526B09AB"/>
    <w:multiLevelType w:val="hybridMultilevel"/>
    <w:tmpl w:val="463012AC"/>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6" w15:restartNumberingAfterBreak="0">
    <w:nsid w:val="532C7B77"/>
    <w:multiLevelType w:val="hybridMultilevel"/>
    <w:tmpl w:val="632852C2"/>
    <w:lvl w:ilvl="0" w:tplc="BE50AD9E">
      <w:start w:val="1"/>
      <w:numFmt w:val="bullet"/>
      <w:lvlText w:val=""/>
      <w:lvlJc w:val="left"/>
      <w:pPr>
        <w:ind w:left="786"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5CE46C29"/>
    <w:multiLevelType w:val="hybridMultilevel"/>
    <w:tmpl w:val="1A929C5E"/>
    <w:lvl w:ilvl="0" w:tplc="C86EA79A">
      <w:start w:val="1"/>
      <w:numFmt w:val="bullet"/>
      <w:pStyle w:val="ListBullet2"/>
      <w:lvlText w:val=""/>
      <w:lvlJc w:val="left"/>
      <w:pPr>
        <w:tabs>
          <w:tab w:val="num" w:pos="1723"/>
        </w:tabs>
        <w:ind w:left="1723" w:hanging="283"/>
      </w:pPr>
      <w:rPr>
        <w:rFonts w:ascii="Symbol" w:hAnsi="Symbol"/>
      </w:rPr>
    </w:lvl>
    <w:lvl w:ilvl="1" w:tplc="3F225D00">
      <w:numFmt w:val="decimal"/>
      <w:lvlText w:val=""/>
      <w:lvlJc w:val="left"/>
    </w:lvl>
    <w:lvl w:ilvl="2" w:tplc="6080728C">
      <w:numFmt w:val="decimal"/>
      <w:lvlText w:val=""/>
      <w:lvlJc w:val="left"/>
    </w:lvl>
    <w:lvl w:ilvl="3" w:tplc="C8A63B92">
      <w:numFmt w:val="decimal"/>
      <w:lvlText w:val=""/>
      <w:lvlJc w:val="left"/>
    </w:lvl>
    <w:lvl w:ilvl="4" w:tplc="CD3870E0">
      <w:numFmt w:val="decimal"/>
      <w:lvlText w:val=""/>
      <w:lvlJc w:val="left"/>
    </w:lvl>
    <w:lvl w:ilvl="5" w:tplc="BCF45F38">
      <w:numFmt w:val="decimal"/>
      <w:lvlText w:val=""/>
      <w:lvlJc w:val="left"/>
    </w:lvl>
    <w:lvl w:ilvl="6" w:tplc="5FE2F52E">
      <w:numFmt w:val="decimal"/>
      <w:lvlText w:val=""/>
      <w:lvlJc w:val="left"/>
    </w:lvl>
    <w:lvl w:ilvl="7" w:tplc="993402E2">
      <w:numFmt w:val="decimal"/>
      <w:lvlText w:val=""/>
      <w:lvlJc w:val="left"/>
    </w:lvl>
    <w:lvl w:ilvl="8" w:tplc="030A0664">
      <w:numFmt w:val="decimal"/>
      <w:lvlText w:val=""/>
      <w:lvlJc w:val="left"/>
    </w:lvl>
  </w:abstractNum>
  <w:abstractNum w:abstractNumId="38" w15:restartNumberingAfterBreak="0">
    <w:nsid w:val="628C6C8B"/>
    <w:multiLevelType w:val="hybridMultilevel"/>
    <w:tmpl w:val="D9A29BEA"/>
    <w:lvl w:ilvl="0" w:tplc="0A1E9640">
      <w:start w:val="1"/>
      <w:numFmt w:val="bullet"/>
      <w:pStyle w:val="ListDash"/>
      <w:lvlText w:val="–"/>
      <w:lvlJc w:val="left"/>
      <w:pPr>
        <w:tabs>
          <w:tab w:val="num" w:pos="283"/>
        </w:tabs>
        <w:ind w:left="283" w:hanging="283"/>
      </w:pPr>
      <w:rPr>
        <w:rFonts w:ascii="Times New Roman" w:hAnsi="Times New Roman"/>
      </w:rPr>
    </w:lvl>
    <w:lvl w:ilvl="1" w:tplc="C202729E">
      <w:numFmt w:val="decimal"/>
      <w:lvlText w:val=""/>
      <w:lvlJc w:val="left"/>
    </w:lvl>
    <w:lvl w:ilvl="2" w:tplc="BA8642BA">
      <w:numFmt w:val="decimal"/>
      <w:lvlText w:val=""/>
      <w:lvlJc w:val="left"/>
    </w:lvl>
    <w:lvl w:ilvl="3" w:tplc="43D48606">
      <w:numFmt w:val="decimal"/>
      <w:lvlText w:val=""/>
      <w:lvlJc w:val="left"/>
    </w:lvl>
    <w:lvl w:ilvl="4" w:tplc="1CC893D6">
      <w:numFmt w:val="decimal"/>
      <w:lvlText w:val=""/>
      <w:lvlJc w:val="left"/>
    </w:lvl>
    <w:lvl w:ilvl="5" w:tplc="F7341166">
      <w:numFmt w:val="decimal"/>
      <w:lvlText w:val=""/>
      <w:lvlJc w:val="left"/>
    </w:lvl>
    <w:lvl w:ilvl="6" w:tplc="CAAE128C">
      <w:numFmt w:val="decimal"/>
      <w:lvlText w:val=""/>
      <w:lvlJc w:val="left"/>
    </w:lvl>
    <w:lvl w:ilvl="7" w:tplc="D408AFE0">
      <w:numFmt w:val="decimal"/>
      <w:lvlText w:val=""/>
      <w:lvlJc w:val="left"/>
    </w:lvl>
    <w:lvl w:ilvl="8" w:tplc="D842D462">
      <w:numFmt w:val="decimal"/>
      <w:lvlText w:val=""/>
      <w:lvlJc w:val="left"/>
    </w:lvl>
  </w:abstractNum>
  <w:abstractNum w:abstractNumId="39" w15:restartNumberingAfterBreak="0">
    <w:nsid w:val="630D466A"/>
    <w:multiLevelType w:val="hybridMultilevel"/>
    <w:tmpl w:val="938CC7DE"/>
    <w:lvl w:ilvl="0" w:tplc="0AD28318">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0" w15:restartNumberingAfterBreak="0">
    <w:nsid w:val="66CD13BD"/>
    <w:multiLevelType w:val="hybridMultilevel"/>
    <w:tmpl w:val="79B82EE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1" w15:restartNumberingAfterBreak="0">
    <w:nsid w:val="699543D1"/>
    <w:multiLevelType w:val="hybridMultilevel"/>
    <w:tmpl w:val="D5A60282"/>
    <w:lvl w:ilvl="0" w:tplc="B55E7CD0">
      <w:start w:val="1"/>
      <w:numFmt w:val="bullet"/>
      <w:pStyle w:val="ListDash1"/>
      <w:lvlText w:val="–"/>
      <w:lvlJc w:val="left"/>
      <w:pPr>
        <w:tabs>
          <w:tab w:val="num" w:pos="1723"/>
        </w:tabs>
        <w:ind w:left="1723" w:hanging="283"/>
      </w:pPr>
      <w:rPr>
        <w:rFonts w:ascii="Times New Roman" w:hAnsi="Times New Roman"/>
      </w:rPr>
    </w:lvl>
    <w:lvl w:ilvl="1" w:tplc="9976E3C8">
      <w:numFmt w:val="decimal"/>
      <w:lvlText w:val=""/>
      <w:lvlJc w:val="left"/>
    </w:lvl>
    <w:lvl w:ilvl="2" w:tplc="ECECE028">
      <w:numFmt w:val="decimal"/>
      <w:lvlText w:val=""/>
      <w:lvlJc w:val="left"/>
    </w:lvl>
    <w:lvl w:ilvl="3" w:tplc="13343134">
      <w:numFmt w:val="decimal"/>
      <w:lvlText w:val=""/>
      <w:lvlJc w:val="left"/>
    </w:lvl>
    <w:lvl w:ilvl="4" w:tplc="239C91A4">
      <w:numFmt w:val="decimal"/>
      <w:lvlText w:val=""/>
      <w:lvlJc w:val="left"/>
    </w:lvl>
    <w:lvl w:ilvl="5" w:tplc="C59210FE">
      <w:numFmt w:val="decimal"/>
      <w:lvlText w:val=""/>
      <w:lvlJc w:val="left"/>
    </w:lvl>
    <w:lvl w:ilvl="6" w:tplc="65447814">
      <w:numFmt w:val="decimal"/>
      <w:lvlText w:val=""/>
      <w:lvlJc w:val="left"/>
    </w:lvl>
    <w:lvl w:ilvl="7" w:tplc="17E4CECE">
      <w:numFmt w:val="decimal"/>
      <w:lvlText w:val=""/>
      <w:lvlJc w:val="left"/>
    </w:lvl>
    <w:lvl w:ilvl="8" w:tplc="4E324D6A">
      <w:numFmt w:val="decimal"/>
      <w:lvlText w:val=""/>
      <w:lvlJc w:val="left"/>
    </w:lvl>
  </w:abstractNum>
  <w:abstractNum w:abstractNumId="42" w15:restartNumberingAfterBreak="0">
    <w:nsid w:val="69CC7ACA"/>
    <w:multiLevelType w:val="hybridMultilevel"/>
    <w:tmpl w:val="C5749B60"/>
    <w:lvl w:ilvl="0" w:tplc="BE50AD9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A7E3CD3"/>
    <w:multiLevelType w:val="hybridMultilevel"/>
    <w:tmpl w:val="598221D0"/>
    <w:lvl w:ilvl="0" w:tplc="08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5A5E87"/>
    <w:multiLevelType w:val="hybridMultilevel"/>
    <w:tmpl w:val="3A58C910"/>
    <w:lvl w:ilvl="0" w:tplc="3CDE6F60">
      <w:start w:val="1"/>
      <w:numFmt w:val="decimal"/>
      <w:pStyle w:val="ListNumber3"/>
      <w:lvlText w:val="(%1)"/>
      <w:lvlJc w:val="left"/>
      <w:pPr>
        <w:tabs>
          <w:tab w:val="num" w:pos="2149"/>
        </w:tabs>
        <w:ind w:left="2149" w:hanging="709"/>
      </w:pPr>
    </w:lvl>
    <w:lvl w:ilvl="1" w:tplc="4724B3C4">
      <w:start w:val="1"/>
      <w:numFmt w:val="lowerLetter"/>
      <w:pStyle w:val="ListNumber3Level2"/>
      <w:lvlText w:val="(%2)"/>
      <w:lvlJc w:val="left"/>
      <w:pPr>
        <w:tabs>
          <w:tab w:val="num" w:pos="2857"/>
        </w:tabs>
        <w:ind w:left="2857" w:hanging="708"/>
      </w:pPr>
    </w:lvl>
    <w:lvl w:ilvl="2" w:tplc="E75672D8">
      <w:start w:val="1"/>
      <w:numFmt w:val="bullet"/>
      <w:pStyle w:val="ListNumber3Level3"/>
      <w:lvlText w:val="–"/>
      <w:lvlJc w:val="left"/>
      <w:pPr>
        <w:tabs>
          <w:tab w:val="num" w:pos="3566"/>
        </w:tabs>
        <w:ind w:left="3566" w:hanging="709"/>
      </w:pPr>
      <w:rPr>
        <w:rFonts w:ascii="Times New Roman" w:hAnsi="Times New Roman" w:hint="default"/>
      </w:rPr>
    </w:lvl>
    <w:lvl w:ilvl="3" w:tplc="582C2598">
      <w:start w:val="1"/>
      <w:numFmt w:val="bullet"/>
      <w:pStyle w:val="ListNumber3Level4"/>
      <w:lvlText w:val=""/>
      <w:lvlJc w:val="left"/>
      <w:pPr>
        <w:tabs>
          <w:tab w:val="num" w:pos="4275"/>
        </w:tabs>
        <w:ind w:left="4275" w:hanging="709"/>
      </w:pPr>
      <w:rPr>
        <w:rFonts w:ascii="Symbol" w:hAnsi="Symbol" w:hint="default"/>
      </w:rPr>
    </w:lvl>
    <w:lvl w:ilvl="4" w:tplc="BCE06DD8">
      <w:start w:val="1"/>
      <w:numFmt w:val="lowerLetter"/>
      <w:lvlText w:val="(%5)"/>
      <w:lvlJc w:val="left"/>
      <w:pPr>
        <w:tabs>
          <w:tab w:val="num" w:pos="1800"/>
        </w:tabs>
        <w:ind w:left="1800" w:hanging="360"/>
      </w:pPr>
    </w:lvl>
    <w:lvl w:ilvl="5" w:tplc="4FDE5DF6">
      <w:start w:val="1"/>
      <w:numFmt w:val="lowerRoman"/>
      <w:lvlText w:val="(%6)"/>
      <w:lvlJc w:val="left"/>
      <w:pPr>
        <w:tabs>
          <w:tab w:val="num" w:pos="2160"/>
        </w:tabs>
        <w:ind w:left="2160" w:hanging="360"/>
      </w:pPr>
    </w:lvl>
    <w:lvl w:ilvl="6" w:tplc="22301246">
      <w:start w:val="1"/>
      <w:numFmt w:val="decimal"/>
      <w:lvlText w:val="%7."/>
      <w:lvlJc w:val="left"/>
      <w:pPr>
        <w:tabs>
          <w:tab w:val="num" w:pos="2520"/>
        </w:tabs>
        <w:ind w:left="2520" w:hanging="360"/>
      </w:pPr>
    </w:lvl>
    <w:lvl w:ilvl="7" w:tplc="51D24918">
      <w:start w:val="1"/>
      <w:numFmt w:val="lowerLetter"/>
      <w:lvlText w:val="%8."/>
      <w:lvlJc w:val="left"/>
      <w:pPr>
        <w:tabs>
          <w:tab w:val="num" w:pos="2880"/>
        </w:tabs>
        <w:ind w:left="2880" w:hanging="360"/>
      </w:pPr>
    </w:lvl>
    <w:lvl w:ilvl="8" w:tplc="ADF2AA4C">
      <w:start w:val="1"/>
      <w:numFmt w:val="lowerRoman"/>
      <w:lvlText w:val="%9."/>
      <w:lvlJc w:val="left"/>
      <w:pPr>
        <w:tabs>
          <w:tab w:val="num" w:pos="3240"/>
        </w:tabs>
        <w:ind w:left="3240" w:hanging="360"/>
      </w:pPr>
    </w:lvl>
  </w:abstractNum>
  <w:abstractNum w:abstractNumId="45" w15:restartNumberingAfterBreak="0">
    <w:nsid w:val="6F1A03D0"/>
    <w:multiLevelType w:val="hybridMultilevel"/>
    <w:tmpl w:val="3AB00464"/>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22A0FA3"/>
    <w:multiLevelType w:val="hybridMultilevel"/>
    <w:tmpl w:val="1D8E4896"/>
    <w:lvl w:ilvl="0" w:tplc="8DBE542A">
      <w:start w:val="1"/>
      <w:numFmt w:val="bullet"/>
      <w:lvlText w:val="o"/>
      <w:lvlJc w:val="left"/>
      <w:rPr>
        <w:rFonts w:ascii="Courier New" w:hAnsi="Courier New" w:cs="Courier New" w:hint="default"/>
        <w:b w:val="0"/>
        <w:bCs w:val="0"/>
        <w:i w:val="0"/>
        <w:iCs w:val="0"/>
        <w:smallCaps w:val="0"/>
        <w:strike w:val="0"/>
        <w:color w:val="595959"/>
        <w:spacing w:val="0"/>
        <w:w w:val="100"/>
        <w:position w:val="0"/>
        <w:sz w:val="22"/>
        <w:szCs w:val="22"/>
        <w:u w:val="none"/>
        <w:lang w:val="en-US" w:eastAsia="en-US" w:bidi="en-US"/>
      </w:rPr>
    </w:lvl>
    <w:lvl w:ilvl="1" w:tplc="60227D96">
      <w:numFmt w:val="decimal"/>
      <w:lvlText w:val=""/>
      <w:lvlJc w:val="left"/>
    </w:lvl>
    <w:lvl w:ilvl="2" w:tplc="828C9C76">
      <w:numFmt w:val="decimal"/>
      <w:lvlText w:val=""/>
      <w:lvlJc w:val="left"/>
    </w:lvl>
    <w:lvl w:ilvl="3" w:tplc="E598A570">
      <w:numFmt w:val="decimal"/>
      <w:lvlText w:val=""/>
      <w:lvlJc w:val="left"/>
    </w:lvl>
    <w:lvl w:ilvl="4" w:tplc="5596BD84">
      <w:numFmt w:val="decimal"/>
      <w:lvlText w:val=""/>
      <w:lvlJc w:val="left"/>
    </w:lvl>
    <w:lvl w:ilvl="5" w:tplc="EC8AF6D8">
      <w:numFmt w:val="decimal"/>
      <w:lvlText w:val=""/>
      <w:lvlJc w:val="left"/>
    </w:lvl>
    <w:lvl w:ilvl="6" w:tplc="5EE62D2C">
      <w:numFmt w:val="decimal"/>
      <w:lvlText w:val=""/>
      <w:lvlJc w:val="left"/>
    </w:lvl>
    <w:lvl w:ilvl="7" w:tplc="497C6DA8">
      <w:numFmt w:val="decimal"/>
      <w:lvlText w:val=""/>
      <w:lvlJc w:val="left"/>
    </w:lvl>
    <w:lvl w:ilvl="8" w:tplc="4A200BEE">
      <w:numFmt w:val="decimal"/>
      <w:lvlText w:val=""/>
      <w:lvlJc w:val="left"/>
    </w:lvl>
  </w:abstractNum>
  <w:abstractNum w:abstractNumId="47"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57E2C4B"/>
    <w:multiLevelType w:val="hybridMultilevel"/>
    <w:tmpl w:val="0E9023D8"/>
    <w:lvl w:ilvl="0" w:tplc="24C6155C">
      <w:start w:val="1"/>
      <w:numFmt w:val="bullet"/>
      <w:lvlText w:val=""/>
      <w:lvlJc w:val="left"/>
      <w:pPr>
        <w:ind w:left="720" w:hanging="360"/>
      </w:pPr>
      <w:rPr>
        <w:rFonts w:ascii="Symbol" w:hAnsi="Symbol" w:hint="default"/>
      </w:rPr>
    </w:lvl>
    <w:lvl w:ilvl="1" w:tplc="24C6155C">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63A5E4B"/>
    <w:multiLevelType w:val="hybridMultilevel"/>
    <w:tmpl w:val="9BF8F262"/>
    <w:lvl w:ilvl="0" w:tplc="08B6A2BE">
      <w:start w:val="1"/>
      <w:numFmt w:val="decimal"/>
      <w:pStyle w:val="ListNumber2"/>
      <w:lvlText w:val="(%1)"/>
      <w:lvlJc w:val="left"/>
      <w:pPr>
        <w:tabs>
          <w:tab w:val="num" w:pos="2149"/>
        </w:tabs>
        <w:ind w:left="2149" w:hanging="709"/>
      </w:pPr>
    </w:lvl>
    <w:lvl w:ilvl="1" w:tplc="02E20676">
      <w:start w:val="1"/>
      <w:numFmt w:val="lowerLetter"/>
      <w:pStyle w:val="ListNumber2Level2"/>
      <w:lvlText w:val="(%2)"/>
      <w:lvlJc w:val="left"/>
      <w:pPr>
        <w:tabs>
          <w:tab w:val="num" w:pos="2857"/>
        </w:tabs>
        <w:ind w:left="2857" w:hanging="708"/>
      </w:pPr>
    </w:lvl>
    <w:lvl w:ilvl="2" w:tplc="2CB0D676">
      <w:start w:val="1"/>
      <w:numFmt w:val="bullet"/>
      <w:pStyle w:val="ListNumber2Level3"/>
      <w:lvlText w:val="–"/>
      <w:lvlJc w:val="left"/>
      <w:pPr>
        <w:tabs>
          <w:tab w:val="num" w:pos="3566"/>
        </w:tabs>
        <w:ind w:left="3566" w:hanging="709"/>
      </w:pPr>
      <w:rPr>
        <w:rFonts w:ascii="Times New Roman" w:hAnsi="Times New Roman" w:hint="default"/>
      </w:rPr>
    </w:lvl>
    <w:lvl w:ilvl="3" w:tplc="1758E3A2">
      <w:start w:val="1"/>
      <w:numFmt w:val="bullet"/>
      <w:pStyle w:val="ListNumber2Level4"/>
      <w:lvlText w:val=""/>
      <w:lvlJc w:val="left"/>
      <w:pPr>
        <w:tabs>
          <w:tab w:val="num" w:pos="4275"/>
        </w:tabs>
        <w:ind w:left="4275" w:hanging="709"/>
      </w:pPr>
      <w:rPr>
        <w:rFonts w:ascii="Symbol" w:hAnsi="Symbol" w:hint="default"/>
      </w:rPr>
    </w:lvl>
    <w:lvl w:ilvl="4" w:tplc="3E86EE16">
      <w:start w:val="1"/>
      <w:numFmt w:val="lowerLetter"/>
      <w:lvlText w:val="(%5)"/>
      <w:lvlJc w:val="left"/>
      <w:pPr>
        <w:tabs>
          <w:tab w:val="num" w:pos="1800"/>
        </w:tabs>
        <w:ind w:left="1800" w:hanging="360"/>
      </w:pPr>
    </w:lvl>
    <w:lvl w:ilvl="5" w:tplc="54666906">
      <w:start w:val="1"/>
      <w:numFmt w:val="lowerRoman"/>
      <w:lvlText w:val="(%6)"/>
      <w:lvlJc w:val="left"/>
      <w:pPr>
        <w:tabs>
          <w:tab w:val="num" w:pos="2160"/>
        </w:tabs>
        <w:ind w:left="2160" w:hanging="360"/>
      </w:pPr>
    </w:lvl>
    <w:lvl w:ilvl="6" w:tplc="A5F098B0">
      <w:start w:val="1"/>
      <w:numFmt w:val="decimal"/>
      <w:lvlText w:val="%7."/>
      <w:lvlJc w:val="left"/>
      <w:pPr>
        <w:tabs>
          <w:tab w:val="num" w:pos="2520"/>
        </w:tabs>
        <w:ind w:left="2520" w:hanging="360"/>
      </w:pPr>
    </w:lvl>
    <w:lvl w:ilvl="7" w:tplc="2EC2265A">
      <w:start w:val="1"/>
      <w:numFmt w:val="lowerLetter"/>
      <w:lvlText w:val="%8."/>
      <w:lvlJc w:val="left"/>
      <w:pPr>
        <w:tabs>
          <w:tab w:val="num" w:pos="2880"/>
        </w:tabs>
        <w:ind w:left="2880" w:hanging="360"/>
      </w:pPr>
    </w:lvl>
    <w:lvl w:ilvl="8" w:tplc="BBF2C824">
      <w:start w:val="1"/>
      <w:numFmt w:val="lowerRoman"/>
      <w:lvlText w:val="%9."/>
      <w:lvlJc w:val="left"/>
      <w:pPr>
        <w:tabs>
          <w:tab w:val="num" w:pos="3240"/>
        </w:tabs>
        <w:ind w:left="3240" w:hanging="360"/>
      </w:pPr>
    </w:lvl>
  </w:abstractNum>
  <w:abstractNum w:abstractNumId="50" w15:restartNumberingAfterBreak="0">
    <w:nsid w:val="792B473D"/>
    <w:multiLevelType w:val="hybridMultilevel"/>
    <w:tmpl w:val="15E08760"/>
    <w:lvl w:ilvl="0" w:tplc="FFFFFFFF">
      <w:start w:val="1"/>
      <w:numFmt w:val="bullet"/>
      <w:lvlText w:val=""/>
      <w:lvlJc w:val="left"/>
      <w:pPr>
        <w:ind w:left="927" w:hanging="360"/>
      </w:pPr>
      <w:rPr>
        <w:rFonts w:ascii="Symbol" w:hAnsi="Symbol" w:hint="default"/>
      </w:rPr>
    </w:lvl>
    <w:lvl w:ilvl="1" w:tplc="BE50AD9E">
      <w:start w:val="1"/>
      <w:numFmt w:val="bullet"/>
      <w:lvlText w:val=""/>
      <w:lvlJc w:val="left"/>
      <w:pPr>
        <w:ind w:left="1647" w:hanging="360"/>
      </w:pPr>
      <w:rPr>
        <w:rFonts w:ascii="Symbol" w:hAnsi="Symbo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1" w15:restartNumberingAfterBreak="0">
    <w:nsid w:val="7A8B752A"/>
    <w:multiLevelType w:val="hybridMultilevel"/>
    <w:tmpl w:val="5E1E11F0"/>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2" w15:restartNumberingAfterBreak="0">
    <w:nsid w:val="7B6658A8"/>
    <w:multiLevelType w:val="hybridMultilevel"/>
    <w:tmpl w:val="B910093C"/>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num w:numId="1">
    <w:abstractNumId w:val="1"/>
  </w:num>
  <w:num w:numId="2">
    <w:abstractNumId w:val="0"/>
  </w:num>
  <w:num w:numId="3">
    <w:abstractNumId w:val="24"/>
  </w:num>
  <w:num w:numId="4">
    <w:abstractNumId w:val="13"/>
  </w:num>
  <w:num w:numId="5">
    <w:abstractNumId w:val="34"/>
  </w:num>
  <w:num w:numId="6">
    <w:abstractNumId w:val="37"/>
  </w:num>
  <w:num w:numId="7">
    <w:abstractNumId w:val="20"/>
  </w:num>
  <w:num w:numId="8">
    <w:abstractNumId w:val="12"/>
  </w:num>
  <w:num w:numId="9">
    <w:abstractNumId w:val="38"/>
  </w:num>
  <w:num w:numId="10">
    <w:abstractNumId w:val="41"/>
  </w:num>
  <w:num w:numId="11">
    <w:abstractNumId w:val="27"/>
  </w:num>
  <w:num w:numId="12">
    <w:abstractNumId w:val="5"/>
  </w:num>
  <w:num w:numId="13">
    <w:abstractNumId w:val="7"/>
  </w:num>
  <w:num w:numId="14">
    <w:abstractNumId w:val="19"/>
  </w:num>
  <w:num w:numId="15">
    <w:abstractNumId w:val="14"/>
  </w:num>
  <w:num w:numId="16">
    <w:abstractNumId w:val="49"/>
  </w:num>
  <w:num w:numId="17">
    <w:abstractNumId w:val="44"/>
  </w:num>
  <w:num w:numId="18">
    <w:abstractNumId w:val="33"/>
  </w:num>
  <w:num w:numId="19">
    <w:abstractNumId w:val="45"/>
  </w:num>
  <w:num w:numId="20">
    <w:abstractNumId w:val="29"/>
  </w:num>
  <w:num w:numId="21">
    <w:abstractNumId w:val="15"/>
  </w:num>
  <w:num w:numId="22">
    <w:abstractNumId w:val="50"/>
  </w:num>
  <w:num w:numId="23">
    <w:abstractNumId w:val="26"/>
  </w:num>
  <w:num w:numId="24">
    <w:abstractNumId w:val="16"/>
  </w:num>
  <w:num w:numId="25">
    <w:abstractNumId w:val="10"/>
  </w:num>
  <w:num w:numId="26">
    <w:abstractNumId w:val="22"/>
  </w:num>
  <w:num w:numId="27">
    <w:abstractNumId w:val="46"/>
  </w:num>
  <w:num w:numId="28">
    <w:abstractNumId w:val="47"/>
  </w:num>
  <w:num w:numId="29">
    <w:abstractNumId w:val="31"/>
  </w:num>
  <w:num w:numId="30">
    <w:abstractNumId w:val="43"/>
  </w:num>
  <w:num w:numId="31">
    <w:abstractNumId w:val="30"/>
  </w:num>
  <w:num w:numId="32">
    <w:abstractNumId w:val="4"/>
  </w:num>
  <w:num w:numId="33">
    <w:abstractNumId w:val="23"/>
  </w:num>
  <w:num w:numId="34">
    <w:abstractNumId w:val="35"/>
  </w:num>
  <w:num w:numId="35">
    <w:abstractNumId w:val="21"/>
  </w:num>
  <w:num w:numId="36">
    <w:abstractNumId w:val="51"/>
  </w:num>
  <w:num w:numId="37">
    <w:abstractNumId w:val="52"/>
  </w:num>
  <w:num w:numId="38">
    <w:abstractNumId w:val="36"/>
  </w:num>
  <w:num w:numId="39">
    <w:abstractNumId w:val="8"/>
  </w:num>
  <w:num w:numId="40">
    <w:abstractNumId w:val="32"/>
  </w:num>
  <w:num w:numId="41">
    <w:abstractNumId w:val="18"/>
  </w:num>
  <w:num w:numId="42">
    <w:abstractNumId w:val="17"/>
  </w:num>
  <w:num w:numId="43">
    <w:abstractNumId w:val="9"/>
  </w:num>
  <w:num w:numId="44">
    <w:abstractNumId w:val="42"/>
  </w:num>
  <w:num w:numId="45">
    <w:abstractNumId w:val="48"/>
  </w:num>
  <w:num w:numId="46">
    <w:abstractNumId w:val="3"/>
  </w:num>
  <w:num w:numId="47">
    <w:abstractNumId w:val="25"/>
  </w:num>
  <w:num w:numId="48">
    <w:abstractNumId w:val="40"/>
  </w:num>
  <w:num w:numId="49">
    <w:abstractNumId w:val="11"/>
  </w:num>
  <w:num w:numId="50">
    <w:abstractNumId w:val="6"/>
  </w:num>
  <w:num w:numId="51">
    <w:abstractNumId w:val="17"/>
  </w:num>
  <w:num w:numId="52">
    <w:abstractNumId w:val="51"/>
  </w:num>
  <w:num w:numId="53">
    <w:abstractNumId w:val="52"/>
  </w:num>
  <w:num w:numId="54">
    <w:abstractNumId w:val="39"/>
  </w:num>
  <w:num w:numId="55">
    <w:abstractNumId w:val="2"/>
  </w:num>
  <w:num w:numId="56">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BE" w:vendorID="64" w:dllVersion="4096" w:nlCheck="1" w:checkStyle="0"/>
  <w:attachedTemplate r:id="rId1"/>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SPE"/>
  </w:docVars>
  <w:rsids>
    <w:rsidRoot w:val="002D3B73"/>
    <w:rsid w:val="0000051B"/>
    <w:rsid w:val="00000525"/>
    <w:rsid w:val="00000A48"/>
    <w:rsid w:val="00000A5A"/>
    <w:rsid w:val="0000139E"/>
    <w:rsid w:val="00001DD9"/>
    <w:rsid w:val="00001F8C"/>
    <w:rsid w:val="00003286"/>
    <w:rsid w:val="000035EC"/>
    <w:rsid w:val="000037EF"/>
    <w:rsid w:val="00003FA6"/>
    <w:rsid w:val="000048FF"/>
    <w:rsid w:val="00004B82"/>
    <w:rsid w:val="00005C2E"/>
    <w:rsid w:val="000106C7"/>
    <w:rsid w:val="00010FB3"/>
    <w:rsid w:val="000110C1"/>
    <w:rsid w:val="0001201B"/>
    <w:rsid w:val="00012DE2"/>
    <w:rsid w:val="00012E3D"/>
    <w:rsid w:val="00012F11"/>
    <w:rsid w:val="0001352B"/>
    <w:rsid w:val="000141AD"/>
    <w:rsid w:val="0001483A"/>
    <w:rsid w:val="000159B8"/>
    <w:rsid w:val="0001642E"/>
    <w:rsid w:val="00017CFE"/>
    <w:rsid w:val="000202D7"/>
    <w:rsid w:val="000207FE"/>
    <w:rsid w:val="0002123A"/>
    <w:rsid w:val="0002138E"/>
    <w:rsid w:val="00022D50"/>
    <w:rsid w:val="00023D49"/>
    <w:rsid w:val="0002436C"/>
    <w:rsid w:val="000259B5"/>
    <w:rsid w:val="00027143"/>
    <w:rsid w:val="0003074D"/>
    <w:rsid w:val="00032658"/>
    <w:rsid w:val="000327FC"/>
    <w:rsid w:val="00032BE9"/>
    <w:rsid w:val="00033DEA"/>
    <w:rsid w:val="000347CD"/>
    <w:rsid w:val="00034DB1"/>
    <w:rsid w:val="00035C88"/>
    <w:rsid w:val="00037DE7"/>
    <w:rsid w:val="000403DA"/>
    <w:rsid w:val="000406B2"/>
    <w:rsid w:val="0004070D"/>
    <w:rsid w:val="000409E8"/>
    <w:rsid w:val="00040B22"/>
    <w:rsid w:val="00040C05"/>
    <w:rsid w:val="00040EE2"/>
    <w:rsid w:val="00042813"/>
    <w:rsid w:val="00042873"/>
    <w:rsid w:val="00042C91"/>
    <w:rsid w:val="000430E6"/>
    <w:rsid w:val="00043815"/>
    <w:rsid w:val="000441AC"/>
    <w:rsid w:val="00044AB8"/>
    <w:rsid w:val="00044C55"/>
    <w:rsid w:val="00045CDD"/>
    <w:rsid w:val="0004651F"/>
    <w:rsid w:val="00047391"/>
    <w:rsid w:val="000476F5"/>
    <w:rsid w:val="00050892"/>
    <w:rsid w:val="000519CE"/>
    <w:rsid w:val="000533A2"/>
    <w:rsid w:val="00053E40"/>
    <w:rsid w:val="000540F7"/>
    <w:rsid w:val="00054936"/>
    <w:rsid w:val="00055750"/>
    <w:rsid w:val="00055DFD"/>
    <w:rsid w:val="00055DFF"/>
    <w:rsid w:val="000564AA"/>
    <w:rsid w:val="00056563"/>
    <w:rsid w:val="00056731"/>
    <w:rsid w:val="000574C6"/>
    <w:rsid w:val="000579AF"/>
    <w:rsid w:val="00057FF3"/>
    <w:rsid w:val="000603B7"/>
    <w:rsid w:val="0006041C"/>
    <w:rsid w:val="00062A81"/>
    <w:rsid w:val="00063141"/>
    <w:rsid w:val="000631BD"/>
    <w:rsid w:val="0006410B"/>
    <w:rsid w:val="0006529A"/>
    <w:rsid w:val="0006612A"/>
    <w:rsid w:val="00066732"/>
    <w:rsid w:val="000669DF"/>
    <w:rsid w:val="00066C05"/>
    <w:rsid w:val="00067BF2"/>
    <w:rsid w:val="00067F09"/>
    <w:rsid w:val="000705E3"/>
    <w:rsid w:val="00070E82"/>
    <w:rsid w:val="00071CBE"/>
    <w:rsid w:val="000720E9"/>
    <w:rsid w:val="00072B1A"/>
    <w:rsid w:val="00072FAA"/>
    <w:rsid w:val="0007449D"/>
    <w:rsid w:val="000748C0"/>
    <w:rsid w:val="00076EE7"/>
    <w:rsid w:val="000775A9"/>
    <w:rsid w:val="00077DA3"/>
    <w:rsid w:val="0008000A"/>
    <w:rsid w:val="00080676"/>
    <w:rsid w:val="00080CD4"/>
    <w:rsid w:val="00081050"/>
    <w:rsid w:val="00083038"/>
    <w:rsid w:val="000844D0"/>
    <w:rsid w:val="00084A8B"/>
    <w:rsid w:val="00084F8A"/>
    <w:rsid w:val="00085A43"/>
    <w:rsid w:val="00085C68"/>
    <w:rsid w:val="00085D55"/>
    <w:rsid w:val="00086B61"/>
    <w:rsid w:val="000874E2"/>
    <w:rsid w:val="000877BA"/>
    <w:rsid w:val="000900C2"/>
    <w:rsid w:val="00090A5C"/>
    <w:rsid w:val="00090C7F"/>
    <w:rsid w:val="00091DCA"/>
    <w:rsid w:val="00092B41"/>
    <w:rsid w:val="0009406D"/>
    <w:rsid w:val="000940AB"/>
    <w:rsid w:val="00095DCB"/>
    <w:rsid w:val="000961CB"/>
    <w:rsid w:val="00096F77"/>
    <w:rsid w:val="0009731E"/>
    <w:rsid w:val="000A2D67"/>
    <w:rsid w:val="000A44D2"/>
    <w:rsid w:val="000A52A2"/>
    <w:rsid w:val="000A7529"/>
    <w:rsid w:val="000B0E7F"/>
    <w:rsid w:val="000B1110"/>
    <w:rsid w:val="000B1BA5"/>
    <w:rsid w:val="000B3314"/>
    <w:rsid w:val="000B3566"/>
    <w:rsid w:val="000B3B01"/>
    <w:rsid w:val="000B4A09"/>
    <w:rsid w:val="000B4B19"/>
    <w:rsid w:val="000B5D31"/>
    <w:rsid w:val="000B616B"/>
    <w:rsid w:val="000B6CED"/>
    <w:rsid w:val="000B7AAC"/>
    <w:rsid w:val="000C0763"/>
    <w:rsid w:val="000C07E1"/>
    <w:rsid w:val="000C16B4"/>
    <w:rsid w:val="000C1E59"/>
    <w:rsid w:val="000C25DF"/>
    <w:rsid w:val="000C270E"/>
    <w:rsid w:val="000C3756"/>
    <w:rsid w:val="000C3922"/>
    <w:rsid w:val="000C4CCF"/>
    <w:rsid w:val="000C4EB7"/>
    <w:rsid w:val="000C6DE8"/>
    <w:rsid w:val="000C7A98"/>
    <w:rsid w:val="000C7B7C"/>
    <w:rsid w:val="000D1C8D"/>
    <w:rsid w:val="000D3C05"/>
    <w:rsid w:val="000D4912"/>
    <w:rsid w:val="000D50F6"/>
    <w:rsid w:val="000D51E7"/>
    <w:rsid w:val="000D56C6"/>
    <w:rsid w:val="000D5E35"/>
    <w:rsid w:val="000D6EA6"/>
    <w:rsid w:val="000D76FB"/>
    <w:rsid w:val="000D7BF7"/>
    <w:rsid w:val="000D7F89"/>
    <w:rsid w:val="000E019B"/>
    <w:rsid w:val="000E1047"/>
    <w:rsid w:val="000E1ECB"/>
    <w:rsid w:val="000E2A38"/>
    <w:rsid w:val="000E2BBE"/>
    <w:rsid w:val="000E44DA"/>
    <w:rsid w:val="000E45DE"/>
    <w:rsid w:val="000E5797"/>
    <w:rsid w:val="000E7913"/>
    <w:rsid w:val="000F0038"/>
    <w:rsid w:val="000F05DF"/>
    <w:rsid w:val="000F076B"/>
    <w:rsid w:val="000F12E4"/>
    <w:rsid w:val="000F1647"/>
    <w:rsid w:val="000F2BA5"/>
    <w:rsid w:val="000F2CDF"/>
    <w:rsid w:val="000F42B6"/>
    <w:rsid w:val="000F4465"/>
    <w:rsid w:val="000F4F5F"/>
    <w:rsid w:val="000F5190"/>
    <w:rsid w:val="000F7C97"/>
    <w:rsid w:val="00100A73"/>
    <w:rsid w:val="00100E82"/>
    <w:rsid w:val="0010315E"/>
    <w:rsid w:val="00103386"/>
    <w:rsid w:val="00104A19"/>
    <w:rsid w:val="00105745"/>
    <w:rsid w:val="00106AA7"/>
    <w:rsid w:val="00110267"/>
    <w:rsid w:val="00110F16"/>
    <w:rsid w:val="00110FFB"/>
    <w:rsid w:val="00112304"/>
    <w:rsid w:val="001126AE"/>
    <w:rsid w:val="00113044"/>
    <w:rsid w:val="00113B96"/>
    <w:rsid w:val="00114C13"/>
    <w:rsid w:val="001154D2"/>
    <w:rsid w:val="001160B5"/>
    <w:rsid w:val="00116930"/>
    <w:rsid w:val="00117796"/>
    <w:rsid w:val="00120788"/>
    <w:rsid w:val="00120B0A"/>
    <w:rsid w:val="001213F5"/>
    <w:rsid w:val="00122451"/>
    <w:rsid w:val="00122581"/>
    <w:rsid w:val="00124050"/>
    <w:rsid w:val="00124570"/>
    <w:rsid w:val="00124700"/>
    <w:rsid w:val="00125355"/>
    <w:rsid w:val="00126429"/>
    <w:rsid w:val="00126457"/>
    <w:rsid w:val="0013083E"/>
    <w:rsid w:val="001308C1"/>
    <w:rsid w:val="00130A12"/>
    <w:rsid w:val="0013108F"/>
    <w:rsid w:val="00131E3D"/>
    <w:rsid w:val="0013220F"/>
    <w:rsid w:val="00132D48"/>
    <w:rsid w:val="0013453E"/>
    <w:rsid w:val="0013535F"/>
    <w:rsid w:val="001353AE"/>
    <w:rsid w:val="00135608"/>
    <w:rsid w:val="00137215"/>
    <w:rsid w:val="0013737B"/>
    <w:rsid w:val="001411B2"/>
    <w:rsid w:val="001414A1"/>
    <w:rsid w:val="00141525"/>
    <w:rsid w:val="001419A7"/>
    <w:rsid w:val="001423B4"/>
    <w:rsid w:val="00142C5E"/>
    <w:rsid w:val="0014507F"/>
    <w:rsid w:val="001459B6"/>
    <w:rsid w:val="00146F2C"/>
    <w:rsid w:val="001472F2"/>
    <w:rsid w:val="001474DC"/>
    <w:rsid w:val="0014766E"/>
    <w:rsid w:val="00150E42"/>
    <w:rsid w:val="001517B5"/>
    <w:rsid w:val="00153478"/>
    <w:rsid w:val="0015357F"/>
    <w:rsid w:val="00153739"/>
    <w:rsid w:val="00153A24"/>
    <w:rsid w:val="00153B98"/>
    <w:rsid w:val="0015466F"/>
    <w:rsid w:val="0015637F"/>
    <w:rsid w:val="00157676"/>
    <w:rsid w:val="001576C9"/>
    <w:rsid w:val="00160B9C"/>
    <w:rsid w:val="00161D60"/>
    <w:rsid w:val="0016264E"/>
    <w:rsid w:val="00162E65"/>
    <w:rsid w:val="001635D2"/>
    <w:rsid w:val="00163978"/>
    <w:rsid w:val="00163D11"/>
    <w:rsid w:val="0016419A"/>
    <w:rsid w:val="00164967"/>
    <w:rsid w:val="00165594"/>
    <w:rsid w:val="0016636F"/>
    <w:rsid w:val="0016763E"/>
    <w:rsid w:val="001676F2"/>
    <w:rsid w:val="001700CE"/>
    <w:rsid w:val="001726C0"/>
    <w:rsid w:val="00172C9C"/>
    <w:rsid w:val="00172ED6"/>
    <w:rsid w:val="001748F1"/>
    <w:rsid w:val="00175DFA"/>
    <w:rsid w:val="00176C03"/>
    <w:rsid w:val="001779E7"/>
    <w:rsid w:val="0018247A"/>
    <w:rsid w:val="001829E2"/>
    <w:rsid w:val="00182DAD"/>
    <w:rsid w:val="0018363C"/>
    <w:rsid w:val="00183AE4"/>
    <w:rsid w:val="00183D94"/>
    <w:rsid w:val="00184020"/>
    <w:rsid w:val="001843A6"/>
    <w:rsid w:val="001861E8"/>
    <w:rsid w:val="00186842"/>
    <w:rsid w:val="00187D00"/>
    <w:rsid w:val="001902B0"/>
    <w:rsid w:val="001908CC"/>
    <w:rsid w:val="00193767"/>
    <w:rsid w:val="00193DFE"/>
    <w:rsid w:val="00196064"/>
    <w:rsid w:val="0019779F"/>
    <w:rsid w:val="001A072F"/>
    <w:rsid w:val="001A1008"/>
    <w:rsid w:val="001A2CE3"/>
    <w:rsid w:val="001A46FD"/>
    <w:rsid w:val="001A6421"/>
    <w:rsid w:val="001A6893"/>
    <w:rsid w:val="001A6F61"/>
    <w:rsid w:val="001A7098"/>
    <w:rsid w:val="001B0962"/>
    <w:rsid w:val="001B1FCC"/>
    <w:rsid w:val="001B2045"/>
    <w:rsid w:val="001B2811"/>
    <w:rsid w:val="001B2CB1"/>
    <w:rsid w:val="001B3E9F"/>
    <w:rsid w:val="001B474E"/>
    <w:rsid w:val="001B502B"/>
    <w:rsid w:val="001B50C2"/>
    <w:rsid w:val="001B5BE8"/>
    <w:rsid w:val="001B6BA4"/>
    <w:rsid w:val="001B6BCF"/>
    <w:rsid w:val="001B7701"/>
    <w:rsid w:val="001B7B9F"/>
    <w:rsid w:val="001C00CC"/>
    <w:rsid w:val="001C0AD9"/>
    <w:rsid w:val="001C0E99"/>
    <w:rsid w:val="001C1672"/>
    <w:rsid w:val="001C2FB2"/>
    <w:rsid w:val="001C3263"/>
    <w:rsid w:val="001C3D41"/>
    <w:rsid w:val="001C475C"/>
    <w:rsid w:val="001C4949"/>
    <w:rsid w:val="001C4C95"/>
    <w:rsid w:val="001C500C"/>
    <w:rsid w:val="001C5EA3"/>
    <w:rsid w:val="001C662D"/>
    <w:rsid w:val="001C6816"/>
    <w:rsid w:val="001C72D4"/>
    <w:rsid w:val="001C7B38"/>
    <w:rsid w:val="001D0AB4"/>
    <w:rsid w:val="001D0E54"/>
    <w:rsid w:val="001D2DE2"/>
    <w:rsid w:val="001D30CB"/>
    <w:rsid w:val="001D31BD"/>
    <w:rsid w:val="001D43BB"/>
    <w:rsid w:val="001D4463"/>
    <w:rsid w:val="001D55FB"/>
    <w:rsid w:val="001D5814"/>
    <w:rsid w:val="001E01C6"/>
    <w:rsid w:val="001E04FA"/>
    <w:rsid w:val="001E0C5C"/>
    <w:rsid w:val="001E15BE"/>
    <w:rsid w:val="001E1800"/>
    <w:rsid w:val="001E1AEC"/>
    <w:rsid w:val="001E1BE2"/>
    <w:rsid w:val="001E1CBA"/>
    <w:rsid w:val="001E255E"/>
    <w:rsid w:val="001E2740"/>
    <w:rsid w:val="001E2EBB"/>
    <w:rsid w:val="001E2F81"/>
    <w:rsid w:val="001E30E9"/>
    <w:rsid w:val="001E3955"/>
    <w:rsid w:val="001E3EA8"/>
    <w:rsid w:val="001E4200"/>
    <w:rsid w:val="001E4B93"/>
    <w:rsid w:val="001E5AB8"/>
    <w:rsid w:val="001E5EE2"/>
    <w:rsid w:val="001E6C28"/>
    <w:rsid w:val="001E7636"/>
    <w:rsid w:val="001E79F5"/>
    <w:rsid w:val="001F0617"/>
    <w:rsid w:val="001F0FF9"/>
    <w:rsid w:val="001F1744"/>
    <w:rsid w:val="001F2C8E"/>
    <w:rsid w:val="001F3514"/>
    <w:rsid w:val="001F41D6"/>
    <w:rsid w:val="001F48DD"/>
    <w:rsid w:val="001F496B"/>
    <w:rsid w:val="001F5633"/>
    <w:rsid w:val="001F5C93"/>
    <w:rsid w:val="001F5F4B"/>
    <w:rsid w:val="001F71FE"/>
    <w:rsid w:val="001F7AA8"/>
    <w:rsid w:val="002009C9"/>
    <w:rsid w:val="00200E9E"/>
    <w:rsid w:val="002021BA"/>
    <w:rsid w:val="0020287A"/>
    <w:rsid w:val="00202AF1"/>
    <w:rsid w:val="00203A19"/>
    <w:rsid w:val="00203BEE"/>
    <w:rsid w:val="002043EA"/>
    <w:rsid w:val="002043F8"/>
    <w:rsid w:val="0020658B"/>
    <w:rsid w:val="002075A1"/>
    <w:rsid w:val="002076E6"/>
    <w:rsid w:val="00207BC7"/>
    <w:rsid w:val="002102D6"/>
    <w:rsid w:val="002106EC"/>
    <w:rsid w:val="0021096D"/>
    <w:rsid w:val="00211623"/>
    <w:rsid w:val="00211FA8"/>
    <w:rsid w:val="00212608"/>
    <w:rsid w:val="002126F7"/>
    <w:rsid w:val="00213368"/>
    <w:rsid w:val="00215EBF"/>
    <w:rsid w:val="00215FE6"/>
    <w:rsid w:val="002162FB"/>
    <w:rsid w:val="00216695"/>
    <w:rsid w:val="00216B86"/>
    <w:rsid w:val="00216E4E"/>
    <w:rsid w:val="00217CDB"/>
    <w:rsid w:val="00217F79"/>
    <w:rsid w:val="002213F5"/>
    <w:rsid w:val="002223F4"/>
    <w:rsid w:val="00222569"/>
    <w:rsid w:val="002249CB"/>
    <w:rsid w:val="00224B98"/>
    <w:rsid w:val="00225CDB"/>
    <w:rsid w:val="002262D8"/>
    <w:rsid w:val="00226925"/>
    <w:rsid w:val="00226E81"/>
    <w:rsid w:val="00227897"/>
    <w:rsid w:val="00227920"/>
    <w:rsid w:val="00227E2C"/>
    <w:rsid w:val="00227F45"/>
    <w:rsid w:val="00230B1A"/>
    <w:rsid w:val="002316D2"/>
    <w:rsid w:val="00232672"/>
    <w:rsid w:val="00232714"/>
    <w:rsid w:val="00232AAB"/>
    <w:rsid w:val="002331E1"/>
    <w:rsid w:val="00233324"/>
    <w:rsid w:val="002335B4"/>
    <w:rsid w:val="002337F3"/>
    <w:rsid w:val="00233DD6"/>
    <w:rsid w:val="0023435A"/>
    <w:rsid w:val="00234787"/>
    <w:rsid w:val="0023497E"/>
    <w:rsid w:val="00234D67"/>
    <w:rsid w:val="0023505E"/>
    <w:rsid w:val="00235136"/>
    <w:rsid w:val="00235353"/>
    <w:rsid w:val="002367CF"/>
    <w:rsid w:val="00237101"/>
    <w:rsid w:val="002379D7"/>
    <w:rsid w:val="00240B89"/>
    <w:rsid w:val="00241A83"/>
    <w:rsid w:val="00245408"/>
    <w:rsid w:val="00246005"/>
    <w:rsid w:val="0024698E"/>
    <w:rsid w:val="00251391"/>
    <w:rsid w:val="00251717"/>
    <w:rsid w:val="00251796"/>
    <w:rsid w:val="00251A4A"/>
    <w:rsid w:val="002525BF"/>
    <w:rsid w:val="002530F5"/>
    <w:rsid w:val="00253342"/>
    <w:rsid w:val="00254BF2"/>
    <w:rsid w:val="00255991"/>
    <w:rsid w:val="00255B9B"/>
    <w:rsid w:val="00255D06"/>
    <w:rsid w:val="0025760C"/>
    <w:rsid w:val="00260449"/>
    <w:rsid w:val="00260EAA"/>
    <w:rsid w:val="002617A8"/>
    <w:rsid w:val="00263630"/>
    <w:rsid w:val="00264DEA"/>
    <w:rsid w:val="00265517"/>
    <w:rsid w:val="00265DC9"/>
    <w:rsid w:val="00267060"/>
    <w:rsid w:val="00267836"/>
    <w:rsid w:val="00267F07"/>
    <w:rsid w:val="002708CB"/>
    <w:rsid w:val="00271AB7"/>
    <w:rsid w:val="002729E1"/>
    <w:rsid w:val="00272B57"/>
    <w:rsid w:val="00272BB5"/>
    <w:rsid w:val="00272D41"/>
    <w:rsid w:val="00273127"/>
    <w:rsid w:val="00273926"/>
    <w:rsid w:val="00273AA8"/>
    <w:rsid w:val="00275734"/>
    <w:rsid w:val="00275C13"/>
    <w:rsid w:val="00275F15"/>
    <w:rsid w:val="00276A20"/>
    <w:rsid w:val="00276AD7"/>
    <w:rsid w:val="00277012"/>
    <w:rsid w:val="00280015"/>
    <w:rsid w:val="00281602"/>
    <w:rsid w:val="00281EE3"/>
    <w:rsid w:val="00281FD3"/>
    <w:rsid w:val="002831DC"/>
    <w:rsid w:val="0028341F"/>
    <w:rsid w:val="002838AF"/>
    <w:rsid w:val="00283FD1"/>
    <w:rsid w:val="002848E9"/>
    <w:rsid w:val="00285FAD"/>
    <w:rsid w:val="00286CD6"/>
    <w:rsid w:val="00287A04"/>
    <w:rsid w:val="00287C90"/>
    <w:rsid w:val="00287DA1"/>
    <w:rsid w:val="00290E14"/>
    <w:rsid w:val="00292B1E"/>
    <w:rsid w:val="002940C5"/>
    <w:rsid w:val="00294E84"/>
    <w:rsid w:val="0029520E"/>
    <w:rsid w:val="00295890"/>
    <w:rsid w:val="002961CB"/>
    <w:rsid w:val="00296418"/>
    <w:rsid w:val="00296BAF"/>
    <w:rsid w:val="002A0310"/>
    <w:rsid w:val="002A0377"/>
    <w:rsid w:val="002A0D54"/>
    <w:rsid w:val="002A0D8F"/>
    <w:rsid w:val="002A2349"/>
    <w:rsid w:val="002A2DCC"/>
    <w:rsid w:val="002A32D8"/>
    <w:rsid w:val="002A3A8F"/>
    <w:rsid w:val="002A40EA"/>
    <w:rsid w:val="002A4C1A"/>
    <w:rsid w:val="002A58F5"/>
    <w:rsid w:val="002A6432"/>
    <w:rsid w:val="002A65C3"/>
    <w:rsid w:val="002A73C4"/>
    <w:rsid w:val="002A7E19"/>
    <w:rsid w:val="002B0EB1"/>
    <w:rsid w:val="002B160C"/>
    <w:rsid w:val="002B1C03"/>
    <w:rsid w:val="002B1E9E"/>
    <w:rsid w:val="002B457A"/>
    <w:rsid w:val="002B46C0"/>
    <w:rsid w:val="002B4F5E"/>
    <w:rsid w:val="002B5BD3"/>
    <w:rsid w:val="002B5DFF"/>
    <w:rsid w:val="002B5F2A"/>
    <w:rsid w:val="002B5FF8"/>
    <w:rsid w:val="002B620A"/>
    <w:rsid w:val="002B6833"/>
    <w:rsid w:val="002B7DA9"/>
    <w:rsid w:val="002C0EE6"/>
    <w:rsid w:val="002C0FED"/>
    <w:rsid w:val="002C10A7"/>
    <w:rsid w:val="002C1210"/>
    <w:rsid w:val="002C20A1"/>
    <w:rsid w:val="002C23D9"/>
    <w:rsid w:val="002C2980"/>
    <w:rsid w:val="002C2F1C"/>
    <w:rsid w:val="002C4129"/>
    <w:rsid w:val="002C4532"/>
    <w:rsid w:val="002C4717"/>
    <w:rsid w:val="002C50CE"/>
    <w:rsid w:val="002C533F"/>
    <w:rsid w:val="002C59EC"/>
    <w:rsid w:val="002C6F35"/>
    <w:rsid w:val="002C767E"/>
    <w:rsid w:val="002C7B37"/>
    <w:rsid w:val="002D033E"/>
    <w:rsid w:val="002D0C6B"/>
    <w:rsid w:val="002D1390"/>
    <w:rsid w:val="002D27D8"/>
    <w:rsid w:val="002D2A17"/>
    <w:rsid w:val="002D34E3"/>
    <w:rsid w:val="002D38BA"/>
    <w:rsid w:val="002D3B73"/>
    <w:rsid w:val="002D4583"/>
    <w:rsid w:val="002D5C6E"/>
    <w:rsid w:val="002D5FF3"/>
    <w:rsid w:val="002D6FA3"/>
    <w:rsid w:val="002E0795"/>
    <w:rsid w:val="002E161C"/>
    <w:rsid w:val="002E1642"/>
    <w:rsid w:val="002E166B"/>
    <w:rsid w:val="002E432D"/>
    <w:rsid w:val="002E58E3"/>
    <w:rsid w:val="002E5DAF"/>
    <w:rsid w:val="002E5F62"/>
    <w:rsid w:val="002E648A"/>
    <w:rsid w:val="002E64EF"/>
    <w:rsid w:val="002E66FE"/>
    <w:rsid w:val="002E6A2B"/>
    <w:rsid w:val="002E7203"/>
    <w:rsid w:val="002F1583"/>
    <w:rsid w:val="002F1E99"/>
    <w:rsid w:val="002F2FA5"/>
    <w:rsid w:val="002F5CEF"/>
    <w:rsid w:val="002F5F41"/>
    <w:rsid w:val="002F62D3"/>
    <w:rsid w:val="002F6C8E"/>
    <w:rsid w:val="002F749B"/>
    <w:rsid w:val="002F7EBB"/>
    <w:rsid w:val="0030065F"/>
    <w:rsid w:val="00300B20"/>
    <w:rsid w:val="003010B4"/>
    <w:rsid w:val="00301FE1"/>
    <w:rsid w:val="00304D48"/>
    <w:rsid w:val="00304EAE"/>
    <w:rsid w:val="0030558C"/>
    <w:rsid w:val="00306761"/>
    <w:rsid w:val="003069C4"/>
    <w:rsid w:val="00306BA1"/>
    <w:rsid w:val="00306E47"/>
    <w:rsid w:val="00307C01"/>
    <w:rsid w:val="00307C2C"/>
    <w:rsid w:val="00310A7B"/>
    <w:rsid w:val="00310FF1"/>
    <w:rsid w:val="003113BA"/>
    <w:rsid w:val="00311927"/>
    <w:rsid w:val="00311E4D"/>
    <w:rsid w:val="00312A94"/>
    <w:rsid w:val="0031505F"/>
    <w:rsid w:val="003164D2"/>
    <w:rsid w:val="00320922"/>
    <w:rsid w:val="00321BAD"/>
    <w:rsid w:val="00322207"/>
    <w:rsid w:val="00322FF6"/>
    <w:rsid w:val="003242ED"/>
    <w:rsid w:val="00324907"/>
    <w:rsid w:val="00326330"/>
    <w:rsid w:val="0032716B"/>
    <w:rsid w:val="00330493"/>
    <w:rsid w:val="00330BDA"/>
    <w:rsid w:val="00330C5F"/>
    <w:rsid w:val="00331565"/>
    <w:rsid w:val="0033172F"/>
    <w:rsid w:val="00331A7C"/>
    <w:rsid w:val="00331D11"/>
    <w:rsid w:val="00331DA4"/>
    <w:rsid w:val="00332576"/>
    <w:rsid w:val="00334426"/>
    <w:rsid w:val="00334A57"/>
    <w:rsid w:val="00335282"/>
    <w:rsid w:val="003355ED"/>
    <w:rsid w:val="00337943"/>
    <w:rsid w:val="00340303"/>
    <w:rsid w:val="00340A6F"/>
    <w:rsid w:val="003438B0"/>
    <w:rsid w:val="00343F5C"/>
    <w:rsid w:val="003445B7"/>
    <w:rsid w:val="00344979"/>
    <w:rsid w:val="0034512F"/>
    <w:rsid w:val="00350A5F"/>
    <w:rsid w:val="0035258B"/>
    <w:rsid w:val="00352749"/>
    <w:rsid w:val="00352D94"/>
    <w:rsid w:val="00354247"/>
    <w:rsid w:val="003554D8"/>
    <w:rsid w:val="00355AA9"/>
    <w:rsid w:val="00356109"/>
    <w:rsid w:val="00357478"/>
    <w:rsid w:val="003577AB"/>
    <w:rsid w:val="00360B0F"/>
    <w:rsid w:val="00360DB7"/>
    <w:rsid w:val="003611DE"/>
    <w:rsid w:val="00361B67"/>
    <w:rsid w:val="00361E4C"/>
    <w:rsid w:val="00362228"/>
    <w:rsid w:val="00362DC6"/>
    <w:rsid w:val="0036370D"/>
    <w:rsid w:val="00364E24"/>
    <w:rsid w:val="00365131"/>
    <w:rsid w:val="00365722"/>
    <w:rsid w:val="0036681E"/>
    <w:rsid w:val="00366F83"/>
    <w:rsid w:val="003679CC"/>
    <w:rsid w:val="00367C90"/>
    <w:rsid w:val="00370644"/>
    <w:rsid w:val="00370822"/>
    <w:rsid w:val="003711D5"/>
    <w:rsid w:val="0037136D"/>
    <w:rsid w:val="00371666"/>
    <w:rsid w:val="003719A3"/>
    <w:rsid w:val="00371F9B"/>
    <w:rsid w:val="003723B9"/>
    <w:rsid w:val="00372A37"/>
    <w:rsid w:val="00372CBD"/>
    <w:rsid w:val="003754DD"/>
    <w:rsid w:val="003755AF"/>
    <w:rsid w:val="00376DCA"/>
    <w:rsid w:val="003772C3"/>
    <w:rsid w:val="0038046E"/>
    <w:rsid w:val="003829CC"/>
    <w:rsid w:val="00383B16"/>
    <w:rsid w:val="0038460A"/>
    <w:rsid w:val="003851DF"/>
    <w:rsid w:val="003853C8"/>
    <w:rsid w:val="003867AC"/>
    <w:rsid w:val="00386D0C"/>
    <w:rsid w:val="00387C5A"/>
    <w:rsid w:val="00392518"/>
    <w:rsid w:val="00393A61"/>
    <w:rsid w:val="00394579"/>
    <w:rsid w:val="00394787"/>
    <w:rsid w:val="00394AAD"/>
    <w:rsid w:val="00395054"/>
    <w:rsid w:val="00395473"/>
    <w:rsid w:val="0039604C"/>
    <w:rsid w:val="003961E3"/>
    <w:rsid w:val="00396223"/>
    <w:rsid w:val="00396DE5"/>
    <w:rsid w:val="003A0D64"/>
    <w:rsid w:val="003A176D"/>
    <w:rsid w:val="003A212F"/>
    <w:rsid w:val="003A2E53"/>
    <w:rsid w:val="003A3372"/>
    <w:rsid w:val="003A3FD0"/>
    <w:rsid w:val="003A4148"/>
    <w:rsid w:val="003A4575"/>
    <w:rsid w:val="003A47F8"/>
    <w:rsid w:val="003A715F"/>
    <w:rsid w:val="003B09DE"/>
    <w:rsid w:val="003B0F74"/>
    <w:rsid w:val="003B1405"/>
    <w:rsid w:val="003B1582"/>
    <w:rsid w:val="003B178A"/>
    <w:rsid w:val="003B264C"/>
    <w:rsid w:val="003B32E9"/>
    <w:rsid w:val="003B43F0"/>
    <w:rsid w:val="003B4B40"/>
    <w:rsid w:val="003B5707"/>
    <w:rsid w:val="003B6715"/>
    <w:rsid w:val="003B7331"/>
    <w:rsid w:val="003C0A79"/>
    <w:rsid w:val="003C2252"/>
    <w:rsid w:val="003C26DC"/>
    <w:rsid w:val="003C3B59"/>
    <w:rsid w:val="003C3F4B"/>
    <w:rsid w:val="003C5C9B"/>
    <w:rsid w:val="003C67AF"/>
    <w:rsid w:val="003C6B28"/>
    <w:rsid w:val="003C730A"/>
    <w:rsid w:val="003C7CBB"/>
    <w:rsid w:val="003D1DEB"/>
    <w:rsid w:val="003D2AA7"/>
    <w:rsid w:val="003D3330"/>
    <w:rsid w:val="003D3369"/>
    <w:rsid w:val="003D34A7"/>
    <w:rsid w:val="003D3B6A"/>
    <w:rsid w:val="003D41B5"/>
    <w:rsid w:val="003D4771"/>
    <w:rsid w:val="003D5920"/>
    <w:rsid w:val="003D5D72"/>
    <w:rsid w:val="003D6480"/>
    <w:rsid w:val="003D69DA"/>
    <w:rsid w:val="003D6D73"/>
    <w:rsid w:val="003E00C8"/>
    <w:rsid w:val="003E0309"/>
    <w:rsid w:val="003E0560"/>
    <w:rsid w:val="003E05B4"/>
    <w:rsid w:val="003E06B2"/>
    <w:rsid w:val="003E0820"/>
    <w:rsid w:val="003E0BEB"/>
    <w:rsid w:val="003E2FD9"/>
    <w:rsid w:val="003E316A"/>
    <w:rsid w:val="003E31C6"/>
    <w:rsid w:val="003E3699"/>
    <w:rsid w:val="003E37CB"/>
    <w:rsid w:val="003E4D65"/>
    <w:rsid w:val="003E5A36"/>
    <w:rsid w:val="003E7C49"/>
    <w:rsid w:val="003F067A"/>
    <w:rsid w:val="003F0C0A"/>
    <w:rsid w:val="003F24E7"/>
    <w:rsid w:val="003F2D19"/>
    <w:rsid w:val="003F3371"/>
    <w:rsid w:val="003F3479"/>
    <w:rsid w:val="003F3649"/>
    <w:rsid w:val="003F39D2"/>
    <w:rsid w:val="003F3B36"/>
    <w:rsid w:val="003F56D1"/>
    <w:rsid w:val="003F639F"/>
    <w:rsid w:val="003F75AA"/>
    <w:rsid w:val="003F79A6"/>
    <w:rsid w:val="00400B20"/>
    <w:rsid w:val="004024EC"/>
    <w:rsid w:val="00402508"/>
    <w:rsid w:val="004037C4"/>
    <w:rsid w:val="00403B3A"/>
    <w:rsid w:val="0040586A"/>
    <w:rsid w:val="0040589D"/>
    <w:rsid w:val="00405FC0"/>
    <w:rsid w:val="00406905"/>
    <w:rsid w:val="00407269"/>
    <w:rsid w:val="00407ACF"/>
    <w:rsid w:val="00410071"/>
    <w:rsid w:val="004101B3"/>
    <w:rsid w:val="0041062C"/>
    <w:rsid w:val="0041083A"/>
    <w:rsid w:val="00410FA2"/>
    <w:rsid w:val="00411A36"/>
    <w:rsid w:val="004128FF"/>
    <w:rsid w:val="00413349"/>
    <w:rsid w:val="004143E6"/>
    <w:rsid w:val="00414CC3"/>
    <w:rsid w:val="00414FC5"/>
    <w:rsid w:val="00415040"/>
    <w:rsid w:val="00415ABA"/>
    <w:rsid w:val="00416404"/>
    <w:rsid w:val="00416CB5"/>
    <w:rsid w:val="0041720D"/>
    <w:rsid w:val="00417249"/>
    <w:rsid w:val="004176C8"/>
    <w:rsid w:val="00417F25"/>
    <w:rsid w:val="00421A53"/>
    <w:rsid w:val="00422FE5"/>
    <w:rsid w:val="004233D4"/>
    <w:rsid w:val="004239B1"/>
    <w:rsid w:val="00423E86"/>
    <w:rsid w:val="00424BCF"/>
    <w:rsid w:val="00424FB5"/>
    <w:rsid w:val="00424FD8"/>
    <w:rsid w:val="004255C9"/>
    <w:rsid w:val="004259A8"/>
    <w:rsid w:val="00425BCE"/>
    <w:rsid w:val="00430D18"/>
    <w:rsid w:val="00430DBF"/>
    <w:rsid w:val="00431177"/>
    <w:rsid w:val="0043128A"/>
    <w:rsid w:val="0043197C"/>
    <w:rsid w:val="00432CB9"/>
    <w:rsid w:val="00433592"/>
    <w:rsid w:val="00435348"/>
    <w:rsid w:val="004369FD"/>
    <w:rsid w:val="004371EE"/>
    <w:rsid w:val="004374ED"/>
    <w:rsid w:val="004403D3"/>
    <w:rsid w:val="004405F0"/>
    <w:rsid w:val="00440CB7"/>
    <w:rsid w:val="004418C7"/>
    <w:rsid w:val="0044312F"/>
    <w:rsid w:val="004433CF"/>
    <w:rsid w:val="004445E3"/>
    <w:rsid w:val="00445C60"/>
    <w:rsid w:val="00445C7B"/>
    <w:rsid w:val="00447716"/>
    <w:rsid w:val="00447B43"/>
    <w:rsid w:val="00447CF5"/>
    <w:rsid w:val="00447FA0"/>
    <w:rsid w:val="00450006"/>
    <w:rsid w:val="00450AB1"/>
    <w:rsid w:val="0045120F"/>
    <w:rsid w:val="004530AE"/>
    <w:rsid w:val="00453C2A"/>
    <w:rsid w:val="00453F2C"/>
    <w:rsid w:val="004568AA"/>
    <w:rsid w:val="00456BF0"/>
    <w:rsid w:val="004575B9"/>
    <w:rsid w:val="00460C4C"/>
    <w:rsid w:val="00462AC2"/>
    <w:rsid w:val="00463462"/>
    <w:rsid w:val="004636A3"/>
    <w:rsid w:val="0046495B"/>
    <w:rsid w:val="00464BE2"/>
    <w:rsid w:val="00464E7E"/>
    <w:rsid w:val="0046574F"/>
    <w:rsid w:val="004657E0"/>
    <w:rsid w:val="00465C62"/>
    <w:rsid w:val="0046713C"/>
    <w:rsid w:val="00467975"/>
    <w:rsid w:val="004679F2"/>
    <w:rsid w:val="00467F3D"/>
    <w:rsid w:val="00470840"/>
    <w:rsid w:val="00470CD4"/>
    <w:rsid w:val="004721BB"/>
    <w:rsid w:val="004729C4"/>
    <w:rsid w:val="00473B5A"/>
    <w:rsid w:val="00474F7B"/>
    <w:rsid w:val="00476648"/>
    <w:rsid w:val="00476BF1"/>
    <w:rsid w:val="0047776D"/>
    <w:rsid w:val="00480250"/>
    <w:rsid w:val="004804E3"/>
    <w:rsid w:val="00480C00"/>
    <w:rsid w:val="00480DEE"/>
    <w:rsid w:val="00480F4A"/>
    <w:rsid w:val="00481036"/>
    <w:rsid w:val="0048103F"/>
    <w:rsid w:val="00481ABA"/>
    <w:rsid w:val="00481D22"/>
    <w:rsid w:val="00482173"/>
    <w:rsid w:val="00483663"/>
    <w:rsid w:val="004838D8"/>
    <w:rsid w:val="00484A26"/>
    <w:rsid w:val="00484C34"/>
    <w:rsid w:val="00484EEC"/>
    <w:rsid w:val="004854C3"/>
    <w:rsid w:val="0048592A"/>
    <w:rsid w:val="00486C71"/>
    <w:rsid w:val="004872A5"/>
    <w:rsid w:val="00487DD1"/>
    <w:rsid w:val="0049105D"/>
    <w:rsid w:val="00491491"/>
    <w:rsid w:val="00492AB2"/>
    <w:rsid w:val="00492E32"/>
    <w:rsid w:val="00493027"/>
    <w:rsid w:val="004941EE"/>
    <w:rsid w:val="0049436F"/>
    <w:rsid w:val="00494E0C"/>
    <w:rsid w:val="0049524A"/>
    <w:rsid w:val="004966AF"/>
    <w:rsid w:val="004A0F49"/>
    <w:rsid w:val="004A0FF9"/>
    <w:rsid w:val="004A12F6"/>
    <w:rsid w:val="004A3506"/>
    <w:rsid w:val="004A4299"/>
    <w:rsid w:val="004A47F3"/>
    <w:rsid w:val="004A4A2F"/>
    <w:rsid w:val="004A50B2"/>
    <w:rsid w:val="004A5568"/>
    <w:rsid w:val="004A5C02"/>
    <w:rsid w:val="004A6DA6"/>
    <w:rsid w:val="004A7EE2"/>
    <w:rsid w:val="004B0632"/>
    <w:rsid w:val="004B3884"/>
    <w:rsid w:val="004B3D8D"/>
    <w:rsid w:val="004B3FF4"/>
    <w:rsid w:val="004B4431"/>
    <w:rsid w:val="004B4644"/>
    <w:rsid w:val="004B5D8F"/>
    <w:rsid w:val="004B656C"/>
    <w:rsid w:val="004B71C1"/>
    <w:rsid w:val="004B7E74"/>
    <w:rsid w:val="004C227D"/>
    <w:rsid w:val="004C3274"/>
    <w:rsid w:val="004C3708"/>
    <w:rsid w:val="004C3714"/>
    <w:rsid w:val="004C38A5"/>
    <w:rsid w:val="004C38EF"/>
    <w:rsid w:val="004C3B70"/>
    <w:rsid w:val="004C4D86"/>
    <w:rsid w:val="004C50BC"/>
    <w:rsid w:val="004C52CA"/>
    <w:rsid w:val="004C580F"/>
    <w:rsid w:val="004C6739"/>
    <w:rsid w:val="004C74B9"/>
    <w:rsid w:val="004C7933"/>
    <w:rsid w:val="004C7F26"/>
    <w:rsid w:val="004D0252"/>
    <w:rsid w:val="004D1A80"/>
    <w:rsid w:val="004D1C5D"/>
    <w:rsid w:val="004D29DC"/>
    <w:rsid w:val="004D3031"/>
    <w:rsid w:val="004D3345"/>
    <w:rsid w:val="004D4582"/>
    <w:rsid w:val="004D47EB"/>
    <w:rsid w:val="004D50AA"/>
    <w:rsid w:val="004D58AF"/>
    <w:rsid w:val="004D61CE"/>
    <w:rsid w:val="004D6A8F"/>
    <w:rsid w:val="004D6E09"/>
    <w:rsid w:val="004E0D0B"/>
    <w:rsid w:val="004E1FE8"/>
    <w:rsid w:val="004E2520"/>
    <w:rsid w:val="004E252C"/>
    <w:rsid w:val="004E31A1"/>
    <w:rsid w:val="004E3313"/>
    <w:rsid w:val="004E368D"/>
    <w:rsid w:val="004E3F9E"/>
    <w:rsid w:val="004E4956"/>
    <w:rsid w:val="004E562F"/>
    <w:rsid w:val="004E5815"/>
    <w:rsid w:val="004E5DDD"/>
    <w:rsid w:val="004E666E"/>
    <w:rsid w:val="004E6E2A"/>
    <w:rsid w:val="004E7351"/>
    <w:rsid w:val="004F0A46"/>
    <w:rsid w:val="004F0F5C"/>
    <w:rsid w:val="004F0F95"/>
    <w:rsid w:val="004F11F8"/>
    <w:rsid w:val="004F17FB"/>
    <w:rsid w:val="004F215D"/>
    <w:rsid w:val="004F2655"/>
    <w:rsid w:val="004F2AD7"/>
    <w:rsid w:val="004F2B24"/>
    <w:rsid w:val="004F3579"/>
    <w:rsid w:val="004F4573"/>
    <w:rsid w:val="004F567E"/>
    <w:rsid w:val="004F5A35"/>
    <w:rsid w:val="004F67D6"/>
    <w:rsid w:val="00500DB3"/>
    <w:rsid w:val="005017A9"/>
    <w:rsid w:val="0050192C"/>
    <w:rsid w:val="0050217F"/>
    <w:rsid w:val="005021DA"/>
    <w:rsid w:val="00502D61"/>
    <w:rsid w:val="00503830"/>
    <w:rsid w:val="00503E39"/>
    <w:rsid w:val="0050564B"/>
    <w:rsid w:val="005056C4"/>
    <w:rsid w:val="005056E3"/>
    <w:rsid w:val="005069FD"/>
    <w:rsid w:val="00510B7E"/>
    <w:rsid w:val="00511AFE"/>
    <w:rsid w:val="005124D8"/>
    <w:rsid w:val="00512ED6"/>
    <w:rsid w:val="005130D1"/>
    <w:rsid w:val="005139EE"/>
    <w:rsid w:val="00513B01"/>
    <w:rsid w:val="00513C67"/>
    <w:rsid w:val="0051495B"/>
    <w:rsid w:val="00516990"/>
    <w:rsid w:val="00516CE9"/>
    <w:rsid w:val="005177B9"/>
    <w:rsid w:val="00517B96"/>
    <w:rsid w:val="00517DDA"/>
    <w:rsid w:val="00520435"/>
    <w:rsid w:val="00520672"/>
    <w:rsid w:val="00521321"/>
    <w:rsid w:val="00521861"/>
    <w:rsid w:val="00521E96"/>
    <w:rsid w:val="005224A7"/>
    <w:rsid w:val="00523F5C"/>
    <w:rsid w:val="00524312"/>
    <w:rsid w:val="00524A7C"/>
    <w:rsid w:val="00524AEC"/>
    <w:rsid w:val="00524E9C"/>
    <w:rsid w:val="00524F18"/>
    <w:rsid w:val="00525B0A"/>
    <w:rsid w:val="00525EA4"/>
    <w:rsid w:val="0052619E"/>
    <w:rsid w:val="005262B6"/>
    <w:rsid w:val="005268B5"/>
    <w:rsid w:val="00526C3C"/>
    <w:rsid w:val="00526CED"/>
    <w:rsid w:val="005279BA"/>
    <w:rsid w:val="00527AC2"/>
    <w:rsid w:val="00531568"/>
    <w:rsid w:val="00533E74"/>
    <w:rsid w:val="00534454"/>
    <w:rsid w:val="005349BE"/>
    <w:rsid w:val="00534B3F"/>
    <w:rsid w:val="00535501"/>
    <w:rsid w:val="00535D88"/>
    <w:rsid w:val="005368DF"/>
    <w:rsid w:val="00536A72"/>
    <w:rsid w:val="00536AE5"/>
    <w:rsid w:val="005374C9"/>
    <w:rsid w:val="00540408"/>
    <w:rsid w:val="005409BA"/>
    <w:rsid w:val="00541C07"/>
    <w:rsid w:val="00541D60"/>
    <w:rsid w:val="00541DA7"/>
    <w:rsid w:val="0054222A"/>
    <w:rsid w:val="005422EA"/>
    <w:rsid w:val="00542F1C"/>
    <w:rsid w:val="00543394"/>
    <w:rsid w:val="00544348"/>
    <w:rsid w:val="0054443A"/>
    <w:rsid w:val="0054444E"/>
    <w:rsid w:val="00544DAC"/>
    <w:rsid w:val="00546332"/>
    <w:rsid w:val="005463DF"/>
    <w:rsid w:val="00546DD7"/>
    <w:rsid w:val="005472B1"/>
    <w:rsid w:val="00547324"/>
    <w:rsid w:val="00547BBA"/>
    <w:rsid w:val="005501B8"/>
    <w:rsid w:val="00551A3E"/>
    <w:rsid w:val="00551E2D"/>
    <w:rsid w:val="005544AC"/>
    <w:rsid w:val="00554ED5"/>
    <w:rsid w:val="00555C2A"/>
    <w:rsid w:val="00557037"/>
    <w:rsid w:val="005571F2"/>
    <w:rsid w:val="00557219"/>
    <w:rsid w:val="00557885"/>
    <w:rsid w:val="005579E1"/>
    <w:rsid w:val="00560625"/>
    <w:rsid w:val="00560BD8"/>
    <w:rsid w:val="00560F9D"/>
    <w:rsid w:val="005616E6"/>
    <w:rsid w:val="005620CD"/>
    <w:rsid w:val="005636A7"/>
    <w:rsid w:val="00563E36"/>
    <w:rsid w:val="0056439B"/>
    <w:rsid w:val="00566371"/>
    <w:rsid w:val="005664DA"/>
    <w:rsid w:val="00566DC2"/>
    <w:rsid w:val="00566FD9"/>
    <w:rsid w:val="0056756C"/>
    <w:rsid w:val="0056758D"/>
    <w:rsid w:val="005710E5"/>
    <w:rsid w:val="005718C8"/>
    <w:rsid w:val="00571EC3"/>
    <w:rsid w:val="00572075"/>
    <w:rsid w:val="00573402"/>
    <w:rsid w:val="00573DD1"/>
    <w:rsid w:val="00574A2D"/>
    <w:rsid w:val="00575FDF"/>
    <w:rsid w:val="005764E8"/>
    <w:rsid w:val="00577C24"/>
    <w:rsid w:val="005802F4"/>
    <w:rsid w:val="00580417"/>
    <w:rsid w:val="00580F68"/>
    <w:rsid w:val="005822CA"/>
    <w:rsid w:val="00582E08"/>
    <w:rsid w:val="005834BE"/>
    <w:rsid w:val="00583CB8"/>
    <w:rsid w:val="00584316"/>
    <w:rsid w:val="00584CD8"/>
    <w:rsid w:val="0058666B"/>
    <w:rsid w:val="00586A26"/>
    <w:rsid w:val="0058799E"/>
    <w:rsid w:val="005906A6"/>
    <w:rsid w:val="00590F35"/>
    <w:rsid w:val="00591C2E"/>
    <w:rsid w:val="0059258C"/>
    <w:rsid w:val="00593F0C"/>
    <w:rsid w:val="0059459C"/>
    <w:rsid w:val="00596FFA"/>
    <w:rsid w:val="00597CCB"/>
    <w:rsid w:val="00597E79"/>
    <w:rsid w:val="005A0402"/>
    <w:rsid w:val="005A1518"/>
    <w:rsid w:val="005A1588"/>
    <w:rsid w:val="005A2014"/>
    <w:rsid w:val="005A21A0"/>
    <w:rsid w:val="005A34ED"/>
    <w:rsid w:val="005A3754"/>
    <w:rsid w:val="005A51C3"/>
    <w:rsid w:val="005A543F"/>
    <w:rsid w:val="005A6DF4"/>
    <w:rsid w:val="005A717A"/>
    <w:rsid w:val="005A7643"/>
    <w:rsid w:val="005A7B1E"/>
    <w:rsid w:val="005B0B1A"/>
    <w:rsid w:val="005B1B1A"/>
    <w:rsid w:val="005B2812"/>
    <w:rsid w:val="005B2A03"/>
    <w:rsid w:val="005B30C6"/>
    <w:rsid w:val="005B387C"/>
    <w:rsid w:val="005B4F3D"/>
    <w:rsid w:val="005B55B8"/>
    <w:rsid w:val="005B5B58"/>
    <w:rsid w:val="005B6AAE"/>
    <w:rsid w:val="005B6E73"/>
    <w:rsid w:val="005B7545"/>
    <w:rsid w:val="005C1535"/>
    <w:rsid w:val="005C1B5E"/>
    <w:rsid w:val="005C3782"/>
    <w:rsid w:val="005C41F3"/>
    <w:rsid w:val="005C59D8"/>
    <w:rsid w:val="005C626D"/>
    <w:rsid w:val="005C6FC4"/>
    <w:rsid w:val="005C784E"/>
    <w:rsid w:val="005D16B4"/>
    <w:rsid w:val="005D1DCD"/>
    <w:rsid w:val="005D23EE"/>
    <w:rsid w:val="005D2CCB"/>
    <w:rsid w:val="005D2DA8"/>
    <w:rsid w:val="005D2FD4"/>
    <w:rsid w:val="005D30D4"/>
    <w:rsid w:val="005D31FA"/>
    <w:rsid w:val="005D3F74"/>
    <w:rsid w:val="005D44D0"/>
    <w:rsid w:val="005D4615"/>
    <w:rsid w:val="005D4693"/>
    <w:rsid w:val="005D4E8E"/>
    <w:rsid w:val="005D53CF"/>
    <w:rsid w:val="005D543A"/>
    <w:rsid w:val="005D55CF"/>
    <w:rsid w:val="005D5981"/>
    <w:rsid w:val="005D6631"/>
    <w:rsid w:val="005D7303"/>
    <w:rsid w:val="005D7CB2"/>
    <w:rsid w:val="005E0ACA"/>
    <w:rsid w:val="005E0FAD"/>
    <w:rsid w:val="005E1FE7"/>
    <w:rsid w:val="005E233B"/>
    <w:rsid w:val="005E3615"/>
    <w:rsid w:val="005E363C"/>
    <w:rsid w:val="005E4378"/>
    <w:rsid w:val="005E447B"/>
    <w:rsid w:val="005E5D68"/>
    <w:rsid w:val="005E6063"/>
    <w:rsid w:val="005E6551"/>
    <w:rsid w:val="005E7737"/>
    <w:rsid w:val="005E7B90"/>
    <w:rsid w:val="005F08FC"/>
    <w:rsid w:val="005F0EF2"/>
    <w:rsid w:val="005F20DB"/>
    <w:rsid w:val="005F35A8"/>
    <w:rsid w:val="005F3C2C"/>
    <w:rsid w:val="005F47DE"/>
    <w:rsid w:val="005F4D5E"/>
    <w:rsid w:val="005F534F"/>
    <w:rsid w:val="005F5C18"/>
    <w:rsid w:val="005F5D33"/>
    <w:rsid w:val="005F5E44"/>
    <w:rsid w:val="005F7319"/>
    <w:rsid w:val="005F7B9C"/>
    <w:rsid w:val="005F7FCC"/>
    <w:rsid w:val="006004D2"/>
    <w:rsid w:val="00600A46"/>
    <w:rsid w:val="00600EEA"/>
    <w:rsid w:val="006010BA"/>
    <w:rsid w:val="006016AA"/>
    <w:rsid w:val="006026A3"/>
    <w:rsid w:val="00603850"/>
    <w:rsid w:val="00603CF1"/>
    <w:rsid w:val="006046FD"/>
    <w:rsid w:val="00604B3E"/>
    <w:rsid w:val="00604EC0"/>
    <w:rsid w:val="00604FA0"/>
    <w:rsid w:val="00605221"/>
    <w:rsid w:val="00605D4F"/>
    <w:rsid w:val="0060629E"/>
    <w:rsid w:val="00606CD2"/>
    <w:rsid w:val="006071A7"/>
    <w:rsid w:val="006118FA"/>
    <w:rsid w:val="00611CA3"/>
    <w:rsid w:val="00611E28"/>
    <w:rsid w:val="00612ECF"/>
    <w:rsid w:val="00613EBF"/>
    <w:rsid w:val="006142A5"/>
    <w:rsid w:val="006149F6"/>
    <w:rsid w:val="0061544D"/>
    <w:rsid w:val="00615B82"/>
    <w:rsid w:val="00616089"/>
    <w:rsid w:val="0061648D"/>
    <w:rsid w:val="00616D6E"/>
    <w:rsid w:val="0061767B"/>
    <w:rsid w:val="00617F75"/>
    <w:rsid w:val="006206D7"/>
    <w:rsid w:val="00620DD0"/>
    <w:rsid w:val="006218DA"/>
    <w:rsid w:val="0062273B"/>
    <w:rsid w:val="00622A1F"/>
    <w:rsid w:val="00623078"/>
    <w:rsid w:val="006235EB"/>
    <w:rsid w:val="006238A9"/>
    <w:rsid w:val="00623D2A"/>
    <w:rsid w:val="006241E7"/>
    <w:rsid w:val="006243D0"/>
    <w:rsid w:val="00624941"/>
    <w:rsid w:val="00624EF9"/>
    <w:rsid w:val="006258BA"/>
    <w:rsid w:val="00625B4C"/>
    <w:rsid w:val="006262BB"/>
    <w:rsid w:val="006276A8"/>
    <w:rsid w:val="00630174"/>
    <w:rsid w:val="006312EF"/>
    <w:rsid w:val="00631868"/>
    <w:rsid w:val="006318BA"/>
    <w:rsid w:val="00631A4A"/>
    <w:rsid w:val="00631B5A"/>
    <w:rsid w:val="00633326"/>
    <w:rsid w:val="00633811"/>
    <w:rsid w:val="00634676"/>
    <w:rsid w:val="00635404"/>
    <w:rsid w:val="00636459"/>
    <w:rsid w:val="006367F2"/>
    <w:rsid w:val="00637C88"/>
    <w:rsid w:val="00640BD7"/>
    <w:rsid w:val="00641D36"/>
    <w:rsid w:val="00642048"/>
    <w:rsid w:val="00642572"/>
    <w:rsid w:val="00642650"/>
    <w:rsid w:val="00642769"/>
    <w:rsid w:val="00643041"/>
    <w:rsid w:val="00643CFC"/>
    <w:rsid w:val="006444B9"/>
    <w:rsid w:val="00644A3A"/>
    <w:rsid w:val="00644B4A"/>
    <w:rsid w:val="00644E7B"/>
    <w:rsid w:val="006455A9"/>
    <w:rsid w:val="006456B7"/>
    <w:rsid w:val="006471EB"/>
    <w:rsid w:val="0064752C"/>
    <w:rsid w:val="006511C4"/>
    <w:rsid w:val="00651353"/>
    <w:rsid w:val="00651B25"/>
    <w:rsid w:val="00651DB0"/>
    <w:rsid w:val="0065207E"/>
    <w:rsid w:val="006526A5"/>
    <w:rsid w:val="006527A4"/>
    <w:rsid w:val="00653541"/>
    <w:rsid w:val="00653789"/>
    <w:rsid w:val="00654814"/>
    <w:rsid w:val="00654AF2"/>
    <w:rsid w:val="00654B7A"/>
    <w:rsid w:val="00654C55"/>
    <w:rsid w:val="006557E6"/>
    <w:rsid w:val="00655C06"/>
    <w:rsid w:val="00656CD7"/>
    <w:rsid w:val="00657B32"/>
    <w:rsid w:val="00657ECA"/>
    <w:rsid w:val="0066007A"/>
    <w:rsid w:val="006609DB"/>
    <w:rsid w:val="00660EA8"/>
    <w:rsid w:val="006623D6"/>
    <w:rsid w:val="006629E7"/>
    <w:rsid w:val="00664BE9"/>
    <w:rsid w:val="00664F4F"/>
    <w:rsid w:val="00665256"/>
    <w:rsid w:val="006652B8"/>
    <w:rsid w:val="00665391"/>
    <w:rsid w:val="006654DE"/>
    <w:rsid w:val="006667ED"/>
    <w:rsid w:val="00666B16"/>
    <w:rsid w:val="00666E11"/>
    <w:rsid w:val="00670035"/>
    <w:rsid w:val="00670A9E"/>
    <w:rsid w:val="0067161E"/>
    <w:rsid w:val="00671752"/>
    <w:rsid w:val="00671C1A"/>
    <w:rsid w:val="00671D68"/>
    <w:rsid w:val="00671E3C"/>
    <w:rsid w:val="006727DB"/>
    <w:rsid w:val="00672E2F"/>
    <w:rsid w:val="00673398"/>
    <w:rsid w:val="00674179"/>
    <w:rsid w:val="0067455C"/>
    <w:rsid w:val="00674D50"/>
    <w:rsid w:val="00674DE6"/>
    <w:rsid w:val="00676206"/>
    <w:rsid w:val="00676E32"/>
    <w:rsid w:val="00676FB4"/>
    <w:rsid w:val="006771D1"/>
    <w:rsid w:val="00677403"/>
    <w:rsid w:val="00680756"/>
    <w:rsid w:val="00681690"/>
    <w:rsid w:val="0068190B"/>
    <w:rsid w:val="00682420"/>
    <w:rsid w:val="00682D6E"/>
    <w:rsid w:val="00682D91"/>
    <w:rsid w:val="00682F24"/>
    <w:rsid w:val="00683BCF"/>
    <w:rsid w:val="00683E57"/>
    <w:rsid w:val="00684A76"/>
    <w:rsid w:val="00686978"/>
    <w:rsid w:val="00686C74"/>
    <w:rsid w:val="006874A1"/>
    <w:rsid w:val="006876F8"/>
    <w:rsid w:val="00687F1D"/>
    <w:rsid w:val="00690560"/>
    <w:rsid w:val="0069161E"/>
    <w:rsid w:val="00692A4A"/>
    <w:rsid w:val="00692AF3"/>
    <w:rsid w:val="00692CDE"/>
    <w:rsid w:val="0069312C"/>
    <w:rsid w:val="0069324F"/>
    <w:rsid w:val="00693FD8"/>
    <w:rsid w:val="00694CCC"/>
    <w:rsid w:val="00697866"/>
    <w:rsid w:val="006A0DB8"/>
    <w:rsid w:val="006A25E0"/>
    <w:rsid w:val="006A2FB2"/>
    <w:rsid w:val="006A3894"/>
    <w:rsid w:val="006A4616"/>
    <w:rsid w:val="006A5007"/>
    <w:rsid w:val="006A54FC"/>
    <w:rsid w:val="006A60E1"/>
    <w:rsid w:val="006A6322"/>
    <w:rsid w:val="006A71C4"/>
    <w:rsid w:val="006A7545"/>
    <w:rsid w:val="006B0009"/>
    <w:rsid w:val="006B1AF0"/>
    <w:rsid w:val="006B226C"/>
    <w:rsid w:val="006B2482"/>
    <w:rsid w:val="006B2744"/>
    <w:rsid w:val="006B47BE"/>
    <w:rsid w:val="006B542A"/>
    <w:rsid w:val="006B6615"/>
    <w:rsid w:val="006B739D"/>
    <w:rsid w:val="006B7807"/>
    <w:rsid w:val="006B79E9"/>
    <w:rsid w:val="006C018E"/>
    <w:rsid w:val="006C04DC"/>
    <w:rsid w:val="006C0FBE"/>
    <w:rsid w:val="006C15A9"/>
    <w:rsid w:val="006C28D7"/>
    <w:rsid w:val="006C2D98"/>
    <w:rsid w:val="006C358B"/>
    <w:rsid w:val="006C3E12"/>
    <w:rsid w:val="006C5066"/>
    <w:rsid w:val="006C5768"/>
    <w:rsid w:val="006C6030"/>
    <w:rsid w:val="006C71CA"/>
    <w:rsid w:val="006D0B30"/>
    <w:rsid w:val="006D16C6"/>
    <w:rsid w:val="006D22B3"/>
    <w:rsid w:val="006D3248"/>
    <w:rsid w:val="006D3B46"/>
    <w:rsid w:val="006D52C9"/>
    <w:rsid w:val="006D55B1"/>
    <w:rsid w:val="006E0336"/>
    <w:rsid w:val="006E2A2A"/>
    <w:rsid w:val="006E36A4"/>
    <w:rsid w:val="006E38A9"/>
    <w:rsid w:val="006E39B9"/>
    <w:rsid w:val="006E3DE2"/>
    <w:rsid w:val="006E495F"/>
    <w:rsid w:val="006E4AEE"/>
    <w:rsid w:val="006E54E1"/>
    <w:rsid w:val="006E74C9"/>
    <w:rsid w:val="006F03B2"/>
    <w:rsid w:val="006F0478"/>
    <w:rsid w:val="006F137B"/>
    <w:rsid w:val="006F156E"/>
    <w:rsid w:val="006F18E6"/>
    <w:rsid w:val="006F1CE9"/>
    <w:rsid w:val="006F201C"/>
    <w:rsid w:val="006F2DBF"/>
    <w:rsid w:val="006F3878"/>
    <w:rsid w:val="006F4531"/>
    <w:rsid w:val="006F484D"/>
    <w:rsid w:val="006F58BD"/>
    <w:rsid w:val="006F6C37"/>
    <w:rsid w:val="006F6DCF"/>
    <w:rsid w:val="006F7CFD"/>
    <w:rsid w:val="0070044A"/>
    <w:rsid w:val="00703DF7"/>
    <w:rsid w:val="0070479F"/>
    <w:rsid w:val="00705BA8"/>
    <w:rsid w:val="00705FEB"/>
    <w:rsid w:val="00706677"/>
    <w:rsid w:val="00706BC3"/>
    <w:rsid w:val="007107C6"/>
    <w:rsid w:val="007112CE"/>
    <w:rsid w:val="0071138E"/>
    <w:rsid w:val="00711523"/>
    <w:rsid w:val="007126FD"/>
    <w:rsid w:val="007141CB"/>
    <w:rsid w:val="0071428A"/>
    <w:rsid w:val="00714345"/>
    <w:rsid w:val="00714DDD"/>
    <w:rsid w:val="007156D2"/>
    <w:rsid w:val="007162E1"/>
    <w:rsid w:val="007171E6"/>
    <w:rsid w:val="00720CB3"/>
    <w:rsid w:val="00722888"/>
    <w:rsid w:val="0072312A"/>
    <w:rsid w:val="00723167"/>
    <w:rsid w:val="00724B29"/>
    <w:rsid w:val="0072792C"/>
    <w:rsid w:val="007303E9"/>
    <w:rsid w:val="00731A6D"/>
    <w:rsid w:val="00731CDC"/>
    <w:rsid w:val="00731D94"/>
    <w:rsid w:val="00732079"/>
    <w:rsid w:val="0073229C"/>
    <w:rsid w:val="00732512"/>
    <w:rsid w:val="007325C4"/>
    <w:rsid w:val="00732A4F"/>
    <w:rsid w:val="00734AEB"/>
    <w:rsid w:val="00736C6F"/>
    <w:rsid w:val="007371F8"/>
    <w:rsid w:val="0074010C"/>
    <w:rsid w:val="007413EB"/>
    <w:rsid w:val="00741682"/>
    <w:rsid w:val="00741F4D"/>
    <w:rsid w:val="0074229C"/>
    <w:rsid w:val="007426B0"/>
    <w:rsid w:val="00743E49"/>
    <w:rsid w:val="0074458A"/>
    <w:rsid w:val="0074476D"/>
    <w:rsid w:val="00744BBC"/>
    <w:rsid w:val="00744C20"/>
    <w:rsid w:val="00746633"/>
    <w:rsid w:val="00746CFC"/>
    <w:rsid w:val="00747C62"/>
    <w:rsid w:val="007502F1"/>
    <w:rsid w:val="00750472"/>
    <w:rsid w:val="007507E6"/>
    <w:rsid w:val="00750A15"/>
    <w:rsid w:val="0075170E"/>
    <w:rsid w:val="007518E7"/>
    <w:rsid w:val="00751EA6"/>
    <w:rsid w:val="0075255C"/>
    <w:rsid w:val="007525F4"/>
    <w:rsid w:val="00752D71"/>
    <w:rsid w:val="0075380A"/>
    <w:rsid w:val="0075433E"/>
    <w:rsid w:val="00755068"/>
    <w:rsid w:val="007554A9"/>
    <w:rsid w:val="00755607"/>
    <w:rsid w:val="00756662"/>
    <w:rsid w:val="00757159"/>
    <w:rsid w:val="007574E6"/>
    <w:rsid w:val="00757C59"/>
    <w:rsid w:val="00761EFB"/>
    <w:rsid w:val="00762230"/>
    <w:rsid w:val="00762400"/>
    <w:rsid w:val="00763267"/>
    <w:rsid w:val="00764030"/>
    <w:rsid w:val="007654F8"/>
    <w:rsid w:val="00765601"/>
    <w:rsid w:val="00766A37"/>
    <w:rsid w:val="0076737E"/>
    <w:rsid w:val="0077111C"/>
    <w:rsid w:val="00771274"/>
    <w:rsid w:val="00772620"/>
    <w:rsid w:val="0077298D"/>
    <w:rsid w:val="00772F99"/>
    <w:rsid w:val="0077300A"/>
    <w:rsid w:val="0077340E"/>
    <w:rsid w:val="00774448"/>
    <w:rsid w:val="00774559"/>
    <w:rsid w:val="00774727"/>
    <w:rsid w:val="007747C5"/>
    <w:rsid w:val="0077494B"/>
    <w:rsid w:val="00774D15"/>
    <w:rsid w:val="00774DF6"/>
    <w:rsid w:val="0077513B"/>
    <w:rsid w:val="00775996"/>
    <w:rsid w:val="00776410"/>
    <w:rsid w:val="00776A60"/>
    <w:rsid w:val="00777929"/>
    <w:rsid w:val="00780DBC"/>
    <w:rsid w:val="00781631"/>
    <w:rsid w:val="00781A0E"/>
    <w:rsid w:val="00781B27"/>
    <w:rsid w:val="007835FC"/>
    <w:rsid w:val="00783B85"/>
    <w:rsid w:val="00785E3A"/>
    <w:rsid w:val="00786C3F"/>
    <w:rsid w:val="0078771C"/>
    <w:rsid w:val="007903BC"/>
    <w:rsid w:val="00790E00"/>
    <w:rsid w:val="0079201A"/>
    <w:rsid w:val="0079258F"/>
    <w:rsid w:val="007926FA"/>
    <w:rsid w:val="00792736"/>
    <w:rsid w:val="0079408F"/>
    <w:rsid w:val="0079481B"/>
    <w:rsid w:val="00795629"/>
    <w:rsid w:val="00795A87"/>
    <w:rsid w:val="00796FE7"/>
    <w:rsid w:val="00797449"/>
    <w:rsid w:val="007A10F4"/>
    <w:rsid w:val="007A124A"/>
    <w:rsid w:val="007A1DB0"/>
    <w:rsid w:val="007A28DC"/>
    <w:rsid w:val="007A2CE7"/>
    <w:rsid w:val="007A32C9"/>
    <w:rsid w:val="007A34FC"/>
    <w:rsid w:val="007A412A"/>
    <w:rsid w:val="007A466F"/>
    <w:rsid w:val="007A4E97"/>
    <w:rsid w:val="007A5CED"/>
    <w:rsid w:val="007B0835"/>
    <w:rsid w:val="007B0D45"/>
    <w:rsid w:val="007B1205"/>
    <w:rsid w:val="007B28BE"/>
    <w:rsid w:val="007B3F30"/>
    <w:rsid w:val="007B40D1"/>
    <w:rsid w:val="007B4F9E"/>
    <w:rsid w:val="007B50CC"/>
    <w:rsid w:val="007B557A"/>
    <w:rsid w:val="007B5B04"/>
    <w:rsid w:val="007B5D7F"/>
    <w:rsid w:val="007B5DAF"/>
    <w:rsid w:val="007B63D0"/>
    <w:rsid w:val="007B65CD"/>
    <w:rsid w:val="007B694E"/>
    <w:rsid w:val="007B74CA"/>
    <w:rsid w:val="007B7FDC"/>
    <w:rsid w:val="007C129E"/>
    <w:rsid w:val="007C1687"/>
    <w:rsid w:val="007C1BE1"/>
    <w:rsid w:val="007C1E0D"/>
    <w:rsid w:val="007C203E"/>
    <w:rsid w:val="007C37E2"/>
    <w:rsid w:val="007C3973"/>
    <w:rsid w:val="007C41C8"/>
    <w:rsid w:val="007C4A8B"/>
    <w:rsid w:val="007C52F1"/>
    <w:rsid w:val="007C5C6E"/>
    <w:rsid w:val="007C616D"/>
    <w:rsid w:val="007C75BC"/>
    <w:rsid w:val="007C7C0F"/>
    <w:rsid w:val="007D1F54"/>
    <w:rsid w:val="007D20C6"/>
    <w:rsid w:val="007D230F"/>
    <w:rsid w:val="007D23E3"/>
    <w:rsid w:val="007D2612"/>
    <w:rsid w:val="007D3D23"/>
    <w:rsid w:val="007D4818"/>
    <w:rsid w:val="007D4F29"/>
    <w:rsid w:val="007D638C"/>
    <w:rsid w:val="007D6BBF"/>
    <w:rsid w:val="007D7670"/>
    <w:rsid w:val="007E034A"/>
    <w:rsid w:val="007E0427"/>
    <w:rsid w:val="007E1697"/>
    <w:rsid w:val="007E174C"/>
    <w:rsid w:val="007E2137"/>
    <w:rsid w:val="007E21FD"/>
    <w:rsid w:val="007E2B67"/>
    <w:rsid w:val="007E376F"/>
    <w:rsid w:val="007E484C"/>
    <w:rsid w:val="007E569A"/>
    <w:rsid w:val="007E5CA1"/>
    <w:rsid w:val="007E5FF7"/>
    <w:rsid w:val="007E6808"/>
    <w:rsid w:val="007E6BA0"/>
    <w:rsid w:val="007E749F"/>
    <w:rsid w:val="007E7C4D"/>
    <w:rsid w:val="007F02E5"/>
    <w:rsid w:val="007F073F"/>
    <w:rsid w:val="007F0C28"/>
    <w:rsid w:val="007F10E7"/>
    <w:rsid w:val="007F225F"/>
    <w:rsid w:val="007F22F7"/>
    <w:rsid w:val="007F2725"/>
    <w:rsid w:val="007F3354"/>
    <w:rsid w:val="007F3889"/>
    <w:rsid w:val="007F3928"/>
    <w:rsid w:val="007F3A33"/>
    <w:rsid w:val="007F6354"/>
    <w:rsid w:val="007F78E9"/>
    <w:rsid w:val="008002FA"/>
    <w:rsid w:val="00800E94"/>
    <w:rsid w:val="008015CC"/>
    <w:rsid w:val="00801F80"/>
    <w:rsid w:val="00802BBC"/>
    <w:rsid w:val="00802D82"/>
    <w:rsid w:val="008040D1"/>
    <w:rsid w:val="00804FF8"/>
    <w:rsid w:val="00805CDD"/>
    <w:rsid w:val="00807292"/>
    <w:rsid w:val="0081060D"/>
    <w:rsid w:val="0081074A"/>
    <w:rsid w:val="0081075D"/>
    <w:rsid w:val="00810A03"/>
    <w:rsid w:val="00811502"/>
    <w:rsid w:val="008125C9"/>
    <w:rsid w:val="00812FBF"/>
    <w:rsid w:val="008133F5"/>
    <w:rsid w:val="008138BA"/>
    <w:rsid w:val="008138D1"/>
    <w:rsid w:val="008159CE"/>
    <w:rsid w:val="00816413"/>
    <w:rsid w:val="00821962"/>
    <w:rsid w:val="00821FEB"/>
    <w:rsid w:val="008246AA"/>
    <w:rsid w:val="00824768"/>
    <w:rsid w:val="00824952"/>
    <w:rsid w:val="00824987"/>
    <w:rsid w:val="00824B80"/>
    <w:rsid w:val="00825162"/>
    <w:rsid w:val="008255E9"/>
    <w:rsid w:val="008265EF"/>
    <w:rsid w:val="00826C03"/>
    <w:rsid w:val="0082724F"/>
    <w:rsid w:val="008272F3"/>
    <w:rsid w:val="00830A3D"/>
    <w:rsid w:val="00830D5E"/>
    <w:rsid w:val="00830E63"/>
    <w:rsid w:val="008316B1"/>
    <w:rsid w:val="00831954"/>
    <w:rsid w:val="00831A4F"/>
    <w:rsid w:val="00832213"/>
    <w:rsid w:val="0083246D"/>
    <w:rsid w:val="00832AA9"/>
    <w:rsid w:val="00833337"/>
    <w:rsid w:val="008340FE"/>
    <w:rsid w:val="008341B3"/>
    <w:rsid w:val="00835164"/>
    <w:rsid w:val="00835670"/>
    <w:rsid w:val="0083731A"/>
    <w:rsid w:val="00837FA4"/>
    <w:rsid w:val="0084030A"/>
    <w:rsid w:val="00840F59"/>
    <w:rsid w:val="00841E94"/>
    <w:rsid w:val="008420D4"/>
    <w:rsid w:val="00842367"/>
    <w:rsid w:val="00842DFB"/>
    <w:rsid w:val="00843C38"/>
    <w:rsid w:val="00844EDB"/>
    <w:rsid w:val="00844F8E"/>
    <w:rsid w:val="00845575"/>
    <w:rsid w:val="0084666C"/>
    <w:rsid w:val="0084678C"/>
    <w:rsid w:val="0084765B"/>
    <w:rsid w:val="00847E71"/>
    <w:rsid w:val="008514C7"/>
    <w:rsid w:val="00851E37"/>
    <w:rsid w:val="008523DB"/>
    <w:rsid w:val="00852C40"/>
    <w:rsid w:val="0085393C"/>
    <w:rsid w:val="008543F6"/>
    <w:rsid w:val="00854BCD"/>
    <w:rsid w:val="00855D97"/>
    <w:rsid w:val="0085668A"/>
    <w:rsid w:val="00856E7B"/>
    <w:rsid w:val="0086024E"/>
    <w:rsid w:val="008618C0"/>
    <w:rsid w:val="0086397D"/>
    <w:rsid w:val="0086432C"/>
    <w:rsid w:val="0086598B"/>
    <w:rsid w:val="0086772C"/>
    <w:rsid w:val="008678CD"/>
    <w:rsid w:val="00867C05"/>
    <w:rsid w:val="008701CE"/>
    <w:rsid w:val="0087095E"/>
    <w:rsid w:val="00871398"/>
    <w:rsid w:val="00871F59"/>
    <w:rsid w:val="0087354F"/>
    <w:rsid w:val="00874AFD"/>
    <w:rsid w:val="00874D78"/>
    <w:rsid w:val="00875BB5"/>
    <w:rsid w:val="00875C5F"/>
    <w:rsid w:val="00875D2E"/>
    <w:rsid w:val="00876180"/>
    <w:rsid w:val="00876693"/>
    <w:rsid w:val="00877924"/>
    <w:rsid w:val="0088112F"/>
    <w:rsid w:val="008814FB"/>
    <w:rsid w:val="00881EBA"/>
    <w:rsid w:val="008823F6"/>
    <w:rsid w:val="00882768"/>
    <w:rsid w:val="00884C69"/>
    <w:rsid w:val="00885375"/>
    <w:rsid w:val="00885F14"/>
    <w:rsid w:val="008869B6"/>
    <w:rsid w:val="00887331"/>
    <w:rsid w:val="00890183"/>
    <w:rsid w:val="008907BD"/>
    <w:rsid w:val="00890A15"/>
    <w:rsid w:val="00890C95"/>
    <w:rsid w:val="008917AF"/>
    <w:rsid w:val="00891A55"/>
    <w:rsid w:val="00892458"/>
    <w:rsid w:val="00892642"/>
    <w:rsid w:val="00893332"/>
    <w:rsid w:val="008934FA"/>
    <w:rsid w:val="008936B8"/>
    <w:rsid w:val="00893B13"/>
    <w:rsid w:val="00894F92"/>
    <w:rsid w:val="008958A0"/>
    <w:rsid w:val="008961E0"/>
    <w:rsid w:val="008967FD"/>
    <w:rsid w:val="008975C9"/>
    <w:rsid w:val="008A0398"/>
    <w:rsid w:val="008A08EE"/>
    <w:rsid w:val="008A0A01"/>
    <w:rsid w:val="008A0DE0"/>
    <w:rsid w:val="008A1BC3"/>
    <w:rsid w:val="008A1F70"/>
    <w:rsid w:val="008A2093"/>
    <w:rsid w:val="008A2A0C"/>
    <w:rsid w:val="008A3F8E"/>
    <w:rsid w:val="008A406C"/>
    <w:rsid w:val="008A45CA"/>
    <w:rsid w:val="008A483B"/>
    <w:rsid w:val="008A4860"/>
    <w:rsid w:val="008A56D2"/>
    <w:rsid w:val="008B06C5"/>
    <w:rsid w:val="008B100A"/>
    <w:rsid w:val="008B13F1"/>
    <w:rsid w:val="008B1F42"/>
    <w:rsid w:val="008B23B3"/>
    <w:rsid w:val="008B2433"/>
    <w:rsid w:val="008B2566"/>
    <w:rsid w:val="008B2AE2"/>
    <w:rsid w:val="008B30EA"/>
    <w:rsid w:val="008B5590"/>
    <w:rsid w:val="008B5715"/>
    <w:rsid w:val="008B590C"/>
    <w:rsid w:val="008B6B85"/>
    <w:rsid w:val="008C0F8C"/>
    <w:rsid w:val="008C2A2F"/>
    <w:rsid w:val="008C31CE"/>
    <w:rsid w:val="008C334F"/>
    <w:rsid w:val="008C3D9D"/>
    <w:rsid w:val="008C4755"/>
    <w:rsid w:val="008C58B6"/>
    <w:rsid w:val="008C6F8F"/>
    <w:rsid w:val="008C7F3F"/>
    <w:rsid w:val="008D0264"/>
    <w:rsid w:val="008D1490"/>
    <w:rsid w:val="008D14DC"/>
    <w:rsid w:val="008D2D3C"/>
    <w:rsid w:val="008D3191"/>
    <w:rsid w:val="008D31F6"/>
    <w:rsid w:val="008D357E"/>
    <w:rsid w:val="008D3E14"/>
    <w:rsid w:val="008D44D1"/>
    <w:rsid w:val="008D4CEF"/>
    <w:rsid w:val="008D6C30"/>
    <w:rsid w:val="008D6F09"/>
    <w:rsid w:val="008D7360"/>
    <w:rsid w:val="008D7F37"/>
    <w:rsid w:val="008E1A87"/>
    <w:rsid w:val="008E1F99"/>
    <w:rsid w:val="008E2FA3"/>
    <w:rsid w:val="008E3C7B"/>
    <w:rsid w:val="008E4FE9"/>
    <w:rsid w:val="008E5007"/>
    <w:rsid w:val="008E5A7E"/>
    <w:rsid w:val="008E5E46"/>
    <w:rsid w:val="008E5ED9"/>
    <w:rsid w:val="008E699D"/>
    <w:rsid w:val="008E7B20"/>
    <w:rsid w:val="008E7F84"/>
    <w:rsid w:val="008F05C0"/>
    <w:rsid w:val="008F0D17"/>
    <w:rsid w:val="008F0ED2"/>
    <w:rsid w:val="008F1B78"/>
    <w:rsid w:val="008F22D2"/>
    <w:rsid w:val="008F27B9"/>
    <w:rsid w:val="008F2C1D"/>
    <w:rsid w:val="008F36CE"/>
    <w:rsid w:val="008F44CD"/>
    <w:rsid w:val="008F44DE"/>
    <w:rsid w:val="008F4965"/>
    <w:rsid w:val="008F4A23"/>
    <w:rsid w:val="008F4A88"/>
    <w:rsid w:val="008F59E0"/>
    <w:rsid w:val="008F61EC"/>
    <w:rsid w:val="008F7D65"/>
    <w:rsid w:val="008F7F92"/>
    <w:rsid w:val="0090225F"/>
    <w:rsid w:val="00902697"/>
    <w:rsid w:val="009035F2"/>
    <w:rsid w:val="00903B12"/>
    <w:rsid w:val="00903F3F"/>
    <w:rsid w:val="00904018"/>
    <w:rsid w:val="00904473"/>
    <w:rsid w:val="00904912"/>
    <w:rsid w:val="00905D4D"/>
    <w:rsid w:val="00906C25"/>
    <w:rsid w:val="009117C5"/>
    <w:rsid w:val="00911C93"/>
    <w:rsid w:val="00911E7D"/>
    <w:rsid w:val="00912369"/>
    <w:rsid w:val="00912372"/>
    <w:rsid w:val="00912404"/>
    <w:rsid w:val="00912766"/>
    <w:rsid w:val="00913BD0"/>
    <w:rsid w:val="0091480A"/>
    <w:rsid w:val="0091507B"/>
    <w:rsid w:val="009150A0"/>
    <w:rsid w:val="00915126"/>
    <w:rsid w:val="0091527B"/>
    <w:rsid w:val="00916192"/>
    <w:rsid w:val="009164A9"/>
    <w:rsid w:val="0091731A"/>
    <w:rsid w:val="00917C30"/>
    <w:rsid w:val="00917DB4"/>
    <w:rsid w:val="00920160"/>
    <w:rsid w:val="0092016C"/>
    <w:rsid w:val="0092017B"/>
    <w:rsid w:val="0092146B"/>
    <w:rsid w:val="00921D5D"/>
    <w:rsid w:val="009226C3"/>
    <w:rsid w:val="00922748"/>
    <w:rsid w:val="00922769"/>
    <w:rsid w:val="0092325F"/>
    <w:rsid w:val="009235DC"/>
    <w:rsid w:val="00924362"/>
    <w:rsid w:val="009248E3"/>
    <w:rsid w:val="0092504C"/>
    <w:rsid w:val="00927E57"/>
    <w:rsid w:val="0093038B"/>
    <w:rsid w:val="00930985"/>
    <w:rsid w:val="00930D04"/>
    <w:rsid w:val="009328B6"/>
    <w:rsid w:val="009331BA"/>
    <w:rsid w:val="0093325A"/>
    <w:rsid w:val="0093379C"/>
    <w:rsid w:val="00933F3B"/>
    <w:rsid w:val="00933F52"/>
    <w:rsid w:val="00934283"/>
    <w:rsid w:val="0093644B"/>
    <w:rsid w:val="00937D4E"/>
    <w:rsid w:val="00940515"/>
    <w:rsid w:val="00940A8D"/>
    <w:rsid w:val="00940FDE"/>
    <w:rsid w:val="00941044"/>
    <w:rsid w:val="00941602"/>
    <w:rsid w:val="00941676"/>
    <w:rsid w:val="00942A22"/>
    <w:rsid w:val="00942BB9"/>
    <w:rsid w:val="00943292"/>
    <w:rsid w:val="00943FF6"/>
    <w:rsid w:val="0094597E"/>
    <w:rsid w:val="00946457"/>
    <w:rsid w:val="00952464"/>
    <w:rsid w:val="009529BE"/>
    <w:rsid w:val="00952A60"/>
    <w:rsid w:val="00952D8E"/>
    <w:rsid w:val="00952FDB"/>
    <w:rsid w:val="009540B6"/>
    <w:rsid w:val="00954148"/>
    <w:rsid w:val="00954378"/>
    <w:rsid w:val="0095485F"/>
    <w:rsid w:val="00954D4E"/>
    <w:rsid w:val="00955423"/>
    <w:rsid w:val="00955786"/>
    <w:rsid w:val="00955D93"/>
    <w:rsid w:val="009579FC"/>
    <w:rsid w:val="009604A9"/>
    <w:rsid w:val="009613C5"/>
    <w:rsid w:val="00961E86"/>
    <w:rsid w:val="0096248E"/>
    <w:rsid w:val="009644AC"/>
    <w:rsid w:val="00964627"/>
    <w:rsid w:val="00964CEF"/>
    <w:rsid w:val="00965369"/>
    <w:rsid w:val="0096549C"/>
    <w:rsid w:val="009659E7"/>
    <w:rsid w:val="00965D18"/>
    <w:rsid w:val="00966069"/>
    <w:rsid w:val="0096691B"/>
    <w:rsid w:val="009700B2"/>
    <w:rsid w:val="009704FF"/>
    <w:rsid w:val="009710D8"/>
    <w:rsid w:val="0097177E"/>
    <w:rsid w:val="00971780"/>
    <w:rsid w:val="00971DFD"/>
    <w:rsid w:val="009720DB"/>
    <w:rsid w:val="00972CEB"/>
    <w:rsid w:val="0097311F"/>
    <w:rsid w:val="00974D17"/>
    <w:rsid w:val="009757BC"/>
    <w:rsid w:val="00975A34"/>
    <w:rsid w:val="0097600C"/>
    <w:rsid w:val="00976899"/>
    <w:rsid w:val="00977508"/>
    <w:rsid w:val="00977618"/>
    <w:rsid w:val="0098039D"/>
    <w:rsid w:val="00980998"/>
    <w:rsid w:val="00981CAD"/>
    <w:rsid w:val="00982532"/>
    <w:rsid w:val="00982B47"/>
    <w:rsid w:val="00982B51"/>
    <w:rsid w:val="00982C03"/>
    <w:rsid w:val="00983BC0"/>
    <w:rsid w:val="00985A98"/>
    <w:rsid w:val="00985AB1"/>
    <w:rsid w:val="009860F1"/>
    <w:rsid w:val="009862C3"/>
    <w:rsid w:val="009866A7"/>
    <w:rsid w:val="009869F1"/>
    <w:rsid w:val="00986A4A"/>
    <w:rsid w:val="00986AA2"/>
    <w:rsid w:val="00987086"/>
    <w:rsid w:val="00987376"/>
    <w:rsid w:val="0098767D"/>
    <w:rsid w:val="0098791D"/>
    <w:rsid w:val="00987A03"/>
    <w:rsid w:val="00987F4B"/>
    <w:rsid w:val="0099063F"/>
    <w:rsid w:val="00990FF8"/>
    <w:rsid w:val="009910D3"/>
    <w:rsid w:val="0099157F"/>
    <w:rsid w:val="00991692"/>
    <w:rsid w:val="00991F9D"/>
    <w:rsid w:val="0099263C"/>
    <w:rsid w:val="00992A26"/>
    <w:rsid w:val="009933F6"/>
    <w:rsid w:val="009952EC"/>
    <w:rsid w:val="009955C9"/>
    <w:rsid w:val="00995EC8"/>
    <w:rsid w:val="0099672A"/>
    <w:rsid w:val="00996856"/>
    <w:rsid w:val="00997299"/>
    <w:rsid w:val="009A167A"/>
    <w:rsid w:val="009A22C6"/>
    <w:rsid w:val="009A2B08"/>
    <w:rsid w:val="009A2DEB"/>
    <w:rsid w:val="009A2EB7"/>
    <w:rsid w:val="009A3283"/>
    <w:rsid w:val="009A4762"/>
    <w:rsid w:val="009A4A08"/>
    <w:rsid w:val="009A54AA"/>
    <w:rsid w:val="009A57EA"/>
    <w:rsid w:val="009A5F02"/>
    <w:rsid w:val="009B076E"/>
    <w:rsid w:val="009B2350"/>
    <w:rsid w:val="009B273D"/>
    <w:rsid w:val="009B3251"/>
    <w:rsid w:val="009B4ECF"/>
    <w:rsid w:val="009B617F"/>
    <w:rsid w:val="009C148E"/>
    <w:rsid w:val="009C2F5F"/>
    <w:rsid w:val="009C3DB9"/>
    <w:rsid w:val="009C453A"/>
    <w:rsid w:val="009C572B"/>
    <w:rsid w:val="009C65D6"/>
    <w:rsid w:val="009C6A77"/>
    <w:rsid w:val="009C6B57"/>
    <w:rsid w:val="009C78E7"/>
    <w:rsid w:val="009C7F6F"/>
    <w:rsid w:val="009C7FC2"/>
    <w:rsid w:val="009D01F7"/>
    <w:rsid w:val="009D0585"/>
    <w:rsid w:val="009D17D3"/>
    <w:rsid w:val="009D21BF"/>
    <w:rsid w:val="009D32F8"/>
    <w:rsid w:val="009D4FC3"/>
    <w:rsid w:val="009D6322"/>
    <w:rsid w:val="009D7754"/>
    <w:rsid w:val="009D791C"/>
    <w:rsid w:val="009D7CA9"/>
    <w:rsid w:val="009D7CBA"/>
    <w:rsid w:val="009D7DE4"/>
    <w:rsid w:val="009E08C3"/>
    <w:rsid w:val="009E0B19"/>
    <w:rsid w:val="009E0E8F"/>
    <w:rsid w:val="009E0F0D"/>
    <w:rsid w:val="009E1814"/>
    <w:rsid w:val="009E1BA1"/>
    <w:rsid w:val="009E209A"/>
    <w:rsid w:val="009E2BC2"/>
    <w:rsid w:val="009E33A3"/>
    <w:rsid w:val="009E491C"/>
    <w:rsid w:val="009E49B4"/>
    <w:rsid w:val="009E564A"/>
    <w:rsid w:val="009E6900"/>
    <w:rsid w:val="009E6AE8"/>
    <w:rsid w:val="009E6E4E"/>
    <w:rsid w:val="009F009E"/>
    <w:rsid w:val="009F0186"/>
    <w:rsid w:val="009F04DB"/>
    <w:rsid w:val="009F1DC8"/>
    <w:rsid w:val="009F229A"/>
    <w:rsid w:val="009F2C08"/>
    <w:rsid w:val="009F3D7B"/>
    <w:rsid w:val="009F51AC"/>
    <w:rsid w:val="009F5235"/>
    <w:rsid w:val="009F5905"/>
    <w:rsid w:val="009F675F"/>
    <w:rsid w:val="009F683C"/>
    <w:rsid w:val="009F6C61"/>
    <w:rsid w:val="009F7CE9"/>
    <w:rsid w:val="00A00AB5"/>
    <w:rsid w:val="00A01654"/>
    <w:rsid w:val="00A01F5F"/>
    <w:rsid w:val="00A0271E"/>
    <w:rsid w:val="00A02B74"/>
    <w:rsid w:val="00A02BFD"/>
    <w:rsid w:val="00A03082"/>
    <w:rsid w:val="00A038ED"/>
    <w:rsid w:val="00A03CCF"/>
    <w:rsid w:val="00A03CD2"/>
    <w:rsid w:val="00A04B6B"/>
    <w:rsid w:val="00A04C1D"/>
    <w:rsid w:val="00A054C3"/>
    <w:rsid w:val="00A05C5B"/>
    <w:rsid w:val="00A06BBF"/>
    <w:rsid w:val="00A07DD8"/>
    <w:rsid w:val="00A1039B"/>
    <w:rsid w:val="00A11091"/>
    <w:rsid w:val="00A11EC4"/>
    <w:rsid w:val="00A1311A"/>
    <w:rsid w:val="00A14120"/>
    <w:rsid w:val="00A15626"/>
    <w:rsid w:val="00A16FE1"/>
    <w:rsid w:val="00A21C99"/>
    <w:rsid w:val="00A2214E"/>
    <w:rsid w:val="00A228AA"/>
    <w:rsid w:val="00A2422B"/>
    <w:rsid w:val="00A2572D"/>
    <w:rsid w:val="00A25ACE"/>
    <w:rsid w:val="00A26646"/>
    <w:rsid w:val="00A30385"/>
    <w:rsid w:val="00A30FF5"/>
    <w:rsid w:val="00A318F7"/>
    <w:rsid w:val="00A32077"/>
    <w:rsid w:val="00A322D7"/>
    <w:rsid w:val="00A32612"/>
    <w:rsid w:val="00A32895"/>
    <w:rsid w:val="00A329F7"/>
    <w:rsid w:val="00A3376A"/>
    <w:rsid w:val="00A347F0"/>
    <w:rsid w:val="00A34802"/>
    <w:rsid w:val="00A35812"/>
    <w:rsid w:val="00A3598A"/>
    <w:rsid w:val="00A35C76"/>
    <w:rsid w:val="00A35D36"/>
    <w:rsid w:val="00A362F4"/>
    <w:rsid w:val="00A36D6F"/>
    <w:rsid w:val="00A378AB"/>
    <w:rsid w:val="00A37CB3"/>
    <w:rsid w:val="00A40AEE"/>
    <w:rsid w:val="00A4150D"/>
    <w:rsid w:val="00A4393E"/>
    <w:rsid w:val="00A464AB"/>
    <w:rsid w:val="00A47C3A"/>
    <w:rsid w:val="00A47F83"/>
    <w:rsid w:val="00A508ED"/>
    <w:rsid w:val="00A509A5"/>
    <w:rsid w:val="00A50AEF"/>
    <w:rsid w:val="00A52249"/>
    <w:rsid w:val="00A53E20"/>
    <w:rsid w:val="00A54C2F"/>
    <w:rsid w:val="00A55E10"/>
    <w:rsid w:val="00A56471"/>
    <w:rsid w:val="00A57D8F"/>
    <w:rsid w:val="00A57F61"/>
    <w:rsid w:val="00A60B48"/>
    <w:rsid w:val="00A60D92"/>
    <w:rsid w:val="00A60E54"/>
    <w:rsid w:val="00A619D1"/>
    <w:rsid w:val="00A62F56"/>
    <w:rsid w:val="00A63A8D"/>
    <w:rsid w:val="00A65948"/>
    <w:rsid w:val="00A66A11"/>
    <w:rsid w:val="00A66E73"/>
    <w:rsid w:val="00A67DF3"/>
    <w:rsid w:val="00A70843"/>
    <w:rsid w:val="00A70963"/>
    <w:rsid w:val="00A71306"/>
    <w:rsid w:val="00A71487"/>
    <w:rsid w:val="00A717A8"/>
    <w:rsid w:val="00A71B7D"/>
    <w:rsid w:val="00A727C8"/>
    <w:rsid w:val="00A73503"/>
    <w:rsid w:val="00A74894"/>
    <w:rsid w:val="00A75244"/>
    <w:rsid w:val="00A7560D"/>
    <w:rsid w:val="00A756C6"/>
    <w:rsid w:val="00A76856"/>
    <w:rsid w:val="00A80495"/>
    <w:rsid w:val="00A80D47"/>
    <w:rsid w:val="00A812AF"/>
    <w:rsid w:val="00A82601"/>
    <w:rsid w:val="00A82A40"/>
    <w:rsid w:val="00A82A58"/>
    <w:rsid w:val="00A8317E"/>
    <w:rsid w:val="00A83BA4"/>
    <w:rsid w:val="00A83E3B"/>
    <w:rsid w:val="00A83E7E"/>
    <w:rsid w:val="00A84159"/>
    <w:rsid w:val="00A84C73"/>
    <w:rsid w:val="00A85AE2"/>
    <w:rsid w:val="00A85B6B"/>
    <w:rsid w:val="00A85CC8"/>
    <w:rsid w:val="00A863FA"/>
    <w:rsid w:val="00A86519"/>
    <w:rsid w:val="00A86D0E"/>
    <w:rsid w:val="00A90E6D"/>
    <w:rsid w:val="00A9139A"/>
    <w:rsid w:val="00A91468"/>
    <w:rsid w:val="00A93637"/>
    <w:rsid w:val="00A93C4C"/>
    <w:rsid w:val="00A94F4F"/>
    <w:rsid w:val="00A95D21"/>
    <w:rsid w:val="00A95E1B"/>
    <w:rsid w:val="00A9686B"/>
    <w:rsid w:val="00A96C1B"/>
    <w:rsid w:val="00A97867"/>
    <w:rsid w:val="00A97D07"/>
    <w:rsid w:val="00AA028E"/>
    <w:rsid w:val="00AA0338"/>
    <w:rsid w:val="00AA0769"/>
    <w:rsid w:val="00AA0FEF"/>
    <w:rsid w:val="00AA2B7A"/>
    <w:rsid w:val="00AA2C39"/>
    <w:rsid w:val="00AA3789"/>
    <w:rsid w:val="00AA3E41"/>
    <w:rsid w:val="00AA550A"/>
    <w:rsid w:val="00AB1E1D"/>
    <w:rsid w:val="00AB1FA2"/>
    <w:rsid w:val="00AB27A8"/>
    <w:rsid w:val="00AB2F53"/>
    <w:rsid w:val="00AB3535"/>
    <w:rsid w:val="00AB388E"/>
    <w:rsid w:val="00AB3FE1"/>
    <w:rsid w:val="00AB4343"/>
    <w:rsid w:val="00AB45C5"/>
    <w:rsid w:val="00AB5199"/>
    <w:rsid w:val="00AB60B1"/>
    <w:rsid w:val="00AB6A88"/>
    <w:rsid w:val="00AB6C6C"/>
    <w:rsid w:val="00AB6F4F"/>
    <w:rsid w:val="00AB78BF"/>
    <w:rsid w:val="00AC00E9"/>
    <w:rsid w:val="00AC175E"/>
    <w:rsid w:val="00AC187E"/>
    <w:rsid w:val="00AC2775"/>
    <w:rsid w:val="00AC3EE9"/>
    <w:rsid w:val="00AC444E"/>
    <w:rsid w:val="00AC4F1D"/>
    <w:rsid w:val="00AC643E"/>
    <w:rsid w:val="00AC755E"/>
    <w:rsid w:val="00AC77E8"/>
    <w:rsid w:val="00AC7B1B"/>
    <w:rsid w:val="00AD043E"/>
    <w:rsid w:val="00AD0E7E"/>
    <w:rsid w:val="00AD2684"/>
    <w:rsid w:val="00AD27B4"/>
    <w:rsid w:val="00AD2ABF"/>
    <w:rsid w:val="00AD34CB"/>
    <w:rsid w:val="00AD39F9"/>
    <w:rsid w:val="00AD584E"/>
    <w:rsid w:val="00AD59F8"/>
    <w:rsid w:val="00AD5FA9"/>
    <w:rsid w:val="00AD64BE"/>
    <w:rsid w:val="00AD6576"/>
    <w:rsid w:val="00AD723B"/>
    <w:rsid w:val="00AD770D"/>
    <w:rsid w:val="00AE0F2A"/>
    <w:rsid w:val="00AE12B0"/>
    <w:rsid w:val="00AE188D"/>
    <w:rsid w:val="00AE2B4D"/>
    <w:rsid w:val="00AE4100"/>
    <w:rsid w:val="00AE555B"/>
    <w:rsid w:val="00AE5C30"/>
    <w:rsid w:val="00AE64C9"/>
    <w:rsid w:val="00AE684B"/>
    <w:rsid w:val="00AE70EF"/>
    <w:rsid w:val="00AE7886"/>
    <w:rsid w:val="00AE7E1C"/>
    <w:rsid w:val="00AF0C79"/>
    <w:rsid w:val="00AF11FB"/>
    <w:rsid w:val="00AF1AC3"/>
    <w:rsid w:val="00AF1F1A"/>
    <w:rsid w:val="00AF20CA"/>
    <w:rsid w:val="00AF23D1"/>
    <w:rsid w:val="00AF32E6"/>
    <w:rsid w:val="00AF3C11"/>
    <w:rsid w:val="00AF3E59"/>
    <w:rsid w:val="00AF41ED"/>
    <w:rsid w:val="00AF4219"/>
    <w:rsid w:val="00AF5714"/>
    <w:rsid w:val="00AF5E5A"/>
    <w:rsid w:val="00AF6761"/>
    <w:rsid w:val="00AF68D5"/>
    <w:rsid w:val="00AF6E33"/>
    <w:rsid w:val="00AF75BD"/>
    <w:rsid w:val="00AF7C74"/>
    <w:rsid w:val="00B00300"/>
    <w:rsid w:val="00B004CB"/>
    <w:rsid w:val="00B00662"/>
    <w:rsid w:val="00B00FCF"/>
    <w:rsid w:val="00B0103B"/>
    <w:rsid w:val="00B017E5"/>
    <w:rsid w:val="00B0269C"/>
    <w:rsid w:val="00B02821"/>
    <w:rsid w:val="00B0465C"/>
    <w:rsid w:val="00B06002"/>
    <w:rsid w:val="00B064BD"/>
    <w:rsid w:val="00B06872"/>
    <w:rsid w:val="00B07FAD"/>
    <w:rsid w:val="00B103C0"/>
    <w:rsid w:val="00B11BC0"/>
    <w:rsid w:val="00B13DBA"/>
    <w:rsid w:val="00B142A6"/>
    <w:rsid w:val="00B14EF5"/>
    <w:rsid w:val="00B15328"/>
    <w:rsid w:val="00B159A8"/>
    <w:rsid w:val="00B16723"/>
    <w:rsid w:val="00B16D8A"/>
    <w:rsid w:val="00B2086B"/>
    <w:rsid w:val="00B21D14"/>
    <w:rsid w:val="00B21F85"/>
    <w:rsid w:val="00B22F79"/>
    <w:rsid w:val="00B241BD"/>
    <w:rsid w:val="00B24B35"/>
    <w:rsid w:val="00B24D1D"/>
    <w:rsid w:val="00B25D95"/>
    <w:rsid w:val="00B263DE"/>
    <w:rsid w:val="00B264E6"/>
    <w:rsid w:val="00B27706"/>
    <w:rsid w:val="00B3014C"/>
    <w:rsid w:val="00B30966"/>
    <w:rsid w:val="00B313B6"/>
    <w:rsid w:val="00B31960"/>
    <w:rsid w:val="00B31972"/>
    <w:rsid w:val="00B3253A"/>
    <w:rsid w:val="00B327E7"/>
    <w:rsid w:val="00B34582"/>
    <w:rsid w:val="00B34E8C"/>
    <w:rsid w:val="00B3649F"/>
    <w:rsid w:val="00B41972"/>
    <w:rsid w:val="00B41E81"/>
    <w:rsid w:val="00B42145"/>
    <w:rsid w:val="00B42F5D"/>
    <w:rsid w:val="00B42FC6"/>
    <w:rsid w:val="00B43097"/>
    <w:rsid w:val="00B43184"/>
    <w:rsid w:val="00B44ED9"/>
    <w:rsid w:val="00B45127"/>
    <w:rsid w:val="00B455FE"/>
    <w:rsid w:val="00B45779"/>
    <w:rsid w:val="00B4695C"/>
    <w:rsid w:val="00B46BB0"/>
    <w:rsid w:val="00B47148"/>
    <w:rsid w:val="00B4733D"/>
    <w:rsid w:val="00B47C1D"/>
    <w:rsid w:val="00B50DF8"/>
    <w:rsid w:val="00B5194C"/>
    <w:rsid w:val="00B51D0D"/>
    <w:rsid w:val="00B526CA"/>
    <w:rsid w:val="00B5281A"/>
    <w:rsid w:val="00B53840"/>
    <w:rsid w:val="00B53AA5"/>
    <w:rsid w:val="00B53B32"/>
    <w:rsid w:val="00B54502"/>
    <w:rsid w:val="00B54D19"/>
    <w:rsid w:val="00B5525F"/>
    <w:rsid w:val="00B5544F"/>
    <w:rsid w:val="00B56133"/>
    <w:rsid w:val="00B56B56"/>
    <w:rsid w:val="00B56B63"/>
    <w:rsid w:val="00B57534"/>
    <w:rsid w:val="00B6066D"/>
    <w:rsid w:val="00B6075E"/>
    <w:rsid w:val="00B612F2"/>
    <w:rsid w:val="00B6184E"/>
    <w:rsid w:val="00B61DAF"/>
    <w:rsid w:val="00B63826"/>
    <w:rsid w:val="00B63BD8"/>
    <w:rsid w:val="00B64001"/>
    <w:rsid w:val="00B6417C"/>
    <w:rsid w:val="00B6437F"/>
    <w:rsid w:val="00B672EE"/>
    <w:rsid w:val="00B673F3"/>
    <w:rsid w:val="00B675E7"/>
    <w:rsid w:val="00B703B7"/>
    <w:rsid w:val="00B70489"/>
    <w:rsid w:val="00B7081A"/>
    <w:rsid w:val="00B7199D"/>
    <w:rsid w:val="00B71FD5"/>
    <w:rsid w:val="00B7214C"/>
    <w:rsid w:val="00B72CA5"/>
    <w:rsid w:val="00B730E0"/>
    <w:rsid w:val="00B7349E"/>
    <w:rsid w:val="00B75FA0"/>
    <w:rsid w:val="00B76294"/>
    <w:rsid w:val="00B76417"/>
    <w:rsid w:val="00B76E4A"/>
    <w:rsid w:val="00B773BB"/>
    <w:rsid w:val="00B80740"/>
    <w:rsid w:val="00B808FA"/>
    <w:rsid w:val="00B80C2A"/>
    <w:rsid w:val="00B81657"/>
    <w:rsid w:val="00B827D7"/>
    <w:rsid w:val="00B82C9C"/>
    <w:rsid w:val="00B836FF"/>
    <w:rsid w:val="00B83821"/>
    <w:rsid w:val="00B84124"/>
    <w:rsid w:val="00B84C6D"/>
    <w:rsid w:val="00B85204"/>
    <w:rsid w:val="00B8563B"/>
    <w:rsid w:val="00B857EE"/>
    <w:rsid w:val="00B870D7"/>
    <w:rsid w:val="00B8773D"/>
    <w:rsid w:val="00B9007C"/>
    <w:rsid w:val="00B90B4C"/>
    <w:rsid w:val="00B91DF9"/>
    <w:rsid w:val="00B9295E"/>
    <w:rsid w:val="00B929AF"/>
    <w:rsid w:val="00B93D17"/>
    <w:rsid w:val="00B949B5"/>
    <w:rsid w:val="00B95670"/>
    <w:rsid w:val="00B9631B"/>
    <w:rsid w:val="00B96DCB"/>
    <w:rsid w:val="00BA0343"/>
    <w:rsid w:val="00BA0482"/>
    <w:rsid w:val="00BA0AF9"/>
    <w:rsid w:val="00BA16BA"/>
    <w:rsid w:val="00BA26DF"/>
    <w:rsid w:val="00BA38DB"/>
    <w:rsid w:val="00BA3BAB"/>
    <w:rsid w:val="00BA41D4"/>
    <w:rsid w:val="00BA4F02"/>
    <w:rsid w:val="00BA5378"/>
    <w:rsid w:val="00BA5437"/>
    <w:rsid w:val="00BA57BE"/>
    <w:rsid w:val="00BA6752"/>
    <w:rsid w:val="00BA69DD"/>
    <w:rsid w:val="00BA6D7E"/>
    <w:rsid w:val="00BA7EB3"/>
    <w:rsid w:val="00BA7FF0"/>
    <w:rsid w:val="00BB0516"/>
    <w:rsid w:val="00BB0823"/>
    <w:rsid w:val="00BB1B94"/>
    <w:rsid w:val="00BB40BA"/>
    <w:rsid w:val="00BB54C5"/>
    <w:rsid w:val="00BB63ED"/>
    <w:rsid w:val="00BB74B0"/>
    <w:rsid w:val="00BB761E"/>
    <w:rsid w:val="00BC06B3"/>
    <w:rsid w:val="00BC06E5"/>
    <w:rsid w:val="00BC0BC9"/>
    <w:rsid w:val="00BC0C23"/>
    <w:rsid w:val="00BC0D60"/>
    <w:rsid w:val="00BC0F75"/>
    <w:rsid w:val="00BC20F4"/>
    <w:rsid w:val="00BC378F"/>
    <w:rsid w:val="00BC5759"/>
    <w:rsid w:val="00BC5E2B"/>
    <w:rsid w:val="00BC6280"/>
    <w:rsid w:val="00BC6341"/>
    <w:rsid w:val="00BC6762"/>
    <w:rsid w:val="00BC6AA7"/>
    <w:rsid w:val="00BC6FF4"/>
    <w:rsid w:val="00BC72DC"/>
    <w:rsid w:val="00BC74FD"/>
    <w:rsid w:val="00BC77C3"/>
    <w:rsid w:val="00BC77D2"/>
    <w:rsid w:val="00BC7CEC"/>
    <w:rsid w:val="00BD43F5"/>
    <w:rsid w:val="00BD5BC1"/>
    <w:rsid w:val="00BD5FB0"/>
    <w:rsid w:val="00BD67F7"/>
    <w:rsid w:val="00BD7C62"/>
    <w:rsid w:val="00BD7E37"/>
    <w:rsid w:val="00BE09D3"/>
    <w:rsid w:val="00BE0EB6"/>
    <w:rsid w:val="00BE4197"/>
    <w:rsid w:val="00BE471D"/>
    <w:rsid w:val="00BE48CC"/>
    <w:rsid w:val="00BE4BCE"/>
    <w:rsid w:val="00BE4CEF"/>
    <w:rsid w:val="00BE537C"/>
    <w:rsid w:val="00BE632C"/>
    <w:rsid w:val="00BE6627"/>
    <w:rsid w:val="00BE67B6"/>
    <w:rsid w:val="00BE6F8B"/>
    <w:rsid w:val="00BE7E07"/>
    <w:rsid w:val="00BF07C4"/>
    <w:rsid w:val="00BF109A"/>
    <w:rsid w:val="00BF18FE"/>
    <w:rsid w:val="00BF2F05"/>
    <w:rsid w:val="00BF2F2D"/>
    <w:rsid w:val="00BF3DDD"/>
    <w:rsid w:val="00BF4033"/>
    <w:rsid w:val="00BF4CF1"/>
    <w:rsid w:val="00BF4D1C"/>
    <w:rsid w:val="00BF5947"/>
    <w:rsid w:val="00BF5F74"/>
    <w:rsid w:val="00BF64FB"/>
    <w:rsid w:val="00BF671E"/>
    <w:rsid w:val="00BF69B0"/>
    <w:rsid w:val="00BF71F9"/>
    <w:rsid w:val="00BF7239"/>
    <w:rsid w:val="00C00DC1"/>
    <w:rsid w:val="00C017D2"/>
    <w:rsid w:val="00C01E49"/>
    <w:rsid w:val="00C026E6"/>
    <w:rsid w:val="00C02A6F"/>
    <w:rsid w:val="00C02CD4"/>
    <w:rsid w:val="00C038C5"/>
    <w:rsid w:val="00C03E41"/>
    <w:rsid w:val="00C046A4"/>
    <w:rsid w:val="00C04FD7"/>
    <w:rsid w:val="00C05874"/>
    <w:rsid w:val="00C06118"/>
    <w:rsid w:val="00C07571"/>
    <w:rsid w:val="00C07C07"/>
    <w:rsid w:val="00C07D4F"/>
    <w:rsid w:val="00C07DC2"/>
    <w:rsid w:val="00C104A0"/>
    <w:rsid w:val="00C10E45"/>
    <w:rsid w:val="00C11817"/>
    <w:rsid w:val="00C11C2F"/>
    <w:rsid w:val="00C12D2A"/>
    <w:rsid w:val="00C13C90"/>
    <w:rsid w:val="00C13FD2"/>
    <w:rsid w:val="00C15793"/>
    <w:rsid w:val="00C16D93"/>
    <w:rsid w:val="00C17FFC"/>
    <w:rsid w:val="00C208B6"/>
    <w:rsid w:val="00C208C8"/>
    <w:rsid w:val="00C20D32"/>
    <w:rsid w:val="00C22177"/>
    <w:rsid w:val="00C237F7"/>
    <w:rsid w:val="00C2396C"/>
    <w:rsid w:val="00C23A1F"/>
    <w:rsid w:val="00C23CC0"/>
    <w:rsid w:val="00C24FE6"/>
    <w:rsid w:val="00C25C6D"/>
    <w:rsid w:val="00C25D2B"/>
    <w:rsid w:val="00C2761F"/>
    <w:rsid w:val="00C32CEB"/>
    <w:rsid w:val="00C3341E"/>
    <w:rsid w:val="00C33D61"/>
    <w:rsid w:val="00C35405"/>
    <w:rsid w:val="00C3565C"/>
    <w:rsid w:val="00C35C41"/>
    <w:rsid w:val="00C35FDF"/>
    <w:rsid w:val="00C361FB"/>
    <w:rsid w:val="00C362F5"/>
    <w:rsid w:val="00C365B4"/>
    <w:rsid w:val="00C36932"/>
    <w:rsid w:val="00C36F1F"/>
    <w:rsid w:val="00C4054E"/>
    <w:rsid w:val="00C406C2"/>
    <w:rsid w:val="00C41B03"/>
    <w:rsid w:val="00C41E84"/>
    <w:rsid w:val="00C430A3"/>
    <w:rsid w:val="00C442EE"/>
    <w:rsid w:val="00C4477F"/>
    <w:rsid w:val="00C44A40"/>
    <w:rsid w:val="00C44D66"/>
    <w:rsid w:val="00C45A7B"/>
    <w:rsid w:val="00C46052"/>
    <w:rsid w:val="00C46378"/>
    <w:rsid w:val="00C464F3"/>
    <w:rsid w:val="00C46B74"/>
    <w:rsid w:val="00C47725"/>
    <w:rsid w:val="00C477B1"/>
    <w:rsid w:val="00C47EAF"/>
    <w:rsid w:val="00C50357"/>
    <w:rsid w:val="00C50389"/>
    <w:rsid w:val="00C506C4"/>
    <w:rsid w:val="00C50DC1"/>
    <w:rsid w:val="00C50F86"/>
    <w:rsid w:val="00C51461"/>
    <w:rsid w:val="00C517A7"/>
    <w:rsid w:val="00C51A9B"/>
    <w:rsid w:val="00C51E37"/>
    <w:rsid w:val="00C5286D"/>
    <w:rsid w:val="00C54482"/>
    <w:rsid w:val="00C55BB8"/>
    <w:rsid w:val="00C56028"/>
    <w:rsid w:val="00C56244"/>
    <w:rsid w:val="00C576B0"/>
    <w:rsid w:val="00C577C7"/>
    <w:rsid w:val="00C579D1"/>
    <w:rsid w:val="00C60A62"/>
    <w:rsid w:val="00C6171B"/>
    <w:rsid w:val="00C61D45"/>
    <w:rsid w:val="00C621EF"/>
    <w:rsid w:val="00C62BD4"/>
    <w:rsid w:val="00C64674"/>
    <w:rsid w:val="00C65E77"/>
    <w:rsid w:val="00C66F75"/>
    <w:rsid w:val="00C67B80"/>
    <w:rsid w:val="00C722E2"/>
    <w:rsid w:val="00C73430"/>
    <w:rsid w:val="00C73C1B"/>
    <w:rsid w:val="00C74B49"/>
    <w:rsid w:val="00C75485"/>
    <w:rsid w:val="00C75A45"/>
    <w:rsid w:val="00C75E22"/>
    <w:rsid w:val="00C76084"/>
    <w:rsid w:val="00C764B3"/>
    <w:rsid w:val="00C766B6"/>
    <w:rsid w:val="00C76B32"/>
    <w:rsid w:val="00C8061E"/>
    <w:rsid w:val="00C806D7"/>
    <w:rsid w:val="00C808EE"/>
    <w:rsid w:val="00C80B62"/>
    <w:rsid w:val="00C811BF"/>
    <w:rsid w:val="00C82072"/>
    <w:rsid w:val="00C82433"/>
    <w:rsid w:val="00C83C09"/>
    <w:rsid w:val="00C85519"/>
    <w:rsid w:val="00C86026"/>
    <w:rsid w:val="00C8657D"/>
    <w:rsid w:val="00C86D26"/>
    <w:rsid w:val="00C8774B"/>
    <w:rsid w:val="00C878BA"/>
    <w:rsid w:val="00C9027A"/>
    <w:rsid w:val="00C90311"/>
    <w:rsid w:val="00C90797"/>
    <w:rsid w:val="00C909EF"/>
    <w:rsid w:val="00C90F39"/>
    <w:rsid w:val="00C93535"/>
    <w:rsid w:val="00C93C87"/>
    <w:rsid w:val="00C96229"/>
    <w:rsid w:val="00C971BD"/>
    <w:rsid w:val="00C971DA"/>
    <w:rsid w:val="00CA0814"/>
    <w:rsid w:val="00CA178C"/>
    <w:rsid w:val="00CA28CE"/>
    <w:rsid w:val="00CA2E5A"/>
    <w:rsid w:val="00CA3110"/>
    <w:rsid w:val="00CA43C6"/>
    <w:rsid w:val="00CA4C88"/>
    <w:rsid w:val="00CA599D"/>
    <w:rsid w:val="00CA64FC"/>
    <w:rsid w:val="00CA67E0"/>
    <w:rsid w:val="00CA6B15"/>
    <w:rsid w:val="00CA7530"/>
    <w:rsid w:val="00CB07A3"/>
    <w:rsid w:val="00CB0884"/>
    <w:rsid w:val="00CB16AB"/>
    <w:rsid w:val="00CB1F10"/>
    <w:rsid w:val="00CB2C89"/>
    <w:rsid w:val="00CB2D32"/>
    <w:rsid w:val="00CB2F51"/>
    <w:rsid w:val="00CB3924"/>
    <w:rsid w:val="00CB49AD"/>
    <w:rsid w:val="00CB6057"/>
    <w:rsid w:val="00CB6FAF"/>
    <w:rsid w:val="00CB712F"/>
    <w:rsid w:val="00CB7C23"/>
    <w:rsid w:val="00CB7CB3"/>
    <w:rsid w:val="00CC07C9"/>
    <w:rsid w:val="00CC0A06"/>
    <w:rsid w:val="00CC111D"/>
    <w:rsid w:val="00CC12F2"/>
    <w:rsid w:val="00CC2315"/>
    <w:rsid w:val="00CC2C3E"/>
    <w:rsid w:val="00CC50FC"/>
    <w:rsid w:val="00CC56F9"/>
    <w:rsid w:val="00CC5DBC"/>
    <w:rsid w:val="00CC5F68"/>
    <w:rsid w:val="00CC76D9"/>
    <w:rsid w:val="00CD03FD"/>
    <w:rsid w:val="00CD068A"/>
    <w:rsid w:val="00CD08E0"/>
    <w:rsid w:val="00CD13A9"/>
    <w:rsid w:val="00CD1DB1"/>
    <w:rsid w:val="00CD3157"/>
    <w:rsid w:val="00CD31FB"/>
    <w:rsid w:val="00CD4422"/>
    <w:rsid w:val="00CD4A8C"/>
    <w:rsid w:val="00CD52FE"/>
    <w:rsid w:val="00CD65E8"/>
    <w:rsid w:val="00CD6C4F"/>
    <w:rsid w:val="00CD7517"/>
    <w:rsid w:val="00CD7727"/>
    <w:rsid w:val="00CD798C"/>
    <w:rsid w:val="00CD7CF0"/>
    <w:rsid w:val="00CE0B67"/>
    <w:rsid w:val="00CE1011"/>
    <w:rsid w:val="00CE1CBA"/>
    <w:rsid w:val="00CE2CE0"/>
    <w:rsid w:val="00CE39DF"/>
    <w:rsid w:val="00CE3DE2"/>
    <w:rsid w:val="00CE510A"/>
    <w:rsid w:val="00CE64E8"/>
    <w:rsid w:val="00CE685D"/>
    <w:rsid w:val="00CE69B7"/>
    <w:rsid w:val="00CE6D50"/>
    <w:rsid w:val="00CF035F"/>
    <w:rsid w:val="00CF06D4"/>
    <w:rsid w:val="00CF172C"/>
    <w:rsid w:val="00CF2375"/>
    <w:rsid w:val="00CF2CFC"/>
    <w:rsid w:val="00CF3058"/>
    <w:rsid w:val="00CF49F2"/>
    <w:rsid w:val="00CF651C"/>
    <w:rsid w:val="00CF711A"/>
    <w:rsid w:val="00CF7A6F"/>
    <w:rsid w:val="00D0024A"/>
    <w:rsid w:val="00D0034E"/>
    <w:rsid w:val="00D004C7"/>
    <w:rsid w:val="00D009EB"/>
    <w:rsid w:val="00D012F6"/>
    <w:rsid w:val="00D01BDD"/>
    <w:rsid w:val="00D01D07"/>
    <w:rsid w:val="00D02502"/>
    <w:rsid w:val="00D03618"/>
    <w:rsid w:val="00D03D85"/>
    <w:rsid w:val="00D04E5C"/>
    <w:rsid w:val="00D05573"/>
    <w:rsid w:val="00D05B63"/>
    <w:rsid w:val="00D0636D"/>
    <w:rsid w:val="00D0667C"/>
    <w:rsid w:val="00D0772D"/>
    <w:rsid w:val="00D07E00"/>
    <w:rsid w:val="00D100A2"/>
    <w:rsid w:val="00D100D6"/>
    <w:rsid w:val="00D10734"/>
    <w:rsid w:val="00D10C44"/>
    <w:rsid w:val="00D11111"/>
    <w:rsid w:val="00D11251"/>
    <w:rsid w:val="00D11B31"/>
    <w:rsid w:val="00D11D3E"/>
    <w:rsid w:val="00D12409"/>
    <w:rsid w:val="00D12AB1"/>
    <w:rsid w:val="00D13C44"/>
    <w:rsid w:val="00D14E4D"/>
    <w:rsid w:val="00D15072"/>
    <w:rsid w:val="00D150DA"/>
    <w:rsid w:val="00D1529C"/>
    <w:rsid w:val="00D154B2"/>
    <w:rsid w:val="00D16BC1"/>
    <w:rsid w:val="00D16E0B"/>
    <w:rsid w:val="00D16ED8"/>
    <w:rsid w:val="00D16FF3"/>
    <w:rsid w:val="00D206D8"/>
    <w:rsid w:val="00D20E76"/>
    <w:rsid w:val="00D21026"/>
    <w:rsid w:val="00D21641"/>
    <w:rsid w:val="00D216E6"/>
    <w:rsid w:val="00D22174"/>
    <w:rsid w:val="00D22257"/>
    <w:rsid w:val="00D22642"/>
    <w:rsid w:val="00D2655B"/>
    <w:rsid w:val="00D300D5"/>
    <w:rsid w:val="00D316B7"/>
    <w:rsid w:val="00D31A6F"/>
    <w:rsid w:val="00D32546"/>
    <w:rsid w:val="00D3407A"/>
    <w:rsid w:val="00D345BD"/>
    <w:rsid w:val="00D35C30"/>
    <w:rsid w:val="00D36E20"/>
    <w:rsid w:val="00D37470"/>
    <w:rsid w:val="00D37706"/>
    <w:rsid w:val="00D406B8"/>
    <w:rsid w:val="00D414DB"/>
    <w:rsid w:val="00D422C1"/>
    <w:rsid w:val="00D42784"/>
    <w:rsid w:val="00D43991"/>
    <w:rsid w:val="00D44222"/>
    <w:rsid w:val="00D46C73"/>
    <w:rsid w:val="00D47016"/>
    <w:rsid w:val="00D4744C"/>
    <w:rsid w:val="00D51B6C"/>
    <w:rsid w:val="00D52D15"/>
    <w:rsid w:val="00D52E93"/>
    <w:rsid w:val="00D538CD"/>
    <w:rsid w:val="00D54C56"/>
    <w:rsid w:val="00D55EA5"/>
    <w:rsid w:val="00D5626C"/>
    <w:rsid w:val="00D56A5E"/>
    <w:rsid w:val="00D571F9"/>
    <w:rsid w:val="00D6006E"/>
    <w:rsid w:val="00D60EFE"/>
    <w:rsid w:val="00D611F0"/>
    <w:rsid w:val="00D62B27"/>
    <w:rsid w:val="00D62BA2"/>
    <w:rsid w:val="00D62CA2"/>
    <w:rsid w:val="00D63883"/>
    <w:rsid w:val="00D63AF4"/>
    <w:rsid w:val="00D64601"/>
    <w:rsid w:val="00D66780"/>
    <w:rsid w:val="00D70F4F"/>
    <w:rsid w:val="00D7114C"/>
    <w:rsid w:val="00D71AF9"/>
    <w:rsid w:val="00D72653"/>
    <w:rsid w:val="00D72C60"/>
    <w:rsid w:val="00D73898"/>
    <w:rsid w:val="00D73F27"/>
    <w:rsid w:val="00D73FA0"/>
    <w:rsid w:val="00D74BA3"/>
    <w:rsid w:val="00D7578B"/>
    <w:rsid w:val="00D7768E"/>
    <w:rsid w:val="00D77F61"/>
    <w:rsid w:val="00D8061E"/>
    <w:rsid w:val="00D80DF0"/>
    <w:rsid w:val="00D8152C"/>
    <w:rsid w:val="00D8171A"/>
    <w:rsid w:val="00D818B9"/>
    <w:rsid w:val="00D82000"/>
    <w:rsid w:val="00D8291A"/>
    <w:rsid w:val="00D83297"/>
    <w:rsid w:val="00D83A05"/>
    <w:rsid w:val="00D8462D"/>
    <w:rsid w:val="00D84DC3"/>
    <w:rsid w:val="00D84E69"/>
    <w:rsid w:val="00D85421"/>
    <w:rsid w:val="00D85AAF"/>
    <w:rsid w:val="00D8632F"/>
    <w:rsid w:val="00D865E4"/>
    <w:rsid w:val="00D86BEF"/>
    <w:rsid w:val="00D87245"/>
    <w:rsid w:val="00D87EBC"/>
    <w:rsid w:val="00D900A1"/>
    <w:rsid w:val="00D9083A"/>
    <w:rsid w:val="00D90C35"/>
    <w:rsid w:val="00D9124D"/>
    <w:rsid w:val="00D93377"/>
    <w:rsid w:val="00D9439C"/>
    <w:rsid w:val="00D9492C"/>
    <w:rsid w:val="00D964B4"/>
    <w:rsid w:val="00D96B1C"/>
    <w:rsid w:val="00D97542"/>
    <w:rsid w:val="00DA11A3"/>
    <w:rsid w:val="00DA2512"/>
    <w:rsid w:val="00DA2554"/>
    <w:rsid w:val="00DA3B87"/>
    <w:rsid w:val="00DA41CF"/>
    <w:rsid w:val="00DA44FA"/>
    <w:rsid w:val="00DA4F49"/>
    <w:rsid w:val="00DA5021"/>
    <w:rsid w:val="00DA592C"/>
    <w:rsid w:val="00DA6156"/>
    <w:rsid w:val="00DB02A4"/>
    <w:rsid w:val="00DB110C"/>
    <w:rsid w:val="00DB14A8"/>
    <w:rsid w:val="00DB2588"/>
    <w:rsid w:val="00DB4494"/>
    <w:rsid w:val="00DB458C"/>
    <w:rsid w:val="00DB5278"/>
    <w:rsid w:val="00DB5FBF"/>
    <w:rsid w:val="00DC1C43"/>
    <w:rsid w:val="00DC3A61"/>
    <w:rsid w:val="00DC4301"/>
    <w:rsid w:val="00DC47B2"/>
    <w:rsid w:val="00DC4BA1"/>
    <w:rsid w:val="00DC5513"/>
    <w:rsid w:val="00DC58CC"/>
    <w:rsid w:val="00DC6275"/>
    <w:rsid w:val="00DC7977"/>
    <w:rsid w:val="00DD02A8"/>
    <w:rsid w:val="00DD0B2F"/>
    <w:rsid w:val="00DD137E"/>
    <w:rsid w:val="00DD1ABC"/>
    <w:rsid w:val="00DD1EE1"/>
    <w:rsid w:val="00DD305E"/>
    <w:rsid w:val="00DD32AC"/>
    <w:rsid w:val="00DD3835"/>
    <w:rsid w:val="00DD51A6"/>
    <w:rsid w:val="00DD6438"/>
    <w:rsid w:val="00DD6FB7"/>
    <w:rsid w:val="00DD70D8"/>
    <w:rsid w:val="00DD743D"/>
    <w:rsid w:val="00DE056C"/>
    <w:rsid w:val="00DE09D3"/>
    <w:rsid w:val="00DE0C98"/>
    <w:rsid w:val="00DE2663"/>
    <w:rsid w:val="00DE2B34"/>
    <w:rsid w:val="00DE34E3"/>
    <w:rsid w:val="00DE39DA"/>
    <w:rsid w:val="00DE3CAD"/>
    <w:rsid w:val="00DE4B7C"/>
    <w:rsid w:val="00DE53D8"/>
    <w:rsid w:val="00DE6A43"/>
    <w:rsid w:val="00DE7AA8"/>
    <w:rsid w:val="00DE7BF6"/>
    <w:rsid w:val="00DE7CFF"/>
    <w:rsid w:val="00DF0E43"/>
    <w:rsid w:val="00DF0EF9"/>
    <w:rsid w:val="00DF1A7E"/>
    <w:rsid w:val="00DF3371"/>
    <w:rsid w:val="00DF630B"/>
    <w:rsid w:val="00DF64DF"/>
    <w:rsid w:val="00E00AC6"/>
    <w:rsid w:val="00E00D5B"/>
    <w:rsid w:val="00E020A3"/>
    <w:rsid w:val="00E02338"/>
    <w:rsid w:val="00E0235B"/>
    <w:rsid w:val="00E0239A"/>
    <w:rsid w:val="00E02DF9"/>
    <w:rsid w:val="00E02E47"/>
    <w:rsid w:val="00E0396C"/>
    <w:rsid w:val="00E0419F"/>
    <w:rsid w:val="00E04BE3"/>
    <w:rsid w:val="00E05E56"/>
    <w:rsid w:val="00E05E63"/>
    <w:rsid w:val="00E069EF"/>
    <w:rsid w:val="00E06B02"/>
    <w:rsid w:val="00E06D4B"/>
    <w:rsid w:val="00E06E65"/>
    <w:rsid w:val="00E06F7E"/>
    <w:rsid w:val="00E10A9A"/>
    <w:rsid w:val="00E112CB"/>
    <w:rsid w:val="00E1340F"/>
    <w:rsid w:val="00E13560"/>
    <w:rsid w:val="00E14BAE"/>
    <w:rsid w:val="00E172CB"/>
    <w:rsid w:val="00E174BC"/>
    <w:rsid w:val="00E17677"/>
    <w:rsid w:val="00E200CF"/>
    <w:rsid w:val="00E21261"/>
    <w:rsid w:val="00E21D18"/>
    <w:rsid w:val="00E22357"/>
    <w:rsid w:val="00E24A9E"/>
    <w:rsid w:val="00E25526"/>
    <w:rsid w:val="00E255E1"/>
    <w:rsid w:val="00E25904"/>
    <w:rsid w:val="00E25DA4"/>
    <w:rsid w:val="00E26F74"/>
    <w:rsid w:val="00E27052"/>
    <w:rsid w:val="00E27239"/>
    <w:rsid w:val="00E275F3"/>
    <w:rsid w:val="00E27D61"/>
    <w:rsid w:val="00E30ACA"/>
    <w:rsid w:val="00E30E8D"/>
    <w:rsid w:val="00E30F85"/>
    <w:rsid w:val="00E31D05"/>
    <w:rsid w:val="00E332C5"/>
    <w:rsid w:val="00E343E3"/>
    <w:rsid w:val="00E3443B"/>
    <w:rsid w:val="00E34DA8"/>
    <w:rsid w:val="00E35598"/>
    <w:rsid w:val="00E35F87"/>
    <w:rsid w:val="00E363CA"/>
    <w:rsid w:val="00E36DFC"/>
    <w:rsid w:val="00E36E8F"/>
    <w:rsid w:val="00E36F56"/>
    <w:rsid w:val="00E40081"/>
    <w:rsid w:val="00E40823"/>
    <w:rsid w:val="00E4089E"/>
    <w:rsid w:val="00E40F64"/>
    <w:rsid w:val="00E42C21"/>
    <w:rsid w:val="00E43171"/>
    <w:rsid w:val="00E434B2"/>
    <w:rsid w:val="00E437CD"/>
    <w:rsid w:val="00E46B38"/>
    <w:rsid w:val="00E473D0"/>
    <w:rsid w:val="00E50534"/>
    <w:rsid w:val="00E5287C"/>
    <w:rsid w:val="00E5375C"/>
    <w:rsid w:val="00E5627D"/>
    <w:rsid w:val="00E600C1"/>
    <w:rsid w:val="00E6072B"/>
    <w:rsid w:val="00E60C13"/>
    <w:rsid w:val="00E614DB"/>
    <w:rsid w:val="00E62203"/>
    <w:rsid w:val="00E62FDC"/>
    <w:rsid w:val="00E631CF"/>
    <w:rsid w:val="00E63603"/>
    <w:rsid w:val="00E636D8"/>
    <w:rsid w:val="00E63A6A"/>
    <w:rsid w:val="00E63E75"/>
    <w:rsid w:val="00E6504D"/>
    <w:rsid w:val="00E659CF"/>
    <w:rsid w:val="00E65DCA"/>
    <w:rsid w:val="00E67C6C"/>
    <w:rsid w:val="00E70B50"/>
    <w:rsid w:val="00E70D56"/>
    <w:rsid w:val="00E72EA4"/>
    <w:rsid w:val="00E738BE"/>
    <w:rsid w:val="00E73BD2"/>
    <w:rsid w:val="00E7434D"/>
    <w:rsid w:val="00E74815"/>
    <w:rsid w:val="00E74F80"/>
    <w:rsid w:val="00E751E8"/>
    <w:rsid w:val="00E752E3"/>
    <w:rsid w:val="00E7536C"/>
    <w:rsid w:val="00E756F8"/>
    <w:rsid w:val="00E75A81"/>
    <w:rsid w:val="00E76045"/>
    <w:rsid w:val="00E818A1"/>
    <w:rsid w:val="00E81913"/>
    <w:rsid w:val="00E81CEB"/>
    <w:rsid w:val="00E827F4"/>
    <w:rsid w:val="00E83660"/>
    <w:rsid w:val="00E83685"/>
    <w:rsid w:val="00E84163"/>
    <w:rsid w:val="00E842E2"/>
    <w:rsid w:val="00E85189"/>
    <w:rsid w:val="00E853BD"/>
    <w:rsid w:val="00E854EF"/>
    <w:rsid w:val="00E85551"/>
    <w:rsid w:val="00E856A2"/>
    <w:rsid w:val="00E85905"/>
    <w:rsid w:val="00E85C9D"/>
    <w:rsid w:val="00E85E35"/>
    <w:rsid w:val="00E86856"/>
    <w:rsid w:val="00E87A4D"/>
    <w:rsid w:val="00E90295"/>
    <w:rsid w:val="00E91728"/>
    <w:rsid w:val="00E92215"/>
    <w:rsid w:val="00E92298"/>
    <w:rsid w:val="00E94DFF"/>
    <w:rsid w:val="00E95AAC"/>
    <w:rsid w:val="00E967C0"/>
    <w:rsid w:val="00E96C09"/>
    <w:rsid w:val="00EA008A"/>
    <w:rsid w:val="00EA0EA3"/>
    <w:rsid w:val="00EA1C52"/>
    <w:rsid w:val="00EA2535"/>
    <w:rsid w:val="00EA29EB"/>
    <w:rsid w:val="00EA31D2"/>
    <w:rsid w:val="00EA357F"/>
    <w:rsid w:val="00EA35E9"/>
    <w:rsid w:val="00EA57CC"/>
    <w:rsid w:val="00EA5AD3"/>
    <w:rsid w:val="00EA5DCC"/>
    <w:rsid w:val="00EA6475"/>
    <w:rsid w:val="00EA6739"/>
    <w:rsid w:val="00EA6E68"/>
    <w:rsid w:val="00EB1AD2"/>
    <w:rsid w:val="00EB1C74"/>
    <w:rsid w:val="00EB3A41"/>
    <w:rsid w:val="00EB3CF0"/>
    <w:rsid w:val="00EB3DA7"/>
    <w:rsid w:val="00EB457F"/>
    <w:rsid w:val="00EB4583"/>
    <w:rsid w:val="00EB6396"/>
    <w:rsid w:val="00EB664A"/>
    <w:rsid w:val="00EC0315"/>
    <w:rsid w:val="00EC1067"/>
    <w:rsid w:val="00EC1206"/>
    <w:rsid w:val="00EC1923"/>
    <w:rsid w:val="00EC1AC0"/>
    <w:rsid w:val="00EC1B5F"/>
    <w:rsid w:val="00EC1C0E"/>
    <w:rsid w:val="00EC3F4A"/>
    <w:rsid w:val="00EC4A05"/>
    <w:rsid w:val="00EC4BC8"/>
    <w:rsid w:val="00EC75B9"/>
    <w:rsid w:val="00ED0A20"/>
    <w:rsid w:val="00ED1B4C"/>
    <w:rsid w:val="00ED1E83"/>
    <w:rsid w:val="00ED20BF"/>
    <w:rsid w:val="00ED23C5"/>
    <w:rsid w:val="00ED28C8"/>
    <w:rsid w:val="00ED29EE"/>
    <w:rsid w:val="00ED35AA"/>
    <w:rsid w:val="00ED368B"/>
    <w:rsid w:val="00ED47DA"/>
    <w:rsid w:val="00ED5285"/>
    <w:rsid w:val="00ED577B"/>
    <w:rsid w:val="00ED5CAD"/>
    <w:rsid w:val="00ED6A73"/>
    <w:rsid w:val="00EE003B"/>
    <w:rsid w:val="00EE0196"/>
    <w:rsid w:val="00EE0FCF"/>
    <w:rsid w:val="00EE255A"/>
    <w:rsid w:val="00EE2B7E"/>
    <w:rsid w:val="00EE2BCF"/>
    <w:rsid w:val="00EE2D56"/>
    <w:rsid w:val="00EE3DC7"/>
    <w:rsid w:val="00EE5732"/>
    <w:rsid w:val="00EE5CE7"/>
    <w:rsid w:val="00EE5E67"/>
    <w:rsid w:val="00EE64EB"/>
    <w:rsid w:val="00EE6E5E"/>
    <w:rsid w:val="00EE7294"/>
    <w:rsid w:val="00EE7E60"/>
    <w:rsid w:val="00EF0536"/>
    <w:rsid w:val="00EF0648"/>
    <w:rsid w:val="00EF14AD"/>
    <w:rsid w:val="00EF1EAD"/>
    <w:rsid w:val="00EF2C35"/>
    <w:rsid w:val="00EF36CA"/>
    <w:rsid w:val="00EF3875"/>
    <w:rsid w:val="00EF3FA6"/>
    <w:rsid w:val="00EF4CB8"/>
    <w:rsid w:val="00EF4F3E"/>
    <w:rsid w:val="00EF5018"/>
    <w:rsid w:val="00EF5958"/>
    <w:rsid w:val="00EF6489"/>
    <w:rsid w:val="00EF68DD"/>
    <w:rsid w:val="00EF6C7D"/>
    <w:rsid w:val="00EF73DA"/>
    <w:rsid w:val="00F01415"/>
    <w:rsid w:val="00F02594"/>
    <w:rsid w:val="00F02792"/>
    <w:rsid w:val="00F03BF5"/>
    <w:rsid w:val="00F046E5"/>
    <w:rsid w:val="00F05D59"/>
    <w:rsid w:val="00F06704"/>
    <w:rsid w:val="00F06F2D"/>
    <w:rsid w:val="00F114D2"/>
    <w:rsid w:val="00F117CE"/>
    <w:rsid w:val="00F11F01"/>
    <w:rsid w:val="00F1265F"/>
    <w:rsid w:val="00F12977"/>
    <w:rsid w:val="00F133FF"/>
    <w:rsid w:val="00F134FF"/>
    <w:rsid w:val="00F13697"/>
    <w:rsid w:val="00F13BF4"/>
    <w:rsid w:val="00F13FB6"/>
    <w:rsid w:val="00F141DB"/>
    <w:rsid w:val="00F14350"/>
    <w:rsid w:val="00F14364"/>
    <w:rsid w:val="00F146B5"/>
    <w:rsid w:val="00F15D2B"/>
    <w:rsid w:val="00F15D46"/>
    <w:rsid w:val="00F16873"/>
    <w:rsid w:val="00F17574"/>
    <w:rsid w:val="00F17989"/>
    <w:rsid w:val="00F17CAD"/>
    <w:rsid w:val="00F210CD"/>
    <w:rsid w:val="00F21C6C"/>
    <w:rsid w:val="00F243C2"/>
    <w:rsid w:val="00F255C8"/>
    <w:rsid w:val="00F25A83"/>
    <w:rsid w:val="00F25AA8"/>
    <w:rsid w:val="00F26AA9"/>
    <w:rsid w:val="00F27074"/>
    <w:rsid w:val="00F27847"/>
    <w:rsid w:val="00F27C5B"/>
    <w:rsid w:val="00F30224"/>
    <w:rsid w:val="00F302D2"/>
    <w:rsid w:val="00F32A85"/>
    <w:rsid w:val="00F3327B"/>
    <w:rsid w:val="00F33B21"/>
    <w:rsid w:val="00F33B77"/>
    <w:rsid w:val="00F359B1"/>
    <w:rsid w:val="00F35AD1"/>
    <w:rsid w:val="00F35DC1"/>
    <w:rsid w:val="00F36D50"/>
    <w:rsid w:val="00F37B1F"/>
    <w:rsid w:val="00F41992"/>
    <w:rsid w:val="00F41A23"/>
    <w:rsid w:val="00F42364"/>
    <w:rsid w:val="00F42B4F"/>
    <w:rsid w:val="00F433BC"/>
    <w:rsid w:val="00F434FC"/>
    <w:rsid w:val="00F45120"/>
    <w:rsid w:val="00F4607C"/>
    <w:rsid w:val="00F46341"/>
    <w:rsid w:val="00F468B9"/>
    <w:rsid w:val="00F468E0"/>
    <w:rsid w:val="00F46931"/>
    <w:rsid w:val="00F4778B"/>
    <w:rsid w:val="00F50938"/>
    <w:rsid w:val="00F50BEB"/>
    <w:rsid w:val="00F50F6A"/>
    <w:rsid w:val="00F516AA"/>
    <w:rsid w:val="00F516D0"/>
    <w:rsid w:val="00F5224C"/>
    <w:rsid w:val="00F52256"/>
    <w:rsid w:val="00F52289"/>
    <w:rsid w:val="00F53D8A"/>
    <w:rsid w:val="00F54837"/>
    <w:rsid w:val="00F549DE"/>
    <w:rsid w:val="00F556B0"/>
    <w:rsid w:val="00F55BAC"/>
    <w:rsid w:val="00F55E7F"/>
    <w:rsid w:val="00F565A9"/>
    <w:rsid w:val="00F57E16"/>
    <w:rsid w:val="00F6018D"/>
    <w:rsid w:val="00F61588"/>
    <w:rsid w:val="00F61836"/>
    <w:rsid w:val="00F61C3B"/>
    <w:rsid w:val="00F630C5"/>
    <w:rsid w:val="00F6423B"/>
    <w:rsid w:val="00F65302"/>
    <w:rsid w:val="00F65BD7"/>
    <w:rsid w:val="00F6611E"/>
    <w:rsid w:val="00F669AD"/>
    <w:rsid w:val="00F669EA"/>
    <w:rsid w:val="00F66F63"/>
    <w:rsid w:val="00F72560"/>
    <w:rsid w:val="00F72C59"/>
    <w:rsid w:val="00F736AE"/>
    <w:rsid w:val="00F747ED"/>
    <w:rsid w:val="00F75DC1"/>
    <w:rsid w:val="00F75E73"/>
    <w:rsid w:val="00F77400"/>
    <w:rsid w:val="00F77E2E"/>
    <w:rsid w:val="00F815B4"/>
    <w:rsid w:val="00F81E91"/>
    <w:rsid w:val="00F8213B"/>
    <w:rsid w:val="00F82473"/>
    <w:rsid w:val="00F8288C"/>
    <w:rsid w:val="00F82DA5"/>
    <w:rsid w:val="00F82FF9"/>
    <w:rsid w:val="00F84BA1"/>
    <w:rsid w:val="00F84FF8"/>
    <w:rsid w:val="00F8552B"/>
    <w:rsid w:val="00F86AB3"/>
    <w:rsid w:val="00F86F63"/>
    <w:rsid w:val="00F87215"/>
    <w:rsid w:val="00F87C48"/>
    <w:rsid w:val="00F90971"/>
    <w:rsid w:val="00F90D8B"/>
    <w:rsid w:val="00F90DEE"/>
    <w:rsid w:val="00F91388"/>
    <w:rsid w:val="00F919ED"/>
    <w:rsid w:val="00F92EEC"/>
    <w:rsid w:val="00F931A3"/>
    <w:rsid w:val="00F942CF"/>
    <w:rsid w:val="00F94450"/>
    <w:rsid w:val="00F94DC4"/>
    <w:rsid w:val="00F9543E"/>
    <w:rsid w:val="00F963F4"/>
    <w:rsid w:val="00F96780"/>
    <w:rsid w:val="00F96E2C"/>
    <w:rsid w:val="00F96E92"/>
    <w:rsid w:val="00F975A5"/>
    <w:rsid w:val="00F9780D"/>
    <w:rsid w:val="00FA1014"/>
    <w:rsid w:val="00FA12A1"/>
    <w:rsid w:val="00FA1594"/>
    <w:rsid w:val="00FA1E3B"/>
    <w:rsid w:val="00FA1E73"/>
    <w:rsid w:val="00FA404D"/>
    <w:rsid w:val="00FA4200"/>
    <w:rsid w:val="00FA50BD"/>
    <w:rsid w:val="00FA51ED"/>
    <w:rsid w:val="00FA7ECD"/>
    <w:rsid w:val="00FB02DF"/>
    <w:rsid w:val="00FB0F81"/>
    <w:rsid w:val="00FB20F0"/>
    <w:rsid w:val="00FB2202"/>
    <w:rsid w:val="00FB43D0"/>
    <w:rsid w:val="00FB44B8"/>
    <w:rsid w:val="00FB463E"/>
    <w:rsid w:val="00FB5320"/>
    <w:rsid w:val="00FB72CA"/>
    <w:rsid w:val="00FB7748"/>
    <w:rsid w:val="00FB7CCD"/>
    <w:rsid w:val="00FC1E0B"/>
    <w:rsid w:val="00FC1FAF"/>
    <w:rsid w:val="00FC207A"/>
    <w:rsid w:val="00FC3269"/>
    <w:rsid w:val="00FC5CF4"/>
    <w:rsid w:val="00FC5DE9"/>
    <w:rsid w:val="00FC5F9B"/>
    <w:rsid w:val="00FC63AC"/>
    <w:rsid w:val="00FC6A86"/>
    <w:rsid w:val="00FC6B6C"/>
    <w:rsid w:val="00FC6E1F"/>
    <w:rsid w:val="00FC6FD4"/>
    <w:rsid w:val="00FC72DC"/>
    <w:rsid w:val="00FD2D65"/>
    <w:rsid w:val="00FD3012"/>
    <w:rsid w:val="00FD475D"/>
    <w:rsid w:val="00FD4B42"/>
    <w:rsid w:val="00FD4F03"/>
    <w:rsid w:val="00FD5310"/>
    <w:rsid w:val="00FD5563"/>
    <w:rsid w:val="00FD5E52"/>
    <w:rsid w:val="00FD62A6"/>
    <w:rsid w:val="00FD68EC"/>
    <w:rsid w:val="00FD7D41"/>
    <w:rsid w:val="00FE2BCA"/>
    <w:rsid w:val="00FE2CB5"/>
    <w:rsid w:val="00FE3268"/>
    <w:rsid w:val="00FE3717"/>
    <w:rsid w:val="00FE3C66"/>
    <w:rsid w:val="00FE475D"/>
    <w:rsid w:val="00FE4BCD"/>
    <w:rsid w:val="00FE53A7"/>
    <w:rsid w:val="00FE58D1"/>
    <w:rsid w:val="00FE5E20"/>
    <w:rsid w:val="00FE7328"/>
    <w:rsid w:val="00FE7AAE"/>
    <w:rsid w:val="00FE7C81"/>
    <w:rsid w:val="00FE7FEA"/>
    <w:rsid w:val="00FE7FF6"/>
    <w:rsid w:val="00FF08DE"/>
    <w:rsid w:val="00FF1831"/>
    <w:rsid w:val="00FF234C"/>
    <w:rsid w:val="00FF361F"/>
    <w:rsid w:val="00FF4756"/>
    <w:rsid w:val="00FF4E49"/>
    <w:rsid w:val="00FF5A6E"/>
    <w:rsid w:val="00FF630A"/>
    <w:rsid w:val="00FF679B"/>
    <w:rsid w:val="00FF6B30"/>
    <w:rsid w:val="00FF6FD2"/>
    <w:rsid w:val="00FF7039"/>
    <w:rsid w:val="025A6FD9"/>
    <w:rsid w:val="0279852D"/>
    <w:rsid w:val="028D0F54"/>
    <w:rsid w:val="0311D669"/>
    <w:rsid w:val="066B3BFB"/>
    <w:rsid w:val="069521FF"/>
    <w:rsid w:val="076471EE"/>
    <w:rsid w:val="08490F3F"/>
    <w:rsid w:val="084CAA5A"/>
    <w:rsid w:val="08562850"/>
    <w:rsid w:val="0888FAB2"/>
    <w:rsid w:val="08F18FD1"/>
    <w:rsid w:val="0981AC2D"/>
    <w:rsid w:val="0A532016"/>
    <w:rsid w:val="0B0A5BAE"/>
    <w:rsid w:val="0B25046F"/>
    <w:rsid w:val="0B4C0DA4"/>
    <w:rsid w:val="0DBA8B15"/>
    <w:rsid w:val="0DC60665"/>
    <w:rsid w:val="0F23F793"/>
    <w:rsid w:val="0FFCE76C"/>
    <w:rsid w:val="100AE301"/>
    <w:rsid w:val="105DA16F"/>
    <w:rsid w:val="10759C76"/>
    <w:rsid w:val="11103CD2"/>
    <w:rsid w:val="11775458"/>
    <w:rsid w:val="1184D4BF"/>
    <w:rsid w:val="11E71DBA"/>
    <w:rsid w:val="12082736"/>
    <w:rsid w:val="126D8E91"/>
    <w:rsid w:val="127297B2"/>
    <w:rsid w:val="13594CD2"/>
    <w:rsid w:val="13FE6E03"/>
    <w:rsid w:val="141F7796"/>
    <w:rsid w:val="1456E6C1"/>
    <w:rsid w:val="14D5D42D"/>
    <w:rsid w:val="167AF227"/>
    <w:rsid w:val="1689B5CD"/>
    <w:rsid w:val="16F7F3EB"/>
    <w:rsid w:val="176F7390"/>
    <w:rsid w:val="181493B3"/>
    <w:rsid w:val="181CBDA7"/>
    <w:rsid w:val="1B18F7B8"/>
    <w:rsid w:val="1B490911"/>
    <w:rsid w:val="1B4EFD5E"/>
    <w:rsid w:val="1B55A348"/>
    <w:rsid w:val="1C5202EA"/>
    <w:rsid w:val="1CDA0322"/>
    <w:rsid w:val="1F5EBF46"/>
    <w:rsid w:val="22E6764D"/>
    <w:rsid w:val="23A2AC68"/>
    <w:rsid w:val="245606DB"/>
    <w:rsid w:val="245A0DFA"/>
    <w:rsid w:val="2533B356"/>
    <w:rsid w:val="256BE950"/>
    <w:rsid w:val="25D79715"/>
    <w:rsid w:val="2828770F"/>
    <w:rsid w:val="29503A65"/>
    <w:rsid w:val="29E5526D"/>
    <w:rsid w:val="2A2619CA"/>
    <w:rsid w:val="2B1DE3B1"/>
    <w:rsid w:val="2B2EF0EE"/>
    <w:rsid w:val="2CD52B9D"/>
    <w:rsid w:val="2CF8E18F"/>
    <w:rsid w:val="2D36EDF9"/>
    <w:rsid w:val="2DB83F99"/>
    <w:rsid w:val="2E2070DD"/>
    <w:rsid w:val="2EDDC100"/>
    <w:rsid w:val="3051E3BE"/>
    <w:rsid w:val="312BCB97"/>
    <w:rsid w:val="324B7DE6"/>
    <w:rsid w:val="32E92D4C"/>
    <w:rsid w:val="33224B1C"/>
    <w:rsid w:val="3429D429"/>
    <w:rsid w:val="3517061B"/>
    <w:rsid w:val="36A44D6C"/>
    <w:rsid w:val="3703558D"/>
    <w:rsid w:val="37807627"/>
    <w:rsid w:val="37F924EA"/>
    <w:rsid w:val="39C8F76D"/>
    <w:rsid w:val="3A6666B5"/>
    <w:rsid w:val="3A92473C"/>
    <w:rsid w:val="3B5EB27E"/>
    <w:rsid w:val="3B900FD4"/>
    <w:rsid w:val="3BBCE1E2"/>
    <w:rsid w:val="3D8A2044"/>
    <w:rsid w:val="401A51CE"/>
    <w:rsid w:val="408716C7"/>
    <w:rsid w:val="41129025"/>
    <w:rsid w:val="412B1C95"/>
    <w:rsid w:val="41F3C200"/>
    <w:rsid w:val="42BB08A3"/>
    <w:rsid w:val="447ED48F"/>
    <w:rsid w:val="4657B9EC"/>
    <w:rsid w:val="469AB140"/>
    <w:rsid w:val="4AE5094D"/>
    <w:rsid w:val="4AEEBC59"/>
    <w:rsid w:val="4BE74A46"/>
    <w:rsid w:val="4C17007C"/>
    <w:rsid w:val="4CDFF5A4"/>
    <w:rsid w:val="4CE82AA0"/>
    <w:rsid w:val="4D8F8A84"/>
    <w:rsid w:val="4EFE48BA"/>
    <w:rsid w:val="528B9426"/>
    <w:rsid w:val="52D94C98"/>
    <w:rsid w:val="531D1497"/>
    <w:rsid w:val="5354BD9E"/>
    <w:rsid w:val="53DCC8D9"/>
    <w:rsid w:val="53F6DE82"/>
    <w:rsid w:val="54EE852D"/>
    <w:rsid w:val="553AAC1D"/>
    <w:rsid w:val="55697007"/>
    <w:rsid w:val="55E3A550"/>
    <w:rsid w:val="55E5382E"/>
    <w:rsid w:val="5628D09C"/>
    <w:rsid w:val="5A0A8866"/>
    <w:rsid w:val="5A764CA2"/>
    <w:rsid w:val="5E22177D"/>
    <w:rsid w:val="5E66E419"/>
    <w:rsid w:val="5E997141"/>
    <w:rsid w:val="5FB2D9F4"/>
    <w:rsid w:val="5FB5DB98"/>
    <w:rsid w:val="5FD3230C"/>
    <w:rsid w:val="5FF16E68"/>
    <w:rsid w:val="60C22A3F"/>
    <w:rsid w:val="6102C078"/>
    <w:rsid w:val="620F13E5"/>
    <w:rsid w:val="62101FB1"/>
    <w:rsid w:val="63770060"/>
    <w:rsid w:val="63844EF1"/>
    <w:rsid w:val="63A8BCDD"/>
    <w:rsid w:val="63D1A1E3"/>
    <w:rsid w:val="64998290"/>
    <w:rsid w:val="64EEDC0D"/>
    <w:rsid w:val="659748FB"/>
    <w:rsid w:val="67843A21"/>
    <w:rsid w:val="68ACC2EA"/>
    <w:rsid w:val="69CB1990"/>
    <w:rsid w:val="6B1AAF69"/>
    <w:rsid w:val="6B44805B"/>
    <w:rsid w:val="6B4E9EA0"/>
    <w:rsid w:val="6B763879"/>
    <w:rsid w:val="6C7DCFD5"/>
    <w:rsid w:val="6C8676F1"/>
    <w:rsid w:val="6E4169D8"/>
    <w:rsid w:val="70008092"/>
    <w:rsid w:val="7030409B"/>
    <w:rsid w:val="70A29351"/>
    <w:rsid w:val="71A0426A"/>
    <w:rsid w:val="71F9414F"/>
    <w:rsid w:val="730FFEC4"/>
    <w:rsid w:val="735DEE06"/>
    <w:rsid w:val="73CCB6B0"/>
    <w:rsid w:val="749C386B"/>
    <w:rsid w:val="74A0351F"/>
    <w:rsid w:val="74AF42E8"/>
    <w:rsid w:val="74ECE3D5"/>
    <w:rsid w:val="76CCB272"/>
    <w:rsid w:val="77501A39"/>
    <w:rsid w:val="77F65B91"/>
    <w:rsid w:val="78014D5B"/>
    <w:rsid w:val="78BB3376"/>
    <w:rsid w:val="798607D1"/>
    <w:rsid w:val="7A1506A9"/>
    <w:rsid w:val="7A3D673F"/>
    <w:rsid w:val="7B307D95"/>
    <w:rsid w:val="7B7634D1"/>
    <w:rsid w:val="7BB4FF62"/>
    <w:rsid w:val="7CFD2F89"/>
    <w:rsid w:val="7EABDF9A"/>
    <w:rsid w:val="7F1EB6CB"/>
    <w:rsid w:val="7F6AF924"/>
    <w:rsid w:val="7FFAD7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FFC272"/>
  <w15:chartTrackingRefBased/>
  <w15:docId w15:val="{2A35A26C-DA8D-486C-8B9E-ADC71DC5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534"/>
    <w:pPr>
      <w:spacing w:after="200"/>
      <w:jc w:val="both"/>
    </w:pPr>
    <w:rPr>
      <w:rFonts w:ascii="Verdana" w:hAnsi="Verdana"/>
      <w:lang w:eastAsia="en-US"/>
    </w:rPr>
  </w:style>
  <w:style w:type="paragraph" w:styleId="Heading1">
    <w:name w:val="heading 1"/>
    <w:basedOn w:val="Normal"/>
    <w:next w:val="Text1"/>
    <w:link w:val="Heading1Char"/>
    <w:qFormat/>
    <w:rsid w:val="00692CDE"/>
    <w:pPr>
      <w:widowControl w:val="0"/>
      <w:outlineLvl w:val="0"/>
    </w:pPr>
    <w:rPr>
      <w:b/>
      <w:color w:val="A50021"/>
    </w:rPr>
  </w:style>
  <w:style w:type="paragraph" w:styleId="Heading2">
    <w:name w:val="heading 2"/>
    <w:basedOn w:val="Normal"/>
    <w:next w:val="Text2"/>
    <w:link w:val="Heading2Char"/>
    <w:qFormat/>
    <w:rsid w:val="006E495F"/>
    <w:pPr>
      <w:widowControl w:val="0"/>
      <w:outlineLvl w:val="1"/>
    </w:pPr>
    <w:rPr>
      <w:b/>
      <w:color w:val="A50021"/>
    </w:rPr>
  </w:style>
  <w:style w:type="paragraph" w:styleId="Heading3">
    <w:name w:val="heading 3"/>
    <w:basedOn w:val="Normal"/>
    <w:next w:val="Text3"/>
    <w:link w:val="Heading3Char"/>
    <w:qFormat/>
    <w:rsid w:val="00510B7E"/>
    <w:pPr>
      <w:widowControl w:val="0"/>
      <w:outlineLvl w:val="2"/>
    </w:pPr>
    <w:rPr>
      <w:i/>
      <w:color w:val="A50021"/>
      <w:u w:val="single"/>
    </w:rPr>
  </w:style>
  <w:style w:type="paragraph" w:styleId="Heading4">
    <w:name w:val="heading 4"/>
    <w:basedOn w:val="Normal"/>
    <w:next w:val="Text4"/>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rPr>
  </w:style>
  <w:style w:type="paragraph" w:styleId="Heading8">
    <w:name w:val="heading 8"/>
    <w:basedOn w:val="Normal"/>
    <w:next w:val="Normal"/>
    <w:pPr>
      <w:tabs>
        <w:tab w:val="num" w:pos="0"/>
      </w:tabs>
      <w:spacing w:before="240" w:after="60"/>
      <w:outlineLvl w:val="7"/>
    </w:pPr>
    <w:rPr>
      <w:rFonts w:ascii="Arial" w:hAnsi="Arial"/>
      <w:i/>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tabs>
        <w:tab w:val="left" w:pos="2160"/>
      </w:tabs>
      <w:ind w:left="1440"/>
    </w:pPr>
  </w:style>
  <w:style w:type="paragraph" w:customStyle="1" w:styleId="Text2">
    <w:name w:val="Text 2"/>
    <w:basedOn w:val="Normal"/>
    <w:link w:val="Text2Car"/>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styleId="BlockText">
    <w:name w:val="Block Text"/>
    <w:basedOn w:val="Normal"/>
    <w:semiHidden/>
    <w:pPr>
      <w:spacing w:after="120"/>
      <w:ind w:left="1440" w:right="1440"/>
    </w:pPr>
  </w:style>
  <w:style w:type="paragraph" w:styleId="BodyText">
    <w:name w:val="Body Text"/>
    <w:basedOn w:val="Normal"/>
    <w:link w:val="BodyTextChar"/>
    <w:uiPriority w:val="1"/>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rPr>
  </w:style>
  <w:style w:type="paragraph" w:styleId="Closing">
    <w:name w:val="Closing"/>
    <w:basedOn w:val="Normal"/>
    <w:semiHidden/>
    <w:pPr>
      <w:ind w:left="4252"/>
    </w:pPr>
  </w:style>
  <w:style w:type="paragraph" w:styleId="CommentText">
    <w:name w:val="annotation text"/>
    <w:basedOn w:val="Normal"/>
    <w:link w:val="CommentTextChar"/>
    <w:uiPriority w:val="99"/>
  </w:style>
  <w:style w:type="paragraph" w:styleId="Date">
    <w:name w:val="Date"/>
    <w:basedOn w:val="Normal"/>
    <w:next w:val="References"/>
    <w:semiHidden/>
    <w:pPr>
      <w:spacing w:after="0"/>
      <w:ind w:left="5103" w:right="-567"/>
      <w:jc w:val="left"/>
    </w:pPr>
    <w:rPr>
      <w:sz w:val="24"/>
    </w:rPr>
  </w:style>
  <w:style w:type="paragraph" w:customStyle="1" w:styleId="References">
    <w:name w:val="References"/>
    <w:basedOn w:val="Normal"/>
    <w:next w:val="Normal"/>
    <w:pPr>
      <w:ind w:left="5103"/>
      <w:jc w:val="left"/>
    </w:p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spacing w:after="0"/>
    </w:pPr>
    <w:rPr>
      <w:sz w:val="24"/>
    </w:rPr>
  </w:style>
  <w:style w:type="paragraph" w:styleId="EnvelopeReturn">
    <w:name w:val="envelope return"/>
    <w:basedOn w:val="Normal"/>
    <w:semiHidden/>
    <w:pPr>
      <w:spacing w:after="0"/>
    </w:p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2,Footnote Text Char1 Char,Footnote Text Char2 Char Char,Footnote Text Char1 Char Char Char,Footnote Text Char2 Char Char Char Char,Footnote Text Char Char1 Char Char Char Char,Footnote Text Char1,Schriftart: 9 pt,FoodNot"/>
    <w:basedOn w:val="Normal"/>
    <w:link w:val="FootnoteTextChar"/>
    <w:pPr>
      <w:ind w:left="357" w:hanging="357"/>
    </w:p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80" w:hanging="280"/>
    </w:pPr>
  </w:style>
  <w:style w:type="paragraph" w:styleId="Index2">
    <w:name w:val="index 2"/>
    <w:basedOn w:val="Normal"/>
    <w:next w:val="Normal"/>
    <w:autoRedefine/>
    <w:semiHidden/>
    <w:pPr>
      <w:ind w:left="560" w:hanging="280"/>
    </w:pPr>
  </w:style>
  <w:style w:type="paragraph" w:styleId="Index3">
    <w:name w:val="index 3"/>
    <w:basedOn w:val="Normal"/>
    <w:next w:val="Normal"/>
    <w:autoRedefine/>
    <w:semiHidden/>
    <w:pPr>
      <w:ind w:left="840" w:hanging="280"/>
    </w:pPr>
  </w:style>
  <w:style w:type="paragraph" w:styleId="Index4">
    <w:name w:val="index 4"/>
    <w:basedOn w:val="Normal"/>
    <w:next w:val="Normal"/>
    <w:autoRedefine/>
    <w:semiHidden/>
    <w:pPr>
      <w:ind w:left="1120" w:hanging="280"/>
    </w:pPr>
  </w:style>
  <w:style w:type="paragraph" w:styleId="Index5">
    <w:name w:val="index 5"/>
    <w:basedOn w:val="Normal"/>
    <w:next w:val="Normal"/>
    <w:autoRedefine/>
    <w:semiHidden/>
    <w:pPr>
      <w:ind w:left="1400" w:hanging="280"/>
    </w:pPr>
  </w:style>
  <w:style w:type="paragraph" w:styleId="Index6">
    <w:name w:val="index 6"/>
    <w:basedOn w:val="Normal"/>
    <w:next w:val="Normal"/>
    <w:autoRedefine/>
    <w:semiHidden/>
    <w:pPr>
      <w:ind w:left="1680" w:hanging="280"/>
    </w:pPr>
  </w:style>
  <w:style w:type="paragraph" w:styleId="Index7">
    <w:name w:val="index 7"/>
    <w:basedOn w:val="Normal"/>
    <w:next w:val="Normal"/>
    <w:autoRedefine/>
    <w:semiHidden/>
    <w:pPr>
      <w:ind w:left="1960" w:hanging="280"/>
    </w:pPr>
  </w:style>
  <w:style w:type="paragraph" w:styleId="Index8">
    <w:name w:val="index 8"/>
    <w:basedOn w:val="Normal"/>
    <w:next w:val="Normal"/>
    <w:autoRedefine/>
    <w:semiHidden/>
    <w:pPr>
      <w:ind w:left="2240" w:hanging="280"/>
    </w:pPr>
  </w:style>
  <w:style w:type="paragraph" w:styleId="Index9">
    <w:name w:val="index 9"/>
    <w:basedOn w:val="Normal"/>
    <w:next w:val="Normal"/>
    <w:autoRedefine/>
    <w:semiHidden/>
    <w:pPr>
      <w:ind w:left="2520" w:hanging="28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Text2"/>
    <w:semiHidden/>
    <w:pPr>
      <w:numPr>
        <w:numId w:val="6"/>
      </w:numPr>
      <w:tabs>
        <w:tab w:val="clear" w:pos="2160"/>
      </w:tabs>
    </w:pPr>
  </w:style>
  <w:style w:type="paragraph" w:styleId="ListBullet3">
    <w:name w:val="List Bullet 3"/>
    <w:basedOn w:val="Text3"/>
    <w:semiHidden/>
    <w:pPr>
      <w:numPr>
        <w:numId w:val="7"/>
      </w:numPr>
      <w:tabs>
        <w:tab w:val="clear" w:pos="2160"/>
      </w:tabs>
    </w:pPr>
  </w:style>
  <w:style w:type="paragraph" w:styleId="ListBullet4">
    <w:name w:val="List Bullet 4"/>
    <w:basedOn w:val="Text4"/>
    <w:semiHidden/>
    <w:pPr>
      <w:numPr>
        <w:numId w:val="8"/>
      </w:numPr>
      <w:tabs>
        <w:tab w:val="clear" w:pos="2160"/>
      </w:tabs>
    </w:pPr>
  </w:style>
  <w:style w:type="paragraph" w:styleId="ListBullet5">
    <w:name w:val="List Bullet 5"/>
    <w:basedOn w:val="Normal"/>
    <w:autoRedefine/>
    <w:semiHidden/>
    <w:pPr>
      <w:numPr>
        <w:numId w:val="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pPr>
      <w:numPr>
        <w:numId w:val="15"/>
      </w:numPr>
    </w:pPr>
  </w:style>
  <w:style w:type="paragraph" w:styleId="ListNumber2">
    <w:name w:val="List Number 2"/>
    <w:basedOn w:val="Text2"/>
    <w:semiHidden/>
    <w:pPr>
      <w:numPr>
        <w:numId w:val="16"/>
      </w:numPr>
    </w:pPr>
  </w:style>
  <w:style w:type="paragraph" w:styleId="ListNumber3">
    <w:name w:val="List Number 3"/>
    <w:basedOn w:val="Text3"/>
    <w:semiHidden/>
    <w:pPr>
      <w:numPr>
        <w:numId w:val="17"/>
      </w:numPr>
    </w:pPr>
  </w:style>
  <w:style w:type="paragraph" w:styleId="ListNumber4">
    <w:name w:val="List Number 4"/>
    <w:basedOn w:val="Text4"/>
    <w:semiHidden/>
    <w:pPr>
      <w:numPr>
        <w:numId w:val="18"/>
      </w:numPr>
    </w:pPr>
  </w:style>
  <w:style w:type="paragraph" w:styleId="ListNumber5">
    <w:name w:val="List Number 5"/>
    <w:basedOn w:val="Normal"/>
    <w:semiHidden/>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Par1">
    <w:name w:val="NumPar 1"/>
    <w:basedOn w:val="Heading1"/>
    <w:next w:val="Text1"/>
    <w:pPr>
      <w:outlineLvl w:val="9"/>
    </w:pPr>
    <w:rPr>
      <w:b w:val="0"/>
      <w:smallCaps/>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semiHidden/>
    <w:rPr>
      <w:rFonts w:ascii="Courier New" w:hAnsi="Courier New"/>
    </w:rPr>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ubject">
    <w:name w:val="Subject"/>
    <w:basedOn w:val="Normal"/>
    <w:next w:val="Normal"/>
    <w:pPr>
      <w:spacing w:after="480"/>
      <w:ind w:left="1191" w:hanging="1191"/>
      <w:jc w:val="left"/>
    </w:pPr>
    <w:rPr>
      <w:b/>
    </w:rPr>
  </w:style>
  <w:style w:type="paragraph" w:styleId="Subtitle">
    <w:name w:val="Subtitle"/>
    <w:basedOn w:val="Normal"/>
    <w:pPr>
      <w:spacing w:after="60"/>
      <w:jc w:val="center"/>
      <w:outlineLvl w:val="1"/>
    </w:pPr>
    <w:rPr>
      <w:rFonts w:ascii="Arial" w:hAnsi="Arial"/>
      <w:sz w:val="24"/>
    </w:rPr>
  </w:style>
  <w:style w:type="paragraph" w:styleId="TableofAuthorities">
    <w:name w:val="table of authorities"/>
    <w:basedOn w:val="Normal"/>
    <w:next w:val="Normal"/>
    <w:semiHidden/>
    <w:pPr>
      <w:ind w:left="280" w:hanging="280"/>
    </w:pPr>
  </w:style>
  <w:style w:type="paragraph" w:styleId="TableofFigures">
    <w:name w:val="table of figures"/>
    <w:basedOn w:val="Normal"/>
    <w:next w:val="Normal"/>
    <w:semiHidden/>
    <w:pPr>
      <w:ind w:left="560" w:hanging="560"/>
    </w:pPr>
  </w:style>
  <w:style w:type="paragraph" w:styleId="Title">
    <w:name w:val="Title"/>
    <w:basedOn w:val="Normal"/>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uiPriority w:val="39"/>
    <w:qFormat/>
    <w:rsid w:val="00A57D8F"/>
    <w:pPr>
      <w:tabs>
        <w:tab w:val="right" w:leader="dot" w:pos="8640"/>
      </w:tabs>
      <w:spacing w:before="60" w:after="60"/>
      <w:ind w:left="482" w:right="720" w:hanging="482"/>
    </w:pPr>
    <w:rPr>
      <w:sz w:val="16"/>
    </w:rPr>
  </w:style>
  <w:style w:type="paragraph" w:styleId="TOC2">
    <w:name w:val="toc 2"/>
    <w:basedOn w:val="Normal"/>
    <w:next w:val="Normal"/>
    <w:uiPriority w:val="39"/>
    <w:qFormat/>
    <w:rsid w:val="00A57D8F"/>
    <w:pPr>
      <w:tabs>
        <w:tab w:val="right" w:leader="dot" w:pos="8640"/>
      </w:tabs>
      <w:spacing w:before="60" w:after="60"/>
      <w:ind w:left="568" w:right="720" w:hanging="284"/>
    </w:pPr>
    <w:rPr>
      <w:noProof/>
      <w:sz w:val="16"/>
    </w:rPr>
  </w:style>
  <w:style w:type="paragraph" w:styleId="TOC3">
    <w:name w:val="toc 3"/>
    <w:basedOn w:val="TOC2"/>
    <w:next w:val="Normal"/>
    <w:uiPriority w:val="39"/>
    <w:qFormat/>
    <w:rsid w:val="00A57D8F"/>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customStyle="1" w:styleId="ListBullet1">
    <w:name w:val="List Bullet 1"/>
    <w:basedOn w:val="Text1"/>
    <w:pPr>
      <w:numPr>
        <w:numId w:val="5"/>
      </w:numPr>
      <w:tabs>
        <w:tab w:val="clear" w:pos="2160"/>
      </w:tabs>
    </w:pPr>
  </w:style>
  <w:style w:type="paragraph" w:customStyle="1" w:styleId="ListDash">
    <w:name w:val="List Dash"/>
    <w:basedOn w:val="Normal"/>
    <w:pPr>
      <w:numPr>
        <w:numId w:val="9"/>
      </w:numPr>
    </w:pPr>
  </w:style>
  <w:style w:type="paragraph" w:customStyle="1" w:styleId="ListDash1">
    <w:name w:val="List Dash 1"/>
    <w:basedOn w:val="Text1"/>
    <w:pPr>
      <w:numPr>
        <w:numId w:val="10"/>
      </w:numPr>
      <w:tabs>
        <w:tab w:val="clear" w:pos="2160"/>
      </w:tabs>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160"/>
      </w:tabs>
    </w:pPr>
  </w:style>
  <w:style w:type="paragraph" w:customStyle="1" w:styleId="ListDash4">
    <w:name w:val="List Dash 4"/>
    <w:basedOn w:val="Text4"/>
    <w:pPr>
      <w:numPr>
        <w:numId w:val="13"/>
      </w:numPr>
      <w:tabs>
        <w:tab w:val="clear" w:pos="2160"/>
      </w:tabs>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tabs>
        <w:tab w:val="clear" w:pos="2160"/>
      </w:tabs>
    </w:pPr>
  </w:style>
  <w:style w:type="paragraph" w:customStyle="1" w:styleId="ListNumber1Level3">
    <w:name w:val="List Number 1 (Level 3)"/>
    <w:basedOn w:val="Text1"/>
    <w:pPr>
      <w:numPr>
        <w:ilvl w:val="2"/>
        <w:numId w:val="14"/>
      </w:numPr>
      <w:tabs>
        <w:tab w:val="clear" w:pos="2160"/>
      </w:tabs>
    </w:pPr>
  </w:style>
  <w:style w:type="paragraph" w:customStyle="1" w:styleId="ListNumber1Level4">
    <w:name w:val="List Number 1 (Level 4)"/>
    <w:basedOn w:val="Text1"/>
    <w:pPr>
      <w:numPr>
        <w:ilvl w:val="3"/>
        <w:numId w:val="14"/>
      </w:numPr>
      <w:tabs>
        <w:tab w:val="clear" w:pos="2160"/>
      </w:tabs>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160"/>
      </w:tabs>
    </w:pPr>
  </w:style>
  <w:style w:type="paragraph" w:customStyle="1" w:styleId="ListNumber3Level3">
    <w:name w:val="List Number 3 (Level 3)"/>
    <w:basedOn w:val="Text3"/>
    <w:pPr>
      <w:numPr>
        <w:ilvl w:val="2"/>
        <w:numId w:val="17"/>
      </w:numPr>
      <w:tabs>
        <w:tab w:val="clear" w:pos="2160"/>
      </w:tabs>
    </w:pPr>
  </w:style>
  <w:style w:type="paragraph" w:customStyle="1" w:styleId="ListNumber3Level4">
    <w:name w:val="List Number 3 (Level 4)"/>
    <w:basedOn w:val="Text3"/>
    <w:pPr>
      <w:numPr>
        <w:ilvl w:val="3"/>
        <w:numId w:val="17"/>
      </w:numPr>
      <w:tabs>
        <w:tab w:val="clear" w:pos="2160"/>
      </w:tabs>
    </w:pPr>
  </w:style>
  <w:style w:type="paragraph" w:customStyle="1" w:styleId="ListNumber4Level2">
    <w:name w:val="List Number 4 (Level 2)"/>
    <w:basedOn w:val="Text4"/>
    <w:pPr>
      <w:numPr>
        <w:ilvl w:val="1"/>
        <w:numId w:val="18"/>
      </w:numPr>
      <w:tabs>
        <w:tab w:val="clear" w:pos="2160"/>
      </w:tabs>
    </w:pPr>
  </w:style>
  <w:style w:type="paragraph" w:customStyle="1" w:styleId="ListNumber4Level3">
    <w:name w:val="List Number 4 (Level 3)"/>
    <w:basedOn w:val="Text4"/>
    <w:pPr>
      <w:numPr>
        <w:ilvl w:val="2"/>
        <w:numId w:val="18"/>
      </w:numPr>
      <w:tabs>
        <w:tab w:val="clear" w:pos="2160"/>
      </w:tabs>
    </w:pPr>
  </w:style>
  <w:style w:type="paragraph" w:customStyle="1" w:styleId="ListNumber4Level4">
    <w:name w:val="List Number 4 (Level 4)"/>
    <w:basedOn w:val="Text4"/>
    <w:pPr>
      <w:numPr>
        <w:ilvl w:val="3"/>
        <w:numId w:val="18"/>
      </w:numPr>
      <w:tabs>
        <w:tab w:val="clear" w:pos="2160"/>
      </w:tabs>
    </w:pPr>
  </w:style>
  <w:style w:type="paragraph" w:styleId="TOCHeading">
    <w:name w:val="TOC Heading"/>
    <w:basedOn w:val="Normal"/>
    <w:next w:val="Normal"/>
    <w:qFormat/>
    <w:pPr>
      <w:keepNext/>
      <w:spacing w:before="240"/>
      <w:jc w:val="center"/>
    </w:pPr>
    <w:rPr>
      <w:b/>
    </w:rPr>
  </w:style>
  <w:style w:type="character" w:customStyle="1" w:styleId="FooterChar">
    <w:name w:val="Footer Char"/>
    <w:link w:val="Footer"/>
    <w:uiPriority w:val="99"/>
    <w:rsid w:val="002D3B73"/>
    <w:rPr>
      <w:rFonts w:ascii="Arial" w:hAnsi="Arial"/>
      <w:sz w:val="16"/>
      <w:lang w:eastAsia="en-US"/>
    </w:rPr>
  </w:style>
  <w:style w:type="paragraph" w:customStyle="1" w:styleId="ZCom">
    <w:name w:val="Z_Com"/>
    <w:basedOn w:val="Normal"/>
    <w:next w:val="ZDGName"/>
    <w:uiPriority w:val="99"/>
    <w:rsid w:val="002D3B73"/>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uiPriority w:val="99"/>
    <w:rsid w:val="002D3B73"/>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2D3B73"/>
    <w:rPr>
      <w:sz w:val="28"/>
      <w:lang w:eastAsia="en-US"/>
    </w:rPr>
  </w:style>
  <w:style w:type="paragraph" w:styleId="BalloonText">
    <w:name w:val="Balloon Text"/>
    <w:basedOn w:val="Normal"/>
    <w:link w:val="BalloonTextChar"/>
    <w:uiPriority w:val="99"/>
    <w:semiHidden/>
    <w:unhideWhenUsed/>
    <w:rsid w:val="00B02821"/>
    <w:pPr>
      <w:spacing w:after="0"/>
    </w:pPr>
    <w:rPr>
      <w:rFonts w:ascii="Tahoma" w:hAnsi="Tahoma" w:cs="Tahoma"/>
      <w:sz w:val="16"/>
      <w:szCs w:val="16"/>
    </w:rPr>
  </w:style>
  <w:style w:type="character" w:customStyle="1" w:styleId="BalloonTextChar">
    <w:name w:val="Balloon Text Char"/>
    <w:link w:val="BalloonText"/>
    <w:uiPriority w:val="99"/>
    <w:semiHidden/>
    <w:rsid w:val="00B02821"/>
    <w:rPr>
      <w:rFonts w:ascii="Tahoma" w:hAnsi="Tahoma" w:cs="Tahoma"/>
      <w:sz w:val="16"/>
      <w:szCs w:val="16"/>
      <w:lang w:eastAsia="en-US"/>
    </w:rPr>
  </w:style>
  <w:style w:type="character" w:styleId="FootnoteReference">
    <w:name w:val="footnote reference"/>
    <w:aliases w:val=" BVI fnr,BVI fnr, BVI fnr Car Car,BVI fnr Car, BVI fnr Car Car Car Car, BVI fnr Car Car Car Car Char,Footnote symbol,Footnote reference number,Footnote,Times 10 Point,Exposant 3 Point,Ref,de nota al pie,note TESI,SUPERS,EN Footnote te"/>
    <w:link w:val="Char2"/>
    <w:uiPriority w:val="99"/>
    <w:unhideWhenUsed/>
    <w:qFormat/>
    <w:rsid w:val="00CC12F2"/>
    <w:rPr>
      <w:vertAlign w:val="superscript"/>
    </w:rPr>
  </w:style>
  <w:style w:type="table" w:styleId="TableGrid">
    <w:name w:val="Table Grid"/>
    <w:basedOn w:val="TableNormal"/>
    <w:rsid w:val="00415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86D0C"/>
    <w:pPr>
      <w:spacing w:after="160" w:line="240" w:lineRule="exact"/>
      <w:jc w:val="left"/>
    </w:pPr>
    <w:rPr>
      <w:rFonts w:ascii="Tahoma" w:hAnsi="Tahoma"/>
    </w:rPr>
  </w:style>
  <w:style w:type="character" w:customStyle="1" w:styleId="FootnoteTextChar">
    <w:name w:val="Footnote Text Char"/>
    <w:aliases w:val="Footnote Text Char2 Char,Footnote Text Char1 Char Char,Footnote Text Char2 Char Char Char,Footnote Text Char1 Char Char Char Char,Footnote Text Char2 Char Char Char Char Char,Footnote Text Char Char1 Char Char Char Char Char"/>
    <w:link w:val="FootnoteText"/>
    <w:locked/>
    <w:rsid w:val="00165594"/>
    <w:rPr>
      <w:lang w:eastAsia="en-US"/>
    </w:rPr>
  </w:style>
  <w:style w:type="character" w:styleId="Hyperlink">
    <w:name w:val="Hyperlink"/>
    <w:uiPriority w:val="99"/>
    <w:rsid w:val="00E04BE3"/>
    <w:rPr>
      <w:rFonts w:cs="Times New Roman"/>
      <w:color w:val="0088CC"/>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rsid w:val="000B4B19"/>
    <w:pPr>
      <w:spacing w:after="0"/>
      <w:ind w:left="720"/>
      <w:contextualSpacing/>
      <w:jc w:val="left"/>
    </w:pPr>
    <w:rPr>
      <w:snapToGrid w:val="0"/>
      <w:sz w:val="24"/>
      <w:szCs w:val="24"/>
      <w:lang w:eastAsia="en-GB"/>
    </w:rPr>
  </w:style>
  <w:style w:type="character" w:styleId="FollowedHyperlink">
    <w:name w:val="FollowedHyperlink"/>
    <w:uiPriority w:val="99"/>
    <w:semiHidden/>
    <w:unhideWhenUsed/>
    <w:rsid w:val="0093325A"/>
    <w:rPr>
      <w:color w:val="800080"/>
      <w:u w:val="single"/>
    </w:rPr>
  </w:style>
  <w:style w:type="character" w:styleId="CommentReference">
    <w:name w:val="annotation reference"/>
    <w:uiPriority w:val="99"/>
    <w:unhideWhenUsed/>
    <w:rsid w:val="003961E3"/>
    <w:rPr>
      <w:sz w:val="16"/>
      <w:szCs w:val="16"/>
    </w:rPr>
  </w:style>
  <w:style w:type="paragraph" w:styleId="CommentSubject">
    <w:name w:val="annotation subject"/>
    <w:basedOn w:val="CommentText"/>
    <w:next w:val="CommentText"/>
    <w:link w:val="CommentSubjectChar"/>
    <w:uiPriority w:val="99"/>
    <w:semiHidden/>
    <w:unhideWhenUsed/>
    <w:rsid w:val="003961E3"/>
    <w:rPr>
      <w:b/>
      <w:bCs/>
    </w:rPr>
  </w:style>
  <w:style w:type="character" w:customStyle="1" w:styleId="CommentTextChar">
    <w:name w:val="Comment Text Char"/>
    <w:link w:val="CommentText"/>
    <w:uiPriority w:val="99"/>
    <w:rsid w:val="003961E3"/>
    <w:rPr>
      <w:lang w:eastAsia="en-US"/>
    </w:rPr>
  </w:style>
  <w:style w:type="character" w:customStyle="1" w:styleId="CommentSubjectChar">
    <w:name w:val="Comment Subject Char"/>
    <w:link w:val="CommentSubject"/>
    <w:uiPriority w:val="99"/>
    <w:semiHidden/>
    <w:rsid w:val="003961E3"/>
    <w:rPr>
      <w:b/>
      <w:bCs/>
      <w:lang w:eastAsia="en-US"/>
    </w:rPr>
  </w:style>
  <w:style w:type="paragraph" w:styleId="Revision">
    <w:name w:val="Revision"/>
    <w:hidden/>
    <w:uiPriority w:val="99"/>
    <w:semiHidden/>
    <w:rsid w:val="003961E3"/>
    <w:rPr>
      <w:sz w:val="28"/>
      <w:lang w:eastAsia="en-US"/>
    </w:rPr>
  </w:style>
  <w:style w:type="character" w:customStyle="1" w:styleId="Heading1Char">
    <w:name w:val="Heading 1 Char"/>
    <w:link w:val="Heading1"/>
    <w:rsid w:val="00692CDE"/>
    <w:rPr>
      <w:rFonts w:ascii="Verdana" w:hAnsi="Verdana"/>
      <w:b/>
      <w:color w:val="A50021"/>
      <w:lang w:eastAsia="en-US"/>
    </w:rPr>
  </w:style>
  <w:style w:type="character" w:customStyle="1" w:styleId="Heading2Char">
    <w:name w:val="Heading 2 Char"/>
    <w:link w:val="Heading2"/>
    <w:rsid w:val="006E495F"/>
    <w:rPr>
      <w:rFonts w:ascii="Verdana" w:hAnsi="Verdana"/>
      <w:b/>
      <w:color w:val="A50021"/>
      <w:lang w:eastAsia="en-US"/>
    </w:rPr>
  </w:style>
  <w:style w:type="paragraph" w:customStyle="1" w:styleId="Default">
    <w:name w:val="Default"/>
    <w:link w:val="DefaultChar"/>
    <w:rsid w:val="008514C7"/>
    <w:pPr>
      <w:autoSpaceDE w:val="0"/>
      <w:autoSpaceDN w:val="0"/>
      <w:adjustRightInd w:val="0"/>
    </w:pPr>
    <w:rPr>
      <w:color w:val="000000"/>
      <w:sz w:val="24"/>
      <w:szCs w:val="24"/>
      <w:lang w:eastAsia="en-GB"/>
    </w:rPr>
  </w:style>
  <w:style w:type="paragraph" w:customStyle="1" w:styleId="CM1">
    <w:name w:val="CM1"/>
    <w:basedOn w:val="Default"/>
    <w:next w:val="Default"/>
    <w:uiPriority w:val="99"/>
    <w:rsid w:val="00845575"/>
    <w:rPr>
      <w:rFonts w:ascii="EUAlbertina" w:hAnsi="EUAlbertina"/>
      <w:color w:val="auto"/>
    </w:rPr>
  </w:style>
  <w:style w:type="paragraph" w:customStyle="1" w:styleId="CM3">
    <w:name w:val="CM3"/>
    <w:basedOn w:val="Default"/>
    <w:next w:val="Default"/>
    <w:uiPriority w:val="99"/>
    <w:rsid w:val="00845575"/>
    <w:rPr>
      <w:rFonts w:ascii="EUAlbertina" w:hAnsi="EUAlbertina"/>
      <w:color w:val="auto"/>
    </w:rPr>
  </w:style>
  <w:style w:type="character" w:customStyle="1" w:styleId="DefaultChar">
    <w:name w:val="Default Char"/>
    <w:link w:val="Default"/>
    <w:rsid w:val="00C62BD4"/>
    <w:rPr>
      <w:color w:val="000000"/>
      <w:sz w:val="24"/>
      <w:szCs w:val="24"/>
    </w:rPr>
  </w:style>
  <w:style w:type="paragraph" w:customStyle="1" w:styleId="Pagedecouverture">
    <w:name w:val="Page de couverture"/>
    <w:basedOn w:val="Normal"/>
    <w:next w:val="Normal"/>
    <w:rsid w:val="00B773BB"/>
    <w:pPr>
      <w:spacing w:after="0"/>
    </w:pPr>
    <w:rPr>
      <w:rFonts w:eastAsia="Calibri"/>
      <w:sz w:val="24"/>
      <w:szCs w:val="22"/>
    </w:rPr>
  </w:style>
  <w:style w:type="paragraph" w:customStyle="1" w:styleId="Char2">
    <w:name w:val="Char2"/>
    <w:basedOn w:val="Normal"/>
    <w:link w:val="FootnoteReference"/>
    <w:uiPriority w:val="99"/>
    <w:rsid w:val="003B7331"/>
    <w:pPr>
      <w:spacing w:after="160" w:line="240" w:lineRule="exact"/>
      <w:jc w:val="left"/>
    </w:pPr>
    <w:rPr>
      <w:vertAlign w:val="superscript"/>
      <w:lang w:eastAsia="en-GB"/>
    </w:rPr>
  </w:style>
  <w:style w:type="character" w:customStyle="1" w:styleId="BodyTextChar">
    <w:name w:val="Body Text Char"/>
    <w:link w:val="BodyText"/>
    <w:uiPriority w:val="1"/>
    <w:rsid w:val="007502F1"/>
    <w:rPr>
      <w:sz w:val="28"/>
      <w:lang w:eastAsia="en-US"/>
    </w:rPr>
  </w:style>
  <w:style w:type="paragraph" w:customStyle="1" w:styleId="TableParagraph">
    <w:name w:val="Table Paragraph"/>
    <w:basedOn w:val="Normal"/>
    <w:uiPriority w:val="1"/>
    <w:rsid w:val="0044312F"/>
    <w:pPr>
      <w:widowControl w:val="0"/>
      <w:spacing w:before="79" w:after="0"/>
      <w:ind w:left="103"/>
      <w:jc w:val="left"/>
    </w:pPr>
    <w:rPr>
      <w:rFonts w:eastAsia="Verdana" w:cs="Verdana"/>
      <w:sz w:val="22"/>
      <w:szCs w:val="22"/>
    </w:rPr>
  </w:style>
  <w:style w:type="character" w:customStyle="1" w:styleId="Text1Char">
    <w:name w:val="Text 1 Char"/>
    <w:link w:val="Text1"/>
    <w:rsid w:val="004B4644"/>
    <w:rPr>
      <w:sz w:val="28"/>
      <w:lang w:eastAsia="en-US"/>
    </w:rPr>
  </w:style>
  <w:style w:type="character" w:customStyle="1" w:styleId="Bodytext20">
    <w:name w:val="Body text (2)_"/>
    <w:rsid w:val="00544DAC"/>
    <w:rPr>
      <w:b w:val="0"/>
      <w:bCs w:val="0"/>
      <w:i w:val="0"/>
      <w:iCs w:val="0"/>
      <w:smallCaps w:val="0"/>
      <w:strike w:val="0"/>
      <w:sz w:val="22"/>
      <w:szCs w:val="22"/>
      <w:u w:val="none"/>
    </w:rPr>
  </w:style>
  <w:style w:type="character" w:customStyle="1" w:styleId="Bodytext21">
    <w:name w:val="Body text (2)"/>
    <w:rsid w:val="00544DA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eastAsia="en-US" w:bidi="en-US"/>
    </w:rPr>
  </w:style>
  <w:style w:type="character" w:customStyle="1" w:styleId="Heading20">
    <w:name w:val="Heading #2_"/>
    <w:link w:val="Heading21"/>
    <w:rsid w:val="00544DAC"/>
    <w:rPr>
      <w:sz w:val="22"/>
      <w:szCs w:val="22"/>
      <w:shd w:val="clear" w:color="auto" w:fill="FFFFFF"/>
    </w:rPr>
  </w:style>
  <w:style w:type="paragraph" w:customStyle="1" w:styleId="Heading21">
    <w:name w:val="Heading #2"/>
    <w:basedOn w:val="Normal"/>
    <w:link w:val="Heading20"/>
    <w:rsid w:val="00544DAC"/>
    <w:pPr>
      <w:widowControl w:val="0"/>
      <w:shd w:val="clear" w:color="auto" w:fill="FFFFFF"/>
      <w:spacing w:after="0" w:line="514" w:lineRule="exact"/>
      <w:ind w:hanging="600"/>
      <w:outlineLvl w:val="1"/>
    </w:pPr>
    <w:rPr>
      <w:rFonts w:ascii="Times New Roman" w:hAnsi="Times New Roman"/>
      <w:sz w:val="22"/>
      <w:szCs w:val="22"/>
      <w:lang w:eastAsia="en-GB"/>
    </w:rPr>
  </w:style>
  <w:style w:type="character" w:customStyle="1" w:styleId="Text2Car">
    <w:name w:val="Text 2 Car"/>
    <w:link w:val="Text2"/>
    <w:rsid w:val="00BC77D2"/>
    <w:rPr>
      <w:rFonts w:ascii="Verdana" w:hAnsi="Verdana"/>
      <w:lang w:eastAsia="en-US"/>
    </w:rPr>
  </w:style>
  <w:style w:type="character" w:customStyle="1" w:styleId="Heading3Char">
    <w:name w:val="Heading 3 Char"/>
    <w:link w:val="Heading3"/>
    <w:rsid w:val="00510B7E"/>
    <w:rPr>
      <w:rFonts w:ascii="Verdana" w:hAnsi="Verdana"/>
      <w:i/>
      <w:color w:val="A50021"/>
      <w:u w:val="single"/>
      <w:lang w:eastAsia="en-U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rsid w:val="002C50CE"/>
    <w:rPr>
      <w:rFonts w:ascii="Verdana" w:hAnsi="Verdana"/>
      <w:snapToGrid w:val="0"/>
      <w:sz w:val="24"/>
      <w:szCs w:val="24"/>
    </w:rPr>
  </w:style>
  <w:style w:type="character" w:customStyle="1" w:styleId="iceouttxt36">
    <w:name w:val="iceouttxt36"/>
    <w:rsid w:val="002D1390"/>
    <w:rPr>
      <w:rFonts w:ascii="Times New Roman" w:hAnsi="Times New Roman" w:cs="Times New Roman" w:hint="default"/>
      <w:bdr w:val="none" w:sz="0" w:space="0" w:color="auto" w:frame="1"/>
      <w:vertAlign w:val="baseline"/>
    </w:rPr>
  </w:style>
  <w:style w:type="paragraph" w:customStyle="1" w:styleId="1">
    <w:name w:val="1"/>
    <w:basedOn w:val="Normal"/>
    <w:uiPriority w:val="99"/>
    <w:qFormat/>
    <w:rsid w:val="002D1390"/>
    <w:pPr>
      <w:spacing w:after="160" w:line="240" w:lineRule="exact"/>
      <w:jc w:val="left"/>
    </w:pPr>
    <w:rPr>
      <w:rFonts w:ascii="Times New Roman" w:hAnsi="Times New Roman"/>
      <w:vertAlign w:val="superscript"/>
      <w:lang w:eastAsia="en-GB"/>
    </w:rPr>
  </w:style>
  <w:style w:type="character" w:customStyle="1" w:styleId="BodyTextIndentChar">
    <w:name w:val="Body Text Indent Char"/>
    <w:link w:val="BodyTextIndent"/>
    <w:semiHidden/>
    <w:rsid w:val="00A53E20"/>
    <w:rPr>
      <w:rFonts w:ascii="Verdana" w:hAnsi="Verdana"/>
      <w:lang w:eastAsia="en-US"/>
    </w:rPr>
  </w:style>
  <w:style w:type="paragraph" w:customStyle="1" w:styleId="Body">
    <w:name w:val="Body"/>
    <w:rsid w:val="00510B7E"/>
    <w:pPr>
      <w:pBdr>
        <w:top w:val="nil"/>
        <w:left w:val="nil"/>
        <w:bottom w:val="nil"/>
        <w:right w:val="nil"/>
        <w:between w:val="nil"/>
        <w:bar w:val="nil"/>
      </w:pBdr>
      <w:spacing w:after="200"/>
      <w:jc w:val="both"/>
    </w:pPr>
    <w:rPr>
      <w:rFonts w:ascii="Verdana" w:eastAsia="Arial Unicode MS" w:hAnsi="Verdana" w:cs="Arial Unicode MS"/>
      <w:color w:val="000000"/>
      <w:u w:color="000000"/>
      <w:bdr w:val="nil"/>
      <w:lang w:eastAsia="en-GB"/>
    </w:rPr>
  </w:style>
  <w:style w:type="character" w:customStyle="1" w:styleId="Hyperlink3">
    <w:name w:val="Hyperlink.3"/>
    <w:rsid w:val="00510B7E"/>
  </w:style>
  <w:style w:type="paragraph" w:customStyle="1" w:styleId="footnote1">
    <w:name w:val="footnote1"/>
    <w:basedOn w:val="Normal"/>
    <w:qFormat/>
    <w:rsid w:val="00C909EF"/>
    <w:pPr>
      <w:spacing w:after="0"/>
      <w:ind w:left="720" w:hanging="720"/>
    </w:pPr>
    <w:rPr>
      <w:rFonts w:ascii="Times New Roman" w:hAnsi="Times New Roman"/>
      <w:szCs w:val="22"/>
      <w:lang w:eastAsia="en-GB"/>
    </w:rPr>
  </w:style>
  <w:style w:type="paragraph" w:styleId="NormalWeb">
    <w:name w:val="Normal (Web)"/>
    <w:basedOn w:val="Normal"/>
    <w:uiPriority w:val="99"/>
    <w:semiHidden/>
    <w:unhideWhenUsed/>
    <w:rsid w:val="00832213"/>
    <w:pPr>
      <w:spacing w:before="100" w:beforeAutospacing="1" w:after="100" w:afterAutospacing="1"/>
      <w:jc w:val="left"/>
    </w:pPr>
    <w:rPr>
      <w:rFonts w:ascii="Times New Roman" w:hAnsi="Times New Roman"/>
      <w:sz w:val="24"/>
      <w:szCs w:val="24"/>
      <w:lang w:eastAsia="en-GB"/>
    </w:rPr>
  </w:style>
  <w:style w:type="paragraph" w:customStyle="1" w:styleId="paragraph">
    <w:name w:val="paragraph"/>
    <w:basedOn w:val="Normal"/>
    <w:rsid w:val="008B1F42"/>
    <w:pPr>
      <w:spacing w:before="100" w:beforeAutospacing="1" w:after="100" w:afterAutospacing="1"/>
      <w:jc w:val="left"/>
    </w:pPr>
    <w:rPr>
      <w:rFonts w:ascii="Times New Roman" w:hAnsi="Times New Roman"/>
      <w:sz w:val="24"/>
      <w:szCs w:val="24"/>
      <w:lang w:eastAsia="fr-BE"/>
    </w:rPr>
  </w:style>
  <w:style w:type="character" w:customStyle="1" w:styleId="normaltextrun">
    <w:name w:val="normaltextrun"/>
    <w:rsid w:val="008B1F42"/>
  </w:style>
  <w:style w:type="character" w:customStyle="1" w:styleId="eop">
    <w:name w:val="eop"/>
    <w:rsid w:val="008B1F42"/>
  </w:style>
  <w:style w:type="table" w:customStyle="1" w:styleId="TableLetterhead">
    <w:name w:val="Table Letterhead"/>
    <w:basedOn w:val="TableNormal"/>
    <w:semiHidden/>
    <w:rsid w:val="0062273B"/>
    <w:rPr>
      <w:sz w:val="24"/>
    </w:rPr>
    <w:tblPr>
      <w:tblCellMar>
        <w:left w:w="0" w:type="dxa"/>
        <w:bottom w:w="3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8761">
      <w:bodyDiv w:val="1"/>
      <w:marLeft w:val="0"/>
      <w:marRight w:val="0"/>
      <w:marTop w:val="0"/>
      <w:marBottom w:val="0"/>
      <w:divBdr>
        <w:top w:val="none" w:sz="0" w:space="0" w:color="auto"/>
        <w:left w:val="none" w:sz="0" w:space="0" w:color="auto"/>
        <w:bottom w:val="none" w:sz="0" w:space="0" w:color="auto"/>
        <w:right w:val="none" w:sz="0" w:space="0" w:color="auto"/>
      </w:divBdr>
      <w:divsChild>
        <w:div w:id="95683694">
          <w:marLeft w:val="0"/>
          <w:marRight w:val="0"/>
          <w:marTop w:val="0"/>
          <w:marBottom w:val="0"/>
          <w:divBdr>
            <w:top w:val="none" w:sz="0" w:space="0" w:color="auto"/>
            <w:left w:val="none" w:sz="0" w:space="0" w:color="auto"/>
            <w:bottom w:val="none" w:sz="0" w:space="0" w:color="auto"/>
            <w:right w:val="none" w:sz="0" w:space="0" w:color="auto"/>
          </w:divBdr>
        </w:div>
      </w:divsChild>
    </w:div>
    <w:div w:id="38669110">
      <w:bodyDiv w:val="1"/>
      <w:marLeft w:val="0"/>
      <w:marRight w:val="0"/>
      <w:marTop w:val="0"/>
      <w:marBottom w:val="0"/>
      <w:divBdr>
        <w:top w:val="none" w:sz="0" w:space="0" w:color="auto"/>
        <w:left w:val="none" w:sz="0" w:space="0" w:color="auto"/>
        <w:bottom w:val="none" w:sz="0" w:space="0" w:color="auto"/>
        <w:right w:val="none" w:sz="0" w:space="0" w:color="auto"/>
      </w:divBdr>
    </w:div>
    <w:div w:id="90123816">
      <w:bodyDiv w:val="1"/>
      <w:marLeft w:val="0"/>
      <w:marRight w:val="0"/>
      <w:marTop w:val="0"/>
      <w:marBottom w:val="0"/>
      <w:divBdr>
        <w:top w:val="none" w:sz="0" w:space="0" w:color="auto"/>
        <w:left w:val="none" w:sz="0" w:space="0" w:color="auto"/>
        <w:bottom w:val="none" w:sz="0" w:space="0" w:color="auto"/>
        <w:right w:val="none" w:sz="0" w:space="0" w:color="auto"/>
      </w:divBdr>
    </w:div>
    <w:div w:id="103040698">
      <w:bodyDiv w:val="1"/>
      <w:marLeft w:val="0"/>
      <w:marRight w:val="0"/>
      <w:marTop w:val="0"/>
      <w:marBottom w:val="0"/>
      <w:divBdr>
        <w:top w:val="none" w:sz="0" w:space="0" w:color="auto"/>
        <w:left w:val="none" w:sz="0" w:space="0" w:color="auto"/>
        <w:bottom w:val="none" w:sz="0" w:space="0" w:color="auto"/>
        <w:right w:val="none" w:sz="0" w:space="0" w:color="auto"/>
      </w:divBdr>
    </w:div>
    <w:div w:id="141432808">
      <w:bodyDiv w:val="1"/>
      <w:marLeft w:val="0"/>
      <w:marRight w:val="0"/>
      <w:marTop w:val="0"/>
      <w:marBottom w:val="0"/>
      <w:divBdr>
        <w:top w:val="none" w:sz="0" w:space="0" w:color="auto"/>
        <w:left w:val="none" w:sz="0" w:space="0" w:color="auto"/>
        <w:bottom w:val="none" w:sz="0" w:space="0" w:color="auto"/>
        <w:right w:val="none" w:sz="0" w:space="0" w:color="auto"/>
      </w:divBdr>
    </w:div>
    <w:div w:id="176887031">
      <w:bodyDiv w:val="1"/>
      <w:marLeft w:val="0"/>
      <w:marRight w:val="0"/>
      <w:marTop w:val="0"/>
      <w:marBottom w:val="0"/>
      <w:divBdr>
        <w:top w:val="none" w:sz="0" w:space="0" w:color="auto"/>
        <w:left w:val="none" w:sz="0" w:space="0" w:color="auto"/>
        <w:bottom w:val="none" w:sz="0" w:space="0" w:color="auto"/>
        <w:right w:val="none" w:sz="0" w:space="0" w:color="auto"/>
      </w:divBdr>
    </w:div>
    <w:div w:id="190265158">
      <w:bodyDiv w:val="1"/>
      <w:marLeft w:val="0"/>
      <w:marRight w:val="0"/>
      <w:marTop w:val="0"/>
      <w:marBottom w:val="0"/>
      <w:divBdr>
        <w:top w:val="none" w:sz="0" w:space="0" w:color="auto"/>
        <w:left w:val="none" w:sz="0" w:space="0" w:color="auto"/>
        <w:bottom w:val="none" w:sz="0" w:space="0" w:color="auto"/>
        <w:right w:val="none" w:sz="0" w:space="0" w:color="auto"/>
      </w:divBdr>
    </w:div>
    <w:div w:id="210846157">
      <w:bodyDiv w:val="1"/>
      <w:marLeft w:val="0"/>
      <w:marRight w:val="0"/>
      <w:marTop w:val="0"/>
      <w:marBottom w:val="0"/>
      <w:divBdr>
        <w:top w:val="none" w:sz="0" w:space="0" w:color="auto"/>
        <w:left w:val="none" w:sz="0" w:space="0" w:color="auto"/>
        <w:bottom w:val="none" w:sz="0" w:space="0" w:color="auto"/>
        <w:right w:val="none" w:sz="0" w:space="0" w:color="auto"/>
      </w:divBdr>
    </w:div>
    <w:div w:id="211692104">
      <w:bodyDiv w:val="1"/>
      <w:marLeft w:val="0"/>
      <w:marRight w:val="0"/>
      <w:marTop w:val="0"/>
      <w:marBottom w:val="0"/>
      <w:divBdr>
        <w:top w:val="none" w:sz="0" w:space="0" w:color="auto"/>
        <w:left w:val="none" w:sz="0" w:space="0" w:color="auto"/>
        <w:bottom w:val="none" w:sz="0" w:space="0" w:color="auto"/>
        <w:right w:val="none" w:sz="0" w:space="0" w:color="auto"/>
      </w:divBdr>
    </w:div>
    <w:div w:id="219949969">
      <w:bodyDiv w:val="1"/>
      <w:marLeft w:val="0"/>
      <w:marRight w:val="0"/>
      <w:marTop w:val="0"/>
      <w:marBottom w:val="0"/>
      <w:divBdr>
        <w:top w:val="none" w:sz="0" w:space="0" w:color="auto"/>
        <w:left w:val="none" w:sz="0" w:space="0" w:color="auto"/>
        <w:bottom w:val="none" w:sz="0" w:space="0" w:color="auto"/>
        <w:right w:val="none" w:sz="0" w:space="0" w:color="auto"/>
      </w:divBdr>
    </w:div>
    <w:div w:id="221603459">
      <w:bodyDiv w:val="1"/>
      <w:marLeft w:val="0"/>
      <w:marRight w:val="0"/>
      <w:marTop w:val="0"/>
      <w:marBottom w:val="0"/>
      <w:divBdr>
        <w:top w:val="none" w:sz="0" w:space="0" w:color="auto"/>
        <w:left w:val="none" w:sz="0" w:space="0" w:color="auto"/>
        <w:bottom w:val="none" w:sz="0" w:space="0" w:color="auto"/>
        <w:right w:val="none" w:sz="0" w:space="0" w:color="auto"/>
      </w:divBdr>
    </w:div>
    <w:div w:id="227038112">
      <w:bodyDiv w:val="1"/>
      <w:marLeft w:val="0"/>
      <w:marRight w:val="0"/>
      <w:marTop w:val="0"/>
      <w:marBottom w:val="0"/>
      <w:divBdr>
        <w:top w:val="none" w:sz="0" w:space="0" w:color="auto"/>
        <w:left w:val="none" w:sz="0" w:space="0" w:color="auto"/>
        <w:bottom w:val="none" w:sz="0" w:space="0" w:color="auto"/>
        <w:right w:val="none" w:sz="0" w:space="0" w:color="auto"/>
      </w:divBdr>
      <w:divsChild>
        <w:div w:id="1323775610">
          <w:marLeft w:val="0"/>
          <w:marRight w:val="0"/>
          <w:marTop w:val="0"/>
          <w:marBottom w:val="0"/>
          <w:divBdr>
            <w:top w:val="none" w:sz="0" w:space="0" w:color="auto"/>
            <w:left w:val="none" w:sz="0" w:space="0" w:color="auto"/>
            <w:bottom w:val="none" w:sz="0" w:space="0" w:color="auto"/>
            <w:right w:val="none" w:sz="0" w:space="0" w:color="auto"/>
          </w:divBdr>
        </w:div>
      </w:divsChild>
    </w:div>
    <w:div w:id="262030436">
      <w:bodyDiv w:val="1"/>
      <w:marLeft w:val="0"/>
      <w:marRight w:val="0"/>
      <w:marTop w:val="0"/>
      <w:marBottom w:val="0"/>
      <w:divBdr>
        <w:top w:val="none" w:sz="0" w:space="0" w:color="auto"/>
        <w:left w:val="none" w:sz="0" w:space="0" w:color="auto"/>
        <w:bottom w:val="none" w:sz="0" w:space="0" w:color="auto"/>
        <w:right w:val="none" w:sz="0" w:space="0" w:color="auto"/>
      </w:divBdr>
    </w:div>
    <w:div w:id="359743173">
      <w:bodyDiv w:val="1"/>
      <w:marLeft w:val="0"/>
      <w:marRight w:val="0"/>
      <w:marTop w:val="0"/>
      <w:marBottom w:val="0"/>
      <w:divBdr>
        <w:top w:val="none" w:sz="0" w:space="0" w:color="auto"/>
        <w:left w:val="none" w:sz="0" w:space="0" w:color="auto"/>
        <w:bottom w:val="none" w:sz="0" w:space="0" w:color="auto"/>
        <w:right w:val="none" w:sz="0" w:space="0" w:color="auto"/>
      </w:divBdr>
    </w:div>
    <w:div w:id="409469453">
      <w:bodyDiv w:val="1"/>
      <w:marLeft w:val="0"/>
      <w:marRight w:val="0"/>
      <w:marTop w:val="0"/>
      <w:marBottom w:val="0"/>
      <w:divBdr>
        <w:top w:val="none" w:sz="0" w:space="0" w:color="auto"/>
        <w:left w:val="none" w:sz="0" w:space="0" w:color="auto"/>
        <w:bottom w:val="none" w:sz="0" w:space="0" w:color="auto"/>
        <w:right w:val="none" w:sz="0" w:space="0" w:color="auto"/>
      </w:divBdr>
    </w:div>
    <w:div w:id="419571455">
      <w:bodyDiv w:val="1"/>
      <w:marLeft w:val="0"/>
      <w:marRight w:val="0"/>
      <w:marTop w:val="0"/>
      <w:marBottom w:val="0"/>
      <w:divBdr>
        <w:top w:val="none" w:sz="0" w:space="0" w:color="auto"/>
        <w:left w:val="none" w:sz="0" w:space="0" w:color="auto"/>
        <w:bottom w:val="none" w:sz="0" w:space="0" w:color="auto"/>
        <w:right w:val="none" w:sz="0" w:space="0" w:color="auto"/>
      </w:divBdr>
    </w:div>
    <w:div w:id="424419585">
      <w:bodyDiv w:val="1"/>
      <w:marLeft w:val="0"/>
      <w:marRight w:val="0"/>
      <w:marTop w:val="0"/>
      <w:marBottom w:val="0"/>
      <w:divBdr>
        <w:top w:val="none" w:sz="0" w:space="0" w:color="auto"/>
        <w:left w:val="none" w:sz="0" w:space="0" w:color="auto"/>
        <w:bottom w:val="none" w:sz="0" w:space="0" w:color="auto"/>
        <w:right w:val="none" w:sz="0" w:space="0" w:color="auto"/>
      </w:divBdr>
    </w:div>
    <w:div w:id="447773217">
      <w:bodyDiv w:val="1"/>
      <w:marLeft w:val="0"/>
      <w:marRight w:val="0"/>
      <w:marTop w:val="0"/>
      <w:marBottom w:val="0"/>
      <w:divBdr>
        <w:top w:val="none" w:sz="0" w:space="0" w:color="auto"/>
        <w:left w:val="none" w:sz="0" w:space="0" w:color="auto"/>
        <w:bottom w:val="none" w:sz="0" w:space="0" w:color="auto"/>
        <w:right w:val="none" w:sz="0" w:space="0" w:color="auto"/>
      </w:divBdr>
    </w:div>
    <w:div w:id="533690867">
      <w:bodyDiv w:val="1"/>
      <w:marLeft w:val="0"/>
      <w:marRight w:val="0"/>
      <w:marTop w:val="0"/>
      <w:marBottom w:val="0"/>
      <w:divBdr>
        <w:top w:val="none" w:sz="0" w:space="0" w:color="auto"/>
        <w:left w:val="none" w:sz="0" w:space="0" w:color="auto"/>
        <w:bottom w:val="none" w:sz="0" w:space="0" w:color="auto"/>
        <w:right w:val="none" w:sz="0" w:space="0" w:color="auto"/>
      </w:divBdr>
      <w:divsChild>
        <w:div w:id="772475555">
          <w:marLeft w:val="0"/>
          <w:marRight w:val="0"/>
          <w:marTop w:val="0"/>
          <w:marBottom w:val="0"/>
          <w:divBdr>
            <w:top w:val="none" w:sz="0" w:space="0" w:color="auto"/>
            <w:left w:val="none" w:sz="0" w:space="0" w:color="auto"/>
            <w:bottom w:val="none" w:sz="0" w:space="0" w:color="auto"/>
            <w:right w:val="none" w:sz="0" w:space="0" w:color="auto"/>
          </w:divBdr>
        </w:div>
      </w:divsChild>
    </w:div>
    <w:div w:id="570122764">
      <w:bodyDiv w:val="1"/>
      <w:marLeft w:val="0"/>
      <w:marRight w:val="0"/>
      <w:marTop w:val="0"/>
      <w:marBottom w:val="0"/>
      <w:divBdr>
        <w:top w:val="none" w:sz="0" w:space="0" w:color="auto"/>
        <w:left w:val="none" w:sz="0" w:space="0" w:color="auto"/>
        <w:bottom w:val="none" w:sz="0" w:space="0" w:color="auto"/>
        <w:right w:val="none" w:sz="0" w:space="0" w:color="auto"/>
      </w:divBdr>
    </w:div>
    <w:div w:id="611135809">
      <w:bodyDiv w:val="1"/>
      <w:marLeft w:val="0"/>
      <w:marRight w:val="0"/>
      <w:marTop w:val="0"/>
      <w:marBottom w:val="0"/>
      <w:divBdr>
        <w:top w:val="none" w:sz="0" w:space="0" w:color="auto"/>
        <w:left w:val="none" w:sz="0" w:space="0" w:color="auto"/>
        <w:bottom w:val="none" w:sz="0" w:space="0" w:color="auto"/>
        <w:right w:val="none" w:sz="0" w:space="0" w:color="auto"/>
      </w:divBdr>
    </w:div>
    <w:div w:id="616529841">
      <w:bodyDiv w:val="1"/>
      <w:marLeft w:val="0"/>
      <w:marRight w:val="0"/>
      <w:marTop w:val="0"/>
      <w:marBottom w:val="0"/>
      <w:divBdr>
        <w:top w:val="none" w:sz="0" w:space="0" w:color="auto"/>
        <w:left w:val="none" w:sz="0" w:space="0" w:color="auto"/>
        <w:bottom w:val="none" w:sz="0" w:space="0" w:color="auto"/>
        <w:right w:val="none" w:sz="0" w:space="0" w:color="auto"/>
      </w:divBdr>
    </w:div>
    <w:div w:id="630791554">
      <w:bodyDiv w:val="1"/>
      <w:marLeft w:val="0"/>
      <w:marRight w:val="0"/>
      <w:marTop w:val="0"/>
      <w:marBottom w:val="0"/>
      <w:divBdr>
        <w:top w:val="none" w:sz="0" w:space="0" w:color="auto"/>
        <w:left w:val="none" w:sz="0" w:space="0" w:color="auto"/>
        <w:bottom w:val="none" w:sz="0" w:space="0" w:color="auto"/>
        <w:right w:val="none" w:sz="0" w:space="0" w:color="auto"/>
      </w:divBdr>
    </w:div>
    <w:div w:id="631522879">
      <w:bodyDiv w:val="1"/>
      <w:marLeft w:val="0"/>
      <w:marRight w:val="0"/>
      <w:marTop w:val="0"/>
      <w:marBottom w:val="0"/>
      <w:divBdr>
        <w:top w:val="none" w:sz="0" w:space="0" w:color="auto"/>
        <w:left w:val="none" w:sz="0" w:space="0" w:color="auto"/>
        <w:bottom w:val="none" w:sz="0" w:space="0" w:color="auto"/>
        <w:right w:val="none" w:sz="0" w:space="0" w:color="auto"/>
      </w:divBdr>
    </w:div>
    <w:div w:id="666978706">
      <w:bodyDiv w:val="1"/>
      <w:marLeft w:val="0"/>
      <w:marRight w:val="0"/>
      <w:marTop w:val="0"/>
      <w:marBottom w:val="0"/>
      <w:divBdr>
        <w:top w:val="none" w:sz="0" w:space="0" w:color="auto"/>
        <w:left w:val="none" w:sz="0" w:space="0" w:color="auto"/>
        <w:bottom w:val="none" w:sz="0" w:space="0" w:color="auto"/>
        <w:right w:val="none" w:sz="0" w:space="0" w:color="auto"/>
      </w:divBdr>
    </w:div>
    <w:div w:id="668796837">
      <w:bodyDiv w:val="1"/>
      <w:marLeft w:val="0"/>
      <w:marRight w:val="0"/>
      <w:marTop w:val="0"/>
      <w:marBottom w:val="0"/>
      <w:divBdr>
        <w:top w:val="none" w:sz="0" w:space="0" w:color="auto"/>
        <w:left w:val="none" w:sz="0" w:space="0" w:color="auto"/>
        <w:bottom w:val="none" w:sz="0" w:space="0" w:color="auto"/>
        <w:right w:val="none" w:sz="0" w:space="0" w:color="auto"/>
      </w:divBdr>
    </w:div>
    <w:div w:id="672874959">
      <w:bodyDiv w:val="1"/>
      <w:marLeft w:val="0"/>
      <w:marRight w:val="0"/>
      <w:marTop w:val="0"/>
      <w:marBottom w:val="0"/>
      <w:divBdr>
        <w:top w:val="none" w:sz="0" w:space="0" w:color="auto"/>
        <w:left w:val="none" w:sz="0" w:space="0" w:color="auto"/>
        <w:bottom w:val="none" w:sz="0" w:space="0" w:color="auto"/>
        <w:right w:val="none" w:sz="0" w:space="0" w:color="auto"/>
      </w:divBdr>
    </w:div>
    <w:div w:id="724332788">
      <w:bodyDiv w:val="1"/>
      <w:marLeft w:val="0"/>
      <w:marRight w:val="0"/>
      <w:marTop w:val="0"/>
      <w:marBottom w:val="0"/>
      <w:divBdr>
        <w:top w:val="none" w:sz="0" w:space="0" w:color="auto"/>
        <w:left w:val="none" w:sz="0" w:space="0" w:color="auto"/>
        <w:bottom w:val="none" w:sz="0" w:space="0" w:color="auto"/>
        <w:right w:val="none" w:sz="0" w:space="0" w:color="auto"/>
      </w:divBdr>
    </w:div>
    <w:div w:id="724571305">
      <w:bodyDiv w:val="1"/>
      <w:marLeft w:val="0"/>
      <w:marRight w:val="0"/>
      <w:marTop w:val="0"/>
      <w:marBottom w:val="0"/>
      <w:divBdr>
        <w:top w:val="none" w:sz="0" w:space="0" w:color="auto"/>
        <w:left w:val="none" w:sz="0" w:space="0" w:color="auto"/>
        <w:bottom w:val="none" w:sz="0" w:space="0" w:color="auto"/>
        <w:right w:val="none" w:sz="0" w:space="0" w:color="auto"/>
      </w:divBdr>
    </w:div>
    <w:div w:id="726759194">
      <w:bodyDiv w:val="1"/>
      <w:marLeft w:val="0"/>
      <w:marRight w:val="0"/>
      <w:marTop w:val="0"/>
      <w:marBottom w:val="0"/>
      <w:divBdr>
        <w:top w:val="none" w:sz="0" w:space="0" w:color="auto"/>
        <w:left w:val="none" w:sz="0" w:space="0" w:color="auto"/>
        <w:bottom w:val="none" w:sz="0" w:space="0" w:color="auto"/>
        <w:right w:val="none" w:sz="0" w:space="0" w:color="auto"/>
      </w:divBdr>
    </w:div>
    <w:div w:id="788429702">
      <w:bodyDiv w:val="1"/>
      <w:marLeft w:val="0"/>
      <w:marRight w:val="0"/>
      <w:marTop w:val="0"/>
      <w:marBottom w:val="0"/>
      <w:divBdr>
        <w:top w:val="none" w:sz="0" w:space="0" w:color="auto"/>
        <w:left w:val="none" w:sz="0" w:space="0" w:color="auto"/>
        <w:bottom w:val="none" w:sz="0" w:space="0" w:color="auto"/>
        <w:right w:val="none" w:sz="0" w:space="0" w:color="auto"/>
      </w:divBdr>
    </w:div>
    <w:div w:id="796067230">
      <w:bodyDiv w:val="1"/>
      <w:marLeft w:val="0"/>
      <w:marRight w:val="0"/>
      <w:marTop w:val="0"/>
      <w:marBottom w:val="0"/>
      <w:divBdr>
        <w:top w:val="none" w:sz="0" w:space="0" w:color="auto"/>
        <w:left w:val="none" w:sz="0" w:space="0" w:color="auto"/>
        <w:bottom w:val="none" w:sz="0" w:space="0" w:color="auto"/>
        <w:right w:val="none" w:sz="0" w:space="0" w:color="auto"/>
      </w:divBdr>
    </w:div>
    <w:div w:id="821583369">
      <w:bodyDiv w:val="1"/>
      <w:marLeft w:val="0"/>
      <w:marRight w:val="0"/>
      <w:marTop w:val="0"/>
      <w:marBottom w:val="0"/>
      <w:divBdr>
        <w:top w:val="none" w:sz="0" w:space="0" w:color="auto"/>
        <w:left w:val="none" w:sz="0" w:space="0" w:color="auto"/>
        <w:bottom w:val="none" w:sz="0" w:space="0" w:color="auto"/>
        <w:right w:val="none" w:sz="0" w:space="0" w:color="auto"/>
      </w:divBdr>
    </w:div>
    <w:div w:id="854685111">
      <w:bodyDiv w:val="1"/>
      <w:marLeft w:val="0"/>
      <w:marRight w:val="0"/>
      <w:marTop w:val="0"/>
      <w:marBottom w:val="0"/>
      <w:divBdr>
        <w:top w:val="none" w:sz="0" w:space="0" w:color="auto"/>
        <w:left w:val="none" w:sz="0" w:space="0" w:color="auto"/>
        <w:bottom w:val="none" w:sz="0" w:space="0" w:color="auto"/>
        <w:right w:val="none" w:sz="0" w:space="0" w:color="auto"/>
      </w:divBdr>
    </w:div>
    <w:div w:id="894436173">
      <w:bodyDiv w:val="1"/>
      <w:marLeft w:val="0"/>
      <w:marRight w:val="0"/>
      <w:marTop w:val="0"/>
      <w:marBottom w:val="0"/>
      <w:divBdr>
        <w:top w:val="none" w:sz="0" w:space="0" w:color="auto"/>
        <w:left w:val="none" w:sz="0" w:space="0" w:color="auto"/>
        <w:bottom w:val="none" w:sz="0" w:space="0" w:color="auto"/>
        <w:right w:val="none" w:sz="0" w:space="0" w:color="auto"/>
      </w:divBdr>
    </w:div>
    <w:div w:id="895354809">
      <w:bodyDiv w:val="1"/>
      <w:marLeft w:val="0"/>
      <w:marRight w:val="0"/>
      <w:marTop w:val="0"/>
      <w:marBottom w:val="0"/>
      <w:divBdr>
        <w:top w:val="none" w:sz="0" w:space="0" w:color="auto"/>
        <w:left w:val="none" w:sz="0" w:space="0" w:color="auto"/>
        <w:bottom w:val="none" w:sz="0" w:space="0" w:color="auto"/>
        <w:right w:val="none" w:sz="0" w:space="0" w:color="auto"/>
      </w:divBdr>
    </w:div>
    <w:div w:id="997726798">
      <w:bodyDiv w:val="1"/>
      <w:marLeft w:val="0"/>
      <w:marRight w:val="0"/>
      <w:marTop w:val="0"/>
      <w:marBottom w:val="0"/>
      <w:divBdr>
        <w:top w:val="none" w:sz="0" w:space="0" w:color="auto"/>
        <w:left w:val="none" w:sz="0" w:space="0" w:color="auto"/>
        <w:bottom w:val="none" w:sz="0" w:space="0" w:color="auto"/>
        <w:right w:val="none" w:sz="0" w:space="0" w:color="auto"/>
      </w:divBdr>
    </w:div>
    <w:div w:id="1109156641">
      <w:bodyDiv w:val="1"/>
      <w:marLeft w:val="0"/>
      <w:marRight w:val="0"/>
      <w:marTop w:val="0"/>
      <w:marBottom w:val="0"/>
      <w:divBdr>
        <w:top w:val="none" w:sz="0" w:space="0" w:color="auto"/>
        <w:left w:val="none" w:sz="0" w:space="0" w:color="auto"/>
        <w:bottom w:val="none" w:sz="0" w:space="0" w:color="auto"/>
        <w:right w:val="none" w:sz="0" w:space="0" w:color="auto"/>
      </w:divBdr>
    </w:div>
    <w:div w:id="1145196951">
      <w:bodyDiv w:val="1"/>
      <w:marLeft w:val="0"/>
      <w:marRight w:val="0"/>
      <w:marTop w:val="0"/>
      <w:marBottom w:val="0"/>
      <w:divBdr>
        <w:top w:val="none" w:sz="0" w:space="0" w:color="auto"/>
        <w:left w:val="none" w:sz="0" w:space="0" w:color="auto"/>
        <w:bottom w:val="none" w:sz="0" w:space="0" w:color="auto"/>
        <w:right w:val="none" w:sz="0" w:space="0" w:color="auto"/>
      </w:divBdr>
    </w:div>
    <w:div w:id="1156262582">
      <w:bodyDiv w:val="1"/>
      <w:marLeft w:val="0"/>
      <w:marRight w:val="0"/>
      <w:marTop w:val="0"/>
      <w:marBottom w:val="0"/>
      <w:divBdr>
        <w:top w:val="none" w:sz="0" w:space="0" w:color="auto"/>
        <w:left w:val="none" w:sz="0" w:space="0" w:color="auto"/>
        <w:bottom w:val="none" w:sz="0" w:space="0" w:color="auto"/>
        <w:right w:val="none" w:sz="0" w:space="0" w:color="auto"/>
      </w:divBdr>
    </w:div>
    <w:div w:id="1173647993">
      <w:bodyDiv w:val="1"/>
      <w:marLeft w:val="0"/>
      <w:marRight w:val="0"/>
      <w:marTop w:val="0"/>
      <w:marBottom w:val="0"/>
      <w:divBdr>
        <w:top w:val="none" w:sz="0" w:space="0" w:color="auto"/>
        <w:left w:val="none" w:sz="0" w:space="0" w:color="auto"/>
        <w:bottom w:val="none" w:sz="0" w:space="0" w:color="auto"/>
        <w:right w:val="none" w:sz="0" w:space="0" w:color="auto"/>
      </w:divBdr>
    </w:div>
    <w:div w:id="1250698026">
      <w:bodyDiv w:val="1"/>
      <w:marLeft w:val="0"/>
      <w:marRight w:val="0"/>
      <w:marTop w:val="0"/>
      <w:marBottom w:val="0"/>
      <w:divBdr>
        <w:top w:val="none" w:sz="0" w:space="0" w:color="auto"/>
        <w:left w:val="none" w:sz="0" w:space="0" w:color="auto"/>
        <w:bottom w:val="none" w:sz="0" w:space="0" w:color="auto"/>
        <w:right w:val="none" w:sz="0" w:space="0" w:color="auto"/>
      </w:divBdr>
    </w:div>
    <w:div w:id="1256867543">
      <w:bodyDiv w:val="1"/>
      <w:marLeft w:val="0"/>
      <w:marRight w:val="0"/>
      <w:marTop w:val="0"/>
      <w:marBottom w:val="0"/>
      <w:divBdr>
        <w:top w:val="none" w:sz="0" w:space="0" w:color="auto"/>
        <w:left w:val="none" w:sz="0" w:space="0" w:color="auto"/>
        <w:bottom w:val="none" w:sz="0" w:space="0" w:color="auto"/>
        <w:right w:val="none" w:sz="0" w:space="0" w:color="auto"/>
      </w:divBdr>
    </w:div>
    <w:div w:id="1360471180">
      <w:bodyDiv w:val="1"/>
      <w:marLeft w:val="0"/>
      <w:marRight w:val="0"/>
      <w:marTop w:val="0"/>
      <w:marBottom w:val="0"/>
      <w:divBdr>
        <w:top w:val="none" w:sz="0" w:space="0" w:color="auto"/>
        <w:left w:val="none" w:sz="0" w:space="0" w:color="auto"/>
        <w:bottom w:val="none" w:sz="0" w:space="0" w:color="auto"/>
        <w:right w:val="none" w:sz="0" w:space="0" w:color="auto"/>
      </w:divBdr>
    </w:div>
    <w:div w:id="1384131897">
      <w:bodyDiv w:val="1"/>
      <w:marLeft w:val="0"/>
      <w:marRight w:val="0"/>
      <w:marTop w:val="0"/>
      <w:marBottom w:val="0"/>
      <w:divBdr>
        <w:top w:val="none" w:sz="0" w:space="0" w:color="auto"/>
        <w:left w:val="none" w:sz="0" w:space="0" w:color="auto"/>
        <w:bottom w:val="none" w:sz="0" w:space="0" w:color="auto"/>
        <w:right w:val="none" w:sz="0" w:space="0" w:color="auto"/>
      </w:divBdr>
    </w:div>
    <w:div w:id="1451827119">
      <w:bodyDiv w:val="1"/>
      <w:marLeft w:val="0"/>
      <w:marRight w:val="0"/>
      <w:marTop w:val="0"/>
      <w:marBottom w:val="0"/>
      <w:divBdr>
        <w:top w:val="none" w:sz="0" w:space="0" w:color="auto"/>
        <w:left w:val="none" w:sz="0" w:space="0" w:color="auto"/>
        <w:bottom w:val="none" w:sz="0" w:space="0" w:color="auto"/>
        <w:right w:val="none" w:sz="0" w:space="0" w:color="auto"/>
      </w:divBdr>
    </w:div>
    <w:div w:id="1517234381">
      <w:bodyDiv w:val="1"/>
      <w:marLeft w:val="0"/>
      <w:marRight w:val="0"/>
      <w:marTop w:val="0"/>
      <w:marBottom w:val="0"/>
      <w:divBdr>
        <w:top w:val="none" w:sz="0" w:space="0" w:color="auto"/>
        <w:left w:val="none" w:sz="0" w:space="0" w:color="auto"/>
        <w:bottom w:val="none" w:sz="0" w:space="0" w:color="auto"/>
        <w:right w:val="none" w:sz="0" w:space="0" w:color="auto"/>
      </w:divBdr>
    </w:div>
    <w:div w:id="1539776412">
      <w:bodyDiv w:val="1"/>
      <w:marLeft w:val="0"/>
      <w:marRight w:val="0"/>
      <w:marTop w:val="0"/>
      <w:marBottom w:val="0"/>
      <w:divBdr>
        <w:top w:val="none" w:sz="0" w:space="0" w:color="auto"/>
        <w:left w:val="none" w:sz="0" w:space="0" w:color="auto"/>
        <w:bottom w:val="none" w:sz="0" w:space="0" w:color="auto"/>
        <w:right w:val="none" w:sz="0" w:space="0" w:color="auto"/>
      </w:divBdr>
    </w:div>
    <w:div w:id="1541359469">
      <w:bodyDiv w:val="1"/>
      <w:marLeft w:val="0"/>
      <w:marRight w:val="0"/>
      <w:marTop w:val="0"/>
      <w:marBottom w:val="0"/>
      <w:divBdr>
        <w:top w:val="none" w:sz="0" w:space="0" w:color="auto"/>
        <w:left w:val="none" w:sz="0" w:space="0" w:color="auto"/>
        <w:bottom w:val="none" w:sz="0" w:space="0" w:color="auto"/>
        <w:right w:val="none" w:sz="0" w:space="0" w:color="auto"/>
      </w:divBdr>
    </w:div>
    <w:div w:id="163506059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87976972">
      <w:bodyDiv w:val="1"/>
      <w:marLeft w:val="0"/>
      <w:marRight w:val="0"/>
      <w:marTop w:val="0"/>
      <w:marBottom w:val="0"/>
      <w:divBdr>
        <w:top w:val="none" w:sz="0" w:space="0" w:color="auto"/>
        <w:left w:val="none" w:sz="0" w:space="0" w:color="auto"/>
        <w:bottom w:val="none" w:sz="0" w:space="0" w:color="auto"/>
        <w:right w:val="none" w:sz="0" w:space="0" w:color="auto"/>
      </w:divBdr>
    </w:div>
    <w:div w:id="1771504641">
      <w:bodyDiv w:val="1"/>
      <w:marLeft w:val="0"/>
      <w:marRight w:val="0"/>
      <w:marTop w:val="0"/>
      <w:marBottom w:val="0"/>
      <w:divBdr>
        <w:top w:val="none" w:sz="0" w:space="0" w:color="auto"/>
        <w:left w:val="none" w:sz="0" w:space="0" w:color="auto"/>
        <w:bottom w:val="none" w:sz="0" w:space="0" w:color="auto"/>
        <w:right w:val="none" w:sz="0" w:space="0" w:color="auto"/>
      </w:divBdr>
    </w:div>
    <w:div w:id="1811172023">
      <w:bodyDiv w:val="1"/>
      <w:marLeft w:val="0"/>
      <w:marRight w:val="0"/>
      <w:marTop w:val="0"/>
      <w:marBottom w:val="0"/>
      <w:divBdr>
        <w:top w:val="none" w:sz="0" w:space="0" w:color="auto"/>
        <w:left w:val="none" w:sz="0" w:space="0" w:color="auto"/>
        <w:bottom w:val="none" w:sz="0" w:space="0" w:color="auto"/>
        <w:right w:val="none" w:sz="0" w:space="0" w:color="auto"/>
      </w:divBdr>
      <w:divsChild>
        <w:div w:id="1701783708">
          <w:marLeft w:val="0"/>
          <w:marRight w:val="0"/>
          <w:marTop w:val="0"/>
          <w:marBottom w:val="0"/>
          <w:divBdr>
            <w:top w:val="none" w:sz="0" w:space="0" w:color="auto"/>
            <w:left w:val="none" w:sz="0" w:space="0" w:color="auto"/>
            <w:bottom w:val="none" w:sz="0" w:space="0" w:color="auto"/>
            <w:right w:val="none" w:sz="0" w:space="0" w:color="auto"/>
          </w:divBdr>
          <w:divsChild>
            <w:div w:id="2048604006">
              <w:marLeft w:val="0"/>
              <w:marRight w:val="0"/>
              <w:marTop w:val="0"/>
              <w:marBottom w:val="0"/>
              <w:divBdr>
                <w:top w:val="none" w:sz="0" w:space="0" w:color="auto"/>
                <w:left w:val="none" w:sz="0" w:space="0" w:color="auto"/>
                <w:bottom w:val="none" w:sz="0" w:space="0" w:color="auto"/>
                <w:right w:val="none" w:sz="0" w:space="0" w:color="auto"/>
              </w:divBdr>
              <w:divsChild>
                <w:div w:id="287513148">
                  <w:marLeft w:val="0"/>
                  <w:marRight w:val="0"/>
                  <w:marTop w:val="0"/>
                  <w:marBottom w:val="0"/>
                  <w:divBdr>
                    <w:top w:val="none" w:sz="0" w:space="0" w:color="auto"/>
                    <w:left w:val="none" w:sz="0" w:space="0" w:color="auto"/>
                    <w:bottom w:val="none" w:sz="0" w:space="0" w:color="auto"/>
                    <w:right w:val="none" w:sz="0" w:space="0" w:color="auto"/>
                  </w:divBdr>
                  <w:divsChild>
                    <w:div w:id="660088048">
                      <w:marLeft w:val="1"/>
                      <w:marRight w:val="1"/>
                      <w:marTop w:val="0"/>
                      <w:marBottom w:val="0"/>
                      <w:divBdr>
                        <w:top w:val="none" w:sz="0" w:space="0" w:color="auto"/>
                        <w:left w:val="none" w:sz="0" w:space="0" w:color="auto"/>
                        <w:bottom w:val="none" w:sz="0" w:space="0" w:color="auto"/>
                        <w:right w:val="none" w:sz="0" w:space="0" w:color="auto"/>
                      </w:divBdr>
                      <w:divsChild>
                        <w:div w:id="1348950006">
                          <w:marLeft w:val="0"/>
                          <w:marRight w:val="0"/>
                          <w:marTop w:val="0"/>
                          <w:marBottom w:val="0"/>
                          <w:divBdr>
                            <w:top w:val="none" w:sz="0" w:space="0" w:color="auto"/>
                            <w:left w:val="none" w:sz="0" w:space="0" w:color="auto"/>
                            <w:bottom w:val="none" w:sz="0" w:space="0" w:color="auto"/>
                            <w:right w:val="none" w:sz="0" w:space="0" w:color="auto"/>
                          </w:divBdr>
                          <w:divsChild>
                            <w:div w:id="1189299253">
                              <w:marLeft w:val="0"/>
                              <w:marRight w:val="0"/>
                              <w:marTop w:val="0"/>
                              <w:marBottom w:val="360"/>
                              <w:divBdr>
                                <w:top w:val="none" w:sz="0" w:space="0" w:color="auto"/>
                                <w:left w:val="none" w:sz="0" w:space="0" w:color="auto"/>
                                <w:bottom w:val="none" w:sz="0" w:space="0" w:color="auto"/>
                                <w:right w:val="none" w:sz="0" w:space="0" w:color="auto"/>
                              </w:divBdr>
                              <w:divsChild>
                                <w:div w:id="465394015">
                                  <w:marLeft w:val="0"/>
                                  <w:marRight w:val="0"/>
                                  <w:marTop w:val="0"/>
                                  <w:marBottom w:val="0"/>
                                  <w:divBdr>
                                    <w:top w:val="none" w:sz="0" w:space="0" w:color="auto"/>
                                    <w:left w:val="none" w:sz="0" w:space="0" w:color="auto"/>
                                    <w:bottom w:val="none" w:sz="0" w:space="0" w:color="auto"/>
                                    <w:right w:val="none" w:sz="0" w:space="0" w:color="auto"/>
                                  </w:divBdr>
                                  <w:divsChild>
                                    <w:div w:id="11322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326886">
      <w:bodyDiv w:val="1"/>
      <w:marLeft w:val="0"/>
      <w:marRight w:val="0"/>
      <w:marTop w:val="0"/>
      <w:marBottom w:val="0"/>
      <w:divBdr>
        <w:top w:val="none" w:sz="0" w:space="0" w:color="auto"/>
        <w:left w:val="none" w:sz="0" w:space="0" w:color="auto"/>
        <w:bottom w:val="none" w:sz="0" w:space="0" w:color="auto"/>
        <w:right w:val="none" w:sz="0" w:space="0" w:color="auto"/>
      </w:divBdr>
    </w:div>
    <w:div w:id="1823424812">
      <w:bodyDiv w:val="1"/>
      <w:marLeft w:val="0"/>
      <w:marRight w:val="0"/>
      <w:marTop w:val="0"/>
      <w:marBottom w:val="0"/>
      <w:divBdr>
        <w:top w:val="none" w:sz="0" w:space="0" w:color="auto"/>
        <w:left w:val="none" w:sz="0" w:space="0" w:color="auto"/>
        <w:bottom w:val="none" w:sz="0" w:space="0" w:color="auto"/>
        <w:right w:val="none" w:sz="0" w:space="0" w:color="auto"/>
      </w:divBdr>
    </w:div>
    <w:div w:id="1855455251">
      <w:bodyDiv w:val="1"/>
      <w:marLeft w:val="0"/>
      <w:marRight w:val="0"/>
      <w:marTop w:val="0"/>
      <w:marBottom w:val="0"/>
      <w:divBdr>
        <w:top w:val="none" w:sz="0" w:space="0" w:color="auto"/>
        <w:left w:val="none" w:sz="0" w:space="0" w:color="auto"/>
        <w:bottom w:val="none" w:sz="0" w:space="0" w:color="auto"/>
        <w:right w:val="none" w:sz="0" w:space="0" w:color="auto"/>
      </w:divBdr>
    </w:div>
    <w:div w:id="1935435643">
      <w:bodyDiv w:val="1"/>
      <w:marLeft w:val="0"/>
      <w:marRight w:val="0"/>
      <w:marTop w:val="0"/>
      <w:marBottom w:val="0"/>
      <w:divBdr>
        <w:top w:val="none" w:sz="0" w:space="0" w:color="auto"/>
        <w:left w:val="none" w:sz="0" w:space="0" w:color="auto"/>
        <w:bottom w:val="none" w:sz="0" w:space="0" w:color="auto"/>
        <w:right w:val="none" w:sz="0" w:space="0" w:color="auto"/>
      </w:divBdr>
    </w:div>
    <w:div w:id="1998458193">
      <w:bodyDiv w:val="1"/>
      <w:marLeft w:val="0"/>
      <w:marRight w:val="0"/>
      <w:marTop w:val="0"/>
      <w:marBottom w:val="0"/>
      <w:divBdr>
        <w:top w:val="none" w:sz="0" w:space="0" w:color="auto"/>
        <w:left w:val="none" w:sz="0" w:space="0" w:color="auto"/>
        <w:bottom w:val="none" w:sz="0" w:space="0" w:color="auto"/>
        <w:right w:val="none" w:sz="0" w:space="0" w:color="auto"/>
      </w:divBdr>
    </w:div>
    <w:div w:id="2075003046">
      <w:bodyDiv w:val="1"/>
      <w:marLeft w:val="0"/>
      <w:marRight w:val="0"/>
      <w:marTop w:val="0"/>
      <w:marBottom w:val="0"/>
      <w:divBdr>
        <w:top w:val="none" w:sz="0" w:space="0" w:color="auto"/>
        <w:left w:val="none" w:sz="0" w:space="0" w:color="auto"/>
        <w:bottom w:val="none" w:sz="0" w:space="0" w:color="auto"/>
        <w:right w:val="none" w:sz="0" w:space="0" w:color="auto"/>
      </w:divBdr>
      <w:divsChild>
        <w:div w:id="1712268450">
          <w:marLeft w:val="0"/>
          <w:marRight w:val="0"/>
          <w:marTop w:val="0"/>
          <w:marBottom w:val="0"/>
          <w:divBdr>
            <w:top w:val="none" w:sz="0" w:space="0" w:color="auto"/>
            <w:left w:val="none" w:sz="0" w:space="0" w:color="auto"/>
            <w:bottom w:val="none" w:sz="0" w:space="0" w:color="auto"/>
            <w:right w:val="none" w:sz="0" w:space="0" w:color="auto"/>
          </w:divBdr>
          <w:divsChild>
            <w:div w:id="180778035">
              <w:marLeft w:val="0"/>
              <w:marRight w:val="0"/>
              <w:marTop w:val="0"/>
              <w:marBottom w:val="0"/>
              <w:divBdr>
                <w:top w:val="none" w:sz="0" w:space="0" w:color="auto"/>
                <w:left w:val="none" w:sz="0" w:space="0" w:color="auto"/>
                <w:bottom w:val="none" w:sz="0" w:space="0" w:color="auto"/>
                <w:right w:val="none" w:sz="0" w:space="0" w:color="auto"/>
              </w:divBdr>
              <w:divsChild>
                <w:div w:id="1595285576">
                  <w:marLeft w:val="0"/>
                  <w:marRight w:val="0"/>
                  <w:marTop w:val="0"/>
                  <w:marBottom w:val="0"/>
                  <w:divBdr>
                    <w:top w:val="none" w:sz="0" w:space="0" w:color="auto"/>
                    <w:left w:val="none" w:sz="0" w:space="0" w:color="auto"/>
                    <w:bottom w:val="none" w:sz="0" w:space="0" w:color="auto"/>
                    <w:right w:val="none" w:sz="0" w:space="0" w:color="auto"/>
                  </w:divBdr>
                  <w:divsChild>
                    <w:div w:id="1975213155">
                      <w:marLeft w:val="1"/>
                      <w:marRight w:val="1"/>
                      <w:marTop w:val="0"/>
                      <w:marBottom w:val="0"/>
                      <w:divBdr>
                        <w:top w:val="none" w:sz="0" w:space="0" w:color="auto"/>
                        <w:left w:val="none" w:sz="0" w:space="0" w:color="auto"/>
                        <w:bottom w:val="none" w:sz="0" w:space="0" w:color="auto"/>
                        <w:right w:val="none" w:sz="0" w:space="0" w:color="auto"/>
                      </w:divBdr>
                      <w:divsChild>
                        <w:div w:id="1348167530">
                          <w:marLeft w:val="0"/>
                          <w:marRight w:val="0"/>
                          <w:marTop w:val="0"/>
                          <w:marBottom w:val="0"/>
                          <w:divBdr>
                            <w:top w:val="none" w:sz="0" w:space="0" w:color="auto"/>
                            <w:left w:val="none" w:sz="0" w:space="0" w:color="auto"/>
                            <w:bottom w:val="none" w:sz="0" w:space="0" w:color="auto"/>
                            <w:right w:val="none" w:sz="0" w:space="0" w:color="auto"/>
                          </w:divBdr>
                          <w:divsChild>
                            <w:div w:id="1717856329">
                              <w:marLeft w:val="0"/>
                              <w:marRight w:val="0"/>
                              <w:marTop w:val="0"/>
                              <w:marBottom w:val="360"/>
                              <w:divBdr>
                                <w:top w:val="none" w:sz="0" w:space="0" w:color="auto"/>
                                <w:left w:val="none" w:sz="0" w:space="0" w:color="auto"/>
                                <w:bottom w:val="none" w:sz="0" w:space="0" w:color="auto"/>
                                <w:right w:val="none" w:sz="0" w:space="0" w:color="auto"/>
                              </w:divBdr>
                              <w:divsChild>
                                <w:div w:id="1654404583">
                                  <w:marLeft w:val="0"/>
                                  <w:marRight w:val="0"/>
                                  <w:marTop w:val="0"/>
                                  <w:marBottom w:val="0"/>
                                  <w:divBdr>
                                    <w:top w:val="none" w:sz="0" w:space="0" w:color="auto"/>
                                    <w:left w:val="none" w:sz="0" w:space="0" w:color="auto"/>
                                    <w:bottom w:val="none" w:sz="0" w:space="0" w:color="auto"/>
                                    <w:right w:val="none" w:sz="0" w:space="0" w:color="auto"/>
                                  </w:divBdr>
                                  <w:divsChild>
                                    <w:div w:id="1388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655696">
      <w:bodyDiv w:val="1"/>
      <w:marLeft w:val="0"/>
      <w:marRight w:val="0"/>
      <w:marTop w:val="0"/>
      <w:marBottom w:val="0"/>
      <w:divBdr>
        <w:top w:val="none" w:sz="0" w:space="0" w:color="auto"/>
        <w:left w:val="none" w:sz="0" w:space="0" w:color="auto"/>
        <w:bottom w:val="none" w:sz="0" w:space="0" w:color="auto"/>
        <w:right w:val="none" w:sz="0" w:space="0" w:color="auto"/>
      </w:divBdr>
    </w:div>
    <w:div w:id="2113821858">
      <w:bodyDiv w:val="1"/>
      <w:marLeft w:val="0"/>
      <w:marRight w:val="0"/>
      <w:marTop w:val="0"/>
      <w:marBottom w:val="0"/>
      <w:divBdr>
        <w:top w:val="none" w:sz="0" w:space="0" w:color="auto"/>
        <w:left w:val="none" w:sz="0" w:space="0" w:color="auto"/>
        <w:bottom w:val="none" w:sz="0" w:space="0" w:color="auto"/>
        <w:right w:val="none" w:sz="0" w:space="0" w:color="auto"/>
      </w:divBdr>
    </w:div>
    <w:div w:id="2123644850">
      <w:bodyDiv w:val="1"/>
      <w:marLeft w:val="0"/>
      <w:marRight w:val="0"/>
      <w:marTop w:val="0"/>
      <w:marBottom w:val="0"/>
      <w:divBdr>
        <w:top w:val="none" w:sz="0" w:space="0" w:color="auto"/>
        <w:left w:val="none" w:sz="0" w:space="0" w:color="auto"/>
        <w:bottom w:val="none" w:sz="0" w:space="0" w:color="auto"/>
        <w:right w:val="none" w:sz="0" w:space="0" w:color="auto"/>
      </w:divBdr>
    </w:div>
    <w:div w:id="21374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hyperlink" Target="https://ec.europa.eu/info/funding-tenders/opportunities/portal/screen/opportunities/projects-results;programCode=REC" TargetMode="External"/><Relationship Id="rId39" Type="http://schemas.openxmlformats.org/officeDocument/2006/relationships/hyperlink" Target="https://eur-lex.europa.eu/legal-content/EN/ALL/?uri=CELEX:32016R0679&amp;qid=1613382053477" TargetMode="External"/><Relationship Id="rId21" Type="http://schemas.openxmlformats.org/officeDocument/2006/relationships/hyperlink" Target="https://eur-lex.europa.eu/legal-content/EN/ALL/?uri=CELEX:32018R1046&amp;qid=1535046024012" TargetMode="External"/><Relationship Id="rId34" Type="http://schemas.openxmlformats.org/officeDocument/2006/relationships/hyperlink" Target="https://ec.europa.eu/info/funding-tenders/opportunities/portal/screen/how-to-participate/participant-register" TargetMode="External"/><Relationship Id="rId42" Type="http://schemas.openxmlformats.org/officeDocument/2006/relationships/hyperlink" Target="https://eige.europa.eu/gender-mainstreaming/methods-tools/sex-disaggregated-data" TargetMode="External"/><Relationship Id="rId47" Type="http://schemas.openxmlformats.org/officeDocument/2006/relationships/hyperlink" Target="https://ec.europa.eu/info/funding-tenders/opportunities/docs/2021-2027/common/ftp/tc_en.pdf" TargetMode="External"/><Relationship Id="rId50" Type="http://schemas.openxmlformats.org/officeDocument/2006/relationships/hyperlink" Target="https://webgate.ec.europa.eu/cas/eim/external/register.cgi" TargetMode="External"/><Relationship Id="rId55" Type="http://schemas.openxmlformats.org/officeDocument/2006/relationships/hyperlink" Target="https://ec.europa.eu/info/funding-tenders/opportunities/docs/2021-2027/common/guidance/om_en.pdf" TargetMode="External"/><Relationship Id="rId63" Type="http://schemas.openxmlformats.org/officeDocument/2006/relationships/hyperlink" Target="https://ec.europa.eu/budget/fts/index_en.htm"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ec.europa.eu/info/funding-tenders/opportunities/docs/2021-2027/common/guidance/aga_en.pdf" TargetMode="External"/><Relationship Id="rId32" Type="http://schemas.openxmlformats.org/officeDocument/2006/relationships/hyperlink" Target="https://ec.europa.eu/info/funding-tenders/opportunities/docs/2021-2027/common/guidance/om_en.pdf" TargetMode="External"/><Relationship Id="rId37" Type="http://schemas.openxmlformats.org/officeDocument/2006/relationships/hyperlink" Target="http://eur-lex.europa.eu/LexUriServ/LexUriServ.do?uri=OJ:C:2013:205:FULL:EN:PDF" TargetMode="External"/><Relationship Id="rId40" Type="http://schemas.openxmlformats.org/officeDocument/2006/relationships/hyperlink" Target="https://eige.europa.eu/gender-mainstreaming/toolkits/gender-impact-assessment/guide-gender-impact-assessment" TargetMode="External"/><Relationship Id="rId45" Type="http://schemas.openxmlformats.org/officeDocument/2006/relationships/hyperlink" Target="https://ec.europa.eu/info/funding-tenders/opportunities/docs/2021-2027/common/guidance/rules-lev-lear-fca_en.pdf" TargetMode="External"/><Relationship Id="rId53" Type="http://schemas.openxmlformats.org/officeDocument/2006/relationships/hyperlink" Target="https://ec.europa.eu/info/funding-tenders/opportunities/portal/screen/support/helpdesks/contact-form" TargetMode="External"/><Relationship Id="rId58" Type="http://schemas.openxmlformats.org/officeDocument/2006/relationships/hyperlink" Target="mailto:EACEA-CERV@ec.europa.eu"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ec.europa.eu/info/funding-tenders/opportunities/docs/2021-2027/common/guidance/om_en.pdf" TargetMode="External"/><Relationship Id="rId28"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36" Type="http://schemas.openxmlformats.org/officeDocument/2006/relationships/hyperlink" Target="http://www.sanctionsmap.eu/" TargetMode="External"/><Relationship Id="rId49" Type="http://schemas.openxmlformats.org/officeDocument/2006/relationships/hyperlink" Target="https://ec.europa.eu/info/funding-tenders/opportunities/docs/2021-2027/common/guidance/aga_en.pdf" TargetMode="External"/><Relationship Id="rId57" Type="http://schemas.openxmlformats.org/officeDocument/2006/relationships/hyperlink" Target="https://ec.europa.eu/info/funding-tenders/opportunities/portal/screen/support/helpdesks/contact-form" TargetMode="External"/><Relationship Id="rId61" Type="http://schemas.openxmlformats.org/officeDocument/2006/relationships/hyperlink" Target="https://ec.europa.eu/info/funding-tenders/opportunities/docs/2021-2027/common/guidance/aga_en.pdf" TargetMode="Externa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image" Target="media/image5.png"/><Relationship Id="rId44" Type="http://schemas.openxmlformats.org/officeDocument/2006/relationships/hyperlink" Target="https://ec.europa.eu/info/funding-tenders/opportunities/portal/screen/how-to-participate/participant-register" TargetMode="External"/><Relationship Id="rId52"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60" Type="http://schemas.openxmlformats.org/officeDocument/2006/relationships/hyperlink" Target="https://ec.europa.eu/info/funding-tenders/opportunities/portal/screen/how-to-participate/participant-register"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ur-lex.europa.eu/legal-content/EN/ALL/?uri=CELEX:32021R0692&amp;qid=1621199407469" TargetMode="External"/><Relationship Id="rId27" Type="http://schemas.openxmlformats.org/officeDocument/2006/relationships/hyperlink" Target="https://ec.europa.eu/justice/grants/results/daphne-toolkit/daphne-toolkit-%E2%80%93-active-resource-daphne-programme_en" TargetMode="External"/><Relationship Id="rId30" Type="http://schemas.openxmlformats.org/officeDocument/2006/relationships/hyperlink" Target="https://ec.europa.eu/info/sites/info/files/standards_child_protection_kcsc_en_1.pdf" TargetMode="External"/><Relationship Id="rId35" Type="http://schemas.openxmlformats.org/officeDocument/2006/relationships/image" Target="media/image6.png"/><Relationship Id="rId43" Type="http://schemas.openxmlformats.org/officeDocument/2006/relationships/hyperlink" Target="https://ec.europa.eu/info/sites/info/files/standards_child_protection_kcsc_en_1.pdf" TargetMode="External"/><Relationship Id="rId48" Type="http://schemas.openxmlformats.org/officeDocument/2006/relationships/hyperlink" Target="https://ec.europa.eu/info/funding-tenders/opportunities/portal/screen/how-to-participate/reference-documents" TargetMode="External"/><Relationship Id="rId56" Type="http://schemas.openxmlformats.org/officeDocument/2006/relationships/hyperlink" Target="https://ec.europa.eu/info/funding-tenders/opportunities/portal/screen/support/faq;categories=;programme=null;actions=;keyword=" TargetMode="External"/><Relationship Id="rId64" Type="http://schemas.openxmlformats.org/officeDocument/2006/relationships/hyperlink" Target="https://ec.europa.eu/info/funding-tenders/opportunities/docs/2021-2027/common/ftp/privacy-statement_en.pdf" TargetMode="External"/><Relationship Id="rId8" Type="http://schemas.openxmlformats.org/officeDocument/2006/relationships/customXml" Target="../customXml/item8.xml"/><Relationship Id="rId51" Type="http://schemas.openxmlformats.org/officeDocument/2006/relationships/hyperlink" Target="https://ec.europa.eu/info/funding-tenders/opportunities/portal/screen/how-to-participate/participant-register"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c.europa.eu/programmes/europe-for-citizens/projects/" TargetMode="External"/><Relationship Id="rId33" Type="http://schemas.openxmlformats.org/officeDocument/2006/relationships/hyperlink" Target="https://ec.europa.eu/info/funding-tenders/opportunities/docs/2021-2027/cerv/guidance/list-3rd-country-participation_cerv_en.pdf" TargetMode="External"/><Relationship Id="rId38" Type="http://schemas.openxmlformats.org/officeDocument/2006/relationships/hyperlink" Target="https://ec.europa.eu/info/funding-tenders/opportunities/docs/2021-2027/common/guidance/rules-lev-lear-fca_en.pdf" TargetMode="External"/><Relationship Id="rId46" Type="http://schemas.openxmlformats.org/officeDocument/2006/relationships/hyperlink" Target="http://eur-lex.europa.eu/legal-content/EN/ALL/?uri=CELEX:31995R2988&amp;qid=1501598622514" TargetMode="External"/><Relationship Id="rId59" Type="http://schemas.openxmlformats.org/officeDocument/2006/relationships/hyperlink" Target="https://ec.europa.eu/info/funding-tenders/opportunities/docs/2021-2027/common/ftp/tc_en.pdf" TargetMode="External"/><Relationship Id="rId67"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hyperlink" Target="http://www.enil.eu/wp-content/uploads/2012/07/Non-discrimination-mainstreaming-instruments-case-studies-way-forward.pdf" TargetMode="External"/><Relationship Id="rId54" Type="http://schemas.openxmlformats.org/officeDocument/2006/relationships/hyperlink" Target="https://ec.europa.eu/info/funding-tenders/opportunities/docs/2021-2027/common/guidance/om_en.pdf" TargetMode="External"/><Relationship Id="rId62" Type="http://schemas.openxmlformats.org/officeDocument/2006/relationships/hyperlink" Target="https://eur-lex.europa.eu/legal-content/EN/ALL/?uri=CELEX:32018R1046&amp;qid=153504602401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xUriServ/LexUriServ.do?uri=OJ:C:2013:205:FULL:EN:PDF" TargetMode="External"/><Relationship Id="rId3" Type="http://schemas.openxmlformats.org/officeDocument/2006/relationships/hyperlink" Target="https://ec.europa.eu/info/sites/default/files/eu_citizenship_report_2020_-_empowering_citizens_and_protecting_their_rights_en.pdf" TargetMode="External"/><Relationship Id="rId7" Type="http://schemas.openxmlformats.org/officeDocument/2006/relationships/hyperlink" Target="http://www.sanctionsmap.eu/" TargetMode="External"/><Relationship Id="rId12" Type="http://schemas.openxmlformats.org/officeDocument/2006/relationships/hyperlink" Target="https://ec.europa.eu/info/funding-tenders/opportunities/docs/2021-2027/cerv/guidance/ls-decision_cerv_en.pdf" TargetMode="External"/><Relationship Id="rId2" Type="http://schemas.openxmlformats.org/officeDocument/2006/relationships/hyperlink" Target="https://ec.europa.eu/info/aid-development-cooperation-fundamental-rights/your-rights-eu/eu-charter-fundamental-rights/application-charter/eu-strategy-strengthen-application-charter_en" TargetMode="External"/><Relationship Id="rId1" Type="http://schemas.openxmlformats.org/officeDocument/2006/relationships/hyperlink" Target="https://ec.europa.eu/info/publications/new-eu-roma-strategic-framework-equality-inclusion-and-participation-full-package_en" TargetMode="External"/><Relationship Id="rId6" Type="http://schemas.openxmlformats.org/officeDocument/2006/relationships/hyperlink" Target="https://eur-lex.europa.eu/legal-content/EN/ALL/?uri=CELEX:32018R1046&amp;qid=1535046024012" TargetMode="External"/><Relationship Id="rId11" Type="http://schemas.openxmlformats.org/officeDocument/2006/relationships/hyperlink" Target="https://eur-lex.europa.eu/legal-content/EN/ALL/?uri=CELEX:32018R1046&amp;qid=1535046024012" TargetMode="External"/><Relationship Id="rId5" Type="http://schemas.openxmlformats.org/officeDocument/2006/relationships/hyperlink" Target="https://eur-lex.europa.eu/legal-content/EN/ALL/?uri=CELEX:32018R1046&amp;qid=1535046024012" TargetMode="External"/><Relationship Id="rId10" Type="http://schemas.openxmlformats.org/officeDocument/2006/relationships/hyperlink" Target="https://eur-lex.europa.eu/legal-content/EN/ALL/?uri=CELEX:32018R1046&amp;qid=1535046024012" TargetMode="External"/><Relationship Id="rId4" Type="http://schemas.openxmlformats.org/officeDocument/2006/relationships/hyperlink" Target="https://ec.europa.eu/info/strategy/priorities-2019-2024/new-push-european-democracy/conference-future-europe_en" TargetMode="External"/><Relationship Id="rId9" Type="http://schemas.openxmlformats.org/officeDocument/2006/relationships/hyperlink" Target="http://www.enil.eu/wp-content/uploads/2012/07/Non-discrimination-mainstreaming-instruments-case-studies-way-forwar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EurolookProperties>
  <ProductCustomizationId/>
  <Created>
    <Version>4.5</Version>
    <Date>2019-04-12T14:20:34</Date>
    <Language>EN</Language>
    <Note/>
  </Created>
  <Edited>
    <Version>10.0.42447.0</Version>
    <Date>2021-11-09T09:08:35</Date>
  </Edited>
  <DocumentModel>
    <Id>758e4243-45d9-4080-b5fe-135751945526</Id>
    <Name>Speech</Name>
  </DocumentModel>
  <DocumentDate/>
  <DocumentVersion/>
  <CompatibilityMode>Eurolook4X</CompatibilityMode>
</Eurolook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Texts>
  <SecurityPersonalData>Personal data</SecurityPersonalData>
  <SecurityPharma>Pharma investigations</SecurityPharma>
  <MarkingUntilText>UNTIL</MarkingUntilText>
  <SecurityMediationServiceMatter>Mediation service</SecurityMediationServiceMatter>
  <SecurityEconomyAndFinance>Economy and finance</SecurityEconomyAndFinance>
  <FooterFax>Fax</FooterFax>
  <FooterOffice>Office:</FooterOffice>
  <SecurityOlafInvestigations>OLAF investigations</SecurityOlafInvestigations>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SensitiveLabel>Sensitive</SensitiveLabel>
  <SpecialHandlingLabel>Special Handling</SpecialHandlingLabel>
  <SecurityInvestigationsDisciplinary>Investigations and disciplinary matters</SecurityInvestigationsDisciplinary>
  <SecurityCompOperations>COMP Operations</SecurityCompOperations>
  <SecurityEuSatellite>EU satellite navigation matters</SecurityEuSatellite>
  <SecurityReleasable>RELEASABLE TO:</SecurityReleasable>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SecurityPharmaSpecial>Pharma investigations</SecurityPharmaSpecial>
  <TOCHeading>Table of Contents</TOCHeading>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LPAmber>TLP: Amber</TLPAmber>
  <SecurityMedicalSecret>Medical secret</SecurityMedicalSecret>
  <SecurityEmbargo>Embargo until</SecurityEmbargo>
  <DateFormatShort>dd/MM/yyyy</DateFormatShort>
  <DateFormatLong>d MMMM yyyy</DateFormatLong>
</Texts>
</file>

<file path=customXml/item4.xml><?xml version="1.0" encoding="utf-8"?>
<Author Role="Creator">
  <Id>1d61e911-a39a-4b43-bbd8-7e4df8ddd3c8</Id>
  <Names>
    <Latin>
      <FirstName>Konstantinos</FirstName>
      <LastName>KOKOSIS</LastName>
    </Latin>
    <Greek>
      <FirstName/>
      <LastName/>
    </Greek>
    <Cyrillic>
      <FirstName/>
      <LastName/>
    </Cyrillic>
    <DocumentScript>
      <FirstName>Konstantinos</FirstName>
      <LastName>KOKOSIS</LastName>
      <FullName>Konstantinos KOKOSIS</FullName>
    </DocumentScript>
  </Names>
  <Initials>DinosK</Initials>
  <Gender>m</Gender>
  <Email>Konstantinos.KOKOSIS@ext.ec.europa.eu</Email>
  <Service>RTD.J.4.004</Service>
  <Function ShowInSignature="true"/>
  <WebAddress/>
  <InheritedWebAddress>WebAddress</InheritedWebAddress>
  <OrgaEntity1>
    <Id>201586b8-400f-4f1b-ab81-bfd045290f9b</Id>
    <LogicalLevel>1</LogicalLevel>
    <Name>RTD</Name>
    <HeadLine1>DIRECTORATE-GENERAL FOR RESEARCH &amp; INNOVATION</HeadLine1>
    <HeadLine2/>
    <PrimaryAddressId>f03b5801-04c9-4931-aa17-c6d6c70bc579</PrimaryAddressId>
    <SecondaryAddressId/>
    <WebAddress>WebAddress</WebAddress>
    <InheritedWebAddress>WebAddress</InheritedWebAddress>
    <ShowInHeader>true</ShowInHeader>
  </OrgaEntity1>
  <OrgaEntity2>
    <Id>4c8f0bf8-d9c9-47b3-8eb7-3ab9cc8e7e7c</Id>
    <LogicalLevel>2</LogicalLevel>
    <Name>RTD.J</Name>
    <HeadLine1>Common Support Centre</HeadLine1>
    <HeadLine2/>
    <PrimaryAddressId>f03b5801-04c9-4931-aa17-c6d6c70bc579</PrimaryAddressId>
    <SecondaryAddressId/>
    <WebAddress/>
    <InheritedWebAddress>WebAddress</InheritedWebAddress>
    <ShowInHeader>true</ShowInHeader>
  </OrgaEntity2>
  <OrgaEntity3>
    <Id>7d918adf-1a57-4e57-9ca2-3ad57f2888d2</Id>
    <LogicalLevel>3</LogicalLevel>
    <Name>RTD.J.4</Name>
    <HeadLine1>Common IT service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+32 229 83882</Phone>
    <Office>ORBN 05/095</Office>
  </MainWorkplace>
  <Workplaces>
    <Workplace IsMain="false">
      <AddressId>1264fb81-f6bb-475e-9f9d-a937d3be6ee2</AddressId>
      <Fax/>
      <Phone/>
      <Office/>
    </Workplace>
    <Workplace IsMain="true">
      <AddressId>f03b5801-04c9-4931-aa17-c6d6c70bc579</AddressId>
      <Fax/>
      <Phone>+32 229 83882</Phone>
      <Office>ORBN 05/095</Office>
    </Workplace>
  </Workplaces>
</Author>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 ma:contentTypeID="0x01010043D24022E66C1540A3B1E037465E0CE3" ma:contentTypeVersion="4" ma:contentTypeDescription="Create a new document." ma:contentTypeScope="" ma:versionID="ed01af0cf8280fc8bb4fc4e81038fd21">
  <xsd:schema xmlns:xsd="http://www.w3.org/2001/XMLSchema" xmlns:xs="http://www.w3.org/2001/XMLSchema" xmlns:p="http://schemas.microsoft.com/office/2006/metadata/properties" xmlns:ns2="d07530ff-ae8d-4383-9420-67306a016191" targetNamespace="http://schemas.microsoft.com/office/2006/metadata/properties" ma:root="true" ma:fieldsID="af8d9a1147f775ca281a46cdfa936f4a" ns2:_="">
    <xsd:import namespace="d07530ff-ae8d-4383-9420-67306a0161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30ff-ae8d-4383-9420-67306a016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404DA-45EE-468F-9B83-25C3DBD29BC4}">
  <ds:schemaRefs/>
</ds:datastoreItem>
</file>

<file path=customXml/itemProps2.xml><?xml version="1.0" encoding="utf-8"?>
<ds:datastoreItem xmlns:ds="http://schemas.openxmlformats.org/officeDocument/2006/customXml" ds:itemID="{260DCBEA-C60B-4717-BD55-FC8385B26BE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07530ff-ae8d-4383-9420-67306a016191"/>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1CA5B75-1EA7-4628-935C-286E27E0EEEB}">
  <ds:schemaRefs/>
</ds:datastoreItem>
</file>

<file path=customXml/itemProps4.xml><?xml version="1.0" encoding="utf-8"?>
<ds:datastoreItem xmlns:ds="http://schemas.openxmlformats.org/officeDocument/2006/customXml" ds:itemID="{9034E5F8-F5C8-4DD5-B73A-9040160523CA}">
  <ds:schemaRefs/>
</ds:datastoreItem>
</file>

<file path=customXml/itemProps5.xml><?xml version="1.0" encoding="utf-8"?>
<ds:datastoreItem xmlns:ds="http://schemas.openxmlformats.org/officeDocument/2006/customXml" ds:itemID="{6861A413-90F2-4273-AA7B-403E11F13F13}">
  <ds:schemaRefs>
    <ds:schemaRef ds:uri="http://schemas.microsoft.com/sharepoint/v3/contenttype/forms"/>
  </ds:schemaRefs>
</ds:datastoreItem>
</file>

<file path=customXml/itemProps6.xml><?xml version="1.0" encoding="utf-8"?>
<ds:datastoreItem xmlns:ds="http://schemas.openxmlformats.org/officeDocument/2006/customXml" ds:itemID="{3AAF4B3D-80B9-475A-93B0-1C898EC057A7}">
  <ds:schemaRefs>
    <ds:schemaRef ds:uri="http://schemas.microsoft.com/office/2006/metadata/longProperties"/>
  </ds:schemaRefs>
</ds:datastoreItem>
</file>

<file path=customXml/itemProps7.xml><?xml version="1.0" encoding="utf-8"?>
<ds:datastoreItem xmlns:ds="http://schemas.openxmlformats.org/officeDocument/2006/customXml" ds:itemID="{1E5F6601-D36A-42D2-8B9E-CF2F7A382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30ff-ae8d-4383-9420-67306a016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70C978F-A271-4778-A841-64A2E280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12</TotalTime>
  <Pages>30</Pages>
  <Words>9761</Words>
  <Characters>66553</Characters>
  <Application>Microsoft Office Word</Application>
  <DocSecurity>0</DocSecurity>
  <PresentationFormat>Microsoft Word 14.0</PresentationFormat>
  <Lines>554</Lines>
  <Paragraphs>152</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76162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SOKOLOWSKA Malgorzata (EACEA-EXT)</cp:lastModifiedBy>
  <cp:revision>9</cp:revision>
  <cp:lastPrinted>2017-11-06T13:30:00Z</cp:lastPrinted>
  <dcterms:created xsi:type="dcterms:W3CDTF">2022-01-10T11:38:00Z</dcterms:created>
  <dcterms:modified xsi:type="dcterms:W3CDTF">2022-01-24T12:07:00Z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4.5..01</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spe.dot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Danielle BARBIEUX</vt:lpwstr>
  </property>
  <property fmtid="{D5CDD505-2E9C-101B-9397-08002B2CF9AE}" pid="10" name="Type">
    <vt:lpwstr>Eurolook Speech</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0x01010043D24022E66C1540A3B1E037465E0CE3</vt:lpwstr>
  </property>
  <property fmtid="{D5CDD505-2E9C-101B-9397-08002B2CF9AE}" pid="14" name="JobId">
    <vt:lpwstr>af52b9ae-bf77-4c3e-96f1-adea01041b8c</vt:lpwstr>
  </property>
</Properties>
</file>