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8C207B" w14:textId="0AC41AB8" w:rsidR="000435C2" w:rsidRPr="00167EE8" w:rsidRDefault="008B332B">
      <w:pPr>
        <w:jc w:val="center"/>
        <w:rPr>
          <w:sz w:val="2"/>
          <w:szCs w:val="2"/>
        </w:rPr>
      </w:pPr>
      <w:r w:rsidRPr="00167EE8">
        <w:rPr>
          <w:noProof/>
        </w:rPr>
        <w:drawing>
          <wp:inline distT="0" distB="0" distL="0" distR="0" wp14:anchorId="1E87FF7D" wp14:editId="13D318C4">
            <wp:extent cx="3218815" cy="3834130"/>
            <wp:effectExtent l="0" t="0" r="0" b="0"/>
            <wp:docPr id="1" name="Picut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stretch/>
                  </pic:blipFill>
                  <pic:spPr>
                    <a:xfrm>
                      <a:off x="0" y="0"/>
                      <a:ext cx="3218815" cy="3834130"/>
                    </a:xfrm>
                    <a:prstGeom prst="rect">
                      <a:avLst/>
                    </a:prstGeom>
                  </pic:spPr>
                </pic:pic>
              </a:graphicData>
            </a:graphic>
          </wp:inline>
        </w:drawing>
      </w:r>
    </w:p>
    <w:p w14:paraId="45C6C442" w14:textId="2078453A" w:rsidR="000435C2" w:rsidRPr="00167EE8" w:rsidRDefault="000435C2">
      <w:pPr>
        <w:spacing w:after="1059" w:line="1" w:lineRule="exact"/>
      </w:pPr>
    </w:p>
    <w:p w14:paraId="7563ECF1" w14:textId="6E0B8527" w:rsidR="000435C2" w:rsidRPr="00167EE8" w:rsidRDefault="008B332B">
      <w:pPr>
        <w:pStyle w:val="Bodytext20"/>
      </w:pPr>
      <w:r w:rsidRPr="00167EE8">
        <w:rPr>
          <w:rStyle w:val="Bodytext2"/>
          <w:b/>
        </w:rPr>
        <w:t>Instrumento de Vizinhança, de Cooperação para o Desenvolvimento e de Cooperação Internacional - Europa Global (NDICI-GE)</w:t>
      </w:r>
    </w:p>
    <w:p w14:paraId="1585D902" w14:textId="09FBB6E7" w:rsidR="000435C2" w:rsidRDefault="008B332B" w:rsidP="009848AC">
      <w:pPr>
        <w:pStyle w:val="Other0"/>
        <w:spacing w:after="0" w:line="269" w:lineRule="auto"/>
        <w:jc w:val="center"/>
        <w:rPr>
          <w:rStyle w:val="Other"/>
          <w:rFonts w:ascii="Franklin Gothic Book" w:hAnsi="Franklin Gothic Book"/>
          <w:sz w:val="46"/>
        </w:rPr>
      </w:pPr>
      <w:r w:rsidRPr="00167EE8">
        <w:rPr>
          <w:rStyle w:val="Other"/>
          <w:rFonts w:ascii="Franklin Gothic Book" w:hAnsi="Franklin Gothic Book"/>
          <w:sz w:val="46"/>
        </w:rPr>
        <w:t>Convite à apresentação de propostas</w:t>
      </w:r>
    </w:p>
    <w:p w14:paraId="6AC65882" w14:textId="77777777" w:rsidR="009848AC" w:rsidRDefault="009848AC" w:rsidP="009848AC">
      <w:pPr>
        <w:pStyle w:val="Other0"/>
        <w:spacing w:after="0" w:line="269" w:lineRule="auto"/>
        <w:jc w:val="center"/>
        <w:rPr>
          <w:rStyle w:val="Other"/>
          <w:rFonts w:ascii="Franklin Gothic Book" w:hAnsi="Franklin Gothic Book"/>
          <w:sz w:val="46"/>
        </w:rPr>
      </w:pPr>
    </w:p>
    <w:p w14:paraId="0E5A0D90" w14:textId="2B5D2418" w:rsidR="009848AC" w:rsidRPr="00FB4483" w:rsidRDefault="009848AC" w:rsidP="009848AC">
      <w:pPr>
        <w:widowControl/>
        <w:autoSpaceDE w:val="0"/>
        <w:autoSpaceDN w:val="0"/>
        <w:jc w:val="center"/>
        <w:rPr>
          <w:rStyle w:val="Other"/>
          <w:rFonts w:ascii="Franklin Gothic Book" w:hAnsi="Franklin Gothic Book"/>
          <w:b/>
          <w:bCs/>
          <w:i/>
          <w:iCs/>
          <w:color w:val="FF0000"/>
          <w:sz w:val="46"/>
        </w:rPr>
      </w:pPr>
      <w:r w:rsidRPr="009848AC">
        <w:rPr>
          <w:rStyle w:val="Other"/>
          <w:rFonts w:ascii="Franklin Gothic Book" w:hAnsi="Franklin Gothic Book"/>
          <w:b/>
          <w:bCs/>
          <w:i/>
          <w:iCs/>
          <w:color w:val="FF0000"/>
          <w:sz w:val="46"/>
        </w:rPr>
        <w:t>Versão em PT</w:t>
      </w:r>
    </w:p>
    <w:p w14:paraId="3524119B" w14:textId="77777777" w:rsidR="009848AC" w:rsidRDefault="009848AC" w:rsidP="009848AC">
      <w:pPr>
        <w:widowControl/>
        <w:autoSpaceDE w:val="0"/>
        <w:autoSpaceDN w:val="0"/>
        <w:jc w:val="center"/>
        <w:rPr>
          <w:rStyle w:val="Other"/>
          <w:rFonts w:ascii="Franklin Gothic Book" w:hAnsi="Franklin Gothic Book"/>
          <w:b/>
          <w:bCs/>
          <w:color w:val="FF0000"/>
          <w:sz w:val="46"/>
        </w:rPr>
      </w:pPr>
    </w:p>
    <w:p w14:paraId="01C189DA" w14:textId="2F3E7B65" w:rsidR="009848AC" w:rsidRDefault="009848AC" w:rsidP="00FB4483">
      <w:pPr>
        <w:widowControl/>
        <w:autoSpaceDE w:val="0"/>
        <w:autoSpaceDN w:val="0"/>
        <w:jc w:val="center"/>
        <w:rPr>
          <w:rFonts w:ascii="Times New Roman" w:eastAsia="Times New Roman" w:hAnsi="Times New Roman" w:cs="Times New Roman"/>
          <w:i/>
          <w:iCs/>
          <w:color w:val="FF0000"/>
          <w:sz w:val="24"/>
          <w:lang w:val="fr-BE" w:eastAsia="fr-BE" w:bidi="ar-SA"/>
        </w:rPr>
      </w:pPr>
      <w:r w:rsidRPr="009848AC">
        <w:rPr>
          <w:rFonts w:ascii="Times New Roman" w:eastAsia="Times New Roman" w:hAnsi="Times New Roman" w:cs="Times New Roman"/>
          <w:i/>
          <w:iCs/>
          <w:color w:val="FF0000"/>
          <w:sz w:val="24"/>
          <w:lang w:val="fr-BE" w:eastAsia="fr-BE" w:bidi="ar-SA"/>
        </w:rPr>
        <w:t>Em caso de divergências entre as diferentes versões linguísticas, é a versão em inglês que prevalece.</w:t>
      </w:r>
    </w:p>
    <w:p w14:paraId="17F92472" w14:textId="77777777" w:rsidR="00FB4483" w:rsidRDefault="00FB4483" w:rsidP="00FB4483">
      <w:pPr>
        <w:widowControl/>
        <w:autoSpaceDE w:val="0"/>
        <w:autoSpaceDN w:val="0"/>
        <w:jc w:val="center"/>
        <w:rPr>
          <w:rFonts w:ascii="Times New Roman" w:eastAsia="Times New Roman" w:hAnsi="Times New Roman" w:cs="Times New Roman"/>
          <w:i/>
          <w:iCs/>
          <w:color w:val="FF0000"/>
          <w:sz w:val="24"/>
          <w:lang w:val="fr-BE" w:eastAsia="fr-BE" w:bidi="ar-SA"/>
        </w:rPr>
      </w:pPr>
    </w:p>
    <w:p w14:paraId="00465878" w14:textId="77777777" w:rsidR="00FB4483" w:rsidRPr="00FB4483" w:rsidRDefault="00FB4483" w:rsidP="00FB4483">
      <w:pPr>
        <w:widowControl/>
        <w:autoSpaceDE w:val="0"/>
        <w:autoSpaceDN w:val="0"/>
        <w:jc w:val="center"/>
        <w:rPr>
          <w:rFonts w:ascii="Calibri" w:eastAsia="Times New Roman" w:hAnsi="Calibri" w:cs="Calibri"/>
          <w:i/>
          <w:iCs/>
          <w:color w:val="FF0000"/>
          <w:sz w:val="22"/>
          <w:szCs w:val="22"/>
          <w:lang w:val="fr-BE" w:eastAsia="fr-BE" w:bidi="ar-SA"/>
        </w:rPr>
      </w:pPr>
    </w:p>
    <w:p w14:paraId="7265CDEB" w14:textId="77777777" w:rsidR="000E41C6" w:rsidRPr="00167EE8" w:rsidRDefault="008B332B">
      <w:pPr>
        <w:pStyle w:val="Bodytext40"/>
        <w:contextualSpacing/>
        <w:rPr>
          <w:rStyle w:val="Bodytext4"/>
        </w:rPr>
      </w:pPr>
      <w:r w:rsidRPr="00167EE8">
        <w:rPr>
          <w:rStyle w:val="Bodytext4"/>
        </w:rPr>
        <w:t>Programa de mobilidade académica Intra-África</w:t>
      </w:r>
    </w:p>
    <w:p w14:paraId="04CD37E6" w14:textId="25BC9A55" w:rsidR="00342F4E" w:rsidRPr="00167EE8" w:rsidRDefault="008B332B" w:rsidP="00FB4483">
      <w:pPr>
        <w:pStyle w:val="Bodytext40"/>
      </w:pPr>
      <w:r w:rsidRPr="00167EE8">
        <w:rPr>
          <w:rStyle w:val="Bodytext4"/>
        </w:rPr>
        <w:t>(NDICI-2024-M0BAF)</w:t>
      </w:r>
    </w:p>
    <w:p w14:paraId="119B507E" w14:textId="77777777" w:rsidR="000E41C6" w:rsidRPr="00167EE8" w:rsidRDefault="008B332B">
      <w:pPr>
        <w:pStyle w:val="Bodytext50"/>
        <w:spacing w:after="1460"/>
        <w:contextualSpacing/>
        <w:rPr>
          <w:rStyle w:val="Bodytext5"/>
        </w:rPr>
      </w:pPr>
      <w:r w:rsidRPr="00167EE8">
        <w:rPr>
          <w:rStyle w:val="Bodytext5"/>
        </w:rPr>
        <w:t>Versão 1.0</w:t>
      </w:r>
    </w:p>
    <w:p w14:paraId="7AF1BF5F" w14:textId="1D895194" w:rsidR="000435C2" w:rsidRPr="00167EE8" w:rsidRDefault="008B332B" w:rsidP="000E41C6">
      <w:pPr>
        <w:pStyle w:val="Bodytext50"/>
        <w:spacing w:after="0"/>
        <w:rPr>
          <w:rStyle w:val="Bodytext5"/>
        </w:rPr>
      </w:pPr>
      <w:r w:rsidRPr="00167EE8">
        <w:rPr>
          <w:rStyle w:val="Bodytext5"/>
        </w:rPr>
        <w:t>31 de outubro de 2024</w:t>
      </w:r>
    </w:p>
    <w:p w14:paraId="380B58CF" w14:textId="015C5EFA" w:rsidR="000E41C6" w:rsidRPr="00167EE8" w:rsidRDefault="000E41C6">
      <w:pPr>
        <w:pStyle w:val="Bodytext50"/>
        <w:spacing w:after="1460"/>
      </w:pPr>
      <w:r w:rsidRPr="00167EE8">
        <w:rPr>
          <w:noProof/>
        </w:rPr>
        <w:lastRenderedPageBreak/>
        <w:drawing>
          <wp:anchor distT="0" distB="0" distL="114300" distR="114300" simplePos="0" relativeHeight="251658240" behindDoc="0" locked="0" layoutInCell="1" allowOverlap="1" wp14:anchorId="6AF14176" wp14:editId="187385AB">
            <wp:simplePos x="0" y="0"/>
            <wp:positionH relativeFrom="column">
              <wp:posOffset>2410416</wp:posOffset>
            </wp:positionH>
            <wp:positionV relativeFrom="page">
              <wp:posOffset>10281684</wp:posOffset>
            </wp:positionV>
            <wp:extent cx="908050" cy="359410"/>
            <wp:effectExtent l="0" t="0" r="6350" b="2540"/>
            <wp:wrapNone/>
            <wp:docPr id="2" name="Picut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tretch/>
                  </pic:blipFill>
                  <pic:spPr>
                    <a:xfrm>
                      <a:off x="0" y="0"/>
                      <a:ext cx="908050" cy="359410"/>
                    </a:xfrm>
                    <a:prstGeom prst="rect">
                      <a:avLst/>
                    </a:prstGeom>
                  </pic:spPr>
                </pic:pic>
              </a:graphicData>
            </a:graphic>
          </wp:anchor>
        </w:drawing>
      </w:r>
    </w:p>
    <w:p w14:paraId="27478C3C" w14:textId="49603BDC" w:rsidR="000435C2" w:rsidRPr="00167EE8" w:rsidRDefault="000435C2">
      <w:pPr>
        <w:jc w:val="center"/>
        <w:rPr>
          <w:sz w:val="2"/>
          <w:szCs w:val="2"/>
        </w:rPr>
        <w:sectPr w:rsidR="000435C2" w:rsidRPr="00167EE8" w:rsidSect="000E41C6">
          <w:headerReference w:type="even" r:id="rId10"/>
          <w:headerReference w:type="default" r:id="rId11"/>
          <w:footerReference w:type="even" r:id="rId12"/>
          <w:footerReference w:type="default" r:id="rId13"/>
          <w:headerReference w:type="first" r:id="rId14"/>
          <w:footerReference w:type="first" r:id="rId15"/>
          <w:pgSz w:w="11900" w:h="16840"/>
          <w:pgMar w:top="306" w:right="1431" w:bottom="0" w:left="1445" w:header="454" w:footer="3" w:gutter="0"/>
          <w:pgNumType w:start="1"/>
          <w:cols w:space="720"/>
          <w:noEndnote/>
          <w:titlePg/>
          <w:docGrid w:linePitch="360"/>
        </w:sectPr>
      </w:pPr>
    </w:p>
    <w:p w14:paraId="4B0362DB" w14:textId="5FBCE7E3" w:rsidR="000435C2" w:rsidRPr="00167EE8" w:rsidRDefault="000435C2">
      <w:pPr>
        <w:pStyle w:val="Other0"/>
        <w:spacing w:after="2400"/>
        <w:ind w:left="3820"/>
        <w:rPr>
          <w:sz w:val="16"/>
          <w:szCs w:val="16"/>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979"/>
        <w:gridCol w:w="1354"/>
        <w:gridCol w:w="6005"/>
        <w:gridCol w:w="686"/>
      </w:tblGrid>
      <w:tr w:rsidR="000435C2" w:rsidRPr="00167EE8" w14:paraId="4567A81B" w14:textId="77777777" w:rsidTr="00C314BE">
        <w:trPr>
          <w:trHeight w:hRule="exact" w:val="576"/>
          <w:jc w:val="center"/>
        </w:trPr>
        <w:tc>
          <w:tcPr>
            <w:tcW w:w="9024" w:type="dxa"/>
            <w:gridSpan w:val="4"/>
            <w:tcBorders>
              <w:top w:val="single" w:sz="8" w:space="0" w:color="auto"/>
              <w:left w:val="single" w:sz="8" w:space="0" w:color="auto"/>
              <w:right w:val="single" w:sz="8" w:space="0" w:color="auto"/>
            </w:tcBorders>
            <w:shd w:val="clear" w:color="auto" w:fill="auto"/>
            <w:vAlign w:val="center"/>
          </w:tcPr>
          <w:p w14:paraId="5BF4477F" w14:textId="77777777" w:rsidR="000435C2" w:rsidRPr="00167EE8" w:rsidRDefault="008B332B">
            <w:pPr>
              <w:pStyle w:val="Other0"/>
              <w:spacing w:after="0"/>
              <w:jc w:val="center"/>
            </w:pPr>
            <w:r w:rsidRPr="00167EE8">
              <w:rPr>
                <w:rStyle w:val="Other"/>
                <w:b/>
                <w:color w:val="595959"/>
              </w:rPr>
              <w:t>HISTÓRICO DE ALTERAÇÕES</w:t>
            </w:r>
          </w:p>
        </w:tc>
      </w:tr>
      <w:tr w:rsidR="000435C2" w:rsidRPr="00167EE8" w14:paraId="6B53B387" w14:textId="77777777" w:rsidTr="00C314BE">
        <w:trPr>
          <w:trHeight w:hRule="exact" w:val="619"/>
          <w:jc w:val="center"/>
        </w:trPr>
        <w:tc>
          <w:tcPr>
            <w:tcW w:w="979" w:type="dxa"/>
            <w:tcBorders>
              <w:top w:val="single" w:sz="4" w:space="0" w:color="auto"/>
              <w:left w:val="single" w:sz="8" w:space="0" w:color="auto"/>
            </w:tcBorders>
            <w:shd w:val="clear" w:color="auto" w:fill="auto"/>
            <w:vAlign w:val="center"/>
          </w:tcPr>
          <w:p w14:paraId="34A8ECE6" w14:textId="77777777" w:rsidR="000435C2" w:rsidRPr="00167EE8" w:rsidRDefault="008B332B">
            <w:pPr>
              <w:pStyle w:val="Other0"/>
              <w:spacing w:after="0"/>
              <w:jc w:val="center"/>
            </w:pPr>
            <w:r w:rsidRPr="00167EE8">
              <w:rPr>
                <w:rStyle w:val="Other"/>
                <w:b/>
                <w:color w:val="595959"/>
              </w:rPr>
              <w:t>Versão</w:t>
            </w:r>
          </w:p>
        </w:tc>
        <w:tc>
          <w:tcPr>
            <w:tcW w:w="1354" w:type="dxa"/>
            <w:tcBorders>
              <w:top w:val="single" w:sz="4" w:space="0" w:color="auto"/>
              <w:left w:val="single" w:sz="4" w:space="0" w:color="auto"/>
            </w:tcBorders>
            <w:shd w:val="clear" w:color="auto" w:fill="auto"/>
            <w:vAlign w:val="center"/>
          </w:tcPr>
          <w:p w14:paraId="4F950C45" w14:textId="77777777" w:rsidR="000435C2" w:rsidRPr="00167EE8" w:rsidRDefault="008B332B">
            <w:pPr>
              <w:pStyle w:val="Other0"/>
              <w:spacing w:after="0"/>
              <w:jc w:val="center"/>
            </w:pPr>
            <w:r w:rsidRPr="00167EE8">
              <w:rPr>
                <w:rStyle w:val="Other"/>
                <w:b/>
                <w:color w:val="595959"/>
              </w:rPr>
              <w:t>Data de publicação</w:t>
            </w:r>
          </w:p>
        </w:tc>
        <w:tc>
          <w:tcPr>
            <w:tcW w:w="6005" w:type="dxa"/>
            <w:tcBorders>
              <w:top w:val="single" w:sz="4" w:space="0" w:color="auto"/>
              <w:left w:val="single" w:sz="4" w:space="0" w:color="auto"/>
            </w:tcBorders>
            <w:shd w:val="clear" w:color="auto" w:fill="auto"/>
            <w:vAlign w:val="center"/>
          </w:tcPr>
          <w:p w14:paraId="24048F4E" w14:textId="77777777" w:rsidR="000435C2" w:rsidRPr="00167EE8" w:rsidRDefault="008B332B">
            <w:pPr>
              <w:pStyle w:val="Other0"/>
              <w:spacing w:after="0"/>
              <w:jc w:val="center"/>
            </w:pPr>
            <w:r w:rsidRPr="00167EE8">
              <w:rPr>
                <w:rStyle w:val="Other"/>
                <w:b/>
                <w:color w:val="595959"/>
              </w:rPr>
              <w:t>Alteração</w:t>
            </w:r>
          </w:p>
        </w:tc>
        <w:tc>
          <w:tcPr>
            <w:tcW w:w="686" w:type="dxa"/>
            <w:tcBorders>
              <w:top w:val="single" w:sz="4" w:space="0" w:color="auto"/>
              <w:left w:val="single" w:sz="4" w:space="0" w:color="auto"/>
              <w:right w:val="single" w:sz="8" w:space="0" w:color="auto"/>
            </w:tcBorders>
            <w:shd w:val="clear" w:color="auto" w:fill="auto"/>
            <w:vAlign w:val="center"/>
          </w:tcPr>
          <w:p w14:paraId="5DFA6DD0" w14:textId="77777777" w:rsidR="000435C2" w:rsidRPr="00167EE8" w:rsidRDefault="008B332B">
            <w:pPr>
              <w:pStyle w:val="Other0"/>
              <w:spacing w:after="0"/>
              <w:jc w:val="right"/>
            </w:pPr>
            <w:r w:rsidRPr="00167EE8">
              <w:rPr>
                <w:rStyle w:val="Other"/>
                <w:b/>
                <w:color w:val="595959"/>
              </w:rPr>
              <w:t>Página</w:t>
            </w:r>
          </w:p>
        </w:tc>
      </w:tr>
      <w:tr w:rsidR="000435C2" w:rsidRPr="00167EE8" w14:paraId="33C108FB" w14:textId="77777777" w:rsidTr="00C314BE">
        <w:trPr>
          <w:trHeight w:hRule="exact" w:val="346"/>
          <w:jc w:val="center"/>
        </w:trPr>
        <w:tc>
          <w:tcPr>
            <w:tcW w:w="979" w:type="dxa"/>
            <w:tcBorders>
              <w:top w:val="single" w:sz="4" w:space="0" w:color="auto"/>
              <w:left w:val="single" w:sz="8" w:space="0" w:color="auto"/>
              <w:bottom w:val="single" w:sz="8" w:space="0" w:color="auto"/>
            </w:tcBorders>
            <w:shd w:val="clear" w:color="auto" w:fill="auto"/>
            <w:vAlign w:val="center"/>
          </w:tcPr>
          <w:p w14:paraId="051B42A0" w14:textId="77777777" w:rsidR="000435C2" w:rsidRPr="00167EE8" w:rsidRDefault="008B332B">
            <w:pPr>
              <w:pStyle w:val="Other0"/>
              <w:spacing w:after="0"/>
              <w:jc w:val="center"/>
              <w:rPr>
                <w:sz w:val="18"/>
                <w:szCs w:val="18"/>
              </w:rPr>
            </w:pPr>
            <w:r w:rsidRPr="00167EE8">
              <w:rPr>
                <w:rStyle w:val="Other"/>
                <w:color w:val="595959"/>
                <w:sz w:val="18"/>
              </w:rPr>
              <w:t>1.0</w:t>
            </w:r>
          </w:p>
        </w:tc>
        <w:tc>
          <w:tcPr>
            <w:tcW w:w="1354" w:type="dxa"/>
            <w:tcBorders>
              <w:top w:val="single" w:sz="4" w:space="0" w:color="auto"/>
              <w:left w:val="single" w:sz="4" w:space="0" w:color="auto"/>
              <w:bottom w:val="single" w:sz="8" w:space="0" w:color="auto"/>
            </w:tcBorders>
            <w:shd w:val="clear" w:color="auto" w:fill="auto"/>
            <w:vAlign w:val="center"/>
          </w:tcPr>
          <w:p w14:paraId="01D79BEB" w14:textId="77777777" w:rsidR="000435C2" w:rsidRPr="00167EE8" w:rsidRDefault="000435C2">
            <w:pPr>
              <w:pStyle w:val="Other0"/>
              <w:spacing w:after="0"/>
              <w:jc w:val="center"/>
              <w:rPr>
                <w:sz w:val="18"/>
                <w:szCs w:val="18"/>
              </w:rPr>
            </w:pPr>
          </w:p>
        </w:tc>
        <w:tc>
          <w:tcPr>
            <w:tcW w:w="6005" w:type="dxa"/>
            <w:tcBorders>
              <w:top w:val="single" w:sz="4" w:space="0" w:color="auto"/>
              <w:left w:val="single" w:sz="4" w:space="0" w:color="auto"/>
              <w:bottom w:val="single" w:sz="8" w:space="0" w:color="auto"/>
            </w:tcBorders>
            <w:shd w:val="clear" w:color="auto" w:fill="auto"/>
            <w:vAlign w:val="center"/>
          </w:tcPr>
          <w:p w14:paraId="478524CB" w14:textId="574FE6F7" w:rsidR="000435C2" w:rsidRPr="00167EE8" w:rsidRDefault="008B332B" w:rsidP="00C314BE">
            <w:pPr>
              <w:pStyle w:val="Other0"/>
              <w:numPr>
                <w:ilvl w:val="0"/>
                <w:numId w:val="47"/>
              </w:numPr>
              <w:spacing w:after="0"/>
              <w:rPr>
                <w:rStyle w:val="Other"/>
                <w:color w:val="595959"/>
                <w:sz w:val="18"/>
                <w:szCs w:val="18"/>
              </w:rPr>
            </w:pPr>
            <w:r w:rsidRPr="00167EE8">
              <w:rPr>
                <w:rStyle w:val="Other"/>
                <w:color w:val="595959"/>
                <w:sz w:val="18"/>
              </w:rPr>
              <w:t>Versão inicial.</w:t>
            </w:r>
          </w:p>
        </w:tc>
        <w:tc>
          <w:tcPr>
            <w:tcW w:w="686" w:type="dxa"/>
            <w:tcBorders>
              <w:top w:val="single" w:sz="4" w:space="0" w:color="auto"/>
              <w:left w:val="single" w:sz="4" w:space="0" w:color="auto"/>
              <w:bottom w:val="single" w:sz="8" w:space="0" w:color="auto"/>
              <w:right w:val="single" w:sz="8" w:space="0" w:color="auto"/>
            </w:tcBorders>
            <w:shd w:val="clear" w:color="auto" w:fill="auto"/>
          </w:tcPr>
          <w:p w14:paraId="59E14FD8" w14:textId="77777777" w:rsidR="000435C2" w:rsidRPr="00167EE8" w:rsidRDefault="000435C2">
            <w:pPr>
              <w:rPr>
                <w:sz w:val="10"/>
                <w:szCs w:val="10"/>
              </w:rPr>
            </w:pPr>
          </w:p>
        </w:tc>
      </w:tr>
      <w:tr w:rsidR="000435C2" w:rsidRPr="00167EE8" w14:paraId="70A55017" w14:textId="77777777" w:rsidTr="00C314BE">
        <w:trPr>
          <w:trHeight w:hRule="exact" w:val="350"/>
          <w:jc w:val="center"/>
        </w:trPr>
        <w:tc>
          <w:tcPr>
            <w:tcW w:w="979" w:type="dxa"/>
            <w:tcBorders>
              <w:top w:val="single" w:sz="8" w:space="0" w:color="auto"/>
              <w:left w:val="single" w:sz="8" w:space="0" w:color="auto"/>
              <w:bottom w:val="single" w:sz="8" w:space="0" w:color="auto"/>
            </w:tcBorders>
            <w:shd w:val="clear" w:color="auto" w:fill="auto"/>
          </w:tcPr>
          <w:p w14:paraId="0F825429" w14:textId="77777777" w:rsidR="000435C2" w:rsidRPr="00167EE8" w:rsidRDefault="000435C2">
            <w:pPr>
              <w:rPr>
                <w:sz w:val="10"/>
                <w:szCs w:val="10"/>
              </w:rPr>
            </w:pPr>
          </w:p>
        </w:tc>
        <w:tc>
          <w:tcPr>
            <w:tcW w:w="1354" w:type="dxa"/>
            <w:tcBorders>
              <w:top w:val="single" w:sz="8" w:space="0" w:color="auto"/>
              <w:left w:val="single" w:sz="4" w:space="0" w:color="auto"/>
              <w:bottom w:val="single" w:sz="8" w:space="0" w:color="auto"/>
            </w:tcBorders>
            <w:shd w:val="clear" w:color="auto" w:fill="auto"/>
          </w:tcPr>
          <w:p w14:paraId="15E36D9B" w14:textId="77777777" w:rsidR="000435C2" w:rsidRPr="00167EE8" w:rsidRDefault="000435C2">
            <w:pPr>
              <w:rPr>
                <w:sz w:val="10"/>
                <w:szCs w:val="10"/>
              </w:rPr>
            </w:pPr>
          </w:p>
        </w:tc>
        <w:tc>
          <w:tcPr>
            <w:tcW w:w="6005" w:type="dxa"/>
            <w:tcBorders>
              <w:top w:val="single" w:sz="8" w:space="0" w:color="auto"/>
              <w:left w:val="single" w:sz="4" w:space="0" w:color="auto"/>
              <w:bottom w:val="single" w:sz="8" w:space="0" w:color="auto"/>
            </w:tcBorders>
            <w:shd w:val="clear" w:color="auto" w:fill="auto"/>
            <w:vAlign w:val="center"/>
          </w:tcPr>
          <w:p w14:paraId="50F09C70" w14:textId="42B57270" w:rsidR="000435C2" w:rsidRPr="00167EE8" w:rsidRDefault="000435C2" w:rsidP="00C314BE">
            <w:pPr>
              <w:pStyle w:val="Other0"/>
              <w:numPr>
                <w:ilvl w:val="0"/>
                <w:numId w:val="47"/>
              </w:numPr>
              <w:spacing w:after="0"/>
              <w:rPr>
                <w:rStyle w:val="Other"/>
                <w:color w:val="595959"/>
                <w:sz w:val="18"/>
                <w:szCs w:val="18"/>
              </w:rPr>
            </w:pPr>
          </w:p>
        </w:tc>
        <w:tc>
          <w:tcPr>
            <w:tcW w:w="686" w:type="dxa"/>
            <w:tcBorders>
              <w:top w:val="single" w:sz="8" w:space="0" w:color="auto"/>
              <w:left w:val="single" w:sz="4" w:space="0" w:color="auto"/>
              <w:bottom w:val="single" w:sz="8" w:space="0" w:color="auto"/>
              <w:right w:val="single" w:sz="8" w:space="0" w:color="auto"/>
            </w:tcBorders>
            <w:shd w:val="clear" w:color="auto" w:fill="auto"/>
          </w:tcPr>
          <w:p w14:paraId="39AE5951" w14:textId="77777777" w:rsidR="000435C2" w:rsidRPr="00167EE8" w:rsidRDefault="000435C2">
            <w:pPr>
              <w:rPr>
                <w:sz w:val="10"/>
                <w:szCs w:val="10"/>
              </w:rPr>
            </w:pPr>
          </w:p>
        </w:tc>
      </w:tr>
      <w:tr w:rsidR="000435C2" w:rsidRPr="00167EE8" w14:paraId="0CC1C9E1" w14:textId="77777777" w:rsidTr="00C314BE">
        <w:trPr>
          <w:trHeight w:hRule="exact" w:val="350"/>
          <w:jc w:val="center"/>
        </w:trPr>
        <w:tc>
          <w:tcPr>
            <w:tcW w:w="979" w:type="dxa"/>
            <w:tcBorders>
              <w:top w:val="single" w:sz="8" w:space="0" w:color="auto"/>
              <w:left w:val="single" w:sz="8" w:space="0" w:color="auto"/>
            </w:tcBorders>
            <w:shd w:val="clear" w:color="auto" w:fill="auto"/>
          </w:tcPr>
          <w:p w14:paraId="10FE7021" w14:textId="77777777" w:rsidR="000435C2" w:rsidRPr="00167EE8" w:rsidRDefault="000435C2">
            <w:pPr>
              <w:rPr>
                <w:sz w:val="10"/>
                <w:szCs w:val="10"/>
              </w:rPr>
            </w:pPr>
          </w:p>
        </w:tc>
        <w:tc>
          <w:tcPr>
            <w:tcW w:w="1354" w:type="dxa"/>
            <w:tcBorders>
              <w:top w:val="single" w:sz="8" w:space="0" w:color="auto"/>
              <w:left w:val="single" w:sz="4" w:space="0" w:color="auto"/>
            </w:tcBorders>
            <w:shd w:val="clear" w:color="auto" w:fill="auto"/>
          </w:tcPr>
          <w:p w14:paraId="0C205983" w14:textId="77777777" w:rsidR="000435C2" w:rsidRPr="00167EE8" w:rsidRDefault="000435C2">
            <w:pPr>
              <w:rPr>
                <w:sz w:val="10"/>
                <w:szCs w:val="10"/>
              </w:rPr>
            </w:pPr>
          </w:p>
        </w:tc>
        <w:tc>
          <w:tcPr>
            <w:tcW w:w="6005" w:type="dxa"/>
            <w:tcBorders>
              <w:top w:val="single" w:sz="8" w:space="0" w:color="auto"/>
              <w:left w:val="single" w:sz="4" w:space="0" w:color="auto"/>
            </w:tcBorders>
            <w:shd w:val="clear" w:color="auto" w:fill="auto"/>
            <w:vAlign w:val="center"/>
          </w:tcPr>
          <w:p w14:paraId="5016C0EB" w14:textId="45F40170" w:rsidR="000435C2" w:rsidRPr="00167EE8" w:rsidRDefault="000435C2" w:rsidP="00C314BE">
            <w:pPr>
              <w:pStyle w:val="Other0"/>
              <w:numPr>
                <w:ilvl w:val="0"/>
                <w:numId w:val="47"/>
              </w:numPr>
              <w:spacing w:after="0"/>
              <w:rPr>
                <w:rStyle w:val="Other"/>
                <w:color w:val="595959"/>
                <w:sz w:val="18"/>
                <w:szCs w:val="18"/>
              </w:rPr>
            </w:pPr>
          </w:p>
        </w:tc>
        <w:tc>
          <w:tcPr>
            <w:tcW w:w="686" w:type="dxa"/>
            <w:tcBorders>
              <w:top w:val="single" w:sz="8" w:space="0" w:color="auto"/>
              <w:left w:val="single" w:sz="4" w:space="0" w:color="auto"/>
              <w:right w:val="single" w:sz="8" w:space="0" w:color="auto"/>
            </w:tcBorders>
            <w:shd w:val="clear" w:color="auto" w:fill="auto"/>
          </w:tcPr>
          <w:p w14:paraId="13F3D868" w14:textId="77777777" w:rsidR="000435C2" w:rsidRPr="00167EE8" w:rsidRDefault="000435C2">
            <w:pPr>
              <w:rPr>
                <w:sz w:val="10"/>
                <w:szCs w:val="10"/>
              </w:rPr>
            </w:pPr>
          </w:p>
        </w:tc>
      </w:tr>
      <w:tr w:rsidR="000435C2" w:rsidRPr="00167EE8" w14:paraId="1B2C3190" w14:textId="77777777" w:rsidTr="00C314BE">
        <w:trPr>
          <w:trHeight w:hRule="exact" w:val="350"/>
          <w:jc w:val="center"/>
        </w:trPr>
        <w:tc>
          <w:tcPr>
            <w:tcW w:w="979" w:type="dxa"/>
            <w:tcBorders>
              <w:top w:val="single" w:sz="4" w:space="0" w:color="auto"/>
              <w:left w:val="single" w:sz="8" w:space="0" w:color="auto"/>
              <w:bottom w:val="single" w:sz="8" w:space="0" w:color="auto"/>
            </w:tcBorders>
            <w:shd w:val="clear" w:color="auto" w:fill="auto"/>
          </w:tcPr>
          <w:p w14:paraId="016A63C8" w14:textId="77777777" w:rsidR="000435C2" w:rsidRPr="00167EE8" w:rsidRDefault="000435C2">
            <w:pPr>
              <w:rPr>
                <w:sz w:val="10"/>
                <w:szCs w:val="10"/>
              </w:rPr>
            </w:pPr>
          </w:p>
        </w:tc>
        <w:tc>
          <w:tcPr>
            <w:tcW w:w="1354" w:type="dxa"/>
            <w:tcBorders>
              <w:top w:val="single" w:sz="4" w:space="0" w:color="auto"/>
              <w:left w:val="single" w:sz="4" w:space="0" w:color="auto"/>
              <w:bottom w:val="single" w:sz="8" w:space="0" w:color="auto"/>
            </w:tcBorders>
            <w:shd w:val="clear" w:color="auto" w:fill="auto"/>
          </w:tcPr>
          <w:p w14:paraId="6982951E" w14:textId="77777777" w:rsidR="000435C2" w:rsidRPr="00167EE8" w:rsidRDefault="000435C2">
            <w:pPr>
              <w:rPr>
                <w:sz w:val="10"/>
                <w:szCs w:val="10"/>
              </w:rPr>
            </w:pPr>
          </w:p>
        </w:tc>
        <w:tc>
          <w:tcPr>
            <w:tcW w:w="6005" w:type="dxa"/>
            <w:tcBorders>
              <w:top w:val="single" w:sz="4" w:space="0" w:color="auto"/>
              <w:left w:val="single" w:sz="4" w:space="0" w:color="auto"/>
              <w:bottom w:val="single" w:sz="8" w:space="0" w:color="auto"/>
            </w:tcBorders>
            <w:shd w:val="clear" w:color="auto" w:fill="auto"/>
            <w:vAlign w:val="center"/>
          </w:tcPr>
          <w:p w14:paraId="519F9935" w14:textId="3CE7FBDB" w:rsidR="000435C2" w:rsidRPr="00167EE8" w:rsidRDefault="000435C2" w:rsidP="00C314BE">
            <w:pPr>
              <w:pStyle w:val="Other0"/>
              <w:numPr>
                <w:ilvl w:val="0"/>
                <w:numId w:val="47"/>
              </w:numPr>
              <w:spacing w:after="0"/>
              <w:rPr>
                <w:rStyle w:val="Other"/>
                <w:color w:val="595959"/>
                <w:sz w:val="18"/>
                <w:szCs w:val="18"/>
              </w:rPr>
            </w:pPr>
          </w:p>
        </w:tc>
        <w:tc>
          <w:tcPr>
            <w:tcW w:w="686" w:type="dxa"/>
            <w:tcBorders>
              <w:top w:val="single" w:sz="4" w:space="0" w:color="auto"/>
              <w:left w:val="single" w:sz="4" w:space="0" w:color="auto"/>
              <w:bottom w:val="single" w:sz="8" w:space="0" w:color="auto"/>
              <w:right w:val="single" w:sz="8" w:space="0" w:color="auto"/>
            </w:tcBorders>
            <w:shd w:val="clear" w:color="auto" w:fill="auto"/>
          </w:tcPr>
          <w:p w14:paraId="0E0054EA" w14:textId="77777777" w:rsidR="000435C2" w:rsidRDefault="000435C2">
            <w:pPr>
              <w:rPr>
                <w:sz w:val="10"/>
                <w:szCs w:val="10"/>
              </w:rPr>
            </w:pPr>
          </w:p>
          <w:p w14:paraId="7B7E4737" w14:textId="77777777" w:rsidR="00A33280" w:rsidRPr="00A33280" w:rsidRDefault="00A33280" w:rsidP="00A33280">
            <w:pPr>
              <w:rPr>
                <w:sz w:val="10"/>
                <w:szCs w:val="10"/>
              </w:rPr>
            </w:pPr>
          </w:p>
          <w:p w14:paraId="412BB1DC" w14:textId="77777777" w:rsidR="00A33280" w:rsidRPr="00A33280" w:rsidRDefault="00A33280" w:rsidP="00A33280">
            <w:pPr>
              <w:rPr>
                <w:sz w:val="10"/>
                <w:szCs w:val="10"/>
              </w:rPr>
            </w:pPr>
          </w:p>
          <w:p w14:paraId="40E1B244" w14:textId="77777777" w:rsidR="00A33280" w:rsidRPr="00A33280" w:rsidRDefault="00A33280" w:rsidP="00A33280">
            <w:pPr>
              <w:rPr>
                <w:sz w:val="10"/>
                <w:szCs w:val="10"/>
              </w:rPr>
            </w:pPr>
          </w:p>
          <w:p w14:paraId="3DC0687D" w14:textId="77777777" w:rsidR="00A33280" w:rsidRPr="00A33280" w:rsidRDefault="00A33280" w:rsidP="00A33280">
            <w:pPr>
              <w:rPr>
                <w:sz w:val="10"/>
                <w:szCs w:val="10"/>
              </w:rPr>
            </w:pPr>
          </w:p>
          <w:p w14:paraId="442E6CF3" w14:textId="77777777" w:rsidR="00A33280" w:rsidRPr="00A33280" w:rsidRDefault="00A33280" w:rsidP="00A33280">
            <w:pPr>
              <w:rPr>
                <w:sz w:val="10"/>
                <w:szCs w:val="10"/>
              </w:rPr>
            </w:pPr>
          </w:p>
          <w:p w14:paraId="30C49379" w14:textId="77777777" w:rsidR="00A33280" w:rsidRPr="00A33280" w:rsidRDefault="00A33280" w:rsidP="00A33280">
            <w:pPr>
              <w:rPr>
                <w:sz w:val="10"/>
                <w:szCs w:val="10"/>
              </w:rPr>
            </w:pPr>
          </w:p>
          <w:p w14:paraId="2581A9CF" w14:textId="77777777" w:rsidR="00A33280" w:rsidRPr="00A33280" w:rsidRDefault="00A33280" w:rsidP="00A33280">
            <w:pPr>
              <w:rPr>
                <w:sz w:val="10"/>
                <w:szCs w:val="10"/>
              </w:rPr>
            </w:pPr>
          </w:p>
          <w:p w14:paraId="408B751D" w14:textId="77777777" w:rsidR="00A33280" w:rsidRPr="00A33280" w:rsidRDefault="00A33280" w:rsidP="00A33280">
            <w:pPr>
              <w:rPr>
                <w:sz w:val="10"/>
                <w:szCs w:val="10"/>
              </w:rPr>
            </w:pPr>
          </w:p>
          <w:p w14:paraId="6BEB3871" w14:textId="77777777" w:rsidR="00A33280" w:rsidRPr="00A33280" w:rsidRDefault="00A33280" w:rsidP="00A33280">
            <w:pPr>
              <w:rPr>
                <w:sz w:val="10"/>
                <w:szCs w:val="10"/>
              </w:rPr>
            </w:pPr>
          </w:p>
          <w:p w14:paraId="0F13416B" w14:textId="77777777" w:rsidR="00A33280" w:rsidRPr="00A33280" w:rsidRDefault="00A33280" w:rsidP="00A33280">
            <w:pPr>
              <w:rPr>
                <w:sz w:val="10"/>
                <w:szCs w:val="10"/>
              </w:rPr>
            </w:pPr>
          </w:p>
          <w:p w14:paraId="48113486" w14:textId="77777777" w:rsidR="00A33280" w:rsidRPr="00A33280" w:rsidRDefault="00A33280" w:rsidP="00A33280">
            <w:pPr>
              <w:rPr>
                <w:sz w:val="10"/>
                <w:szCs w:val="10"/>
              </w:rPr>
            </w:pPr>
          </w:p>
          <w:p w14:paraId="706D71AC" w14:textId="77777777" w:rsidR="00A33280" w:rsidRPr="00A33280" w:rsidRDefault="00A33280" w:rsidP="00A33280">
            <w:pPr>
              <w:rPr>
                <w:sz w:val="10"/>
                <w:szCs w:val="10"/>
              </w:rPr>
            </w:pPr>
          </w:p>
          <w:p w14:paraId="19CB2665" w14:textId="77777777" w:rsidR="00A33280" w:rsidRPr="00A33280" w:rsidRDefault="00A33280" w:rsidP="00A33280">
            <w:pPr>
              <w:rPr>
                <w:sz w:val="10"/>
                <w:szCs w:val="10"/>
              </w:rPr>
            </w:pPr>
          </w:p>
          <w:p w14:paraId="2EB61270" w14:textId="77777777" w:rsidR="00A33280" w:rsidRPr="00A33280" w:rsidRDefault="00A33280" w:rsidP="00A33280">
            <w:pPr>
              <w:rPr>
                <w:sz w:val="10"/>
                <w:szCs w:val="10"/>
              </w:rPr>
            </w:pPr>
          </w:p>
          <w:p w14:paraId="5D94523A" w14:textId="77777777" w:rsidR="00A33280" w:rsidRPr="00A33280" w:rsidRDefault="00A33280" w:rsidP="00A33280">
            <w:pPr>
              <w:rPr>
                <w:sz w:val="10"/>
                <w:szCs w:val="10"/>
              </w:rPr>
            </w:pPr>
          </w:p>
          <w:p w14:paraId="4F320126" w14:textId="77777777" w:rsidR="00A33280" w:rsidRPr="00A33280" w:rsidRDefault="00A33280" w:rsidP="00A33280">
            <w:pPr>
              <w:rPr>
                <w:sz w:val="10"/>
                <w:szCs w:val="10"/>
              </w:rPr>
            </w:pPr>
          </w:p>
          <w:p w14:paraId="0A166D05" w14:textId="77777777" w:rsidR="00A33280" w:rsidRPr="00A33280" w:rsidRDefault="00A33280" w:rsidP="00A33280">
            <w:pPr>
              <w:rPr>
                <w:sz w:val="10"/>
                <w:szCs w:val="10"/>
              </w:rPr>
            </w:pPr>
          </w:p>
          <w:p w14:paraId="3E0FA92A" w14:textId="77777777" w:rsidR="00A33280" w:rsidRPr="00A33280" w:rsidRDefault="00A33280" w:rsidP="00A33280">
            <w:pPr>
              <w:rPr>
                <w:sz w:val="10"/>
                <w:szCs w:val="10"/>
              </w:rPr>
            </w:pPr>
          </w:p>
          <w:p w14:paraId="294BD5FD" w14:textId="77777777" w:rsidR="00A33280" w:rsidRPr="00A33280" w:rsidRDefault="00A33280" w:rsidP="00A33280">
            <w:pPr>
              <w:rPr>
                <w:sz w:val="10"/>
                <w:szCs w:val="10"/>
              </w:rPr>
            </w:pPr>
          </w:p>
          <w:p w14:paraId="577A80E4" w14:textId="77777777" w:rsidR="00A33280" w:rsidRPr="00A33280" w:rsidRDefault="00A33280" w:rsidP="00A33280">
            <w:pPr>
              <w:rPr>
                <w:sz w:val="10"/>
                <w:szCs w:val="10"/>
              </w:rPr>
            </w:pPr>
          </w:p>
          <w:p w14:paraId="1478F1B2" w14:textId="77777777" w:rsidR="00A33280" w:rsidRPr="00A33280" w:rsidRDefault="00A33280" w:rsidP="00A33280">
            <w:pPr>
              <w:rPr>
                <w:sz w:val="10"/>
                <w:szCs w:val="10"/>
              </w:rPr>
            </w:pPr>
          </w:p>
          <w:p w14:paraId="7BC49848" w14:textId="77777777" w:rsidR="00A33280" w:rsidRPr="00A33280" w:rsidRDefault="00A33280" w:rsidP="00A33280">
            <w:pPr>
              <w:rPr>
                <w:sz w:val="10"/>
                <w:szCs w:val="10"/>
              </w:rPr>
            </w:pPr>
          </w:p>
          <w:p w14:paraId="34C14FFF" w14:textId="77777777" w:rsidR="00A33280" w:rsidRPr="00A33280" w:rsidRDefault="00A33280" w:rsidP="00A33280">
            <w:pPr>
              <w:rPr>
                <w:sz w:val="10"/>
                <w:szCs w:val="10"/>
              </w:rPr>
            </w:pPr>
          </w:p>
          <w:p w14:paraId="246B1966" w14:textId="77777777" w:rsidR="00A33280" w:rsidRPr="00A33280" w:rsidRDefault="00A33280" w:rsidP="00A33280">
            <w:pPr>
              <w:rPr>
                <w:sz w:val="10"/>
                <w:szCs w:val="10"/>
              </w:rPr>
            </w:pPr>
          </w:p>
          <w:p w14:paraId="71D6DFAC" w14:textId="77777777" w:rsidR="00A33280" w:rsidRPr="00A33280" w:rsidRDefault="00A33280" w:rsidP="00A33280">
            <w:pPr>
              <w:rPr>
                <w:sz w:val="10"/>
                <w:szCs w:val="10"/>
              </w:rPr>
            </w:pPr>
          </w:p>
          <w:p w14:paraId="1C0DD850" w14:textId="77777777" w:rsidR="00A33280" w:rsidRPr="00A33280" w:rsidRDefault="00A33280" w:rsidP="00A33280">
            <w:pPr>
              <w:rPr>
                <w:sz w:val="10"/>
                <w:szCs w:val="10"/>
              </w:rPr>
            </w:pPr>
          </w:p>
          <w:p w14:paraId="0522A137" w14:textId="77777777" w:rsidR="00A33280" w:rsidRPr="00A33280" w:rsidRDefault="00A33280" w:rsidP="00A33280">
            <w:pPr>
              <w:rPr>
                <w:sz w:val="10"/>
                <w:szCs w:val="10"/>
              </w:rPr>
            </w:pPr>
          </w:p>
          <w:p w14:paraId="42BBD0A3" w14:textId="77777777" w:rsidR="00A33280" w:rsidRPr="00A33280" w:rsidRDefault="00A33280" w:rsidP="00A33280">
            <w:pPr>
              <w:rPr>
                <w:sz w:val="10"/>
                <w:szCs w:val="10"/>
              </w:rPr>
            </w:pPr>
          </w:p>
          <w:p w14:paraId="3DE228FE" w14:textId="77777777" w:rsidR="00A33280" w:rsidRPr="00A33280" w:rsidRDefault="00A33280" w:rsidP="00A33280">
            <w:pPr>
              <w:rPr>
                <w:sz w:val="10"/>
                <w:szCs w:val="10"/>
              </w:rPr>
            </w:pPr>
          </w:p>
          <w:p w14:paraId="6F8589CD" w14:textId="77777777" w:rsidR="00A33280" w:rsidRPr="00A33280" w:rsidRDefault="00A33280" w:rsidP="00A33280">
            <w:pPr>
              <w:rPr>
                <w:sz w:val="10"/>
                <w:szCs w:val="10"/>
              </w:rPr>
            </w:pPr>
          </w:p>
          <w:p w14:paraId="53EBCC74" w14:textId="77777777" w:rsidR="00A33280" w:rsidRPr="00A33280" w:rsidRDefault="00A33280" w:rsidP="00A33280">
            <w:pPr>
              <w:rPr>
                <w:sz w:val="10"/>
                <w:szCs w:val="10"/>
              </w:rPr>
            </w:pPr>
          </w:p>
          <w:p w14:paraId="2191F422" w14:textId="77777777" w:rsidR="00A33280" w:rsidRPr="00A33280" w:rsidRDefault="00A33280" w:rsidP="00A33280">
            <w:pPr>
              <w:rPr>
                <w:sz w:val="10"/>
                <w:szCs w:val="10"/>
              </w:rPr>
            </w:pPr>
          </w:p>
          <w:p w14:paraId="3D2BAD91" w14:textId="77777777" w:rsidR="00A33280" w:rsidRPr="00A33280" w:rsidRDefault="00A33280" w:rsidP="00A33280">
            <w:pPr>
              <w:rPr>
                <w:sz w:val="10"/>
                <w:szCs w:val="10"/>
              </w:rPr>
            </w:pPr>
          </w:p>
          <w:p w14:paraId="72E2A4A8" w14:textId="77777777" w:rsidR="00A33280" w:rsidRPr="00A33280" w:rsidRDefault="00A33280" w:rsidP="00A33280">
            <w:pPr>
              <w:rPr>
                <w:sz w:val="10"/>
                <w:szCs w:val="10"/>
              </w:rPr>
            </w:pPr>
          </w:p>
          <w:p w14:paraId="02225528" w14:textId="77777777" w:rsidR="00A33280" w:rsidRPr="00A33280" w:rsidRDefault="00A33280" w:rsidP="00A33280">
            <w:pPr>
              <w:rPr>
                <w:sz w:val="10"/>
                <w:szCs w:val="10"/>
              </w:rPr>
            </w:pPr>
          </w:p>
          <w:p w14:paraId="2769CBDE" w14:textId="77777777" w:rsidR="00A33280" w:rsidRPr="00A33280" w:rsidRDefault="00A33280" w:rsidP="00A33280">
            <w:pPr>
              <w:rPr>
                <w:sz w:val="10"/>
                <w:szCs w:val="10"/>
              </w:rPr>
            </w:pPr>
          </w:p>
          <w:p w14:paraId="550A58AB" w14:textId="77777777" w:rsidR="00A33280" w:rsidRPr="00A33280" w:rsidRDefault="00A33280" w:rsidP="00A33280">
            <w:pPr>
              <w:rPr>
                <w:sz w:val="10"/>
                <w:szCs w:val="10"/>
              </w:rPr>
            </w:pPr>
          </w:p>
          <w:p w14:paraId="3F01F2FD" w14:textId="77777777" w:rsidR="00A33280" w:rsidRPr="00A33280" w:rsidRDefault="00A33280" w:rsidP="00A33280">
            <w:pPr>
              <w:rPr>
                <w:sz w:val="10"/>
                <w:szCs w:val="10"/>
              </w:rPr>
            </w:pPr>
          </w:p>
          <w:p w14:paraId="78AF9398" w14:textId="77777777" w:rsidR="00A33280" w:rsidRPr="00A33280" w:rsidRDefault="00A33280" w:rsidP="00A33280">
            <w:pPr>
              <w:rPr>
                <w:sz w:val="10"/>
                <w:szCs w:val="10"/>
              </w:rPr>
            </w:pPr>
          </w:p>
          <w:p w14:paraId="56386946" w14:textId="77777777" w:rsidR="00A33280" w:rsidRPr="00A33280" w:rsidRDefault="00A33280" w:rsidP="00A33280">
            <w:pPr>
              <w:rPr>
                <w:sz w:val="10"/>
                <w:szCs w:val="10"/>
              </w:rPr>
            </w:pPr>
          </w:p>
          <w:p w14:paraId="170C3A19" w14:textId="77777777" w:rsidR="00A33280" w:rsidRPr="00A33280" w:rsidRDefault="00A33280" w:rsidP="00A33280">
            <w:pPr>
              <w:rPr>
                <w:sz w:val="10"/>
                <w:szCs w:val="10"/>
              </w:rPr>
            </w:pPr>
          </w:p>
          <w:p w14:paraId="4A55C6E0" w14:textId="77777777" w:rsidR="00A33280" w:rsidRPr="00A33280" w:rsidRDefault="00A33280" w:rsidP="00A33280">
            <w:pPr>
              <w:rPr>
                <w:sz w:val="10"/>
                <w:szCs w:val="10"/>
              </w:rPr>
            </w:pPr>
          </w:p>
          <w:p w14:paraId="4851F08D" w14:textId="77777777" w:rsidR="00A33280" w:rsidRPr="00A33280" w:rsidRDefault="00A33280" w:rsidP="00A33280">
            <w:pPr>
              <w:rPr>
                <w:sz w:val="10"/>
                <w:szCs w:val="10"/>
              </w:rPr>
            </w:pPr>
          </w:p>
          <w:p w14:paraId="57711F05" w14:textId="77777777" w:rsidR="00A33280" w:rsidRPr="00A33280" w:rsidRDefault="00A33280" w:rsidP="00A33280">
            <w:pPr>
              <w:rPr>
                <w:sz w:val="10"/>
                <w:szCs w:val="10"/>
              </w:rPr>
            </w:pPr>
          </w:p>
          <w:p w14:paraId="40F3E588" w14:textId="77777777" w:rsidR="00A33280" w:rsidRPr="00A33280" w:rsidRDefault="00A33280" w:rsidP="00A33280">
            <w:pPr>
              <w:rPr>
                <w:sz w:val="10"/>
                <w:szCs w:val="10"/>
              </w:rPr>
            </w:pPr>
          </w:p>
          <w:p w14:paraId="4DB452FE" w14:textId="77777777" w:rsidR="00A33280" w:rsidRPr="00A33280" w:rsidRDefault="00A33280" w:rsidP="00A33280">
            <w:pPr>
              <w:rPr>
                <w:sz w:val="10"/>
                <w:szCs w:val="10"/>
              </w:rPr>
            </w:pPr>
          </w:p>
          <w:p w14:paraId="5C3110CB" w14:textId="77777777" w:rsidR="00A33280" w:rsidRPr="00A33280" w:rsidRDefault="00A33280" w:rsidP="00A33280">
            <w:pPr>
              <w:rPr>
                <w:sz w:val="10"/>
                <w:szCs w:val="10"/>
              </w:rPr>
            </w:pPr>
          </w:p>
          <w:p w14:paraId="7238241C" w14:textId="77777777" w:rsidR="00A33280" w:rsidRPr="00A33280" w:rsidRDefault="00A33280" w:rsidP="00A33280">
            <w:pPr>
              <w:rPr>
                <w:sz w:val="10"/>
                <w:szCs w:val="10"/>
              </w:rPr>
            </w:pPr>
          </w:p>
          <w:p w14:paraId="7760C5CC" w14:textId="77777777" w:rsidR="00A33280" w:rsidRPr="00A33280" w:rsidRDefault="00A33280" w:rsidP="00A33280">
            <w:pPr>
              <w:rPr>
                <w:sz w:val="10"/>
                <w:szCs w:val="10"/>
              </w:rPr>
            </w:pPr>
          </w:p>
          <w:p w14:paraId="1583AE29" w14:textId="77777777" w:rsidR="00A33280" w:rsidRPr="00A33280" w:rsidRDefault="00A33280" w:rsidP="00A33280">
            <w:pPr>
              <w:rPr>
                <w:sz w:val="10"/>
                <w:szCs w:val="10"/>
              </w:rPr>
            </w:pPr>
          </w:p>
          <w:p w14:paraId="2ECE16CB" w14:textId="77777777" w:rsidR="00A33280" w:rsidRPr="00A33280" w:rsidRDefault="00A33280" w:rsidP="00A33280">
            <w:pPr>
              <w:rPr>
                <w:sz w:val="10"/>
                <w:szCs w:val="10"/>
              </w:rPr>
            </w:pPr>
          </w:p>
          <w:p w14:paraId="320A9280" w14:textId="77777777" w:rsidR="00A33280" w:rsidRPr="00A33280" w:rsidRDefault="00A33280" w:rsidP="00A33280">
            <w:pPr>
              <w:rPr>
                <w:sz w:val="10"/>
                <w:szCs w:val="10"/>
              </w:rPr>
            </w:pPr>
          </w:p>
          <w:p w14:paraId="39041351" w14:textId="77777777" w:rsidR="00A33280" w:rsidRPr="00A33280" w:rsidRDefault="00A33280" w:rsidP="00A33280">
            <w:pPr>
              <w:rPr>
                <w:sz w:val="10"/>
                <w:szCs w:val="10"/>
              </w:rPr>
            </w:pPr>
          </w:p>
          <w:p w14:paraId="1D46071E" w14:textId="77777777" w:rsidR="00A33280" w:rsidRPr="00A33280" w:rsidRDefault="00A33280" w:rsidP="00A33280">
            <w:pPr>
              <w:rPr>
                <w:sz w:val="10"/>
                <w:szCs w:val="10"/>
              </w:rPr>
            </w:pPr>
          </w:p>
          <w:p w14:paraId="67B8C8DA" w14:textId="77777777" w:rsidR="00A33280" w:rsidRPr="00A33280" w:rsidRDefault="00A33280" w:rsidP="00A33280">
            <w:pPr>
              <w:rPr>
                <w:sz w:val="10"/>
                <w:szCs w:val="10"/>
              </w:rPr>
            </w:pPr>
          </w:p>
          <w:p w14:paraId="54AD0EEB" w14:textId="77777777" w:rsidR="00A33280" w:rsidRPr="00A33280" w:rsidRDefault="00A33280" w:rsidP="00A33280">
            <w:pPr>
              <w:rPr>
                <w:sz w:val="10"/>
                <w:szCs w:val="10"/>
              </w:rPr>
            </w:pPr>
          </w:p>
          <w:p w14:paraId="4EF697E9" w14:textId="77777777" w:rsidR="00A33280" w:rsidRPr="00A33280" w:rsidRDefault="00A33280" w:rsidP="00A33280">
            <w:pPr>
              <w:rPr>
                <w:sz w:val="10"/>
                <w:szCs w:val="10"/>
              </w:rPr>
            </w:pPr>
          </w:p>
          <w:p w14:paraId="48A369FA" w14:textId="77777777" w:rsidR="00A33280" w:rsidRPr="00A33280" w:rsidRDefault="00A33280" w:rsidP="00A33280">
            <w:pPr>
              <w:rPr>
                <w:sz w:val="10"/>
                <w:szCs w:val="10"/>
              </w:rPr>
            </w:pPr>
          </w:p>
          <w:p w14:paraId="794A989D" w14:textId="77777777" w:rsidR="00A33280" w:rsidRPr="00A33280" w:rsidRDefault="00A33280" w:rsidP="00A33280">
            <w:pPr>
              <w:rPr>
                <w:sz w:val="10"/>
                <w:szCs w:val="10"/>
              </w:rPr>
            </w:pPr>
          </w:p>
          <w:p w14:paraId="18202511" w14:textId="77777777" w:rsidR="00A33280" w:rsidRPr="00A33280" w:rsidRDefault="00A33280" w:rsidP="00A33280">
            <w:pPr>
              <w:rPr>
                <w:sz w:val="10"/>
                <w:szCs w:val="10"/>
              </w:rPr>
            </w:pPr>
          </w:p>
          <w:p w14:paraId="7C21969E" w14:textId="77777777" w:rsidR="00A33280" w:rsidRPr="00A33280" w:rsidRDefault="00A33280" w:rsidP="00A33280">
            <w:pPr>
              <w:rPr>
                <w:sz w:val="10"/>
                <w:szCs w:val="10"/>
              </w:rPr>
            </w:pPr>
          </w:p>
          <w:p w14:paraId="16D112CB" w14:textId="77777777" w:rsidR="00A33280" w:rsidRPr="00A33280" w:rsidRDefault="00A33280" w:rsidP="00A33280">
            <w:pPr>
              <w:rPr>
                <w:sz w:val="10"/>
                <w:szCs w:val="10"/>
              </w:rPr>
            </w:pPr>
          </w:p>
          <w:p w14:paraId="1534C594" w14:textId="77777777" w:rsidR="00A33280" w:rsidRPr="00A33280" w:rsidRDefault="00A33280" w:rsidP="00A33280">
            <w:pPr>
              <w:rPr>
                <w:sz w:val="10"/>
                <w:szCs w:val="10"/>
              </w:rPr>
            </w:pPr>
          </w:p>
          <w:p w14:paraId="3A6C4D2E" w14:textId="77777777" w:rsidR="00A33280" w:rsidRPr="00A33280" w:rsidRDefault="00A33280" w:rsidP="00A33280">
            <w:pPr>
              <w:rPr>
                <w:sz w:val="10"/>
                <w:szCs w:val="10"/>
              </w:rPr>
            </w:pPr>
          </w:p>
          <w:p w14:paraId="252CFBDD" w14:textId="77777777" w:rsidR="00A33280" w:rsidRPr="00A33280" w:rsidRDefault="00A33280" w:rsidP="00A33280">
            <w:pPr>
              <w:rPr>
                <w:sz w:val="10"/>
                <w:szCs w:val="10"/>
              </w:rPr>
            </w:pPr>
          </w:p>
          <w:p w14:paraId="75D92374" w14:textId="77777777" w:rsidR="00A33280" w:rsidRPr="00A33280" w:rsidRDefault="00A33280" w:rsidP="00A33280">
            <w:pPr>
              <w:rPr>
                <w:sz w:val="10"/>
                <w:szCs w:val="10"/>
              </w:rPr>
            </w:pPr>
          </w:p>
          <w:p w14:paraId="686834B8" w14:textId="77777777" w:rsidR="00A33280" w:rsidRPr="00A33280" w:rsidRDefault="00A33280" w:rsidP="00A33280">
            <w:pPr>
              <w:rPr>
                <w:sz w:val="10"/>
                <w:szCs w:val="10"/>
              </w:rPr>
            </w:pPr>
          </w:p>
          <w:p w14:paraId="2D9A352B" w14:textId="77777777" w:rsidR="00A33280" w:rsidRPr="00A33280" w:rsidRDefault="00A33280" w:rsidP="00A33280">
            <w:pPr>
              <w:rPr>
                <w:sz w:val="10"/>
                <w:szCs w:val="10"/>
              </w:rPr>
            </w:pPr>
          </w:p>
          <w:p w14:paraId="001E4C0E" w14:textId="77777777" w:rsidR="00A33280" w:rsidRPr="00A33280" w:rsidRDefault="00A33280" w:rsidP="00A33280">
            <w:pPr>
              <w:rPr>
                <w:sz w:val="10"/>
                <w:szCs w:val="10"/>
              </w:rPr>
            </w:pPr>
          </w:p>
          <w:p w14:paraId="49F6F1D6" w14:textId="77777777" w:rsidR="00A33280" w:rsidRPr="00A33280" w:rsidRDefault="00A33280" w:rsidP="00A33280">
            <w:pPr>
              <w:rPr>
                <w:sz w:val="10"/>
                <w:szCs w:val="10"/>
              </w:rPr>
            </w:pPr>
          </w:p>
          <w:p w14:paraId="592D966B" w14:textId="77777777" w:rsidR="00A33280" w:rsidRPr="00A33280" w:rsidRDefault="00A33280" w:rsidP="00A33280">
            <w:pPr>
              <w:rPr>
                <w:sz w:val="10"/>
                <w:szCs w:val="10"/>
              </w:rPr>
            </w:pPr>
          </w:p>
          <w:p w14:paraId="57A6562A" w14:textId="77777777" w:rsidR="00A33280" w:rsidRPr="00A33280" w:rsidRDefault="00A33280" w:rsidP="00A33280">
            <w:pPr>
              <w:rPr>
                <w:sz w:val="10"/>
                <w:szCs w:val="10"/>
              </w:rPr>
            </w:pPr>
          </w:p>
          <w:p w14:paraId="72C56E7A" w14:textId="77777777" w:rsidR="00A33280" w:rsidRPr="00A33280" w:rsidRDefault="00A33280" w:rsidP="00A33280">
            <w:pPr>
              <w:rPr>
                <w:sz w:val="10"/>
                <w:szCs w:val="10"/>
              </w:rPr>
            </w:pPr>
          </w:p>
        </w:tc>
      </w:tr>
    </w:tbl>
    <w:p w14:paraId="1424C2BF" w14:textId="77777777" w:rsidR="000435C2" w:rsidRPr="00167EE8" w:rsidRDefault="008B332B" w:rsidP="000E41C6">
      <w:pPr>
        <w:keepNext/>
        <w:keepLines/>
        <w:pageBreakBefore/>
      </w:pPr>
      <w:r w:rsidRPr="00167EE8">
        <w:rPr>
          <w:noProof/>
        </w:rPr>
        <w:lastRenderedPageBreak/>
        <w:drawing>
          <wp:anchor distT="0" distB="0" distL="38100" distR="38100" simplePos="0" relativeHeight="125829378" behindDoc="0" locked="0" layoutInCell="1" allowOverlap="1" wp14:anchorId="44BFB1E2" wp14:editId="0917F8BB">
            <wp:simplePos x="0" y="0"/>
            <wp:positionH relativeFrom="page">
              <wp:posOffset>1003300</wp:posOffset>
            </wp:positionH>
            <wp:positionV relativeFrom="paragraph">
              <wp:posOffset>12700</wp:posOffset>
            </wp:positionV>
            <wp:extent cx="1377950" cy="670560"/>
            <wp:effectExtent l="0" t="0" r="0" b="0"/>
            <wp:wrapSquare wrapText="right"/>
            <wp:docPr id="5" name="Shape 5"/>
            <wp:cNvGraphicFramePr/>
            <a:graphic xmlns:a="http://schemas.openxmlformats.org/drawingml/2006/main">
              <a:graphicData uri="http://schemas.openxmlformats.org/drawingml/2006/picture">
                <pic:pic xmlns:pic="http://schemas.openxmlformats.org/drawingml/2006/picture">
                  <pic:nvPicPr>
                    <pic:cNvPr id="6" name="Picture box 6"/>
                    <pic:cNvPicPr/>
                  </pic:nvPicPr>
                  <pic:blipFill>
                    <a:blip r:embed="rId16"/>
                    <a:stretch/>
                  </pic:blipFill>
                  <pic:spPr>
                    <a:xfrm>
                      <a:off x="0" y="0"/>
                      <a:ext cx="1377950" cy="670560"/>
                    </a:xfrm>
                    <a:prstGeom prst="rect">
                      <a:avLst/>
                    </a:prstGeom>
                  </pic:spPr>
                </pic:pic>
              </a:graphicData>
            </a:graphic>
          </wp:anchor>
        </w:drawing>
      </w:r>
      <w:bookmarkStart w:id="0" w:name="bookmark0"/>
      <w:r w:rsidRPr="00167EE8">
        <w:t>AGÊNCIA DE EXECUÇÃO EUROPEIA DA EDUCAÇÃO E DA CULTURA</w:t>
      </w:r>
      <w:bookmarkEnd w:id="0"/>
    </w:p>
    <w:p w14:paraId="614FC4EB" w14:textId="77777777" w:rsidR="000435C2" w:rsidRPr="00167EE8" w:rsidRDefault="008B332B">
      <w:pPr>
        <w:keepNext/>
        <w:keepLines/>
        <w:spacing w:after="100"/>
      </w:pPr>
      <w:r w:rsidRPr="00167EE8">
        <w:t>(EACEA)</w:t>
      </w:r>
    </w:p>
    <w:p w14:paraId="4C4259AA" w14:textId="77777777" w:rsidR="000435C2" w:rsidRPr="00167EE8" w:rsidRDefault="008B332B">
      <w:pPr>
        <w:pStyle w:val="Bodytext30"/>
        <w:spacing w:after="0"/>
      </w:pPr>
      <w:r w:rsidRPr="00167EE8">
        <w:rPr>
          <w:rStyle w:val="Bodytext3"/>
        </w:rPr>
        <w:t xml:space="preserve">EACEA.A - Erasmus+ </w:t>
      </w:r>
      <w:proofErr w:type="gramStart"/>
      <w:r w:rsidRPr="00167EE8">
        <w:rPr>
          <w:rStyle w:val="Bodytext3"/>
        </w:rPr>
        <w:t>e Voluntários</w:t>
      </w:r>
      <w:proofErr w:type="gramEnd"/>
      <w:r w:rsidRPr="00167EE8">
        <w:rPr>
          <w:rStyle w:val="Bodytext3"/>
        </w:rPr>
        <w:t xml:space="preserve"> para a Ajuda da UE</w:t>
      </w:r>
    </w:p>
    <w:p w14:paraId="2876B6FC" w14:textId="77777777" w:rsidR="000435C2" w:rsidRPr="00167EE8" w:rsidRDefault="008B332B">
      <w:pPr>
        <w:pStyle w:val="Bodytext30"/>
        <w:spacing w:after="1980"/>
      </w:pPr>
      <w:r w:rsidRPr="00167EE8">
        <w:rPr>
          <w:rStyle w:val="Bodytext3"/>
          <w:b/>
        </w:rPr>
        <w:t>A.3 - Erasmus Mundus, Desporto</w:t>
      </w:r>
    </w:p>
    <w:p w14:paraId="6D56AE6C" w14:textId="77777777" w:rsidR="000435C2" w:rsidRPr="00167EE8" w:rsidRDefault="008B332B" w:rsidP="000F6913">
      <w:pPr>
        <w:keepNext/>
        <w:keepLines/>
        <w:spacing w:after="540"/>
        <w:ind w:right="-1662"/>
        <w:jc w:val="center"/>
        <w:rPr>
          <w:b/>
          <w:bCs/>
          <w:sz w:val="22"/>
          <w:szCs w:val="22"/>
        </w:rPr>
      </w:pPr>
      <w:bookmarkStart w:id="1" w:name="bookmark3"/>
      <w:r w:rsidRPr="00167EE8">
        <w:rPr>
          <w:b/>
          <w:sz w:val="22"/>
        </w:rPr>
        <w:t>CONVITE À APRESENTAÇÃO DE PROPOSTAS</w:t>
      </w:r>
      <w:bookmarkEnd w:id="1"/>
    </w:p>
    <w:p w14:paraId="316E4D03" w14:textId="77777777" w:rsidR="000435C2" w:rsidRPr="00167EE8" w:rsidRDefault="008B332B">
      <w:pPr>
        <w:pStyle w:val="Bodytext50"/>
        <w:spacing w:after="240" w:line="240" w:lineRule="auto"/>
        <w:jc w:val="left"/>
      </w:pPr>
      <w:r w:rsidRPr="00167EE8">
        <w:rPr>
          <w:rStyle w:val="Bodytext5"/>
          <w:b/>
          <w:color w:val="A50021"/>
        </w:rPr>
        <w:t>ÍNDICE</w:t>
      </w:r>
    </w:p>
    <w:p w14:paraId="2F53C886" w14:textId="52845DB4" w:rsidR="00167EE8" w:rsidRDefault="00BA0CA3">
      <w:pPr>
        <w:pStyle w:val="TOC1"/>
        <w:tabs>
          <w:tab w:val="right" w:leader="dot" w:pos="8534"/>
        </w:tabs>
        <w:rPr>
          <w:rFonts w:asciiTheme="minorHAnsi" w:eastAsiaTheme="minorEastAsia" w:hAnsiTheme="minorHAnsi" w:cstheme="minorBidi"/>
          <w:noProof/>
          <w:color w:val="auto"/>
          <w:sz w:val="22"/>
          <w:szCs w:val="22"/>
          <w:lang w:val="es-ES" w:eastAsia="es-ES" w:bidi="ar-SA"/>
        </w:rPr>
      </w:pPr>
      <w:r w:rsidRPr="00167EE8">
        <w:fldChar w:fldCharType="begin"/>
      </w:r>
      <w:r w:rsidRPr="00167EE8">
        <w:instrText xml:space="preserve"> TOC \o "1-3" \h \z \u </w:instrText>
      </w:r>
      <w:r w:rsidRPr="00167EE8">
        <w:fldChar w:fldCharType="separate"/>
      </w:r>
      <w:hyperlink w:anchor="_Toc185511130" w:history="1">
        <w:r w:rsidR="00167EE8" w:rsidRPr="00E51E12">
          <w:rPr>
            <w:rStyle w:val="Hyperlink"/>
            <w:noProof/>
          </w:rPr>
          <w:t>Introdução</w:t>
        </w:r>
        <w:r w:rsidR="00167EE8">
          <w:rPr>
            <w:noProof/>
            <w:webHidden/>
          </w:rPr>
          <w:tab/>
        </w:r>
        <w:r w:rsidR="00167EE8">
          <w:rPr>
            <w:noProof/>
            <w:webHidden/>
          </w:rPr>
          <w:fldChar w:fldCharType="begin"/>
        </w:r>
        <w:r w:rsidR="00167EE8">
          <w:rPr>
            <w:noProof/>
            <w:webHidden/>
          </w:rPr>
          <w:instrText xml:space="preserve"> PAGEREF _Toc185511130 \h </w:instrText>
        </w:r>
        <w:r w:rsidR="00167EE8">
          <w:rPr>
            <w:noProof/>
            <w:webHidden/>
          </w:rPr>
        </w:r>
        <w:r w:rsidR="00167EE8">
          <w:rPr>
            <w:noProof/>
            <w:webHidden/>
          </w:rPr>
          <w:fldChar w:fldCharType="separate"/>
        </w:r>
        <w:r w:rsidR="00167EE8">
          <w:rPr>
            <w:noProof/>
            <w:webHidden/>
          </w:rPr>
          <w:t>5</w:t>
        </w:r>
        <w:r w:rsidR="00167EE8">
          <w:rPr>
            <w:noProof/>
            <w:webHidden/>
          </w:rPr>
          <w:fldChar w:fldCharType="end"/>
        </w:r>
      </w:hyperlink>
    </w:p>
    <w:p w14:paraId="3C407613" w14:textId="4E61F654" w:rsidR="00167EE8" w:rsidRDefault="000F6913">
      <w:pPr>
        <w:pStyle w:val="TOC1"/>
        <w:tabs>
          <w:tab w:val="left" w:pos="480"/>
          <w:tab w:val="right" w:leader="dot" w:pos="8534"/>
        </w:tabs>
        <w:rPr>
          <w:rFonts w:asciiTheme="minorHAnsi" w:eastAsiaTheme="minorEastAsia" w:hAnsiTheme="minorHAnsi" w:cstheme="minorBidi"/>
          <w:noProof/>
          <w:color w:val="auto"/>
          <w:sz w:val="22"/>
          <w:szCs w:val="22"/>
          <w:lang w:val="es-ES" w:eastAsia="es-ES" w:bidi="ar-SA"/>
        </w:rPr>
      </w:pPr>
      <w:hyperlink w:anchor="_Toc185511131" w:history="1">
        <w:r w:rsidR="00167EE8" w:rsidRPr="00E51E12">
          <w:rPr>
            <w:rStyle w:val="Hyperlink"/>
            <w:noProof/>
          </w:rPr>
          <w:t>1.</w:t>
        </w:r>
        <w:r w:rsidR="00167EE8">
          <w:rPr>
            <w:rFonts w:asciiTheme="minorHAnsi" w:eastAsiaTheme="minorEastAsia" w:hAnsiTheme="minorHAnsi" w:cstheme="minorBidi"/>
            <w:noProof/>
            <w:color w:val="auto"/>
            <w:sz w:val="22"/>
            <w:szCs w:val="22"/>
            <w:lang w:val="es-ES" w:eastAsia="es-ES" w:bidi="ar-SA"/>
          </w:rPr>
          <w:tab/>
        </w:r>
        <w:r w:rsidR="00167EE8" w:rsidRPr="00E51E12">
          <w:rPr>
            <w:rStyle w:val="Hyperlink"/>
            <w:noProof/>
          </w:rPr>
          <w:t>Contexto</w:t>
        </w:r>
        <w:r w:rsidR="00167EE8">
          <w:rPr>
            <w:noProof/>
            <w:webHidden/>
          </w:rPr>
          <w:tab/>
        </w:r>
        <w:r w:rsidR="00167EE8">
          <w:rPr>
            <w:noProof/>
            <w:webHidden/>
          </w:rPr>
          <w:fldChar w:fldCharType="begin"/>
        </w:r>
        <w:r w:rsidR="00167EE8">
          <w:rPr>
            <w:noProof/>
            <w:webHidden/>
          </w:rPr>
          <w:instrText xml:space="preserve"> PAGEREF _Toc185511131 \h </w:instrText>
        </w:r>
        <w:r w:rsidR="00167EE8">
          <w:rPr>
            <w:noProof/>
            <w:webHidden/>
          </w:rPr>
        </w:r>
        <w:r w:rsidR="00167EE8">
          <w:rPr>
            <w:noProof/>
            <w:webHidden/>
          </w:rPr>
          <w:fldChar w:fldCharType="separate"/>
        </w:r>
        <w:r w:rsidR="00167EE8">
          <w:rPr>
            <w:noProof/>
            <w:webHidden/>
          </w:rPr>
          <w:t>6</w:t>
        </w:r>
        <w:r w:rsidR="00167EE8">
          <w:rPr>
            <w:noProof/>
            <w:webHidden/>
          </w:rPr>
          <w:fldChar w:fldCharType="end"/>
        </w:r>
      </w:hyperlink>
    </w:p>
    <w:p w14:paraId="0FFE95FD" w14:textId="49221F30" w:rsidR="00167EE8" w:rsidRDefault="000F6913">
      <w:pPr>
        <w:pStyle w:val="TOC1"/>
        <w:tabs>
          <w:tab w:val="left" w:pos="480"/>
          <w:tab w:val="right" w:leader="dot" w:pos="8534"/>
        </w:tabs>
        <w:rPr>
          <w:rFonts w:asciiTheme="minorHAnsi" w:eastAsiaTheme="minorEastAsia" w:hAnsiTheme="minorHAnsi" w:cstheme="minorBidi"/>
          <w:noProof/>
          <w:color w:val="auto"/>
          <w:sz w:val="22"/>
          <w:szCs w:val="22"/>
          <w:lang w:val="es-ES" w:eastAsia="es-ES" w:bidi="ar-SA"/>
        </w:rPr>
      </w:pPr>
      <w:hyperlink w:anchor="_Toc185511132" w:history="1">
        <w:r w:rsidR="00167EE8" w:rsidRPr="00E51E12">
          <w:rPr>
            <w:rStyle w:val="Hyperlink"/>
            <w:noProof/>
          </w:rPr>
          <w:t>2.</w:t>
        </w:r>
        <w:r w:rsidR="00167EE8">
          <w:rPr>
            <w:rFonts w:asciiTheme="minorHAnsi" w:eastAsiaTheme="minorEastAsia" w:hAnsiTheme="minorHAnsi" w:cstheme="minorBidi"/>
            <w:noProof/>
            <w:color w:val="auto"/>
            <w:sz w:val="22"/>
            <w:szCs w:val="22"/>
            <w:lang w:val="es-ES" w:eastAsia="es-ES" w:bidi="ar-SA"/>
          </w:rPr>
          <w:tab/>
        </w:r>
        <w:r w:rsidR="00167EE8" w:rsidRPr="00E51E12">
          <w:rPr>
            <w:rStyle w:val="Hyperlink"/>
            <w:noProof/>
          </w:rPr>
          <w:t>Objetivos — Temas e prioridades — Atividades que podem ser financiadas — Impacto esperado</w:t>
        </w:r>
        <w:r w:rsidR="00167EE8">
          <w:rPr>
            <w:noProof/>
            <w:webHidden/>
          </w:rPr>
          <w:tab/>
        </w:r>
        <w:r w:rsidR="00167EE8">
          <w:rPr>
            <w:noProof/>
            <w:webHidden/>
          </w:rPr>
          <w:fldChar w:fldCharType="begin"/>
        </w:r>
        <w:r w:rsidR="00167EE8">
          <w:rPr>
            <w:noProof/>
            <w:webHidden/>
          </w:rPr>
          <w:instrText xml:space="preserve"> PAGEREF _Toc185511132 \h </w:instrText>
        </w:r>
        <w:r w:rsidR="00167EE8">
          <w:rPr>
            <w:noProof/>
            <w:webHidden/>
          </w:rPr>
        </w:r>
        <w:r w:rsidR="00167EE8">
          <w:rPr>
            <w:noProof/>
            <w:webHidden/>
          </w:rPr>
          <w:fldChar w:fldCharType="separate"/>
        </w:r>
        <w:r w:rsidR="00167EE8">
          <w:rPr>
            <w:noProof/>
            <w:webHidden/>
          </w:rPr>
          <w:t>7</w:t>
        </w:r>
        <w:r w:rsidR="00167EE8">
          <w:rPr>
            <w:noProof/>
            <w:webHidden/>
          </w:rPr>
          <w:fldChar w:fldCharType="end"/>
        </w:r>
      </w:hyperlink>
    </w:p>
    <w:p w14:paraId="34CCD1A5" w14:textId="040ED504" w:rsidR="00167EE8" w:rsidRDefault="000F6913">
      <w:pPr>
        <w:pStyle w:val="TOC2"/>
        <w:tabs>
          <w:tab w:val="right" w:leader="dot" w:pos="8534"/>
        </w:tabs>
        <w:rPr>
          <w:rFonts w:asciiTheme="minorHAnsi" w:eastAsiaTheme="minorEastAsia" w:hAnsiTheme="minorHAnsi" w:cstheme="minorBidi"/>
          <w:noProof/>
          <w:color w:val="auto"/>
          <w:sz w:val="22"/>
          <w:szCs w:val="22"/>
          <w:lang w:val="es-ES" w:eastAsia="es-ES" w:bidi="ar-SA"/>
        </w:rPr>
      </w:pPr>
      <w:hyperlink w:anchor="_Toc185511133" w:history="1">
        <w:r w:rsidR="00167EE8" w:rsidRPr="00E51E12">
          <w:rPr>
            <w:rStyle w:val="Hyperlink"/>
            <w:noProof/>
          </w:rPr>
          <w:t>Objetivos</w:t>
        </w:r>
        <w:r w:rsidR="00167EE8">
          <w:rPr>
            <w:noProof/>
            <w:webHidden/>
          </w:rPr>
          <w:tab/>
        </w:r>
        <w:r w:rsidR="00167EE8">
          <w:rPr>
            <w:noProof/>
            <w:webHidden/>
          </w:rPr>
          <w:fldChar w:fldCharType="begin"/>
        </w:r>
        <w:r w:rsidR="00167EE8">
          <w:rPr>
            <w:noProof/>
            <w:webHidden/>
          </w:rPr>
          <w:instrText xml:space="preserve"> PAGEREF _Toc185511133 \h </w:instrText>
        </w:r>
        <w:r w:rsidR="00167EE8">
          <w:rPr>
            <w:noProof/>
            <w:webHidden/>
          </w:rPr>
        </w:r>
        <w:r w:rsidR="00167EE8">
          <w:rPr>
            <w:noProof/>
            <w:webHidden/>
          </w:rPr>
          <w:fldChar w:fldCharType="separate"/>
        </w:r>
        <w:r w:rsidR="00167EE8">
          <w:rPr>
            <w:noProof/>
            <w:webHidden/>
          </w:rPr>
          <w:t>7</w:t>
        </w:r>
        <w:r w:rsidR="00167EE8">
          <w:rPr>
            <w:noProof/>
            <w:webHidden/>
          </w:rPr>
          <w:fldChar w:fldCharType="end"/>
        </w:r>
      </w:hyperlink>
    </w:p>
    <w:p w14:paraId="30936C67" w14:textId="0CA34DD1" w:rsidR="00167EE8" w:rsidRDefault="000F6913">
      <w:pPr>
        <w:pStyle w:val="TOC2"/>
        <w:tabs>
          <w:tab w:val="right" w:leader="dot" w:pos="8534"/>
        </w:tabs>
        <w:rPr>
          <w:rFonts w:asciiTheme="minorHAnsi" w:eastAsiaTheme="minorEastAsia" w:hAnsiTheme="minorHAnsi" w:cstheme="minorBidi"/>
          <w:noProof/>
          <w:color w:val="auto"/>
          <w:sz w:val="22"/>
          <w:szCs w:val="22"/>
          <w:lang w:val="es-ES" w:eastAsia="es-ES" w:bidi="ar-SA"/>
        </w:rPr>
      </w:pPr>
      <w:hyperlink w:anchor="_Toc185511134" w:history="1">
        <w:r w:rsidR="00167EE8" w:rsidRPr="00E51E12">
          <w:rPr>
            <w:rStyle w:val="Hyperlink"/>
            <w:i/>
            <w:noProof/>
          </w:rPr>
          <w:t>Temas e prioridades (âmbito de aplicação)</w:t>
        </w:r>
        <w:r w:rsidR="00167EE8">
          <w:rPr>
            <w:noProof/>
            <w:webHidden/>
          </w:rPr>
          <w:tab/>
        </w:r>
        <w:r w:rsidR="00167EE8">
          <w:rPr>
            <w:noProof/>
            <w:webHidden/>
          </w:rPr>
          <w:fldChar w:fldCharType="begin"/>
        </w:r>
        <w:r w:rsidR="00167EE8">
          <w:rPr>
            <w:noProof/>
            <w:webHidden/>
          </w:rPr>
          <w:instrText xml:space="preserve"> PAGEREF _Toc185511134 \h </w:instrText>
        </w:r>
        <w:r w:rsidR="00167EE8">
          <w:rPr>
            <w:noProof/>
            <w:webHidden/>
          </w:rPr>
        </w:r>
        <w:r w:rsidR="00167EE8">
          <w:rPr>
            <w:noProof/>
            <w:webHidden/>
          </w:rPr>
          <w:fldChar w:fldCharType="separate"/>
        </w:r>
        <w:r w:rsidR="00167EE8">
          <w:rPr>
            <w:noProof/>
            <w:webHidden/>
          </w:rPr>
          <w:t>8</w:t>
        </w:r>
        <w:r w:rsidR="00167EE8">
          <w:rPr>
            <w:noProof/>
            <w:webHidden/>
          </w:rPr>
          <w:fldChar w:fldCharType="end"/>
        </w:r>
      </w:hyperlink>
    </w:p>
    <w:p w14:paraId="22B26D82" w14:textId="5BE7B5F5" w:rsidR="00167EE8" w:rsidRDefault="000F6913">
      <w:pPr>
        <w:pStyle w:val="TOC2"/>
        <w:tabs>
          <w:tab w:val="right" w:leader="dot" w:pos="8534"/>
        </w:tabs>
        <w:rPr>
          <w:rFonts w:asciiTheme="minorHAnsi" w:eastAsiaTheme="minorEastAsia" w:hAnsiTheme="minorHAnsi" w:cstheme="minorBidi"/>
          <w:noProof/>
          <w:color w:val="auto"/>
          <w:sz w:val="22"/>
          <w:szCs w:val="22"/>
          <w:lang w:val="es-ES" w:eastAsia="es-ES" w:bidi="ar-SA"/>
        </w:rPr>
      </w:pPr>
      <w:hyperlink w:anchor="_Toc185511135" w:history="1">
        <w:r w:rsidR="00167EE8" w:rsidRPr="00E51E12">
          <w:rPr>
            <w:rStyle w:val="Hyperlink"/>
            <w:i/>
            <w:noProof/>
          </w:rPr>
          <w:t>Atividades que podem ser financiadas (âmbito de aplicação)</w:t>
        </w:r>
        <w:r w:rsidR="00167EE8">
          <w:rPr>
            <w:noProof/>
            <w:webHidden/>
          </w:rPr>
          <w:tab/>
        </w:r>
        <w:r w:rsidR="00167EE8">
          <w:rPr>
            <w:noProof/>
            <w:webHidden/>
          </w:rPr>
          <w:fldChar w:fldCharType="begin"/>
        </w:r>
        <w:r w:rsidR="00167EE8">
          <w:rPr>
            <w:noProof/>
            <w:webHidden/>
          </w:rPr>
          <w:instrText xml:space="preserve"> PAGEREF _Toc185511135 \h </w:instrText>
        </w:r>
        <w:r w:rsidR="00167EE8">
          <w:rPr>
            <w:noProof/>
            <w:webHidden/>
          </w:rPr>
        </w:r>
        <w:r w:rsidR="00167EE8">
          <w:rPr>
            <w:noProof/>
            <w:webHidden/>
          </w:rPr>
          <w:fldChar w:fldCharType="separate"/>
        </w:r>
        <w:r w:rsidR="00167EE8">
          <w:rPr>
            <w:noProof/>
            <w:webHidden/>
          </w:rPr>
          <w:t>8</w:t>
        </w:r>
        <w:r w:rsidR="00167EE8">
          <w:rPr>
            <w:noProof/>
            <w:webHidden/>
          </w:rPr>
          <w:fldChar w:fldCharType="end"/>
        </w:r>
      </w:hyperlink>
    </w:p>
    <w:p w14:paraId="321FCFA5" w14:textId="2E9F316A" w:rsidR="00167EE8" w:rsidRDefault="000F6913">
      <w:pPr>
        <w:pStyle w:val="TOC2"/>
        <w:tabs>
          <w:tab w:val="right" w:leader="dot" w:pos="8534"/>
        </w:tabs>
        <w:rPr>
          <w:rFonts w:asciiTheme="minorHAnsi" w:eastAsiaTheme="minorEastAsia" w:hAnsiTheme="minorHAnsi" w:cstheme="minorBidi"/>
          <w:noProof/>
          <w:color w:val="auto"/>
          <w:sz w:val="22"/>
          <w:szCs w:val="22"/>
          <w:lang w:val="es-ES" w:eastAsia="es-ES" w:bidi="ar-SA"/>
        </w:rPr>
      </w:pPr>
      <w:hyperlink w:anchor="_Toc185511136" w:history="1">
        <w:r w:rsidR="00167EE8" w:rsidRPr="00E51E12">
          <w:rPr>
            <w:rStyle w:val="Hyperlink"/>
            <w:i/>
            <w:noProof/>
          </w:rPr>
          <w:t>Impacto esperado</w:t>
        </w:r>
        <w:r w:rsidR="00167EE8">
          <w:rPr>
            <w:noProof/>
            <w:webHidden/>
          </w:rPr>
          <w:tab/>
        </w:r>
        <w:r w:rsidR="00167EE8">
          <w:rPr>
            <w:noProof/>
            <w:webHidden/>
          </w:rPr>
          <w:fldChar w:fldCharType="begin"/>
        </w:r>
        <w:r w:rsidR="00167EE8">
          <w:rPr>
            <w:noProof/>
            <w:webHidden/>
          </w:rPr>
          <w:instrText xml:space="preserve"> PAGEREF _Toc185511136 \h </w:instrText>
        </w:r>
        <w:r w:rsidR="00167EE8">
          <w:rPr>
            <w:noProof/>
            <w:webHidden/>
          </w:rPr>
        </w:r>
        <w:r w:rsidR="00167EE8">
          <w:rPr>
            <w:noProof/>
            <w:webHidden/>
          </w:rPr>
          <w:fldChar w:fldCharType="separate"/>
        </w:r>
        <w:r w:rsidR="00167EE8">
          <w:rPr>
            <w:noProof/>
            <w:webHidden/>
          </w:rPr>
          <w:t>14</w:t>
        </w:r>
        <w:r w:rsidR="00167EE8">
          <w:rPr>
            <w:noProof/>
            <w:webHidden/>
          </w:rPr>
          <w:fldChar w:fldCharType="end"/>
        </w:r>
      </w:hyperlink>
    </w:p>
    <w:p w14:paraId="096DC85C" w14:textId="46DCB486" w:rsidR="00167EE8" w:rsidRDefault="000F6913">
      <w:pPr>
        <w:pStyle w:val="TOC1"/>
        <w:tabs>
          <w:tab w:val="left" w:pos="480"/>
          <w:tab w:val="right" w:leader="dot" w:pos="8534"/>
        </w:tabs>
        <w:rPr>
          <w:rFonts w:asciiTheme="minorHAnsi" w:eastAsiaTheme="minorEastAsia" w:hAnsiTheme="minorHAnsi" w:cstheme="minorBidi"/>
          <w:noProof/>
          <w:color w:val="auto"/>
          <w:sz w:val="22"/>
          <w:szCs w:val="22"/>
          <w:lang w:val="es-ES" w:eastAsia="es-ES" w:bidi="ar-SA"/>
        </w:rPr>
      </w:pPr>
      <w:hyperlink w:anchor="_Toc185511137" w:history="1">
        <w:r w:rsidR="00167EE8" w:rsidRPr="00E51E12">
          <w:rPr>
            <w:rStyle w:val="Hyperlink"/>
            <w:noProof/>
          </w:rPr>
          <w:t>3.</w:t>
        </w:r>
        <w:r w:rsidR="00167EE8">
          <w:rPr>
            <w:rFonts w:asciiTheme="minorHAnsi" w:eastAsiaTheme="minorEastAsia" w:hAnsiTheme="minorHAnsi" w:cstheme="minorBidi"/>
            <w:noProof/>
            <w:color w:val="auto"/>
            <w:sz w:val="22"/>
            <w:szCs w:val="22"/>
            <w:lang w:val="es-ES" w:eastAsia="es-ES" w:bidi="ar-SA"/>
          </w:rPr>
          <w:tab/>
        </w:r>
        <w:r w:rsidR="00167EE8" w:rsidRPr="00E51E12">
          <w:rPr>
            <w:rStyle w:val="Hyperlink"/>
            <w:noProof/>
          </w:rPr>
          <w:t>Orçamento disponível</w:t>
        </w:r>
        <w:r w:rsidR="00167EE8">
          <w:rPr>
            <w:noProof/>
            <w:webHidden/>
          </w:rPr>
          <w:tab/>
        </w:r>
        <w:r w:rsidR="00167EE8">
          <w:rPr>
            <w:noProof/>
            <w:webHidden/>
          </w:rPr>
          <w:fldChar w:fldCharType="begin"/>
        </w:r>
        <w:r w:rsidR="00167EE8">
          <w:rPr>
            <w:noProof/>
            <w:webHidden/>
          </w:rPr>
          <w:instrText xml:space="preserve"> PAGEREF _Toc185511137 \h </w:instrText>
        </w:r>
        <w:r w:rsidR="00167EE8">
          <w:rPr>
            <w:noProof/>
            <w:webHidden/>
          </w:rPr>
        </w:r>
        <w:r w:rsidR="00167EE8">
          <w:rPr>
            <w:noProof/>
            <w:webHidden/>
          </w:rPr>
          <w:fldChar w:fldCharType="separate"/>
        </w:r>
        <w:r w:rsidR="00167EE8">
          <w:rPr>
            <w:noProof/>
            <w:webHidden/>
          </w:rPr>
          <w:t>15</w:t>
        </w:r>
        <w:r w:rsidR="00167EE8">
          <w:rPr>
            <w:noProof/>
            <w:webHidden/>
          </w:rPr>
          <w:fldChar w:fldCharType="end"/>
        </w:r>
      </w:hyperlink>
    </w:p>
    <w:p w14:paraId="53AC159D" w14:textId="3DD30EE3" w:rsidR="00167EE8" w:rsidRDefault="000F6913">
      <w:pPr>
        <w:pStyle w:val="TOC1"/>
        <w:tabs>
          <w:tab w:val="left" w:pos="480"/>
          <w:tab w:val="right" w:leader="dot" w:pos="8534"/>
        </w:tabs>
        <w:rPr>
          <w:rFonts w:asciiTheme="minorHAnsi" w:eastAsiaTheme="minorEastAsia" w:hAnsiTheme="minorHAnsi" w:cstheme="minorBidi"/>
          <w:noProof/>
          <w:color w:val="auto"/>
          <w:sz w:val="22"/>
          <w:szCs w:val="22"/>
          <w:lang w:val="es-ES" w:eastAsia="es-ES" w:bidi="ar-SA"/>
        </w:rPr>
      </w:pPr>
      <w:hyperlink w:anchor="_Toc185511138" w:history="1">
        <w:r w:rsidR="00167EE8" w:rsidRPr="00E51E12">
          <w:rPr>
            <w:rStyle w:val="Hyperlink"/>
            <w:noProof/>
          </w:rPr>
          <w:t>4.</w:t>
        </w:r>
        <w:r w:rsidR="00167EE8">
          <w:rPr>
            <w:rFonts w:asciiTheme="minorHAnsi" w:eastAsiaTheme="minorEastAsia" w:hAnsiTheme="minorHAnsi" w:cstheme="minorBidi"/>
            <w:noProof/>
            <w:color w:val="auto"/>
            <w:sz w:val="22"/>
            <w:szCs w:val="22"/>
            <w:lang w:val="es-ES" w:eastAsia="es-ES" w:bidi="ar-SA"/>
          </w:rPr>
          <w:tab/>
        </w:r>
        <w:r w:rsidR="00167EE8" w:rsidRPr="00E51E12">
          <w:rPr>
            <w:rStyle w:val="Hyperlink"/>
            <w:noProof/>
          </w:rPr>
          <w:t>Calendário e prazos</w:t>
        </w:r>
        <w:r w:rsidR="00167EE8">
          <w:rPr>
            <w:noProof/>
            <w:webHidden/>
          </w:rPr>
          <w:tab/>
        </w:r>
        <w:r w:rsidR="00167EE8">
          <w:rPr>
            <w:noProof/>
            <w:webHidden/>
          </w:rPr>
          <w:fldChar w:fldCharType="begin"/>
        </w:r>
        <w:r w:rsidR="00167EE8">
          <w:rPr>
            <w:noProof/>
            <w:webHidden/>
          </w:rPr>
          <w:instrText xml:space="preserve"> PAGEREF _Toc185511138 \h </w:instrText>
        </w:r>
        <w:r w:rsidR="00167EE8">
          <w:rPr>
            <w:noProof/>
            <w:webHidden/>
          </w:rPr>
        </w:r>
        <w:r w:rsidR="00167EE8">
          <w:rPr>
            <w:noProof/>
            <w:webHidden/>
          </w:rPr>
          <w:fldChar w:fldCharType="separate"/>
        </w:r>
        <w:r w:rsidR="00167EE8">
          <w:rPr>
            <w:noProof/>
            <w:webHidden/>
          </w:rPr>
          <w:t>15</w:t>
        </w:r>
        <w:r w:rsidR="00167EE8">
          <w:rPr>
            <w:noProof/>
            <w:webHidden/>
          </w:rPr>
          <w:fldChar w:fldCharType="end"/>
        </w:r>
      </w:hyperlink>
    </w:p>
    <w:p w14:paraId="0BC5F79D" w14:textId="02A0142E" w:rsidR="00167EE8" w:rsidRDefault="000F6913">
      <w:pPr>
        <w:pStyle w:val="TOC1"/>
        <w:tabs>
          <w:tab w:val="left" w:pos="480"/>
          <w:tab w:val="right" w:leader="dot" w:pos="8534"/>
        </w:tabs>
        <w:rPr>
          <w:rFonts w:asciiTheme="minorHAnsi" w:eastAsiaTheme="minorEastAsia" w:hAnsiTheme="minorHAnsi" w:cstheme="minorBidi"/>
          <w:noProof/>
          <w:color w:val="auto"/>
          <w:sz w:val="22"/>
          <w:szCs w:val="22"/>
          <w:lang w:val="es-ES" w:eastAsia="es-ES" w:bidi="ar-SA"/>
        </w:rPr>
      </w:pPr>
      <w:hyperlink w:anchor="_Toc185511139" w:history="1">
        <w:r w:rsidR="00167EE8" w:rsidRPr="00E51E12">
          <w:rPr>
            <w:rStyle w:val="Hyperlink"/>
            <w:noProof/>
          </w:rPr>
          <w:t>5.</w:t>
        </w:r>
        <w:r w:rsidR="00167EE8">
          <w:rPr>
            <w:rFonts w:asciiTheme="minorHAnsi" w:eastAsiaTheme="minorEastAsia" w:hAnsiTheme="minorHAnsi" w:cstheme="minorBidi"/>
            <w:noProof/>
            <w:color w:val="auto"/>
            <w:sz w:val="22"/>
            <w:szCs w:val="22"/>
            <w:lang w:val="es-ES" w:eastAsia="es-ES" w:bidi="ar-SA"/>
          </w:rPr>
          <w:tab/>
        </w:r>
        <w:r w:rsidR="00167EE8" w:rsidRPr="00E51E12">
          <w:rPr>
            <w:rStyle w:val="Hyperlink"/>
            <w:noProof/>
          </w:rPr>
          <w:t>Admissibilidade e documentos</w:t>
        </w:r>
        <w:r w:rsidR="00167EE8">
          <w:rPr>
            <w:noProof/>
            <w:webHidden/>
          </w:rPr>
          <w:tab/>
        </w:r>
        <w:r w:rsidR="00167EE8">
          <w:rPr>
            <w:noProof/>
            <w:webHidden/>
          </w:rPr>
          <w:fldChar w:fldCharType="begin"/>
        </w:r>
        <w:r w:rsidR="00167EE8">
          <w:rPr>
            <w:noProof/>
            <w:webHidden/>
          </w:rPr>
          <w:instrText xml:space="preserve"> PAGEREF _Toc185511139 \h </w:instrText>
        </w:r>
        <w:r w:rsidR="00167EE8">
          <w:rPr>
            <w:noProof/>
            <w:webHidden/>
          </w:rPr>
        </w:r>
        <w:r w:rsidR="00167EE8">
          <w:rPr>
            <w:noProof/>
            <w:webHidden/>
          </w:rPr>
          <w:fldChar w:fldCharType="separate"/>
        </w:r>
        <w:r w:rsidR="00167EE8">
          <w:rPr>
            <w:noProof/>
            <w:webHidden/>
          </w:rPr>
          <w:t>16</w:t>
        </w:r>
        <w:r w:rsidR="00167EE8">
          <w:rPr>
            <w:noProof/>
            <w:webHidden/>
          </w:rPr>
          <w:fldChar w:fldCharType="end"/>
        </w:r>
      </w:hyperlink>
    </w:p>
    <w:p w14:paraId="44B8F1C4" w14:textId="004E6462" w:rsidR="00167EE8" w:rsidRDefault="000F6913">
      <w:pPr>
        <w:pStyle w:val="TOC1"/>
        <w:tabs>
          <w:tab w:val="left" w:pos="480"/>
          <w:tab w:val="right" w:leader="dot" w:pos="8534"/>
        </w:tabs>
        <w:rPr>
          <w:rFonts w:asciiTheme="minorHAnsi" w:eastAsiaTheme="minorEastAsia" w:hAnsiTheme="minorHAnsi" w:cstheme="minorBidi"/>
          <w:noProof/>
          <w:color w:val="auto"/>
          <w:sz w:val="22"/>
          <w:szCs w:val="22"/>
          <w:lang w:val="es-ES" w:eastAsia="es-ES" w:bidi="ar-SA"/>
        </w:rPr>
      </w:pPr>
      <w:hyperlink w:anchor="_Toc185511140" w:history="1">
        <w:r w:rsidR="00167EE8" w:rsidRPr="00E51E12">
          <w:rPr>
            <w:rStyle w:val="Hyperlink"/>
            <w:noProof/>
          </w:rPr>
          <w:t>6.</w:t>
        </w:r>
        <w:r w:rsidR="00167EE8">
          <w:rPr>
            <w:rFonts w:asciiTheme="minorHAnsi" w:eastAsiaTheme="minorEastAsia" w:hAnsiTheme="minorHAnsi" w:cstheme="minorBidi"/>
            <w:noProof/>
            <w:color w:val="auto"/>
            <w:sz w:val="22"/>
            <w:szCs w:val="22"/>
            <w:lang w:val="es-ES" w:eastAsia="es-ES" w:bidi="ar-SA"/>
          </w:rPr>
          <w:tab/>
        </w:r>
        <w:r w:rsidR="00167EE8" w:rsidRPr="00E51E12">
          <w:rPr>
            <w:rStyle w:val="Hyperlink"/>
            <w:noProof/>
          </w:rPr>
          <w:t>Elegibilidade</w:t>
        </w:r>
        <w:r w:rsidR="00167EE8">
          <w:rPr>
            <w:noProof/>
            <w:webHidden/>
          </w:rPr>
          <w:tab/>
        </w:r>
        <w:r w:rsidR="00167EE8">
          <w:rPr>
            <w:noProof/>
            <w:webHidden/>
          </w:rPr>
          <w:fldChar w:fldCharType="begin"/>
        </w:r>
        <w:r w:rsidR="00167EE8">
          <w:rPr>
            <w:noProof/>
            <w:webHidden/>
          </w:rPr>
          <w:instrText xml:space="preserve"> PAGEREF _Toc185511140 \h </w:instrText>
        </w:r>
        <w:r w:rsidR="00167EE8">
          <w:rPr>
            <w:noProof/>
            <w:webHidden/>
          </w:rPr>
        </w:r>
        <w:r w:rsidR="00167EE8">
          <w:rPr>
            <w:noProof/>
            <w:webHidden/>
          </w:rPr>
          <w:fldChar w:fldCharType="separate"/>
        </w:r>
        <w:r w:rsidR="00167EE8">
          <w:rPr>
            <w:noProof/>
            <w:webHidden/>
          </w:rPr>
          <w:t>17</w:t>
        </w:r>
        <w:r w:rsidR="00167EE8">
          <w:rPr>
            <w:noProof/>
            <w:webHidden/>
          </w:rPr>
          <w:fldChar w:fldCharType="end"/>
        </w:r>
      </w:hyperlink>
    </w:p>
    <w:p w14:paraId="061FBABB" w14:textId="31E1CB1F" w:rsidR="00167EE8" w:rsidRDefault="000F6913">
      <w:pPr>
        <w:pStyle w:val="TOC2"/>
        <w:tabs>
          <w:tab w:val="right" w:leader="dot" w:pos="8534"/>
        </w:tabs>
        <w:rPr>
          <w:rFonts w:asciiTheme="minorHAnsi" w:eastAsiaTheme="minorEastAsia" w:hAnsiTheme="minorHAnsi" w:cstheme="minorBidi"/>
          <w:noProof/>
          <w:color w:val="auto"/>
          <w:sz w:val="22"/>
          <w:szCs w:val="22"/>
          <w:lang w:val="es-ES" w:eastAsia="es-ES" w:bidi="ar-SA"/>
        </w:rPr>
      </w:pPr>
      <w:hyperlink w:anchor="_Toc185511141" w:history="1">
        <w:r w:rsidR="00167EE8" w:rsidRPr="00E51E12">
          <w:rPr>
            <w:rStyle w:val="Hyperlink"/>
            <w:i/>
            <w:noProof/>
          </w:rPr>
          <w:t>Participantes elegíveis (países elegíveis)</w:t>
        </w:r>
        <w:r w:rsidR="00167EE8">
          <w:rPr>
            <w:noProof/>
            <w:webHidden/>
          </w:rPr>
          <w:tab/>
        </w:r>
        <w:r w:rsidR="00167EE8">
          <w:rPr>
            <w:noProof/>
            <w:webHidden/>
          </w:rPr>
          <w:fldChar w:fldCharType="begin"/>
        </w:r>
        <w:r w:rsidR="00167EE8">
          <w:rPr>
            <w:noProof/>
            <w:webHidden/>
          </w:rPr>
          <w:instrText xml:space="preserve"> PAGEREF _Toc185511141 \h </w:instrText>
        </w:r>
        <w:r w:rsidR="00167EE8">
          <w:rPr>
            <w:noProof/>
            <w:webHidden/>
          </w:rPr>
        </w:r>
        <w:r w:rsidR="00167EE8">
          <w:rPr>
            <w:noProof/>
            <w:webHidden/>
          </w:rPr>
          <w:fldChar w:fldCharType="separate"/>
        </w:r>
        <w:r w:rsidR="00167EE8">
          <w:rPr>
            <w:noProof/>
            <w:webHidden/>
          </w:rPr>
          <w:t>17</w:t>
        </w:r>
        <w:r w:rsidR="00167EE8">
          <w:rPr>
            <w:noProof/>
            <w:webHidden/>
          </w:rPr>
          <w:fldChar w:fldCharType="end"/>
        </w:r>
      </w:hyperlink>
    </w:p>
    <w:p w14:paraId="0A4B5933" w14:textId="7FF55609" w:rsidR="00167EE8" w:rsidRDefault="000F6913">
      <w:pPr>
        <w:pStyle w:val="TOC2"/>
        <w:tabs>
          <w:tab w:val="right" w:leader="dot" w:pos="8534"/>
        </w:tabs>
        <w:rPr>
          <w:rFonts w:asciiTheme="minorHAnsi" w:eastAsiaTheme="minorEastAsia" w:hAnsiTheme="minorHAnsi" w:cstheme="minorBidi"/>
          <w:noProof/>
          <w:color w:val="auto"/>
          <w:sz w:val="22"/>
          <w:szCs w:val="22"/>
          <w:lang w:val="es-ES" w:eastAsia="es-ES" w:bidi="ar-SA"/>
        </w:rPr>
      </w:pPr>
      <w:hyperlink w:anchor="_Toc185511142" w:history="1">
        <w:r w:rsidR="00167EE8" w:rsidRPr="00E51E12">
          <w:rPr>
            <w:rStyle w:val="Hyperlink"/>
            <w:i/>
            <w:noProof/>
          </w:rPr>
          <w:t>Composição do consórcio</w:t>
        </w:r>
        <w:r w:rsidR="00167EE8">
          <w:rPr>
            <w:noProof/>
            <w:webHidden/>
          </w:rPr>
          <w:tab/>
        </w:r>
        <w:r w:rsidR="00167EE8">
          <w:rPr>
            <w:noProof/>
            <w:webHidden/>
          </w:rPr>
          <w:fldChar w:fldCharType="begin"/>
        </w:r>
        <w:r w:rsidR="00167EE8">
          <w:rPr>
            <w:noProof/>
            <w:webHidden/>
          </w:rPr>
          <w:instrText xml:space="preserve"> PAGEREF _Toc185511142 \h </w:instrText>
        </w:r>
        <w:r w:rsidR="00167EE8">
          <w:rPr>
            <w:noProof/>
            <w:webHidden/>
          </w:rPr>
        </w:r>
        <w:r w:rsidR="00167EE8">
          <w:rPr>
            <w:noProof/>
            <w:webHidden/>
          </w:rPr>
          <w:fldChar w:fldCharType="separate"/>
        </w:r>
        <w:r w:rsidR="00167EE8">
          <w:rPr>
            <w:noProof/>
            <w:webHidden/>
          </w:rPr>
          <w:t>18</w:t>
        </w:r>
        <w:r w:rsidR="00167EE8">
          <w:rPr>
            <w:noProof/>
            <w:webHidden/>
          </w:rPr>
          <w:fldChar w:fldCharType="end"/>
        </w:r>
      </w:hyperlink>
    </w:p>
    <w:p w14:paraId="07A9B506" w14:textId="6D328FE5" w:rsidR="00167EE8" w:rsidRDefault="000F6913">
      <w:pPr>
        <w:pStyle w:val="TOC2"/>
        <w:tabs>
          <w:tab w:val="right" w:leader="dot" w:pos="8534"/>
        </w:tabs>
        <w:rPr>
          <w:rFonts w:asciiTheme="minorHAnsi" w:eastAsiaTheme="minorEastAsia" w:hAnsiTheme="minorHAnsi" w:cstheme="minorBidi"/>
          <w:noProof/>
          <w:color w:val="auto"/>
          <w:sz w:val="22"/>
          <w:szCs w:val="22"/>
          <w:lang w:val="es-ES" w:eastAsia="es-ES" w:bidi="ar-SA"/>
        </w:rPr>
      </w:pPr>
      <w:hyperlink w:anchor="_Toc185511143" w:history="1">
        <w:r w:rsidR="00167EE8" w:rsidRPr="00E51E12">
          <w:rPr>
            <w:rStyle w:val="Hyperlink"/>
            <w:i/>
            <w:noProof/>
          </w:rPr>
          <w:t>Atividades elegíveis</w:t>
        </w:r>
        <w:r w:rsidR="00167EE8">
          <w:rPr>
            <w:noProof/>
            <w:webHidden/>
          </w:rPr>
          <w:tab/>
        </w:r>
        <w:r w:rsidR="00167EE8">
          <w:rPr>
            <w:noProof/>
            <w:webHidden/>
          </w:rPr>
          <w:fldChar w:fldCharType="begin"/>
        </w:r>
        <w:r w:rsidR="00167EE8">
          <w:rPr>
            <w:noProof/>
            <w:webHidden/>
          </w:rPr>
          <w:instrText xml:space="preserve"> PAGEREF _Toc185511143 \h </w:instrText>
        </w:r>
        <w:r w:rsidR="00167EE8">
          <w:rPr>
            <w:noProof/>
            <w:webHidden/>
          </w:rPr>
        </w:r>
        <w:r w:rsidR="00167EE8">
          <w:rPr>
            <w:noProof/>
            <w:webHidden/>
          </w:rPr>
          <w:fldChar w:fldCharType="separate"/>
        </w:r>
        <w:r w:rsidR="00167EE8">
          <w:rPr>
            <w:noProof/>
            <w:webHidden/>
          </w:rPr>
          <w:t>18</w:t>
        </w:r>
        <w:r w:rsidR="00167EE8">
          <w:rPr>
            <w:noProof/>
            <w:webHidden/>
          </w:rPr>
          <w:fldChar w:fldCharType="end"/>
        </w:r>
      </w:hyperlink>
    </w:p>
    <w:p w14:paraId="14926333" w14:textId="27CBB01E" w:rsidR="00167EE8" w:rsidRDefault="000F6913">
      <w:pPr>
        <w:pStyle w:val="TOC2"/>
        <w:tabs>
          <w:tab w:val="right" w:leader="dot" w:pos="8534"/>
        </w:tabs>
        <w:rPr>
          <w:rFonts w:asciiTheme="minorHAnsi" w:eastAsiaTheme="minorEastAsia" w:hAnsiTheme="minorHAnsi" w:cstheme="minorBidi"/>
          <w:noProof/>
          <w:color w:val="auto"/>
          <w:sz w:val="22"/>
          <w:szCs w:val="22"/>
          <w:lang w:val="es-ES" w:eastAsia="es-ES" w:bidi="ar-SA"/>
        </w:rPr>
      </w:pPr>
      <w:hyperlink w:anchor="_Toc185511144" w:history="1">
        <w:r w:rsidR="00167EE8" w:rsidRPr="00E51E12">
          <w:rPr>
            <w:rStyle w:val="Hyperlink"/>
            <w:i/>
            <w:noProof/>
          </w:rPr>
          <w:t>Localização geográfica (países-alvo)</w:t>
        </w:r>
        <w:r w:rsidR="00167EE8">
          <w:rPr>
            <w:noProof/>
            <w:webHidden/>
          </w:rPr>
          <w:tab/>
        </w:r>
        <w:r w:rsidR="00167EE8">
          <w:rPr>
            <w:noProof/>
            <w:webHidden/>
          </w:rPr>
          <w:fldChar w:fldCharType="begin"/>
        </w:r>
        <w:r w:rsidR="00167EE8">
          <w:rPr>
            <w:noProof/>
            <w:webHidden/>
          </w:rPr>
          <w:instrText xml:space="preserve"> PAGEREF _Toc185511144 \h </w:instrText>
        </w:r>
        <w:r w:rsidR="00167EE8">
          <w:rPr>
            <w:noProof/>
            <w:webHidden/>
          </w:rPr>
        </w:r>
        <w:r w:rsidR="00167EE8">
          <w:rPr>
            <w:noProof/>
            <w:webHidden/>
          </w:rPr>
          <w:fldChar w:fldCharType="separate"/>
        </w:r>
        <w:r w:rsidR="00167EE8">
          <w:rPr>
            <w:noProof/>
            <w:webHidden/>
          </w:rPr>
          <w:t>19</w:t>
        </w:r>
        <w:r w:rsidR="00167EE8">
          <w:rPr>
            <w:noProof/>
            <w:webHidden/>
          </w:rPr>
          <w:fldChar w:fldCharType="end"/>
        </w:r>
      </w:hyperlink>
    </w:p>
    <w:p w14:paraId="4EF461F6" w14:textId="3A1FE0EB" w:rsidR="00167EE8" w:rsidRDefault="000F6913">
      <w:pPr>
        <w:pStyle w:val="TOC2"/>
        <w:tabs>
          <w:tab w:val="right" w:leader="dot" w:pos="8534"/>
        </w:tabs>
        <w:rPr>
          <w:rFonts w:asciiTheme="minorHAnsi" w:eastAsiaTheme="minorEastAsia" w:hAnsiTheme="minorHAnsi" w:cstheme="minorBidi"/>
          <w:noProof/>
          <w:color w:val="auto"/>
          <w:sz w:val="22"/>
          <w:szCs w:val="22"/>
          <w:lang w:val="es-ES" w:eastAsia="es-ES" w:bidi="ar-SA"/>
        </w:rPr>
      </w:pPr>
      <w:hyperlink w:anchor="_Toc185511145" w:history="1">
        <w:r w:rsidR="00167EE8" w:rsidRPr="00E51E12">
          <w:rPr>
            <w:rStyle w:val="Hyperlink"/>
            <w:i/>
            <w:noProof/>
          </w:rPr>
          <w:t>Duração</w:t>
        </w:r>
        <w:r w:rsidR="00167EE8">
          <w:rPr>
            <w:noProof/>
            <w:webHidden/>
          </w:rPr>
          <w:tab/>
        </w:r>
        <w:r w:rsidR="00167EE8">
          <w:rPr>
            <w:noProof/>
            <w:webHidden/>
          </w:rPr>
          <w:fldChar w:fldCharType="begin"/>
        </w:r>
        <w:r w:rsidR="00167EE8">
          <w:rPr>
            <w:noProof/>
            <w:webHidden/>
          </w:rPr>
          <w:instrText xml:space="preserve"> PAGEREF _Toc185511145 \h </w:instrText>
        </w:r>
        <w:r w:rsidR="00167EE8">
          <w:rPr>
            <w:noProof/>
            <w:webHidden/>
          </w:rPr>
        </w:r>
        <w:r w:rsidR="00167EE8">
          <w:rPr>
            <w:noProof/>
            <w:webHidden/>
          </w:rPr>
          <w:fldChar w:fldCharType="separate"/>
        </w:r>
        <w:r w:rsidR="00167EE8">
          <w:rPr>
            <w:noProof/>
            <w:webHidden/>
          </w:rPr>
          <w:t>19</w:t>
        </w:r>
        <w:r w:rsidR="00167EE8">
          <w:rPr>
            <w:noProof/>
            <w:webHidden/>
          </w:rPr>
          <w:fldChar w:fldCharType="end"/>
        </w:r>
      </w:hyperlink>
    </w:p>
    <w:p w14:paraId="105EEA52" w14:textId="08844119" w:rsidR="00167EE8" w:rsidRDefault="000F6913">
      <w:pPr>
        <w:pStyle w:val="TOC2"/>
        <w:tabs>
          <w:tab w:val="right" w:leader="dot" w:pos="8534"/>
        </w:tabs>
        <w:rPr>
          <w:rFonts w:asciiTheme="minorHAnsi" w:eastAsiaTheme="minorEastAsia" w:hAnsiTheme="minorHAnsi" w:cstheme="minorBidi"/>
          <w:noProof/>
          <w:color w:val="auto"/>
          <w:sz w:val="22"/>
          <w:szCs w:val="22"/>
          <w:lang w:val="es-ES" w:eastAsia="es-ES" w:bidi="ar-SA"/>
        </w:rPr>
      </w:pPr>
      <w:hyperlink w:anchor="_Toc185511146" w:history="1">
        <w:r w:rsidR="00167EE8" w:rsidRPr="00E51E12">
          <w:rPr>
            <w:rStyle w:val="Hyperlink"/>
            <w:i/>
            <w:noProof/>
          </w:rPr>
          <w:t>Ética e valores</w:t>
        </w:r>
        <w:r w:rsidR="00167EE8">
          <w:rPr>
            <w:noProof/>
            <w:webHidden/>
          </w:rPr>
          <w:tab/>
        </w:r>
        <w:r w:rsidR="00167EE8">
          <w:rPr>
            <w:noProof/>
            <w:webHidden/>
          </w:rPr>
          <w:fldChar w:fldCharType="begin"/>
        </w:r>
        <w:r w:rsidR="00167EE8">
          <w:rPr>
            <w:noProof/>
            <w:webHidden/>
          </w:rPr>
          <w:instrText xml:space="preserve"> PAGEREF _Toc185511146 \h </w:instrText>
        </w:r>
        <w:r w:rsidR="00167EE8">
          <w:rPr>
            <w:noProof/>
            <w:webHidden/>
          </w:rPr>
        </w:r>
        <w:r w:rsidR="00167EE8">
          <w:rPr>
            <w:noProof/>
            <w:webHidden/>
          </w:rPr>
          <w:fldChar w:fldCharType="separate"/>
        </w:r>
        <w:r w:rsidR="00167EE8">
          <w:rPr>
            <w:noProof/>
            <w:webHidden/>
          </w:rPr>
          <w:t>19</w:t>
        </w:r>
        <w:r w:rsidR="00167EE8">
          <w:rPr>
            <w:noProof/>
            <w:webHidden/>
          </w:rPr>
          <w:fldChar w:fldCharType="end"/>
        </w:r>
      </w:hyperlink>
    </w:p>
    <w:p w14:paraId="244FF800" w14:textId="05E4BC0F" w:rsidR="00167EE8" w:rsidRDefault="000F6913">
      <w:pPr>
        <w:pStyle w:val="TOC1"/>
        <w:tabs>
          <w:tab w:val="left" w:pos="480"/>
          <w:tab w:val="right" w:leader="dot" w:pos="8534"/>
        </w:tabs>
        <w:rPr>
          <w:rFonts w:asciiTheme="minorHAnsi" w:eastAsiaTheme="minorEastAsia" w:hAnsiTheme="minorHAnsi" w:cstheme="minorBidi"/>
          <w:noProof/>
          <w:color w:val="auto"/>
          <w:sz w:val="22"/>
          <w:szCs w:val="22"/>
          <w:lang w:val="es-ES" w:eastAsia="es-ES" w:bidi="ar-SA"/>
        </w:rPr>
      </w:pPr>
      <w:hyperlink w:anchor="_Toc185511147" w:history="1">
        <w:r w:rsidR="00167EE8" w:rsidRPr="00E51E12">
          <w:rPr>
            <w:rStyle w:val="Hyperlink"/>
            <w:noProof/>
          </w:rPr>
          <w:t>7.</w:t>
        </w:r>
        <w:r w:rsidR="00167EE8">
          <w:rPr>
            <w:rFonts w:asciiTheme="minorHAnsi" w:eastAsiaTheme="minorEastAsia" w:hAnsiTheme="minorHAnsi" w:cstheme="minorBidi"/>
            <w:noProof/>
            <w:color w:val="auto"/>
            <w:sz w:val="22"/>
            <w:szCs w:val="22"/>
            <w:lang w:val="es-ES" w:eastAsia="es-ES" w:bidi="ar-SA"/>
          </w:rPr>
          <w:tab/>
        </w:r>
        <w:r w:rsidR="00167EE8" w:rsidRPr="00E51E12">
          <w:rPr>
            <w:rStyle w:val="Hyperlink"/>
            <w:noProof/>
          </w:rPr>
          <w:t>Capacidade financeira e operacional e exclusão</w:t>
        </w:r>
        <w:r w:rsidR="00167EE8">
          <w:rPr>
            <w:noProof/>
            <w:webHidden/>
          </w:rPr>
          <w:tab/>
        </w:r>
        <w:r w:rsidR="00167EE8">
          <w:rPr>
            <w:noProof/>
            <w:webHidden/>
          </w:rPr>
          <w:fldChar w:fldCharType="begin"/>
        </w:r>
        <w:r w:rsidR="00167EE8">
          <w:rPr>
            <w:noProof/>
            <w:webHidden/>
          </w:rPr>
          <w:instrText xml:space="preserve"> PAGEREF _Toc185511147 \h </w:instrText>
        </w:r>
        <w:r w:rsidR="00167EE8">
          <w:rPr>
            <w:noProof/>
            <w:webHidden/>
          </w:rPr>
        </w:r>
        <w:r w:rsidR="00167EE8">
          <w:rPr>
            <w:noProof/>
            <w:webHidden/>
          </w:rPr>
          <w:fldChar w:fldCharType="separate"/>
        </w:r>
        <w:r w:rsidR="00167EE8">
          <w:rPr>
            <w:noProof/>
            <w:webHidden/>
          </w:rPr>
          <w:t>20</w:t>
        </w:r>
        <w:r w:rsidR="00167EE8">
          <w:rPr>
            <w:noProof/>
            <w:webHidden/>
          </w:rPr>
          <w:fldChar w:fldCharType="end"/>
        </w:r>
      </w:hyperlink>
    </w:p>
    <w:p w14:paraId="2AE9D1EC" w14:textId="0105AEF7" w:rsidR="00167EE8" w:rsidRDefault="000F6913">
      <w:pPr>
        <w:pStyle w:val="TOC2"/>
        <w:tabs>
          <w:tab w:val="right" w:leader="dot" w:pos="8534"/>
        </w:tabs>
        <w:rPr>
          <w:rFonts w:asciiTheme="minorHAnsi" w:eastAsiaTheme="minorEastAsia" w:hAnsiTheme="minorHAnsi" w:cstheme="minorBidi"/>
          <w:noProof/>
          <w:color w:val="auto"/>
          <w:sz w:val="22"/>
          <w:szCs w:val="22"/>
          <w:lang w:val="es-ES" w:eastAsia="es-ES" w:bidi="ar-SA"/>
        </w:rPr>
      </w:pPr>
      <w:hyperlink w:anchor="_Toc185511148" w:history="1">
        <w:r w:rsidR="00167EE8" w:rsidRPr="00E51E12">
          <w:rPr>
            <w:rStyle w:val="Hyperlink"/>
            <w:i/>
            <w:noProof/>
          </w:rPr>
          <w:t>Capacidade financeira</w:t>
        </w:r>
        <w:r w:rsidR="00167EE8">
          <w:rPr>
            <w:noProof/>
            <w:webHidden/>
          </w:rPr>
          <w:tab/>
        </w:r>
        <w:r w:rsidR="00167EE8">
          <w:rPr>
            <w:noProof/>
            <w:webHidden/>
          </w:rPr>
          <w:fldChar w:fldCharType="begin"/>
        </w:r>
        <w:r w:rsidR="00167EE8">
          <w:rPr>
            <w:noProof/>
            <w:webHidden/>
          </w:rPr>
          <w:instrText xml:space="preserve"> PAGEREF _Toc185511148 \h </w:instrText>
        </w:r>
        <w:r w:rsidR="00167EE8">
          <w:rPr>
            <w:noProof/>
            <w:webHidden/>
          </w:rPr>
        </w:r>
        <w:r w:rsidR="00167EE8">
          <w:rPr>
            <w:noProof/>
            <w:webHidden/>
          </w:rPr>
          <w:fldChar w:fldCharType="separate"/>
        </w:r>
        <w:r w:rsidR="00167EE8">
          <w:rPr>
            <w:noProof/>
            <w:webHidden/>
          </w:rPr>
          <w:t>20</w:t>
        </w:r>
        <w:r w:rsidR="00167EE8">
          <w:rPr>
            <w:noProof/>
            <w:webHidden/>
          </w:rPr>
          <w:fldChar w:fldCharType="end"/>
        </w:r>
      </w:hyperlink>
    </w:p>
    <w:p w14:paraId="67270DDE" w14:textId="118C9254" w:rsidR="00167EE8" w:rsidRDefault="000F6913">
      <w:pPr>
        <w:pStyle w:val="TOC2"/>
        <w:tabs>
          <w:tab w:val="right" w:leader="dot" w:pos="8534"/>
        </w:tabs>
        <w:rPr>
          <w:rFonts w:asciiTheme="minorHAnsi" w:eastAsiaTheme="minorEastAsia" w:hAnsiTheme="minorHAnsi" w:cstheme="minorBidi"/>
          <w:noProof/>
          <w:color w:val="auto"/>
          <w:sz w:val="22"/>
          <w:szCs w:val="22"/>
          <w:lang w:val="es-ES" w:eastAsia="es-ES" w:bidi="ar-SA"/>
        </w:rPr>
      </w:pPr>
      <w:hyperlink w:anchor="_Toc185511149" w:history="1">
        <w:r w:rsidR="00167EE8" w:rsidRPr="00E51E12">
          <w:rPr>
            <w:rStyle w:val="Hyperlink"/>
            <w:i/>
            <w:noProof/>
          </w:rPr>
          <w:t>Capacidade operacional</w:t>
        </w:r>
        <w:r w:rsidR="00167EE8">
          <w:rPr>
            <w:noProof/>
            <w:webHidden/>
          </w:rPr>
          <w:tab/>
        </w:r>
        <w:r w:rsidR="00167EE8">
          <w:rPr>
            <w:noProof/>
            <w:webHidden/>
          </w:rPr>
          <w:fldChar w:fldCharType="begin"/>
        </w:r>
        <w:r w:rsidR="00167EE8">
          <w:rPr>
            <w:noProof/>
            <w:webHidden/>
          </w:rPr>
          <w:instrText xml:space="preserve"> PAGEREF _Toc185511149 \h </w:instrText>
        </w:r>
        <w:r w:rsidR="00167EE8">
          <w:rPr>
            <w:noProof/>
            <w:webHidden/>
          </w:rPr>
        </w:r>
        <w:r w:rsidR="00167EE8">
          <w:rPr>
            <w:noProof/>
            <w:webHidden/>
          </w:rPr>
          <w:fldChar w:fldCharType="separate"/>
        </w:r>
        <w:r w:rsidR="00167EE8">
          <w:rPr>
            <w:noProof/>
            <w:webHidden/>
          </w:rPr>
          <w:t>20</w:t>
        </w:r>
        <w:r w:rsidR="00167EE8">
          <w:rPr>
            <w:noProof/>
            <w:webHidden/>
          </w:rPr>
          <w:fldChar w:fldCharType="end"/>
        </w:r>
      </w:hyperlink>
    </w:p>
    <w:p w14:paraId="604BF442" w14:textId="0618F3E5" w:rsidR="00167EE8" w:rsidRDefault="000F6913">
      <w:pPr>
        <w:pStyle w:val="TOC2"/>
        <w:tabs>
          <w:tab w:val="right" w:leader="dot" w:pos="8534"/>
        </w:tabs>
        <w:rPr>
          <w:rFonts w:asciiTheme="minorHAnsi" w:eastAsiaTheme="minorEastAsia" w:hAnsiTheme="minorHAnsi" w:cstheme="minorBidi"/>
          <w:noProof/>
          <w:color w:val="auto"/>
          <w:sz w:val="22"/>
          <w:szCs w:val="22"/>
          <w:lang w:val="es-ES" w:eastAsia="es-ES" w:bidi="ar-SA"/>
        </w:rPr>
      </w:pPr>
      <w:hyperlink w:anchor="_Toc185511150" w:history="1">
        <w:r w:rsidR="00167EE8" w:rsidRPr="00E51E12">
          <w:rPr>
            <w:rStyle w:val="Hyperlink"/>
            <w:i/>
            <w:noProof/>
          </w:rPr>
          <w:t>Exclusão</w:t>
        </w:r>
        <w:r w:rsidR="00167EE8">
          <w:rPr>
            <w:noProof/>
            <w:webHidden/>
          </w:rPr>
          <w:tab/>
        </w:r>
        <w:r w:rsidR="00167EE8">
          <w:rPr>
            <w:noProof/>
            <w:webHidden/>
          </w:rPr>
          <w:fldChar w:fldCharType="begin"/>
        </w:r>
        <w:r w:rsidR="00167EE8">
          <w:rPr>
            <w:noProof/>
            <w:webHidden/>
          </w:rPr>
          <w:instrText xml:space="preserve"> PAGEREF _Toc185511150 \h </w:instrText>
        </w:r>
        <w:r w:rsidR="00167EE8">
          <w:rPr>
            <w:noProof/>
            <w:webHidden/>
          </w:rPr>
        </w:r>
        <w:r w:rsidR="00167EE8">
          <w:rPr>
            <w:noProof/>
            <w:webHidden/>
          </w:rPr>
          <w:fldChar w:fldCharType="separate"/>
        </w:r>
        <w:r w:rsidR="00167EE8">
          <w:rPr>
            <w:noProof/>
            <w:webHidden/>
          </w:rPr>
          <w:t>21</w:t>
        </w:r>
        <w:r w:rsidR="00167EE8">
          <w:rPr>
            <w:noProof/>
            <w:webHidden/>
          </w:rPr>
          <w:fldChar w:fldCharType="end"/>
        </w:r>
      </w:hyperlink>
    </w:p>
    <w:p w14:paraId="5CE6766B" w14:textId="3CD865C3" w:rsidR="00167EE8" w:rsidRDefault="000F6913">
      <w:pPr>
        <w:pStyle w:val="TOC1"/>
        <w:tabs>
          <w:tab w:val="left" w:pos="480"/>
          <w:tab w:val="right" w:leader="dot" w:pos="8534"/>
        </w:tabs>
        <w:rPr>
          <w:rFonts w:asciiTheme="minorHAnsi" w:eastAsiaTheme="minorEastAsia" w:hAnsiTheme="minorHAnsi" w:cstheme="minorBidi"/>
          <w:noProof/>
          <w:color w:val="auto"/>
          <w:sz w:val="22"/>
          <w:szCs w:val="22"/>
          <w:lang w:val="es-ES" w:eastAsia="es-ES" w:bidi="ar-SA"/>
        </w:rPr>
      </w:pPr>
      <w:hyperlink w:anchor="_Toc185511151" w:history="1">
        <w:r w:rsidR="00167EE8" w:rsidRPr="00E51E12">
          <w:rPr>
            <w:rStyle w:val="Hyperlink"/>
            <w:noProof/>
          </w:rPr>
          <w:t>8.</w:t>
        </w:r>
        <w:r w:rsidR="00167EE8">
          <w:rPr>
            <w:rFonts w:asciiTheme="minorHAnsi" w:eastAsiaTheme="minorEastAsia" w:hAnsiTheme="minorHAnsi" w:cstheme="minorBidi"/>
            <w:noProof/>
            <w:color w:val="auto"/>
            <w:sz w:val="22"/>
            <w:szCs w:val="22"/>
            <w:lang w:val="es-ES" w:eastAsia="es-ES" w:bidi="ar-SA"/>
          </w:rPr>
          <w:tab/>
        </w:r>
        <w:r w:rsidR="00167EE8" w:rsidRPr="00E51E12">
          <w:rPr>
            <w:rStyle w:val="Hyperlink"/>
            <w:noProof/>
          </w:rPr>
          <w:t>Procedimento de avaliação e atribuição</w:t>
        </w:r>
        <w:r w:rsidR="00167EE8">
          <w:rPr>
            <w:noProof/>
            <w:webHidden/>
          </w:rPr>
          <w:tab/>
        </w:r>
        <w:r w:rsidR="00167EE8">
          <w:rPr>
            <w:noProof/>
            <w:webHidden/>
          </w:rPr>
          <w:fldChar w:fldCharType="begin"/>
        </w:r>
        <w:r w:rsidR="00167EE8">
          <w:rPr>
            <w:noProof/>
            <w:webHidden/>
          </w:rPr>
          <w:instrText xml:space="preserve"> PAGEREF _Toc185511151 \h </w:instrText>
        </w:r>
        <w:r w:rsidR="00167EE8">
          <w:rPr>
            <w:noProof/>
            <w:webHidden/>
          </w:rPr>
        </w:r>
        <w:r w:rsidR="00167EE8">
          <w:rPr>
            <w:noProof/>
            <w:webHidden/>
          </w:rPr>
          <w:fldChar w:fldCharType="separate"/>
        </w:r>
        <w:r w:rsidR="00167EE8">
          <w:rPr>
            <w:noProof/>
            <w:webHidden/>
          </w:rPr>
          <w:t>22</w:t>
        </w:r>
        <w:r w:rsidR="00167EE8">
          <w:rPr>
            <w:noProof/>
            <w:webHidden/>
          </w:rPr>
          <w:fldChar w:fldCharType="end"/>
        </w:r>
      </w:hyperlink>
    </w:p>
    <w:p w14:paraId="1059DD09" w14:textId="1CBFE836" w:rsidR="00167EE8" w:rsidRDefault="000F6913">
      <w:pPr>
        <w:pStyle w:val="TOC1"/>
        <w:tabs>
          <w:tab w:val="left" w:pos="480"/>
          <w:tab w:val="right" w:leader="dot" w:pos="8534"/>
        </w:tabs>
        <w:rPr>
          <w:rFonts w:asciiTheme="minorHAnsi" w:eastAsiaTheme="minorEastAsia" w:hAnsiTheme="minorHAnsi" w:cstheme="minorBidi"/>
          <w:noProof/>
          <w:color w:val="auto"/>
          <w:sz w:val="22"/>
          <w:szCs w:val="22"/>
          <w:lang w:val="es-ES" w:eastAsia="es-ES" w:bidi="ar-SA"/>
        </w:rPr>
      </w:pPr>
      <w:hyperlink w:anchor="_Toc185511152" w:history="1">
        <w:r w:rsidR="00167EE8" w:rsidRPr="00E51E12">
          <w:rPr>
            <w:rStyle w:val="Hyperlink"/>
            <w:noProof/>
          </w:rPr>
          <w:t>9.</w:t>
        </w:r>
        <w:r w:rsidR="00167EE8">
          <w:rPr>
            <w:rFonts w:asciiTheme="minorHAnsi" w:eastAsiaTheme="minorEastAsia" w:hAnsiTheme="minorHAnsi" w:cstheme="minorBidi"/>
            <w:noProof/>
            <w:color w:val="auto"/>
            <w:sz w:val="22"/>
            <w:szCs w:val="22"/>
            <w:lang w:val="es-ES" w:eastAsia="es-ES" w:bidi="ar-SA"/>
          </w:rPr>
          <w:tab/>
        </w:r>
        <w:r w:rsidR="00167EE8" w:rsidRPr="00E51E12">
          <w:rPr>
            <w:rStyle w:val="Hyperlink"/>
            <w:noProof/>
          </w:rPr>
          <w:t>Critérios de atribuição</w:t>
        </w:r>
        <w:r w:rsidR="00167EE8">
          <w:rPr>
            <w:noProof/>
            <w:webHidden/>
          </w:rPr>
          <w:tab/>
        </w:r>
        <w:r w:rsidR="00167EE8">
          <w:rPr>
            <w:noProof/>
            <w:webHidden/>
          </w:rPr>
          <w:fldChar w:fldCharType="begin"/>
        </w:r>
        <w:r w:rsidR="00167EE8">
          <w:rPr>
            <w:noProof/>
            <w:webHidden/>
          </w:rPr>
          <w:instrText xml:space="preserve"> PAGEREF _Toc185511152 \h </w:instrText>
        </w:r>
        <w:r w:rsidR="00167EE8">
          <w:rPr>
            <w:noProof/>
            <w:webHidden/>
          </w:rPr>
        </w:r>
        <w:r w:rsidR="00167EE8">
          <w:rPr>
            <w:noProof/>
            <w:webHidden/>
          </w:rPr>
          <w:fldChar w:fldCharType="separate"/>
        </w:r>
        <w:r w:rsidR="00167EE8">
          <w:rPr>
            <w:noProof/>
            <w:webHidden/>
          </w:rPr>
          <w:t>23</w:t>
        </w:r>
        <w:r w:rsidR="00167EE8">
          <w:rPr>
            <w:noProof/>
            <w:webHidden/>
          </w:rPr>
          <w:fldChar w:fldCharType="end"/>
        </w:r>
      </w:hyperlink>
    </w:p>
    <w:p w14:paraId="628166E7" w14:textId="75E0CF95" w:rsidR="00167EE8" w:rsidRDefault="000F6913">
      <w:pPr>
        <w:pStyle w:val="TOC1"/>
        <w:tabs>
          <w:tab w:val="left" w:pos="660"/>
          <w:tab w:val="right" w:leader="dot" w:pos="8534"/>
        </w:tabs>
        <w:rPr>
          <w:rFonts w:asciiTheme="minorHAnsi" w:eastAsiaTheme="minorEastAsia" w:hAnsiTheme="minorHAnsi" w:cstheme="minorBidi"/>
          <w:noProof/>
          <w:color w:val="auto"/>
          <w:sz w:val="22"/>
          <w:szCs w:val="22"/>
          <w:lang w:val="es-ES" w:eastAsia="es-ES" w:bidi="ar-SA"/>
        </w:rPr>
      </w:pPr>
      <w:hyperlink w:anchor="_Toc185511153" w:history="1">
        <w:r w:rsidR="00167EE8" w:rsidRPr="00E51E12">
          <w:rPr>
            <w:rStyle w:val="Hyperlink"/>
            <w:noProof/>
          </w:rPr>
          <w:t>10.</w:t>
        </w:r>
        <w:r w:rsidR="00167EE8">
          <w:rPr>
            <w:rFonts w:asciiTheme="minorHAnsi" w:eastAsiaTheme="minorEastAsia" w:hAnsiTheme="minorHAnsi" w:cstheme="minorBidi"/>
            <w:noProof/>
            <w:color w:val="auto"/>
            <w:sz w:val="22"/>
            <w:szCs w:val="22"/>
            <w:lang w:val="es-ES" w:eastAsia="es-ES" w:bidi="ar-SA"/>
          </w:rPr>
          <w:tab/>
        </w:r>
        <w:r w:rsidR="00167EE8" w:rsidRPr="00E51E12">
          <w:rPr>
            <w:rStyle w:val="Hyperlink"/>
            <w:noProof/>
          </w:rPr>
          <w:t>Estrutura jurídica e financeira das convenções de subvenção</w:t>
        </w:r>
        <w:r w:rsidR="00167EE8">
          <w:rPr>
            <w:noProof/>
            <w:webHidden/>
          </w:rPr>
          <w:tab/>
        </w:r>
        <w:r w:rsidR="00167EE8">
          <w:rPr>
            <w:noProof/>
            <w:webHidden/>
          </w:rPr>
          <w:fldChar w:fldCharType="begin"/>
        </w:r>
        <w:r w:rsidR="00167EE8">
          <w:rPr>
            <w:noProof/>
            <w:webHidden/>
          </w:rPr>
          <w:instrText xml:space="preserve"> PAGEREF _Toc185511153 \h </w:instrText>
        </w:r>
        <w:r w:rsidR="00167EE8">
          <w:rPr>
            <w:noProof/>
            <w:webHidden/>
          </w:rPr>
        </w:r>
        <w:r w:rsidR="00167EE8">
          <w:rPr>
            <w:noProof/>
            <w:webHidden/>
          </w:rPr>
          <w:fldChar w:fldCharType="separate"/>
        </w:r>
        <w:r w:rsidR="00167EE8">
          <w:rPr>
            <w:noProof/>
            <w:webHidden/>
          </w:rPr>
          <w:t>25</w:t>
        </w:r>
        <w:r w:rsidR="00167EE8">
          <w:rPr>
            <w:noProof/>
            <w:webHidden/>
          </w:rPr>
          <w:fldChar w:fldCharType="end"/>
        </w:r>
      </w:hyperlink>
    </w:p>
    <w:p w14:paraId="19559472" w14:textId="7988C8D4" w:rsidR="00167EE8" w:rsidRDefault="000F6913">
      <w:pPr>
        <w:pStyle w:val="TOC2"/>
        <w:tabs>
          <w:tab w:val="right" w:leader="dot" w:pos="8534"/>
        </w:tabs>
        <w:rPr>
          <w:rFonts w:asciiTheme="minorHAnsi" w:eastAsiaTheme="minorEastAsia" w:hAnsiTheme="minorHAnsi" w:cstheme="minorBidi"/>
          <w:noProof/>
          <w:color w:val="auto"/>
          <w:sz w:val="22"/>
          <w:szCs w:val="22"/>
          <w:lang w:val="es-ES" w:eastAsia="es-ES" w:bidi="ar-SA"/>
        </w:rPr>
      </w:pPr>
      <w:hyperlink w:anchor="_Toc185511154" w:history="1">
        <w:r w:rsidR="00167EE8" w:rsidRPr="00E51E12">
          <w:rPr>
            <w:rStyle w:val="Hyperlink"/>
            <w:i/>
            <w:noProof/>
          </w:rPr>
          <w:t>Data de início e duração do projeto</w:t>
        </w:r>
        <w:r w:rsidR="00167EE8">
          <w:rPr>
            <w:noProof/>
            <w:webHidden/>
          </w:rPr>
          <w:tab/>
        </w:r>
        <w:r w:rsidR="00167EE8">
          <w:rPr>
            <w:noProof/>
            <w:webHidden/>
          </w:rPr>
          <w:fldChar w:fldCharType="begin"/>
        </w:r>
        <w:r w:rsidR="00167EE8">
          <w:rPr>
            <w:noProof/>
            <w:webHidden/>
          </w:rPr>
          <w:instrText xml:space="preserve"> PAGEREF _Toc185511154 \h </w:instrText>
        </w:r>
        <w:r w:rsidR="00167EE8">
          <w:rPr>
            <w:noProof/>
            <w:webHidden/>
          </w:rPr>
        </w:r>
        <w:r w:rsidR="00167EE8">
          <w:rPr>
            <w:noProof/>
            <w:webHidden/>
          </w:rPr>
          <w:fldChar w:fldCharType="separate"/>
        </w:r>
        <w:r w:rsidR="00167EE8">
          <w:rPr>
            <w:noProof/>
            <w:webHidden/>
          </w:rPr>
          <w:t>26</w:t>
        </w:r>
        <w:r w:rsidR="00167EE8">
          <w:rPr>
            <w:noProof/>
            <w:webHidden/>
          </w:rPr>
          <w:fldChar w:fldCharType="end"/>
        </w:r>
      </w:hyperlink>
    </w:p>
    <w:p w14:paraId="032C9BCE" w14:textId="42D5F764" w:rsidR="00167EE8" w:rsidRDefault="000F6913">
      <w:pPr>
        <w:pStyle w:val="TOC2"/>
        <w:tabs>
          <w:tab w:val="right" w:leader="dot" w:pos="8534"/>
        </w:tabs>
        <w:rPr>
          <w:rFonts w:asciiTheme="minorHAnsi" w:eastAsiaTheme="minorEastAsia" w:hAnsiTheme="minorHAnsi" w:cstheme="minorBidi"/>
          <w:noProof/>
          <w:color w:val="auto"/>
          <w:sz w:val="22"/>
          <w:szCs w:val="22"/>
          <w:lang w:val="es-ES" w:eastAsia="es-ES" w:bidi="ar-SA"/>
        </w:rPr>
      </w:pPr>
      <w:hyperlink w:anchor="_Toc185511155" w:history="1">
        <w:r w:rsidR="00167EE8" w:rsidRPr="00E51E12">
          <w:rPr>
            <w:rStyle w:val="Hyperlink"/>
            <w:i/>
            <w:noProof/>
          </w:rPr>
          <w:t>Etapas e prestações concretas</w:t>
        </w:r>
        <w:r w:rsidR="00167EE8">
          <w:rPr>
            <w:noProof/>
            <w:webHidden/>
          </w:rPr>
          <w:tab/>
        </w:r>
        <w:r w:rsidR="00167EE8">
          <w:rPr>
            <w:noProof/>
            <w:webHidden/>
          </w:rPr>
          <w:fldChar w:fldCharType="begin"/>
        </w:r>
        <w:r w:rsidR="00167EE8">
          <w:rPr>
            <w:noProof/>
            <w:webHidden/>
          </w:rPr>
          <w:instrText xml:space="preserve"> PAGEREF _Toc185511155 \h </w:instrText>
        </w:r>
        <w:r w:rsidR="00167EE8">
          <w:rPr>
            <w:noProof/>
            <w:webHidden/>
          </w:rPr>
        </w:r>
        <w:r w:rsidR="00167EE8">
          <w:rPr>
            <w:noProof/>
            <w:webHidden/>
          </w:rPr>
          <w:fldChar w:fldCharType="separate"/>
        </w:r>
        <w:r w:rsidR="00167EE8">
          <w:rPr>
            <w:noProof/>
            <w:webHidden/>
          </w:rPr>
          <w:t>26</w:t>
        </w:r>
        <w:r w:rsidR="00167EE8">
          <w:rPr>
            <w:noProof/>
            <w:webHidden/>
          </w:rPr>
          <w:fldChar w:fldCharType="end"/>
        </w:r>
      </w:hyperlink>
    </w:p>
    <w:p w14:paraId="6161DEC3" w14:textId="38C57A08" w:rsidR="00167EE8" w:rsidRDefault="000F6913">
      <w:pPr>
        <w:pStyle w:val="TOC2"/>
        <w:tabs>
          <w:tab w:val="right" w:leader="dot" w:pos="8534"/>
        </w:tabs>
        <w:rPr>
          <w:rFonts w:asciiTheme="minorHAnsi" w:eastAsiaTheme="minorEastAsia" w:hAnsiTheme="minorHAnsi" w:cstheme="minorBidi"/>
          <w:noProof/>
          <w:color w:val="auto"/>
          <w:sz w:val="22"/>
          <w:szCs w:val="22"/>
          <w:lang w:val="es-ES" w:eastAsia="es-ES" w:bidi="ar-SA"/>
        </w:rPr>
      </w:pPr>
      <w:hyperlink w:anchor="_Toc185511156" w:history="1">
        <w:r w:rsidR="00167EE8" w:rsidRPr="00E51E12">
          <w:rPr>
            <w:rStyle w:val="Hyperlink"/>
            <w:i/>
            <w:noProof/>
          </w:rPr>
          <w:t>Forma de subvenção, taxa de financiamento e montante máximo da subvenção</w:t>
        </w:r>
        <w:r w:rsidR="00167EE8">
          <w:rPr>
            <w:noProof/>
            <w:webHidden/>
          </w:rPr>
          <w:tab/>
        </w:r>
        <w:r w:rsidR="00167EE8">
          <w:rPr>
            <w:noProof/>
            <w:webHidden/>
          </w:rPr>
          <w:fldChar w:fldCharType="begin"/>
        </w:r>
        <w:r w:rsidR="00167EE8">
          <w:rPr>
            <w:noProof/>
            <w:webHidden/>
          </w:rPr>
          <w:instrText xml:space="preserve"> PAGEREF _Toc185511156 \h </w:instrText>
        </w:r>
        <w:r w:rsidR="00167EE8">
          <w:rPr>
            <w:noProof/>
            <w:webHidden/>
          </w:rPr>
        </w:r>
        <w:r w:rsidR="00167EE8">
          <w:rPr>
            <w:noProof/>
            <w:webHidden/>
          </w:rPr>
          <w:fldChar w:fldCharType="separate"/>
        </w:r>
        <w:r w:rsidR="00167EE8">
          <w:rPr>
            <w:noProof/>
            <w:webHidden/>
          </w:rPr>
          <w:t>26</w:t>
        </w:r>
        <w:r w:rsidR="00167EE8">
          <w:rPr>
            <w:noProof/>
            <w:webHidden/>
          </w:rPr>
          <w:fldChar w:fldCharType="end"/>
        </w:r>
      </w:hyperlink>
    </w:p>
    <w:p w14:paraId="02ABD023" w14:textId="36351376" w:rsidR="00167EE8" w:rsidRDefault="000F6913">
      <w:pPr>
        <w:pStyle w:val="TOC2"/>
        <w:tabs>
          <w:tab w:val="right" w:leader="dot" w:pos="8534"/>
        </w:tabs>
        <w:rPr>
          <w:rFonts w:asciiTheme="minorHAnsi" w:eastAsiaTheme="minorEastAsia" w:hAnsiTheme="minorHAnsi" w:cstheme="minorBidi"/>
          <w:noProof/>
          <w:color w:val="auto"/>
          <w:sz w:val="22"/>
          <w:szCs w:val="22"/>
          <w:lang w:val="es-ES" w:eastAsia="es-ES" w:bidi="ar-SA"/>
        </w:rPr>
      </w:pPr>
      <w:hyperlink w:anchor="_Toc185511157" w:history="1">
        <w:r w:rsidR="00167EE8" w:rsidRPr="00E51E12">
          <w:rPr>
            <w:rStyle w:val="Hyperlink"/>
            <w:i/>
            <w:noProof/>
          </w:rPr>
          <w:t>Categorias orçamentais e regras de elegibilidade dos custos</w:t>
        </w:r>
        <w:r w:rsidR="00167EE8">
          <w:rPr>
            <w:noProof/>
            <w:webHidden/>
          </w:rPr>
          <w:tab/>
        </w:r>
        <w:r w:rsidR="00167EE8">
          <w:rPr>
            <w:noProof/>
            <w:webHidden/>
          </w:rPr>
          <w:fldChar w:fldCharType="begin"/>
        </w:r>
        <w:r w:rsidR="00167EE8">
          <w:rPr>
            <w:noProof/>
            <w:webHidden/>
          </w:rPr>
          <w:instrText xml:space="preserve"> PAGEREF _Toc185511157 \h </w:instrText>
        </w:r>
        <w:r w:rsidR="00167EE8">
          <w:rPr>
            <w:noProof/>
            <w:webHidden/>
          </w:rPr>
        </w:r>
        <w:r w:rsidR="00167EE8">
          <w:rPr>
            <w:noProof/>
            <w:webHidden/>
          </w:rPr>
          <w:fldChar w:fldCharType="separate"/>
        </w:r>
        <w:r w:rsidR="00167EE8">
          <w:rPr>
            <w:noProof/>
            <w:webHidden/>
          </w:rPr>
          <w:t>27</w:t>
        </w:r>
        <w:r w:rsidR="00167EE8">
          <w:rPr>
            <w:noProof/>
            <w:webHidden/>
          </w:rPr>
          <w:fldChar w:fldCharType="end"/>
        </w:r>
      </w:hyperlink>
    </w:p>
    <w:p w14:paraId="145C8B69" w14:textId="26598C51" w:rsidR="00167EE8" w:rsidRDefault="000F6913">
      <w:pPr>
        <w:pStyle w:val="TOC2"/>
        <w:tabs>
          <w:tab w:val="right" w:leader="dot" w:pos="8534"/>
        </w:tabs>
        <w:rPr>
          <w:rFonts w:asciiTheme="minorHAnsi" w:eastAsiaTheme="minorEastAsia" w:hAnsiTheme="minorHAnsi" w:cstheme="minorBidi"/>
          <w:noProof/>
          <w:color w:val="auto"/>
          <w:sz w:val="22"/>
          <w:szCs w:val="22"/>
          <w:lang w:val="es-ES" w:eastAsia="es-ES" w:bidi="ar-SA"/>
        </w:rPr>
      </w:pPr>
      <w:hyperlink w:anchor="_Toc185511158" w:history="1">
        <w:r w:rsidR="00167EE8" w:rsidRPr="00E51E12">
          <w:rPr>
            <w:rStyle w:val="Hyperlink"/>
            <w:i/>
            <w:noProof/>
          </w:rPr>
          <w:t>Modalidades de apresentação de relatórios e de pagamento</w:t>
        </w:r>
        <w:r w:rsidR="00167EE8">
          <w:rPr>
            <w:noProof/>
            <w:webHidden/>
          </w:rPr>
          <w:tab/>
        </w:r>
        <w:r w:rsidR="00167EE8">
          <w:rPr>
            <w:noProof/>
            <w:webHidden/>
          </w:rPr>
          <w:fldChar w:fldCharType="begin"/>
        </w:r>
        <w:r w:rsidR="00167EE8">
          <w:rPr>
            <w:noProof/>
            <w:webHidden/>
          </w:rPr>
          <w:instrText xml:space="preserve"> PAGEREF _Toc185511158 \h </w:instrText>
        </w:r>
        <w:r w:rsidR="00167EE8">
          <w:rPr>
            <w:noProof/>
            <w:webHidden/>
          </w:rPr>
        </w:r>
        <w:r w:rsidR="00167EE8">
          <w:rPr>
            <w:noProof/>
            <w:webHidden/>
          </w:rPr>
          <w:fldChar w:fldCharType="separate"/>
        </w:r>
        <w:r w:rsidR="00167EE8">
          <w:rPr>
            <w:noProof/>
            <w:webHidden/>
          </w:rPr>
          <w:t>28</w:t>
        </w:r>
        <w:r w:rsidR="00167EE8">
          <w:rPr>
            <w:noProof/>
            <w:webHidden/>
          </w:rPr>
          <w:fldChar w:fldCharType="end"/>
        </w:r>
      </w:hyperlink>
    </w:p>
    <w:p w14:paraId="3D5CF392" w14:textId="6AC5B8F6" w:rsidR="00167EE8" w:rsidRDefault="000F6913">
      <w:pPr>
        <w:pStyle w:val="TOC2"/>
        <w:tabs>
          <w:tab w:val="right" w:leader="dot" w:pos="8534"/>
        </w:tabs>
        <w:rPr>
          <w:rFonts w:asciiTheme="minorHAnsi" w:eastAsiaTheme="minorEastAsia" w:hAnsiTheme="minorHAnsi" w:cstheme="minorBidi"/>
          <w:noProof/>
          <w:color w:val="auto"/>
          <w:sz w:val="22"/>
          <w:szCs w:val="22"/>
          <w:lang w:val="es-ES" w:eastAsia="es-ES" w:bidi="ar-SA"/>
        </w:rPr>
      </w:pPr>
      <w:hyperlink w:anchor="_Toc185511159" w:history="1">
        <w:r w:rsidR="00167EE8" w:rsidRPr="00E51E12">
          <w:rPr>
            <w:rStyle w:val="Hyperlink"/>
            <w:i/>
            <w:noProof/>
          </w:rPr>
          <w:t>Garantias de pré-financiamento</w:t>
        </w:r>
        <w:r w:rsidR="00167EE8">
          <w:rPr>
            <w:noProof/>
            <w:webHidden/>
          </w:rPr>
          <w:tab/>
        </w:r>
        <w:r w:rsidR="00167EE8">
          <w:rPr>
            <w:noProof/>
            <w:webHidden/>
          </w:rPr>
          <w:fldChar w:fldCharType="begin"/>
        </w:r>
        <w:r w:rsidR="00167EE8">
          <w:rPr>
            <w:noProof/>
            <w:webHidden/>
          </w:rPr>
          <w:instrText xml:space="preserve"> PAGEREF _Toc185511159 \h </w:instrText>
        </w:r>
        <w:r w:rsidR="00167EE8">
          <w:rPr>
            <w:noProof/>
            <w:webHidden/>
          </w:rPr>
        </w:r>
        <w:r w:rsidR="00167EE8">
          <w:rPr>
            <w:noProof/>
            <w:webHidden/>
          </w:rPr>
          <w:fldChar w:fldCharType="separate"/>
        </w:r>
        <w:r w:rsidR="00167EE8">
          <w:rPr>
            <w:noProof/>
            <w:webHidden/>
          </w:rPr>
          <w:t>29</w:t>
        </w:r>
        <w:r w:rsidR="00167EE8">
          <w:rPr>
            <w:noProof/>
            <w:webHidden/>
          </w:rPr>
          <w:fldChar w:fldCharType="end"/>
        </w:r>
      </w:hyperlink>
    </w:p>
    <w:p w14:paraId="31F8E9E7" w14:textId="1884439A" w:rsidR="00167EE8" w:rsidRDefault="000F6913">
      <w:pPr>
        <w:pStyle w:val="TOC2"/>
        <w:tabs>
          <w:tab w:val="right" w:leader="dot" w:pos="8534"/>
        </w:tabs>
        <w:rPr>
          <w:rFonts w:asciiTheme="minorHAnsi" w:eastAsiaTheme="minorEastAsia" w:hAnsiTheme="minorHAnsi" w:cstheme="minorBidi"/>
          <w:noProof/>
          <w:color w:val="auto"/>
          <w:sz w:val="22"/>
          <w:szCs w:val="22"/>
          <w:lang w:val="es-ES" w:eastAsia="es-ES" w:bidi="ar-SA"/>
        </w:rPr>
      </w:pPr>
      <w:hyperlink w:anchor="_Toc185511160" w:history="1">
        <w:r w:rsidR="00167EE8" w:rsidRPr="00E51E12">
          <w:rPr>
            <w:rStyle w:val="Hyperlink"/>
            <w:i/>
            <w:noProof/>
          </w:rPr>
          <w:t>Certificados</w:t>
        </w:r>
        <w:r w:rsidR="00167EE8">
          <w:rPr>
            <w:noProof/>
            <w:webHidden/>
          </w:rPr>
          <w:tab/>
        </w:r>
        <w:r w:rsidR="00167EE8">
          <w:rPr>
            <w:noProof/>
            <w:webHidden/>
          </w:rPr>
          <w:fldChar w:fldCharType="begin"/>
        </w:r>
        <w:r w:rsidR="00167EE8">
          <w:rPr>
            <w:noProof/>
            <w:webHidden/>
          </w:rPr>
          <w:instrText xml:space="preserve"> PAGEREF _Toc185511160 \h </w:instrText>
        </w:r>
        <w:r w:rsidR="00167EE8">
          <w:rPr>
            <w:noProof/>
            <w:webHidden/>
          </w:rPr>
        </w:r>
        <w:r w:rsidR="00167EE8">
          <w:rPr>
            <w:noProof/>
            <w:webHidden/>
          </w:rPr>
          <w:fldChar w:fldCharType="separate"/>
        </w:r>
        <w:r w:rsidR="00167EE8">
          <w:rPr>
            <w:noProof/>
            <w:webHidden/>
          </w:rPr>
          <w:t>29</w:t>
        </w:r>
        <w:r w:rsidR="00167EE8">
          <w:rPr>
            <w:noProof/>
            <w:webHidden/>
          </w:rPr>
          <w:fldChar w:fldCharType="end"/>
        </w:r>
      </w:hyperlink>
    </w:p>
    <w:p w14:paraId="35320FCC" w14:textId="34DA06CC" w:rsidR="00167EE8" w:rsidRDefault="000F6913">
      <w:pPr>
        <w:pStyle w:val="TOC2"/>
        <w:tabs>
          <w:tab w:val="right" w:leader="dot" w:pos="8534"/>
        </w:tabs>
        <w:rPr>
          <w:rFonts w:asciiTheme="minorHAnsi" w:eastAsiaTheme="minorEastAsia" w:hAnsiTheme="minorHAnsi" w:cstheme="minorBidi"/>
          <w:noProof/>
          <w:color w:val="auto"/>
          <w:sz w:val="22"/>
          <w:szCs w:val="22"/>
          <w:lang w:val="es-ES" w:eastAsia="es-ES" w:bidi="ar-SA"/>
        </w:rPr>
      </w:pPr>
      <w:hyperlink w:anchor="_Toc185511161" w:history="1">
        <w:r w:rsidR="00167EE8" w:rsidRPr="00E51E12">
          <w:rPr>
            <w:rStyle w:val="Hyperlink"/>
            <w:i/>
            <w:noProof/>
          </w:rPr>
          <w:t>Regime de responsabilidade relativo às recuperações</w:t>
        </w:r>
        <w:r w:rsidR="00167EE8">
          <w:rPr>
            <w:noProof/>
            <w:webHidden/>
          </w:rPr>
          <w:tab/>
        </w:r>
        <w:r w:rsidR="00167EE8">
          <w:rPr>
            <w:noProof/>
            <w:webHidden/>
          </w:rPr>
          <w:fldChar w:fldCharType="begin"/>
        </w:r>
        <w:r w:rsidR="00167EE8">
          <w:rPr>
            <w:noProof/>
            <w:webHidden/>
          </w:rPr>
          <w:instrText xml:space="preserve"> PAGEREF _Toc185511161 \h </w:instrText>
        </w:r>
        <w:r w:rsidR="00167EE8">
          <w:rPr>
            <w:noProof/>
            <w:webHidden/>
          </w:rPr>
        </w:r>
        <w:r w:rsidR="00167EE8">
          <w:rPr>
            <w:noProof/>
            <w:webHidden/>
          </w:rPr>
          <w:fldChar w:fldCharType="separate"/>
        </w:r>
        <w:r w:rsidR="00167EE8">
          <w:rPr>
            <w:noProof/>
            <w:webHidden/>
          </w:rPr>
          <w:t>29</w:t>
        </w:r>
        <w:r w:rsidR="00167EE8">
          <w:rPr>
            <w:noProof/>
            <w:webHidden/>
          </w:rPr>
          <w:fldChar w:fldCharType="end"/>
        </w:r>
      </w:hyperlink>
    </w:p>
    <w:p w14:paraId="5C94C685" w14:textId="4DD87115" w:rsidR="00167EE8" w:rsidRDefault="000F6913">
      <w:pPr>
        <w:pStyle w:val="TOC2"/>
        <w:tabs>
          <w:tab w:val="right" w:leader="dot" w:pos="8534"/>
        </w:tabs>
        <w:rPr>
          <w:rFonts w:asciiTheme="minorHAnsi" w:eastAsiaTheme="minorEastAsia" w:hAnsiTheme="minorHAnsi" w:cstheme="minorBidi"/>
          <w:noProof/>
          <w:color w:val="auto"/>
          <w:sz w:val="22"/>
          <w:szCs w:val="22"/>
          <w:lang w:val="es-ES" w:eastAsia="es-ES" w:bidi="ar-SA"/>
        </w:rPr>
      </w:pPr>
      <w:hyperlink w:anchor="_Toc185511162" w:history="1">
        <w:r w:rsidR="00167EE8" w:rsidRPr="00E51E12">
          <w:rPr>
            <w:rStyle w:val="Hyperlink"/>
            <w:i/>
            <w:noProof/>
          </w:rPr>
          <w:t>Disposições relativas à execução do projeto</w:t>
        </w:r>
        <w:r w:rsidR="00167EE8">
          <w:rPr>
            <w:noProof/>
            <w:webHidden/>
          </w:rPr>
          <w:tab/>
        </w:r>
        <w:r w:rsidR="00167EE8">
          <w:rPr>
            <w:noProof/>
            <w:webHidden/>
          </w:rPr>
          <w:fldChar w:fldCharType="begin"/>
        </w:r>
        <w:r w:rsidR="00167EE8">
          <w:rPr>
            <w:noProof/>
            <w:webHidden/>
          </w:rPr>
          <w:instrText xml:space="preserve"> PAGEREF _Toc185511162 \h </w:instrText>
        </w:r>
        <w:r w:rsidR="00167EE8">
          <w:rPr>
            <w:noProof/>
            <w:webHidden/>
          </w:rPr>
        </w:r>
        <w:r w:rsidR="00167EE8">
          <w:rPr>
            <w:noProof/>
            <w:webHidden/>
          </w:rPr>
          <w:fldChar w:fldCharType="separate"/>
        </w:r>
        <w:r w:rsidR="00167EE8">
          <w:rPr>
            <w:noProof/>
            <w:webHidden/>
          </w:rPr>
          <w:t>30</w:t>
        </w:r>
        <w:r w:rsidR="00167EE8">
          <w:rPr>
            <w:noProof/>
            <w:webHidden/>
          </w:rPr>
          <w:fldChar w:fldCharType="end"/>
        </w:r>
      </w:hyperlink>
    </w:p>
    <w:p w14:paraId="5290CC1C" w14:textId="6EAB6B6D" w:rsidR="00167EE8" w:rsidRDefault="000F6913">
      <w:pPr>
        <w:pStyle w:val="TOC2"/>
        <w:tabs>
          <w:tab w:val="right" w:leader="dot" w:pos="8534"/>
        </w:tabs>
        <w:rPr>
          <w:rFonts w:asciiTheme="minorHAnsi" w:eastAsiaTheme="minorEastAsia" w:hAnsiTheme="minorHAnsi" w:cstheme="minorBidi"/>
          <w:noProof/>
          <w:color w:val="auto"/>
          <w:sz w:val="22"/>
          <w:szCs w:val="22"/>
          <w:lang w:val="es-ES" w:eastAsia="es-ES" w:bidi="ar-SA"/>
        </w:rPr>
      </w:pPr>
      <w:hyperlink w:anchor="_Toc185511163" w:history="1">
        <w:r w:rsidR="00167EE8" w:rsidRPr="00E51E12">
          <w:rPr>
            <w:rStyle w:val="Hyperlink"/>
            <w:i/>
            <w:noProof/>
          </w:rPr>
          <w:t>Outras especificidades</w:t>
        </w:r>
        <w:r w:rsidR="00167EE8">
          <w:rPr>
            <w:noProof/>
            <w:webHidden/>
          </w:rPr>
          <w:tab/>
        </w:r>
        <w:r w:rsidR="00167EE8">
          <w:rPr>
            <w:noProof/>
            <w:webHidden/>
          </w:rPr>
          <w:fldChar w:fldCharType="begin"/>
        </w:r>
        <w:r w:rsidR="00167EE8">
          <w:rPr>
            <w:noProof/>
            <w:webHidden/>
          </w:rPr>
          <w:instrText xml:space="preserve"> PAGEREF _Toc185511163 \h </w:instrText>
        </w:r>
        <w:r w:rsidR="00167EE8">
          <w:rPr>
            <w:noProof/>
            <w:webHidden/>
          </w:rPr>
        </w:r>
        <w:r w:rsidR="00167EE8">
          <w:rPr>
            <w:noProof/>
            <w:webHidden/>
          </w:rPr>
          <w:fldChar w:fldCharType="separate"/>
        </w:r>
        <w:r w:rsidR="00167EE8">
          <w:rPr>
            <w:noProof/>
            <w:webHidden/>
          </w:rPr>
          <w:t>30</w:t>
        </w:r>
        <w:r w:rsidR="00167EE8">
          <w:rPr>
            <w:noProof/>
            <w:webHidden/>
          </w:rPr>
          <w:fldChar w:fldCharType="end"/>
        </w:r>
      </w:hyperlink>
    </w:p>
    <w:p w14:paraId="17F32850" w14:textId="4ABF3EB1" w:rsidR="00167EE8" w:rsidRDefault="000F6913">
      <w:pPr>
        <w:pStyle w:val="TOC2"/>
        <w:tabs>
          <w:tab w:val="right" w:leader="dot" w:pos="8534"/>
        </w:tabs>
        <w:rPr>
          <w:rFonts w:asciiTheme="minorHAnsi" w:eastAsiaTheme="minorEastAsia" w:hAnsiTheme="minorHAnsi" w:cstheme="minorBidi"/>
          <w:noProof/>
          <w:color w:val="auto"/>
          <w:sz w:val="22"/>
          <w:szCs w:val="22"/>
          <w:lang w:val="es-ES" w:eastAsia="es-ES" w:bidi="ar-SA"/>
        </w:rPr>
      </w:pPr>
      <w:hyperlink w:anchor="_Toc185511164" w:history="1">
        <w:r w:rsidR="00167EE8" w:rsidRPr="00E51E12">
          <w:rPr>
            <w:rStyle w:val="Hyperlink"/>
            <w:i/>
            <w:noProof/>
          </w:rPr>
          <w:t>Incumprimento e violação do contrato</w:t>
        </w:r>
        <w:r w:rsidR="00167EE8">
          <w:rPr>
            <w:noProof/>
            <w:webHidden/>
          </w:rPr>
          <w:tab/>
        </w:r>
        <w:r w:rsidR="00167EE8">
          <w:rPr>
            <w:noProof/>
            <w:webHidden/>
          </w:rPr>
          <w:fldChar w:fldCharType="begin"/>
        </w:r>
        <w:r w:rsidR="00167EE8">
          <w:rPr>
            <w:noProof/>
            <w:webHidden/>
          </w:rPr>
          <w:instrText xml:space="preserve"> PAGEREF _Toc185511164 \h </w:instrText>
        </w:r>
        <w:r w:rsidR="00167EE8">
          <w:rPr>
            <w:noProof/>
            <w:webHidden/>
          </w:rPr>
        </w:r>
        <w:r w:rsidR="00167EE8">
          <w:rPr>
            <w:noProof/>
            <w:webHidden/>
          </w:rPr>
          <w:fldChar w:fldCharType="separate"/>
        </w:r>
        <w:r w:rsidR="00167EE8">
          <w:rPr>
            <w:noProof/>
            <w:webHidden/>
          </w:rPr>
          <w:t>30</w:t>
        </w:r>
        <w:r w:rsidR="00167EE8">
          <w:rPr>
            <w:noProof/>
            <w:webHidden/>
          </w:rPr>
          <w:fldChar w:fldCharType="end"/>
        </w:r>
      </w:hyperlink>
    </w:p>
    <w:p w14:paraId="665E4C3E" w14:textId="31C9A663" w:rsidR="00167EE8" w:rsidRDefault="000F6913">
      <w:pPr>
        <w:pStyle w:val="TOC1"/>
        <w:tabs>
          <w:tab w:val="left" w:pos="660"/>
          <w:tab w:val="right" w:leader="dot" w:pos="8534"/>
        </w:tabs>
        <w:rPr>
          <w:rFonts w:asciiTheme="minorHAnsi" w:eastAsiaTheme="minorEastAsia" w:hAnsiTheme="minorHAnsi" w:cstheme="minorBidi"/>
          <w:noProof/>
          <w:color w:val="auto"/>
          <w:sz w:val="22"/>
          <w:szCs w:val="22"/>
          <w:lang w:val="es-ES" w:eastAsia="es-ES" w:bidi="ar-SA"/>
        </w:rPr>
      </w:pPr>
      <w:hyperlink w:anchor="_Toc185511165" w:history="1">
        <w:r w:rsidR="00167EE8" w:rsidRPr="00E51E12">
          <w:rPr>
            <w:rStyle w:val="Hyperlink"/>
            <w:noProof/>
          </w:rPr>
          <w:t>11.</w:t>
        </w:r>
        <w:r w:rsidR="00167EE8">
          <w:rPr>
            <w:rFonts w:asciiTheme="minorHAnsi" w:eastAsiaTheme="minorEastAsia" w:hAnsiTheme="minorHAnsi" w:cstheme="minorBidi"/>
            <w:noProof/>
            <w:color w:val="auto"/>
            <w:sz w:val="22"/>
            <w:szCs w:val="22"/>
            <w:lang w:val="es-ES" w:eastAsia="es-ES" w:bidi="ar-SA"/>
          </w:rPr>
          <w:tab/>
        </w:r>
        <w:r w:rsidR="00167EE8" w:rsidRPr="00E51E12">
          <w:rPr>
            <w:rStyle w:val="Hyperlink"/>
            <w:noProof/>
          </w:rPr>
          <w:t>Como apresentar a candidatura</w:t>
        </w:r>
        <w:r w:rsidR="00167EE8">
          <w:rPr>
            <w:noProof/>
            <w:webHidden/>
          </w:rPr>
          <w:tab/>
        </w:r>
        <w:r w:rsidR="00167EE8">
          <w:rPr>
            <w:noProof/>
            <w:webHidden/>
          </w:rPr>
          <w:fldChar w:fldCharType="begin"/>
        </w:r>
        <w:r w:rsidR="00167EE8">
          <w:rPr>
            <w:noProof/>
            <w:webHidden/>
          </w:rPr>
          <w:instrText xml:space="preserve"> PAGEREF _Toc185511165 \h </w:instrText>
        </w:r>
        <w:r w:rsidR="00167EE8">
          <w:rPr>
            <w:noProof/>
            <w:webHidden/>
          </w:rPr>
        </w:r>
        <w:r w:rsidR="00167EE8">
          <w:rPr>
            <w:noProof/>
            <w:webHidden/>
          </w:rPr>
          <w:fldChar w:fldCharType="separate"/>
        </w:r>
        <w:r w:rsidR="00167EE8">
          <w:rPr>
            <w:noProof/>
            <w:webHidden/>
          </w:rPr>
          <w:t>31</w:t>
        </w:r>
        <w:r w:rsidR="00167EE8">
          <w:rPr>
            <w:noProof/>
            <w:webHidden/>
          </w:rPr>
          <w:fldChar w:fldCharType="end"/>
        </w:r>
      </w:hyperlink>
    </w:p>
    <w:p w14:paraId="4A9FD5CB" w14:textId="3BA66A1D" w:rsidR="00167EE8" w:rsidRDefault="000F6913">
      <w:pPr>
        <w:pStyle w:val="TOC1"/>
        <w:tabs>
          <w:tab w:val="left" w:pos="660"/>
          <w:tab w:val="right" w:leader="dot" w:pos="8534"/>
        </w:tabs>
        <w:rPr>
          <w:rFonts w:asciiTheme="minorHAnsi" w:eastAsiaTheme="minorEastAsia" w:hAnsiTheme="minorHAnsi" w:cstheme="minorBidi"/>
          <w:noProof/>
          <w:color w:val="auto"/>
          <w:sz w:val="22"/>
          <w:szCs w:val="22"/>
          <w:lang w:val="es-ES" w:eastAsia="es-ES" w:bidi="ar-SA"/>
        </w:rPr>
      </w:pPr>
      <w:hyperlink w:anchor="_Toc185511166" w:history="1">
        <w:r w:rsidR="00167EE8" w:rsidRPr="00E51E12">
          <w:rPr>
            <w:rStyle w:val="Hyperlink"/>
            <w:noProof/>
          </w:rPr>
          <w:t>12.</w:t>
        </w:r>
        <w:r w:rsidR="00167EE8">
          <w:rPr>
            <w:rFonts w:asciiTheme="minorHAnsi" w:eastAsiaTheme="minorEastAsia" w:hAnsiTheme="minorHAnsi" w:cstheme="minorBidi"/>
            <w:noProof/>
            <w:color w:val="auto"/>
            <w:sz w:val="22"/>
            <w:szCs w:val="22"/>
            <w:lang w:val="es-ES" w:eastAsia="es-ES" w:bidi="ar-SA"/>
          </w:rPr>
          <w:tab/>
        </w:r>
        <w:r w:rsidR="00167EE8" w:rsidRPr="00E51E12">
          <w:rPr>
            <w:rStyle w:val="Hyperlink"/>
            <w:noProof/>
          </w:rPr>
          <w:t>Ajuda</w:t>
        </w:r>
        <w:r w:rsidR="00167EE8">
          <w:rPr>
            <w:noProof/>
            <w:webHidden/>
          </w:rPr>
          <w:tab/>
        </w:r>
        <w:r w:rsidR="00167EE8">
          <w:rPr>
            <w:noProof/>
            <w:webHidden/>
          </w:rPr>
          <w:fldChar w:fldCharType="begin"/>
        </w:r>
        <w:r w:rsidR="00167EE8">
          <w:rPr>
            <w:noProof/>
            <w:webHidden/>
          </w:rPr>
          <w:instrText xml:space="preserve"> PAGEREF _Toc185511166 \h </w:instrText>
        </w:r>
        <w:r w:rsidR="00167EE8">
          <w:rPr>
            <w:noProof/>
            <w:webHidden/>
          </w:rPr>
        </w:r>
        <w:r w:rsidR="00167EE8">
          <w:rPr>
            <w:noProof/>
            <w:webHidden/>
          </w:rPr>
          <w:fldChar w:fldCharType="separate"/>
        </w:r>
        <w:r w:rsidR="00167EE8">
          <w:rPr>
            <w:noProof/>
            <w:webHidden/>
          </w:rPr>
          <w:t>32</w:t>
        </w:r>
        <w:r w:rsidR="00167EE8">
          <w:rPr>
            <w:noProof/>
            <w:webHidden/>
          </w:rPr>
          <w:fldChar w:fldCharType="end"/>
        </w:r>
      </w:hyperlink>
    </w:p>
    <w:p w14:paraId="46DFC15A" w14:textId="70D99C78" w:rsidR="000435C2" w:rsidRPr="00167EE8" w:rsidRDefault="00BA0CA3" w:rsidP="008049F0">
      <w:pPr>
        <w:pStyle w:val="Tableofcontents0"/>
        <w:tabs>
          <w:tab w:val="left" w:pos="421"/>
          <w:tab w:val="right" w:leader="dot" w:pos="8606"/>
        </w:tabs>
        <w:ind w:firstLine="0"/>
        <w:jc w:val="both"/>
      </w:pPr>
      <w:r w:rsidRPr="00167EE8">
        <w:fldChar w:fldCharType="end"/>
      </w:r>
    </w:p>
    <w:p w14:paraId="4C25EFEF" w14:textId="77777777" w:rsidR="000E41C6" w:rsidRPr="00167EE8" w:rsidRDefault="000E41C6" w:rsidP="000E41C6">
      <w:pPr>
        <w:pStyle w:val="Tableofcontents0"/>
        <w:tabs>
          <w:tab w:val="left" w:pos="421"/>
          <w:tab w:val="right" w:leader="dot" w:pos="8606"/>
        </w:tabs>
        <w:jc w:val="both"/>
      </w:pPr>
    </w:p>
    <w:p w14:paraId="534B5D69" w14:textId="77777777" w:rsidR="000E41C6" w:rsidRPr="00167EE8" w:rsidRDefault="000E41C6" w:rsidP="000E41C6">
      <w:pPr>
        <w:pStyle w:val="Tableofcontents0"/>
        <w:tabs>
          <w:tab w:val="left" w:pos="421"/>
          <w:tab w:val="right" w:leader="dot" w:pos="8606"/>
        </w:tabs>
        <w:jc w:val="both"/>
      </w:pPr>
    </w:p>
    <w:p w14:paraId="1EC44404" w14:textId="77777777" w:rsidR="000E41C6" w:rsidRPr="00167EE8" w:rsidRDefault="000E41C6" w:rsidP="000E41C6">
      <w:pPr>
        <w:pStyle w:val="Tableofcontents0"/>
        <w:tabs>
          <w:tab w:val="left" w:pos="421"/>
          <w:tab w:val="right" w:leader="dot" w:pos="8606"/>
        </w:tabs>
        <w:jc w:val="both"/>
      </w:pPr>
    </w:p>
    <w:p w14:paraId="5A09EF04" w14:textId="77777777" w:rsidR="000435C2" w:rsidRPr="00167EE8" w:rsidRDefault="008B332B" w:rsidP="008049F0">
      <w:pPr>
        <w:pStyle w:val="Heading1"/>
        <w:pageBreakBefore/>
        <w:numPr>
          <w:ilvl w:val="0"/>
          <w:numId w:val="0"/>
        </w:numPr>
      </w:pPr>
      <w:bookmarkStart w:id="2" w:name="bookmark5"/>
      <w:bookmarkStart w:id="3" w:name="_Toc185511130"/>
      <w:r w:rsidRPr="00167EE8">
        <w:rPr>
          <w:rStyle w:val="Headingnumber30"/>
          <w:b/>
        </w:rPr>
        <w:lastRenderedPageBreak/>
        <w:t>Introdução</w:t>
      </w:r>
      <w:bookmarkEnd w:id="2"/>
      <w:bookmarkEnd w:id="3"/>
    </w:p>
    <w:p w14:paraId="4A234804" w14:textId="77777777" w:rsidR="000435C2" w:rsidRPr="00167EE8" w:rsidRDefault="008B332B">
      <w:pPr>
        <w:keepNext/>
        <w:keepLines/>
        <w:spacing w:after="200"/>
        <w:jc w:val="both"/>
      </w:pPr>
      <w:bookmarkStart w:id="4" w:name="bookmark7"/>
      <w:r w:rsidRPr="00167EE8">
        <w:t xml:space="preserve">Trata-se de um convite à apresentação de propostas para subvenções de ação da UE no domínio do ensino superior no âmbito do </w:t>
      </w:r>
      <w:r w:rsidRPr="00167EE8">
        <w:rPr>
          <w:b/>
        </w:rPr>
        <w:t>Instrumento de Vizinhança, Desenvolvimento e Cooperação Internacional — Europa Global (NDICI-GE)</w:t>
      </w:r>
      <w:r w:rsidRPr="00167EE8">
        <w:t>.</w:t>
      </w:r>
      <w:bookmarkEnd w:id="4"/>
    </w:p>
    <w:p w14:paraId="468E99F2" w14:textId="77777777" w:rsidR="000435C2" w:rsidRPr="00167EE8" w:rsidRDefault="008B332B">
      <w:pPr>
        <w:pStyle w:val="BodyText"/>
        <w:spacing w:after="200"/>
        <w:jc w:val="both"/>
      </w:pPr>
      <w:r w:rsidRPr="00167EE8">
        <w:rPr>
          <w:rStyle w:val="BodyTextChar"/>
        </w:rPr>
        <w:t>O quadro regulamentar deste programa de financiamento da UE encontra-se estabelecido no:</w:t>
      </w:r>
    </w:p>
    <w:p w14:paraId="67B4A03E" w14:textId="39CBAB4C" w:rsidR="000435C2" w:rsidRPr="00167EE8" w:rsidRDefault="008B332B" w:rsidP="0056686A">
      <w:pPr>
        <w:pStyle w:val="Style1"/>
      </w:pPr>
      <w:r w:rsidRPr="00167EE8">
        <w:rPr>
          <w:rStyle w:val="BodyTextChar"/>
        </w:rPr>
        <w:t>Regulamento 2018/1046 (Regulamento Financeiro da UE)</w:t>
      </w:r>
    </w:p>
    <w:p w14:paraId="177467BB" w14:textId="77777777" w:rsidR="000435C2" w:rsidRPr="00167EE8" w:rsidRDefault="008B332B" w:rsidP="0056686A">
      <w:pPr>
        <w:pStyle w:val="Style1"/>
      </w:pPr>
      <w:r w:rsidRPr="00167EE8">
        <w:rPr>
          <w:rStyle w:val="BodyTextChar"/>
        </w:rPr>
        <w:t xml:space="preserve">ato de base (Regulamento NDICI </w:t>
      </w:r>
      <w:hyperlink r:id="rId17" w:history="1">
        <w:r w:rsidRPr="00167EE8">
          <w:rPr>
            <w:rStyle w:val="BodyTextChar"/>
          </w:rPr>
          <w:t xml:space="preserve"> 2021/947</w:t>
        </w:r>
        <w:r w:rsidRPr="00167EE8">
          <w:rPr>
            <w:rStyle w:val="BodyTextChar"/>
            <w:vertAlign w:val="superscript"/>
          </w:rPr>
          <w:footnoteReference w:id="1"/>
        </w:r>
      </w:hyperlink>
      <w:r w:rsidRPr="00167EE8">
        <w:rPr>
          <w:rStyle w:val="BodyTextChar"/>
        </w:rPr>
        <w:t>).</w:t>
      </w:r>
    </w:p>
    <w:p w14:paraId="67BC386A" w14:textId="77777777" w:rsidR="000435C2" w:rsidRPr="00167EE8" w:rsidRDefault="008B332B">
      <w:pPr>
        <w:pStyle w:val="BodyText"/>
        <w:spacing w:after="200"/>
        <w:jc w:val="both"/>
      </w:pPr>
      <w:r w:rsidRPr="00167EE8">
        <w:rPr>
          <w:rStyle w:val="BodyTextChar"/>
        </w:rPr>
        <w:t>O convite é lançado em conformidade com a Decisão de Financiamento para 2022-2024</w:t>
      </w:r>
      <w:r w:rsidRPr="00167EE8">
        <w:rPr>
          <w:rStyle w:val="BodyTextChar"/>
          <w:vertAlign w:val="superscript"/>
        </w:rPr>
        <w:footnoteReference w:id="2"/>
      </w:r>
      <w:r w:rsidRPr="00167EE8">
        <w:rPr>
          <w:rStyle w:val="BodyTextChar"/>
        </w:rPr>
        <w:t xml:space="preserve"> e será gerido pela </w:t>
      </w:r>
      <w:r w:rsidRPr="00167EE8">
        <w:rPr>
          <w:rStyle w:val="BodyTextChar"/>
          <w:b/>
        </w:rPr>
        <w:t>Agência de Execução Europeia da Educação e da Cultura (EACEA)</w:t>
      </w:r>
      <w:r w:rsidRPr="00167EE8">
        <w:rPr>
          <w:rStyle w:val="BodyTextChar"/>
        </w:rPr>
        <w:t xml:space="preserve"> («a Agência»).</w:t>
      </w:r>
    </w:p>
    <w:p w14:paraId="3ACD1F49" w14:textId="77777777" w:rsidR="000435C2" w:rsidRPr="00167EE8" w:rsidRDefault="008B332B">
      <w:pPr>
        <w:pStyle w:val="BodyText"/>
        <w:spacing w:after="200"/>
        <w:jc w:val="both"/>
      </w:pPr>
      <w:r w:rsidRPr="00167EE8">
        <w:rPr>
          <w:rStyle w:val="BodyTextChar"/>
        </w:rPr>
        <w:t xml:space="preserve">O convite abrange o seguinte </w:t>
      </w:r>
      <w:r w:rsidRPr="00167EE8">
        <w:rPr>
          <w:rStyle w:val="BodyTextChar"/>
          <w:b/>
        </w:rPr>
        <w:t>tema</w:t>
      </w:r>
      <w:r w:rsidRPr="00167EE8">
        <w:rPr>
          <w:rStyle w:val="BodyTextChar"/>
        </w:rPr>
        <w:t>:</w:t>
      </w:r>
    </w:p>
    <w:p w14:paraId="6A36191F" w14:textId="77777777" w:rsidR="000435C2" w:rsidRPr="00167EE8" w:rsidRDefault="008B332B" w:rsidP="006008C4">
      <w:pPr>
        <w:keepNext/>
        <w:keepLines/>
        <w:numPr>
          <w:ilvl w:val="0"/>
          <w:numId w:val="42"/>
        </w:numPr>
        <w:tabs>
          <w:tab w:val="left" w:pos="682"/>
        </w:tabs>
        <w:spacing w:after="200"/>
        <w:ind w:left="709" w:hanging="425"/>
        <w:jc w:val="both"/>
        <w:rPr>
          <w:b/>
          <w:bCs/>
          <w:color w:val="FF0000"/>
        </w:rPr>
      </w:pPr>
      <w:bookmarkStart w:id="5" w:name="bookmark9"/>
      <w:r w:rsidRPr="00167EE8">
        <w:rPr>
          <w:b/>
          <w:color w:val="FF0000"/>
        </w:rPr>
        <w:t>NDICI-2024-MOBAF — Programa de mobilidade académica Intra-África</w:t>
      </w:r>
      <w:bookmarkEnd w:id="5"/>
    </w:p>
    <w:p w14:paraId="386E9FCA" w14:textId="7B937A00" w:rsidR="000435C2" w:rsidRPr="00167EE8" w:rsidRDefault="008B332B" w:rsidP="0056686A">
      <w:pPr>
        <w:pStyle w:val="Style2"/>
      </w:pPr>
      <w:r w:rsidRPr="00167EE8">
        <w:rPr>
          <w:rStyle w:val="BodyTextChar"/>
        </w:rPr>
        <w:t xml:space="preserve">Convidamo-lo a ler atentamente a </w:t>
      </w:r>
      <w:r w:rsidRPr="00167EE8">
        <w:rPr>
          <w:rStyle w:val="BodyTextChar"/>
          <w:b/>
        </w:rPr>
        <w:t>documentação relativa ao convite à apresentação de propostas</w:t>
      </w:r>
      <w:r w:rsidRPr="00167EE8">
        <w:rPr>
          <w:rStyle w:val="BodyTextChar"/>
        </w:rPr>
        <w:t xml:space="preserve"> e, em especial, o documento do presente convite, o modelo de convenção de subvenção, o </w:t>
      </w:r>
      <w:r w:rsidRPr="00167EE8">
        <w:rPr>
          <w:color w:val="0088CC"/>
          <w:u w:val="single"/>
        </w:rPr>
        <w:t>EU Funding &amp; Tenders Portal Online Manual</w:t>
      </w:r>
      <w:r w:rsidRPr="00167EE8">
        <w:t xml:space="preserve"> [manual em linha sobre financiamento e concursos do Portal de Financiamento e Concursos da UE]</w:t>
      </w:r>
      <w:hyperlink r:id="rId18" w:history="1">
        <w:r w:rsidRPr="00167EE8">
          <w:rPr>
            <w:rStyle w:val="BodyTextChar"/>
          </w:rPr>
          <w:t xml:space="preserve"> e o </w:t>
        </w:r>
      </w:hyperlink>
      <w:r w:rsidRPr="00167EE8">
        <w:rPr>
          <w:color w:val="0088CC"/>
          <w:u w:val="single"/>
        </w:rPr>
        <w:t>EU Grants AGA — Annotated Grant Agreement</w:t>
      </w:r>
      <w:r w:rsidRPr="00167EE8">
        <w:t xml:space="preserve"> [Subvenções da UE — Convenção de Subvenção Anotada]</w:t>
      </w:r>
      <w:hyperlink r:id="rId19" w:history="1">
        <w:r w:rsidRPr="00167EE8">
          <w:rPr>
            <w:rStyle w:val="BodyTextChar"/>
          </w:rPr>
          <w:t>.</w:t>
        </w:r>
      </w:hyperlink>
    </w:p>
    <w:p w14:paraId="06F4E6F2" w14:textId="77777777" w:rsidR="000435C2" w:rsidRPr="00167EE8" w:rsidRDefault="008B332B">
      <w:pPr>
        <w:pStyle w:val="BodyText"/>
        <w:spacing w:after="200"/>
        <w:jc w:val="both"/>
      </w:pPr>
      <w:r w:rsidRPr="00167EE8">
        <w:rPr>
          <w:rStyle w:val="BodyTextChar"/>
        </w:rPr>
        <w:t>Estes documentos fornecem esclarecimentos e respostas a dúvidas suscetíveis de surgir na preparação das candidaturas:</w:t>
      </w:r>
    </w:p>
    <w:p w14:paraId="7C4C8E3A" w14:textId="77777777" w:rsidR="000435C2" w:rsidRPr="00167EE8" w:rsidRDefault="008B332B">
      <w:pPr>
        <w:pStyle w:val="BodyText"/>
        <w:numPr>
          <w:ilvl w:val="0"/>
          <w:numId w:val="2"/>
        </w:numPr>
        <w:tabs>
          <w:tab w:val="left" w:pos="721"/>
        </w:tabs>
        <w:spacing w:after="200"/>
        <w:ind w:firstLine="420"/>
        <w:jc w:val="both"/>
      </w:pPr>
      <w:r w:rsidRPr="00167EE8">
        <w:rPr>
          <w:rStyle w:val="BodyTextChar"/>
        </w:rPr>
        <w:t xml:space="preserve">o </w:t>
      </w:r>
      <w:r w:rsidRPr="00167EE8">
        <w:rPr>
          <w:rStyle w:val="BodyTextChar"/>
          <w:u w:val="single"/>
        </w:rPr>
        <w:t>documento do convite</w:t>
      </w:r>
      <w:r w:rsidRPr="00167EE8">
        <w:rPr>
          <w:rStyle w:val="BodyTextChar"/>
        </w:rPr>
        <w:t xml:space="preserve"> descreve o seguinte:</w:t>
      </w:r>
    </w:p>
    <w:p w14:paraId="1FF94FBE" w14:textId="77777777" w:rsidR="000435C2" w:rsidRPr="00167EE8" w:rsidRDefault="008B332B">
      <w:pPr>
        <w:pStyle w:val="BodyText"/>
        <w:numPr>
          <w:ilvl w:val="0"/>
          <w:numId w:val="3"/>
        </w:numPr>
        <w:tabs>
          <w:tab w:val="left" w:pos="1513"/>
        </w:tabs>
        <w:spacing w:after="200"/>
        <w:ind w:left="1500" w:hanging="360"/>
        <w:jc w:val="both"/>
      </w:pPr>
      <w:r w:rsidRPr="00167EE8">
        <w:rPr>
          <w:rStyle w:val="BodyTextChar"/>
        </w:rPr>
        <w:t>contexto, objetivos, âmbito, atividades que podem ser financiadas e resultados esperados (secções 1 e 2)</w:t>
      </w:r>
    </w:p>
    <w:p w14:paraId="3A74EB7D" w14:textId="77777777" w:rsidR="000435C2" w:rsidRPr="00167EE8" w:rsidRDefault="008B332B">
      <w:pPr>
        <w:pStyle w:val="BodyText"/>
        <w:numPr>
          <w:ilvl w:val="0"/>
          <w:numId w:val="3"/>
        </w:numPr>
        <w:tabs>
          <w:tab w:val="left" w:pos="1513"/>
        </w:tabs>
        <w:spacing w:after="200"/>
        <w:ind w:left="1140"/>
        <w:jc w:val="both"/>
      </w:pPr>
      <w:r w:rsidRPr="00167EE8">
        <w:rPr>
          <w:rStyle w:val="BodyTextChar"/>
        </w:rPr>
        <w:t>calendário e orçamento disponível (secções 3 e 4)</w:t>
      </w:r>
    </w:p>
    <w:p w14:paraId="327AEE7B" w14:textId="77777777" w:rsidR="000435C2" w:rsidRPr="00167EE8" w:rsidRDefault="008B332B">
      <w:pPr>
        <w:pStyle w:val="BodyText"/>
        <w:numPr>
          <w:ilvl w:val="0"/>
          <w:numId w:val="3"/>
        </w:numPr>
        <w:tabs>
          <w:tab w:val="left" w:pos="1513"/>
        </w:tabs>
        <w:spacing w:after="200"/>
        <w:ind w:left="1500" w:hanging="360"/>
        <w:jc w:val="both"/>
      </w:pPr>
      <w:r w:rsidRPr="00167EE8">
        <w:rPr>
          <w:rStyle w:val="BodyTextChar"/>
        </w:rPr>
        <w:t>condições de admissibilidade e de elegibilidade (incluindo documentos obrigatórios, secções 5 e 6)</w:t>
      </w:r>
    </w:p>
    <w:p w14:paraId="311BB6E2" w14:textId="77777777" w:rsidR="000435C2" w:rsidRPr="00167EE8" w:rsidRDefault="008B332B">
      <w:pPr>
        <w:pStyle w:val="BodyText"/>
        <w:numPr>
          <w:ilvl w:val="0"/>
          <w:numId w:val="3"/>
        </w:numPr>
        <w:tabs>
          <w:tab w:val="left" w:pos="1513"/>
        </w:tabs>
        <w:spacing w:after="200"/>
        <w:ind w:left="1140"/>
        <w:jc w:val="both"/>
      </w:pPr>
      <w:r w:rsidRPr="00167EE8">
        <w:rPr>
          <w:rStyle w:val="BodyTextChar"/>
        </w:rPr>
        <w:t>critérios de capacidade financeira e operacional e de exclusão (secção 7)</w:t>
      </w:r>
    </w:p>
    <w:p w14:paraId="0F43B98C" w14:textId="77777777" w:rsidR="000435C2" w:rsidRPr="00167EE8" w:rsidRDefault="008B332B">
      <w:pPr>
        <w:pStyle w:val="BodyText"/>
        <w:numPr>
          <w:ilvl w:val="0"/>
          <w:numId w:val="3"/>
        </w:numPr>
        <w:tabs>
          <w:tab w:val="left" w:pos="1513"/>
        </w:tabs>
        <w:spacing w:after="200"/>
        <w:ind w:left="1140"/>
        <w:jc w:val="both"/>
      </w:pPr>
      <w:r w:rsidRPr="00167EE8">
        <w:rPr>
          <w:rStyle w:val="BodyTextChar"/>
        </w:rPr>
        <w:t>procedimento de avaliação e atribuição (secção 8)</w:t>
      </w:r>
    </w:p>
    <w:p w14:paraId="3431E13D" w14:textId="77777777" w:rsidR="000435C2" w:rsidRPr="00167EE8" w:rsidRDefault="008B332B">
      <w:pPr>
        <w:pStyle w:val="BodyText"/>
        <w:numPr>
          <w:ilvl w:val="0"/>
          <w:numId w:val="3"/>
        </w:numPr>
        <w:tabs>
          <w:tab w:val="left" w:pos="1513"/>
        </w:tabs>
        <w:spacing w:after="200"/>
        <w:ind w:left="1140"/>
        <w:jc w:val="both"/>
      </w:pPr>
      <w:r w:rsidRPr="00167EE8">
        <w:rPr>
          <w:rStyle w:val="BodyTextChar"/>
        </w:rPr>
        <w:t>critérios de atribuição (secção 9)</w:t>
      </w:r>
    </w:p>
    <w:p w14:paraId="789AAF88" w14:textId="77777777" w:rsidR="000435C2" w:rsidRPr="00167EE8" w:rsidRDefault="008B332B">
      <w:pPr>
        <w:pStyle w:val="BodyText"/>
        <w:numPr>
          <w:ilvl w:val="0"/>
          <w:numId w:val="3"/>
        </w:numPr>
        <w:tabs>
          <w:tab w:val="left" w:pos="1513"/>
        </w:tabs>
        <w:spacing w:after="200"/>
        <w:ind w:left="1140"/>
        <w:jc w:val="both"/>
      </w:pPr>
      <w:r w:rsidRPr="00167EE8">
        <w:rPr>
          <w:rStyle w:val="BodyTextChar"/>
        </w:rPr>
        <w:t xml:space="preserve">estrutura jurídica e financeira das convenções de subvenção </w:t>
      </w:r>
      <w:r w:rsidRPr="00167EE8">
        <w:rPr>
          <w:rStyle w:val="BodyTextChar"/>
        </w:rPr>
        <w:lastRenderedPageBreak/>
        <w:t>(secção 10)</w:t>
      </w:r>
    </w:p>
    <w:p w14:paraId="614CF475" w14:textId="77777777" w:rsidR="000435C2" w:rsidRPr="00167EE8" w:rsidRDefault="008B332B">
      <w:pPr>
        <w:pStyle w:val="BodyText"/>
        <w:numPr>
          <w:ilvl w:val="0"/>
          <w:numId w:val="3"/>
        </w:numPr>
        <w:tabs>
          <w:tab w:val="left" w:pos="1513"/>
        </w:tabs>
        <w:spacing w:after="200"/>
        <w:ind w:left="1140"/>
        <w:jc w:val="both"/>
      </w:pPr>
      <w:r w:rsidRPr="00167EE8">
        <w:rPr>
          <w:rStyle w:val="BodyTextChar"/>
        </w:rPr>
        <w:t>como submeter a candidatura (secção 11)</w:t>
      </w:r>
    </w:p>
    <w:p w14:paraId="604B16AD" w14:textId="77777777" w:rsidR="000435C2" w:rsidRPr="00167EE8" w:rsidRDefault="008B332B">
      <w:pPr>
        <w:pStyle w:val="BodyText"/>
        <w:numPr>
          <w:ilvl w:val="0"/>
          <w:numId w:val="4"/>
        </w:numPr>
        <w:tabs>
          <w:tab w:val="left" w:pos="721"/>
        </w:tabs>
        <w:spacing w:after="200"/>
        <w:ind w:firstLine="420"/>
        <w:jc w:val="both"/>
      </w:pPr>
      <w:r w:rsidRPr="00167EE8">
        <w:rPr>
          <w:rStyle w:val="BodyTextChar"/>
        </w:rPr>
        <w:t xml:space="preserve">o </w:t>
      </w:r>
      <w:r w:rsidRPr="00167EE8">
        <w:rPr>
          <w:rStyle w:val="BodyTextChar"/>
          <w:u w:val="single"/>
        </w:rPr>
        <w:t>manual em linha</w:t>
      </w:r>
      <w:r w:rsidRPr="00167EE8">
        <w:rPr>
          <w:rStyle w:val="BodyTextChar"/>
        </w:rPr>
        <w:t xml:space="preserve"> descreve o seguinte:</w:t>
      </w:r>
    </w:p>
    <w:p w14:paraId="3BB1D373" w14:textId="77777777" w:rsidR="000435C2" w:rsidRPr="00167EE8" w:rsidRDefault="008B332B">
      <w:pPr>
        <w:pStyle w:val="BodyText"/>
        <w:numPr>
          <w:ilvl w:val="0"/>
          <w:numId w:val="4"/>
        </w:numPr>
        <w:tabs>
          <w:tab w:val="left" w:pos="1513"/>
        </w:tabs>
        <w:spacing w:after="200"/>
        <w:ind w:left="1500" w:hanging="360"/>
        <w:jc w:val="both"/>
      </w:pPr>
      <w:r w:rsidRPr="00167EE8">
        <w:rPr>
          <w:rStyle w:val="BodyTextChar"/>
        </w:rPr>
        <w:t>os procedimentos para o registo e a apresentação de propostas em linha através do Portal de Financiamento e Concursos da UE («o Portal»)</w:t>
      </w:r>
    </w:p>
    <w:p w14:paraId="3009AC22" w14:textId="77777777" w:rsidR="000435C2" w:rsidRPr="00167EE8" w:rsidRDefault="008B332B">
      <w:pPr>
        <w:pStyle w:val="BodyText"/>
        <w:numPr>
          <w:ilvl w:val="0"/>
          <w:numId w:val="4"/>
        </w:numPr>
        <w:tabs>
          <w:tab w:val="left" w:pos="1460"/>
        </w:tabs>
        <w:ind w:left="1100"/>
        <w:jc w:val="both"/>
      </w:pPr>
      <w:r w:rsidRPr="00167EE8">
        <w:rPr>
          <w:rStyle w:val="BodyTextChar"/>
        </w:rPr>
        <w:t>recomendações para a preparação da candidatura</w:t>
      </w:r>
    </w:p>
    <w:p w14:paraId="7E1D6785" w14:textId="407555FB" w:rsidR="000435C2" w:rsidRPr="00167EE8" w:rsidRDefault="008B332B" w:rsidP="0056686A">
      <w:pPr>
        <w:pStyle w:val="BodyText"/>
        <w:numPr>
          <w:ilvl w:val="0"/>
          <w:numId w:val="4"/>
        </w:numPr>
        <w:tabs>
          <w:tab w:val="left" w:pos="721"/>
        </w:tabs>
        <w:spacing w:after="200"/>
        <w:ind w:firstLine="420"/>
        <w:jc w:val="both"/>
      </w:pPr>
      <w:r w:rsidRPr="00167EE8">
        <w:rPr>
          <w:rStyle w:val="BodyTextChar"/>
        </w:rPr>
        <w:t xml:space="preserve">a </w:t>
      </w:r>
      <w:r w:rsidRPr="00167EE8">
        <w:rPr>
          <w:rStyle w:val="BodyTextChar"/>
          <w:u w:val="single"/>
        </w:rPr>
        <w:t>AGA — Convenção de Subvenção Anotada</w:t>
      </w:r>
      <w:r w:rsidRPr="00167EE8">
        <w:rPr>
          <w:rStyle w:val="BodyTextChar"/>
        </w:rPr>
        <w:t xml:space="preserve"> contém:</w:t>
      </w:r>
    </w:p>
    <w:p w14:paraId="49194AFB" w14:textId="77777777" w:rsidR="000435C2" w:rsidRPr="00167EE8" w:rsidRDefault="008B332B">
      <w:pPr>
        <w:pStyle w:val="BodyText"/>
        <w:numPr>
          <w:ilvl w:val="0"/>
          <w:numId w:val="4"/>
        </w:numPr>
        <w:tabs>
          <w:tab w:val="left" w:pos="1460"/>
        </w:tabs>
        <w:ind w:left="1460" w:hanging="360"/>
        <w:jc w:val="both"/>
      </w:pPr>
      <w:r w:rsidRPr="00167EE8">
        <w:rPr>
          <w:rStyle w:val="BodyTextChar"/>
        </w:rPr>
        <w:t xml:space="preserve">Anotações pormenorizadas sobre todas as disposições da convenção de subvenção que terá de assinar para obter a subvenção </w:t>
      </w:r>
      <w:r w:rsidRPr="00167EE8">
        <w:rPr>
          <w:rStyle w:val="BodyTextChar"/>
          <w:i/>
        </w:rPr>
        <w:t>(incluindo elegibilidade dos custos, calendário de pagamento, obrigações acessórias, etc.)</w:t>
      </w:r>
      <w:r w:rsidRPr="00167EE8">
        <w:rPr>
          <w:rStyle w:val="BodyTextChar"/>
        </w:rPr>
        <w:t>.</w:t>
      </w:r>
    </w:p>
    <w:p w14:paraId="6A5E6E26" w14:textId="64922DD3" w:rsidR="000435C2" w:rsidRPr="00167EE8" w:rsidRDefault="008B332B" w:rsidP="0056686A">
      <w:pPr>
        <w:pStyle w:val="Style3"/>
      </w:pPr>
      <w:r w:rsidRPr="00167EE8">
        <w:rPr>
          <w:rStyle w:val="BodyTextChar"/>
        </w:rPr>
        <w:t xml:space="preserve">Convidamo-lo também a visitar a página </w:t>
      </w:r>
      <w:r w:rsidRPr="00167EE8">
        <w:rPr>
          <w:color w:val="0088CC"/>
          <w:u w:val="single"/>
        </w:rPr>
        <w:t>Intra-Africa Scholarships on Europa</w:t>
      </w:r>
      <w:r w:rsidRPr="00167EE8">
        <w:rPr>
          <w:rStyle w:val="BodyTextChar"/>
        </w:rPr>
        <w:t xml:space="preserve"> para consultar a lista de projetos financiados anteriormente.</w:t>
      </w:r>
    </w:p>
    <w:p w14:paraId="43B4A862" w14:textId="45A8C30B" w:rsidR="000435C2" w:rsidRPr="00167EE8" w:rsidRDefault="008B332B" w:rsidP="00A45543">
      <w:pPr>
        <w:pStyle w:val="Heading1"/>
      </w:pPr>
      <w:bookmarkStart w:id="6" w:name="bookmark11"/>
      <w:bookmarkStart w:id="7" w:name="_Toc185511131"/>
      <w:r w:rsidRPr="00167EE8">
        <w:rPr>
          <w:rStyle w:val="Heading3"/>
          <w:b/>
        </w:rPr>
        <w:t>Contexto</w:t>
      </w:r>
      <w:bookmarkEnd w:id="6"/>
      <w:bookmarkEnd w:id="7"/>
    </w:p>
    <w:p w14:paraId="04AC85C1" w14:textId="77777777" w:rsidR="000435C2" w:rsidRPr="00167EE8" w:rsidRDefault="008B332B">
      <w:pPr>
        <w:pStyle w:val="BodyText"/>
        <w:spacing w:after="100"/>
        <w:jc w:val="both"/>
      </w:pPr>
      <w:r w:rsidRPr="00167EE8">
        <w:rPr>
          <w:rStyle w:val="BodyTextChar"/>
        </w:rPr>
        <w:t xml:space="preserve">A </w:t>
      </w:r>
      <w:r w:rsidRPr="00167EE8">
        <w:rPr>
          <w:rStyle w:val="BodyTextChar"/>
          <w:b/>
        </w:rPr>
        <w:t>Global Gateway</w:t>
      </w:r>
      <w:r w:rsidRPr="00167EE8">
        <w:rPr>
          <w:rStyle w:val="BodyTextChar"/>
        </w:rPr>
        <w:t xml:space="preserve"> é a estratégia da Europa para promover ligações inteligentes, limpas e seguras nos setores digital, da energia e dos transportes e para reforçar a saúde, a educação e os sistemas de investigação em todo o mundo</w:t>
      </w:r>
      <w:r w:rsidRPr="00167EE8">
        <w:rPr>
          <w:rStyle w:val="BodyTextChar"/>
          <w:vertAlign w:val="superscript"/>
        </w:rPr>
        <w:footnoteReference w:id="3"/>
      </w:r>
      <w:r w:rsidRPr="00167EE8">
        <w:rPr>
          <w:rStyle w:val="BodyTextChar"/>
        </w:rPr>
        <w:t>. Neste contexto, a UE pretende mobilizar 300 mil milhões de euros em investimentos até 2027, com cerca de 150 mil milhões de EUR de investimento destinados a reforçar a cooperação com os parceiros africanos no âmbito do pacote de investimento «Global Gateway Africa-Europe».</w:t>
      </w:r>
    </w:p>
    <w:p w14:paraId="699401E5" w14:textId="77777777" w:rsidR="000435C2" w:rsidRPr="00167EE8" w:rsidRDefault="008B332B">
      <w:pPr>
        <w:pStyle w:val="BodyText"/>
        <w:spacing w:after="100"/>
        <w:jc w:val="both"/>
      </w:pPr>
      <w:r w:rsidRPr="00167EE8">
        <w:rPr>
          <w:rStyle w:val="BodyTextChar"/>
        </w:rPr>
        <w:t>Avançar para uma economia baseada no conhecimento e colocar o capital humano qualificado no centro da agenda de África é essencial para construir a autonomia estratégica, a solidez e a resiliência do continente para enfrentar os grandes desafios. A Agenda 2063 para África procura catalisar a revolução da educação e das competências e promover ativamente a ciência, a tecnologia, a investigação e a inovação, a fim de desenvolver o conhecimento, o capital humano, as capacidades e as competências necessárias para impulsionar a inovação.</w:t>
      </w:r>
    </w:p>
    <w:p w14:paraId="6E19A4A7" w14:textId="77777777" w:rsidR="000435C2" w:rsidRPr="00167EE8" w:rsidRDefault="008B332B">
      <w:pPr>
        <w:pStyle w:val="BodyText"/>
        <w:spacing w:after="100"/>
        <w:jc w:val="both"/>
      </w:pPr>
      <w:r w:rsidRPr="00167EE8">
        <w:rPr>
          <w:rStyle w:val="BodyTextChar"/>
        </w:rPr>
        <w:t>Os sistemas e instituições do ensino superior, trabalhando em conjunto, ajudam a acelerar o progresso no sentido da implementação dos cinco pilares do pacote de investimento «Global Gateway Africa-Europe». Os pontos de entrada podem ser através de uma ou várias das quatro principais funções que se espera que as IES desempenhem, a saber: I) a preparação de profissionais qualificados para o emprego produtivo, ii) a geração de conhecimentos, a adaptação e a difusão através da investigação e inovação e do envolvimento com a economia local, iii) o reforço das capacidades institucionais e iv) a transmissão de valores positivos e competências dos cidadãos para apoiar sociedades democráticas fortes.</w:t>
      </w:r>
    </w:p>
    <w:p w14:paraId="68CE7B2C" w14:textId="77777777" w:rsidR="000435C2" w:rsidRPr="00167EE8" w:rsidRDefault="008B332B">
      <w:pPr>
        <w:pStyle w:val="BodyText"/>
        <w:spacing w:after="100"/>
        <w:jc w:val="both"/>
      </w:pPr>
      <w:r w:rsidRPr="00167EE8">
        <w:rPr>
          <w:rStyle w:val="BodyTextChar"/>
        </w:rPr>
        <w:t xml:space="preserve">O Programa de mobilidade académica intra-África é uma continuação dos programas anteriores conexos, o Programa de Mobilidade Académica Intra-ACP 2010-2013 e o Programa de Mobilidade Académica intra-África 2016-2020. Com base na sua experiência anterior </w:t>
      </w:r>
      <w:proofErr w:type="gramStart"/>
      <w:r w:rsidRPr="00167EE8">
        <w:rPr>
          <w:rStyle w:val="BodyTextChar"/>
        </w:rPr>
        <w:t>bem sucedida</w:t>
      </w:r>
      <w:proofErr w:type="gramEnd"/>
      <w:r w:rsidRPr="00167EE8">
        <w:rPr>
          <w:rStyle w:val="BodyTextChar"/>
        </w:rPr>
        <w:t xml:space="preserve">, a ação visa contribuir para o desenvolvimento económico, social e humano de África, melhorando as aptidões e competências dos </w:t>
      </w:r>
      <w:r w:rsidRPr="00167EE8">
        <w:rPr>
          <w:rStyle w:val="BodyTextChar"/>
        </w:rPr>
        <w:lastRenderedPageBreak/>
        <w:t>estudantes, dos estagiários e do pessoal universitário em diferentes áreas, através de oportunidades de mobilidade para fins de aprendizagem em todo o continente africano.</w:t>
      </w:r>
    </w:p>
    <w:p w14:paraId="54584563" w14:textId="001A2D2A" w:rsidR="000435C2" w:rsidRPr="00167EE8" w:rsidRDefault="008B332B">
      <w:pPr>
        <w:pStyle w:val="BodyText"/>
        <w:spacing w:after="100"/>
        <w:jc w:val="both"/>
        <w:rPr>
          <w:rStyle w:val="BodyTextChar"/>
        </w:rPr>
      </w:pPr>
      <w:r w:rsidRPr="00167EE8">
        <w:rPr>
          <w:rStyle w:val="BodyTextChar"/>
        </w:rPr>
        <w:t>Ao prestar especial atenção ao reforço dos mecanismos destinados a garantir uma mobilidade de aprendizagem mais equitativa e inclusiva para todos, a ação apoiará projetos de mobilidade entre as instituições africanas de ensino superior (IES), centrando-se, entre outros temas, nos domínios relacionados com as alterações climáticas e a transição ecológica, em consonância com as políticas externas da UE.</w:t>
      </w:r>
    </w:p>
    <w:p w14:paraId="596AD136" w14:textId="77777777" w:rsidR="000435C2" w:rsidRPr="00167EE8" w:rsidRDefault="008B332B">
      <w:pPr>
        <w:pStyle w:val="BodyText"/>
        <w:spacing w:after="100"/>
        <w:jc w:val="both"/>
      </w:pPr>
      <w:r w:rsidRPr="00167EE8">
        <w:rPr>
          <w:rStyle w:val="BodyTextChar"/>
        </w:rPr>
        <w:t>A médio prazo, o programa apoiará a harmonização de programas e currículos baseados nos resultados entre as IES participantes e o desenvolvimento de mecanismos para melhorar a transparência e o reconhecimento de créditos/graus académicos e outras qualificações. Tal irá, por sua vez, reforçar a mobilidade académica e laboral no continente e apoiar a operacionalização do Acordo de Comércio Livre Continental Africano (AfCFTA), do Protocolo ao Tratado que institui a Comunidade Económica Africana relativo à livre circulação de pessoas, ao direito de residência e ao direito de estabelecimento (Protocolo relativo à Livre Circulação) e da Convenção de Adis Abeba sobre o reconhecimento das qualificações de ensino superior. A ação prevê apoiar as IES nas suas capacidades para executar projetos de mobilidade e, por conseguinte, as suas parcerias e cooperação académica, com o objetivo de contribuir para o «Espaço Africano de Ensino Superior e Investigação».</w:t>
      </w:r>
    </w:p>
    <w:p w14:paraId="71E8F42F" w14:textId="77777777" w:rsidR="000435C2" w:rsidRPr="00167EE8" w:rsidRDefault="008B332B">
      <w:pPr>
        <w:pStyle w:val="BodyText"/>
        <w:spacing w:after="100"/>
        <w:jc w:val="both"/>
      </w:pPr>
      <w:r w:rsidRPr="00167EE8">
        <w:rPr>
          <w:rStyle w:val="BodyTextChar"/>
        </w:rPr>
        <w:t>Além disso, ao apoiar uma colaboração reforçada entre as IES e as empresas para a mobilidade de estudantes e estagiários, a ação reforçará também a antecipação e a adequação das competências, bem como a inovação e a transferência de conhecimentos entre o meio académico e as empresas. Tal ajudará a responder à procura de competências de alto nível e às necessidades de conhecimento para apoiar economias verdes e a transformação digital no continente.</w:t>
      </w:r>
    </w:p>
    <w:p w14:paraId="10EC9AAD" w14:textId="77777777" w:rsidR="000435C2" w:rsidRPr="00167EE8" w:rsidRDefault="008B332B">
      <w:pPr>
        <w:pStyle w:val="BodyText"/>
        <w:spacing w:after="100"/>
        <w:jc w:val="both"/>
      </w:pPr>
      <w:r w:rsidRPr="00167EE8">
        <w:rPr>
          <w:rStyle w:val="BodyTextChar"/>
        </w:rPr>
        <w:t>Por último, o Programa de mobilidade académica intra-África irá criar sinergias com as ações Erasmus+, bem como com a iniciativa «Harmonização da Garantia e Acreditação da Qualidade do Ensino Superior Africano (HAQAA II)</w:t>
      </w:r>
      <w:r w:rsidRPr="00167EE8">
        <w:rPr>
          <w:rStyle w:val="BodyTextChar"/>
          <w:vertAlign w:val="superscript"/>
        </w:rPr>
        <w:footnoteReference w:id="4"/>
      </w:r>
      <w:r w:rsidRPr="00167EE8">
        <w:rPr>
          <w:rStyle w:val="BodyTextChar"/>
        </w:rPr>
        <w:t>», contribuindo para a estratégia global da UE de apoio ao reforço dos sistemas de ensino superior no continente africano.</w:t>
      </w:r>
    </w:p>
    <w:p w14:paraId="5FF68C07" w14:textId="4367D7F8" w:rsidR="000435C2" w:rsidRPr="00167EE8" w:rsidRDefault="008B332B">
      <w:pPr>
        <w:pStyle w:val="BodyText"/>
        <w:spacing w:after="640"/>
        <w:jc w:val="both"/>
      </w:pPr>
      <w:r w:rsidRPr="00167EE8">
        <w:rPr>
          <w:rStyle w:val="BodyTextChar"/>
        </w:rPr>
        <w:t>A ação faz parte da iniciativa emblemática «Mobilidade dos jovens para África» no âmbito do pacote de investimento UE-África Global Gateway</w:t>
      </w:r>
      <w:r w:rsidR="0056686A" w:rsidRPr="00167EE8">
        <w:rPr>
          <w:rStyle w:val="FootnoteReference"/>
        </w:rPr>
        <w:footnoteReference w:id="5"/>
      </w:r>
      <w:r w:rsidRPr="00167EE8">
        <w:rPr>
          <w:rStyle w:val="BodyTextChar"/>
        </w:rPr>
        <w:t>, que visa apoiar oportunidades de aprendizagem e intercâmbios e, em última análise, promover a África como um destino de estudo atrativo. A «mobilidade dos jovens para África» é uma das várias iniciativas emblemáticas no âmbito da Estratégia Global Gateway que investe em educação de qualidade, competências e formação técnica e profissional em África e em todo o mundo.</w:t>
      </w:r>
    </w:p>
    <w:p w14:paraId="1066D6B1" w14:textId="77777777" w:rsidR="000435C2" w:rsidRPr="00167EE8" w:rsidRDefault="008B332B" w:rsidP="00BF35B3">
      <w:pPr>
        <w:pStyle w:val="Heading1"/>
        <w:rPr>
          <w:rStyle w:val="BodyTextChar"/>
        </w:rPr>
      </w:pPr>
      <w:bookmarkStart w:id="8" w:name="bookmark14"/>
      <w:bookmarkStart w:id="9" w:name="_Toc185511132"/>
      <w:r w:rsidRPr="00167EE8">
        <w:rPr>
          <w:rStyle w:val="BodyTextChar"/>
        </w:rPr>
        <w:t>Objetivos — Temas e prioridades — Atividades que podem ser financiadas — Impacto esperado</w:t>
      </w:r>
      <w:bookmarkEnd w:id="8"/>
      <w:bookmarkEnd w:id="9"/>
    </w:p>
    <w:p w14:paraId="5446F83A" w14:textId="77777777" w:rsidR="000435C2" w:rsidRPr="00167EE8" w:rsidRDefault="008B332B" w:rsidP="00A45543">
      <w:pPr>
        <w:keepNext/>
        <w:keepLines/>
        <w:spacing w:after="180"/>
        <w:jc w:val="both"/>
        <w:rPr>
          <w:b/>
          <w:bCs/>
          <w:color w:val="FF0000"/>
          <w:szCs w:val="20"/>
        </w:rPr>
      </w:pPr>
      <w:bookmarkStart w:id="10" w:name="bookmark15"/>
      <w:r w:rsidRPr="00167EE8">
        <w:rPr>
          <w:b/>
          <w:color w:val="FF0000"/>
        </w:rPr>
        <w:t>NDICI-2024-MOBAF — Programa de mobilidade académica Intra-África</w:t>
      </w:r>
      <w:bookmarkEnd w:id="10"/>
    </w:p>
    <w:p w14:paraId="41AD9E30" w14:textId="77777777" w:rsidR="000435C2" w:rsidRPr="00167EE8" w:rsidRDefault="008B332B" w:rsidP="00BF35B3">
      <w:pPr>
        <w:pStyle w:val="Heading2"/>
      </w:pPr>
      <w:bookmarkStart w:id="11" w:name="bookmark17"/>
      <w:bookmarkStart w:id="12" w:name="_Toc185511133"/>
      <w:r w:rsidRPr="00167EE8">
        <w:rPr>
          <w:rStyle w:val="Heading3"/>
          <w:b/>
        </w:rPr>
        <w:t>Objetivos</w:t>
      </w:r>
      <w:bookmarkEnd w:id="11"/>
      <w:bookmarkEnd w:id="12"/>
    </w:p>
    <w:p w14:paraId="3C9A7E77" w14:textId="77777777" w:rsidR="000435C2" w:rsidRPr="00167EE8" w:rsidRDefault="008B332B">
      <w:pPr>
        <w:pStyle w:val="BodyText"/>
        <w:jc w:val="both"/>
      </w:pPr>
      <w:r w:rsidRPr="00167EE8">
        <w:rPr>
          <w:rStyle w:val="BodyTextChar"/>
        </w:rPr>
        <w:t>O objetivo geral desta ação é aumentar as competências e qualificações em todo o continente africano.</w:t>
      </w:r>
    </w:p>
    <w:p w14:paraId="0DF26BB5" w14:textId="77777777" w:rsidR="000435C2" w:rsidRPr="00167EE8" w:rsidRDefault="008B332B">
      <w:pPr>
        <w:pStyle w:val="BodyText"/>
        <w:jc w:val="both"/>
      </w:pPr>
      <w:r w:rsidRPr="00167EE8">
        <w:rPr>
          <w:rStyle w:val="BodyTextChar"/>
        </w:rPr>
        <w:lastRenderedPageBreak/>
        <w:t>Os objetivos específicos desta ação são os seguintes:</w:t>
      </w:r>
    </w:p>
    <w:p w14:paraId="281AB561" w14:textId="77777777" w:rsidR="000435C2" w:rsidRPr="00167EE8" w:rsidRDefault="008B332B" w:rsidP="006008C4">
      <w:pPr>
        <w:pStyle w:val="BodyText"/>
        <w:numPr>
          <w:ilvl w:val="0"/>
          <w:numId w:val="5"/>
        </w:numPr>
        <w:tabs>
          <w:tab w:val="left" w:pos="289"/>
        </w:tabs>
        <w:ind w:left="300" w:hanging="300"/>
        <w:jc w:val="both"/>
      </w:pPr>
      <w:r w:rsidRPr="00167EE8">
        <w:rPr>
          <w:rStyle w:val="BodyTextChar"/>
        </w:rPr>
        <w:t>Promover oportunidades de mobilidade inclusiva para fins de aprendizagem, com destaque para a atenuação das alterações climáticas e a adaptação às mesmas nos programas curriculares e de investigação;</w:t>
      </w:r>
    </w:p>
    <w:p w14:paraId="23AD0DAD" w14:textId="77777777" w:rsidR="000435C2" w:rsidRPr="00167EE8" w:rsidRDefault="008B332B" w:rsidP="006008C4">
      <w:pPr>
        <w:pStyle w:val="BodyText"/>
        <w:numPr>
          <w:ilvl w:val="0"/>
          <w:numId w:val="5"/>
        </w:numPr>
        <w:tabs>
          <w:tab w:val="left" w:pos="303"/>
        </w:tabs>
        <w:ind w:left="300" w:hanging="300"/>
        <w:jc w:val="both"/>
      </w:pPr>
      <w:r w:rsidRPr="00167EE8">
        <w:rPr>
          <w:rStyle w:val="BodyTextChar"/>
        </w:rPr>
        <w:t>Aumentar a empregabilidade dos estudantes do ensino superior e dos estagiários, especificamente em empregos verdes, e as suas competências em matéria de empreendedorismo;</w:t>
      </w:r>
    </w:p>
    <w:p w14:paraId="40F26B9B" w14:textId="77777777" w:rsidR="000435C2" w:rsidRPr="00167EE8" w:rsidRDefault="008B332B" w:rsidP="006008C4">
      <w:pPr>
        <w:pStyle w:val="BodyText"/>
        <w:numPr>
          <w:ilvl w:val="0"/>
          <w:numId w:val="5"/>
        </w:numPr>
        <w:tabs>
          <w:tab w:val="left" w:pos="303"/>
        </w:tabs>
        <w:ind w:left="300" w:hanging="300"/>
        <w:jc w:val="both"/>
      </w:pPr>
      <w:r w:rsidRPr="00167EE8">
        <w:rPr>
          <w:rStyle w:val="BodyTextChar"/>
        </w:rPr>
        <w:t>Melhorar a qualidade, a relevância, a internacionalização e a incidência das alterações climáticas do ensino superior em África.</w:t>
      </w:r>
    </w:p>
    <w:p w14:paraId="2F16F745" w14:textId="77777777" w:rsidR="000435C2" w:rsidRPr="00167EE8" w:rsidRDefault="008B332B" w:rsidP="00BF35B3">
      <w:pPr>
        <w:pStyle w:val="Heading2"/>
        <w:rPr>
          <w:rStyle w:val="BodyTextChar"/>
          <w:b w:val="0"/>
          <w:bCs w:val="0"/>
          <w:i/>
          <w:iCs/>
          <w:u w:val="single"/>
        </w:rPr>
      </w:pPr>
      <w:bookmarkStart w:id="13" w:name="bookmark19"/>
      <w:bookmarkStart w:id="14" w:name="_Toc185511134"/>
      <w:r w:rsidRPr="00167EE8">
        <w:rPr>
          <w:rStyle w:val="BodyTextChar"/>
          <w:b w:val="0"/>
          <w:i/>
          <w:u w:val="single"/>
        </w:rPr>
        <w:t>Temas e prioridades (âmbito de aplicação)</w:t>
      </w:r>
      <w:bookmarkEnd w:id="13"/>
      <w:bookmarkEnd w:id="14"/>
    </w:p>
    <w:p w14:paraId="1F18E35E" w14:textId="77777777" w:rsidR="000435C2" w:rsidRPr="00167EE8" w:rsidRDefault="008B332B" w:rsidP="008B332B">
      <w:pPr>
        <w:pStyle w:val="Style4"/>
      </w:pPr>
      <w:r w:rsidRPr="00167EE8">
        <w:rPr>
          <w:rStyle w:val="BodyTextChar"/>
        </w:rPr>
        <w:t xml:space="preserve">O presente convite está aberto a </w:t>
      </w:r>
      <w:r w:rsidRPr="00167EE8">
        <w:rPr>
          <w:rStyle w:val="BodyTextChar"/>
          <w:b/>
        </w:rPr>
        <w:t xml:space="preserve">temas/áreas temáticas alinhados com as prioridades do Global Gateway a nível de país </w:t>
      </w:r>
      <w:hyperlink r:id="rId20" w:history="1">
        <w:r w:rsidRPr="00167EE8">
          <w:rPr>
            <w:rStyle w:val="BodyTextChar"/>
            <w:b/>
          </w:rPr>
          <w:t>(</w:t>
        </w:r>
        <w:r w:rsidRPr="00167EE8">
          <w:rPr>
            <w:rStyle w:val="BodyTextChar"/>
            <w:b/>
            <w:color w:val="0088CC"/>
            <w:u w:val="single"/>
          </w:rPr>
          <w:t>projetos emblemáticos</w:t>
        </w:r>
        <w:r w:rsidRPr="00167EE8">
          <w:rPr>
            <w:rStyle w:val="BodyTextChar"/>
            <w:b/>
          </w:rPr>
          <w:t>)</w:t>
        </w:r>
      </w:hyperlink>
      <w:r w:rsidRPr="00167EE8">
        <w:rPr>
          <w:rStyle w:val="BodyTextChar"/>
        </w:rPr>
        <w:t>. Cada candidato tem de demonstrar de que forma irá abordar e contribuir para os setores dos projetos emblemáticos (nacionais e/ou regionais) do seu país, enumerados no quadro seguinte. Os projetos devem ser capazes de demonstrar o valor acrescentado que trazem aos setores dos projetos emblemáticos.</w:t>
      </w:r>
    </w:p>
    <w:p w14:paraId="18D743B3" w14:textId="77777777" w:rsidR="000435C2" w:rsidRPr="00167EE8" w:rsidRDefault="008B332B">
      <w:pPr>
        <w:pStyle w:val="BodyText"/>
        <w:jc w:val="both"/>
      </w:pPr>
      <w:r w:rsidRPr="00167EE8">
        <w:rPr>
          <w:rStyle w:val="BodyTextChar"/>
        </w:rPr>
        <w:t>Os projetos emblemáticos «Global Gateway» abrangem principalmente os seguintes setores:</w:t>
      </w:r>
    </w:p>
    <w:p w14:paraId="154CE67F" w14:textId="77777777" w:rsidR="000435C2" w:rsidRPr="00167EE8" w:rsidRDefault="008B332B" w:rsidP="006008C4">
      <w:pPr>
        <w:pStyle w:val="BodyText"/>
        <w:numPr>
          <w:ilvl w:val="0"/>
          <w:numId w:val="43"/>
        </w:numPr>
        <w:tabs>
          <w:tab w:val="left" w:pos="712"/>
        </w:tabs>
        <w:spacing w:after="0" w:line="218" w:lineRule="auto"/>
        <w:jc w:val="both"/>
      </w:pPr>
      <w:r w:rsidRPr="00167EE8">
        <w:rPr>
          <w:rStyle w:val="BodyTextChar"/>
        </w:rPr>
        <w:t>Clima e Energia (por exemplo, atenuação, resiliência climática, energia limpa)</w:t>
      </w:r>
    </w:p>
    <w:p w14:paraId="42336004" w14:textId="77777777" w:rsidR="000435C2" w:rsidRPr="00167EE8" w:rsidRDefault="008B332B" w:rsidP="006008C4">
      <w:pPr>
        <w:pStyle w:val="BodyText"/>
        <w:numPr>
          <w:ilvl w:val="0"/>
          <w:numId w:val="43"/>
        </w:numPr>
        <w:tabs>
          <w:tab w:val="left" w:pos="712"/>
        </w:tabs>
        <w:spacing w:after="0" w:line="218" w:lineRule="auto"/>
        <w:jc w:val="both"/>
      </w:pPr>
      <w:r w:rsidRPr="00167EE8">
        <w:rPr>
          <w:rStyle w:val="BodyTextChar"/>
        </w:rPr>
        <w:t>Digital</w:t>
      </w:r>
    </w:p>
    <w:p w14:paraId="47F7570A" w14:textId="68301951" w:rsidR="000435C2" w:rsidRPr="00167EE8" w:rsidRDefault="008B332B" w:rsidP="006008C4">
      <w:pPr>
        <w:pStyle w:val="BodyText"/>
        <w:numPr>
          <w:ilvl w:val="0"/>
          <w:numId w:val="43"/>
        </w:numPr>
        <w:tabs>
          <w:tab w:val="left" w:pos="712"/>
        </w:tabs>
        <w:spacing w:after="0" w:line="218" w:lineRule="auto"/>
        <w:jc w:val="both"/>
      </w:pPr>
      <w:r w:rsidRPr="00167EE8">
        <w:rPr>
          <w:rStyle w:val="BodyTextChar"/>
        </w:rPr>
        <w:t>Educação e investigação</w:t>
      </w:r>
    </w:p>
    <w:p w14:paraId="76D2EF73" w14:textId="77777777" w:rsidR="000435C2" w:rsidRPr="00167EE8" w:rsidRDefault="008B332B" w:rsidP="006008C4">
      <w:pPr>
        <w:pStyle w:val="BodyText"/>
        <w:numPr>
          <w:ilvl w:val="0"/>
          <w:numId w:val="43"/>
        </w:numPr>
        <w:tabs>
          <w:tab w:val="left" w:pos="712"/>
        </w:tabs>
        <w:spacing w:after="0" w:line="218" w:lineRule="auto"/>
        <w:jc w:val="both"/>
      </w:pPr>
      <w:r w:rsidRPr="00167EE8">
        <w:rPr>
          <w:rStyle w:val="BodyTextChar"/>
        </w:rPr>
        <w:t>Transportes</w:t>
      </w:r>
    </w:p>
    <w:p w14:paraId="1539004C" w14:textId="3C0EFD4B" w:rsidR="000435C2" w:rsidRPr="00167EE8" w:rsidRDefault="008B332B" w:rsidP="006008C4">
      <w:pPr>
        <w:pStyle w:val="BodyText"/>
        <w:numPr>
          <w:ilvl w:val="0"/>
          <w:numId w:val="43"/>
        </w:numPr>
        <w:spacing w:after="100" w:line="218" w:lineRule="auto"/>
        <w:jc w:val="both"/>
      </w:pPr>
      <w:r w:rsidRPr="00167EE8">
        <w:rPr>
          <w:rStyle w:val="BodyTextChar"/>
        </w:rPr>
        <w:t>Saúde (por exemplo, cadeias de abastecimento de produtos farmacêuticos e fabrico local)</w:t>
      </w:r>
    </w:p>
    <w:p w14:paraId="46CD1E47" w14:textId="77777777" w:rsidR="000435C2" w:rsidRPr="00167EE8" w:rsidRDefault="008B332B">
      <w:pPr>
        <w:pStyle w:val="BodyText"/>
        <w:spacing w:after="100"/>
        <w:jc w:val="both"/>
      </w:pPr>
      <w:r w:rsidRPr="00167EE8">
        <w:rPr>
          <w:rStyle w:val="BodyTextChar"/>
        </w:rPr>
        <w:t>Espera-se que os projetos selecionados promovam o desenvolvimento de aptidões e competências em domínios específicos do meio académico (i) para reforçar o papel do ensino superior no país da Estratégia Global Gateway e/ou em projetos emblemáticos setoriais regionais e (ii) maximizar os benefícios para os estudantes e estagiários em mobilidade através de programas académicos de qualidade e da oferta de estágios.</w:t>
      </w:r>
    </w:p>
    <w:p w14:paraId="460F6C40" w14:textId="77777777" w:rsidR="000435C2" w:rsidRPr="00167EE8" w:rsidRDefault="008B332B" w:rsidP="008B332B">
      <w:pPr>
        <w:pStyle w:val="Style5"/>
      </w:pPr>
      <w:r w:rsidRPr="00167EE8">
        <w:t>A</w:t>
      </w:r>
      <w:hyperlink r:id="rId21" w:history="1">
        <w:r w:rsidRPr="00167EE8">
          <w:rPr>
            <w:rStyle w:val="BodyTextChar"/>
            <w:color w:val="0088CC"/>
            <w:u w:val="single"/>
          </w:rPr>
          <w:t>ligação</w:t>
        </w:r>
      </w:hyperlink>
      <w:r w:rsidRPr="00167EE8">
        <w:rPr>
          <w:rStyle w:val="BodyTextChar"/>
        </w:rPr>
        <w:t>seguinte apresenta os setores por país que devem ser visados nas propostas de cada candidato, bem como a lista pormenorizada dos projetos emblemáticos por país.</w:t>
      </w:r>
    </w:p>
    <w:p w14:paraId="58B8A0A6" w14:textId="77777777" w:rsidR="000435C2" w:rsidRPr="00167EE8" w:rsidRDefault="008B332B">
      <w:pPr>
        <w:pStyle w:val="BodyText"/>
        <w:spacing w:after="100"/>
        <w:jc w:val="both"/>
      </w:pPr>
      <w:r w:rsidRPr="00167EE8">
        <w:rPr>
          <w:rStyle w:val="BodyTextChar"/>
        </w:rPr>
        <w:t>A ação dá prioridade a medidas destinadas a apoiar a igualdade de género, a participação e a capacitação dos jovens e das mulheres. A este respeito, espera-se igualmente que cada projeto tome medidas adequadas para atrair candidaturas de mobilidade de mulheres. A promoção das oportunidades de mobilidade e dos processos de seleção deve ser sensível ao género, com o objetivo de promover o equilíbrio de género entre os beneficiários (pessoal, estudantes e estagiários).</w:t>
      </w:r>
    </w:p>
    <w:p w14:paraId="3DF7F27F" w14:textId="77777777" w:rsidR="000435C2" w:rsidRPr="00167EE8" w:rsidRDefault="008B332B">
      <w:pPr>
        <w:pStyle w:val="BodyText"/>
        <w:jc w:val="both"/>
      </w:pPr>
      <w:r w:rsidRPr="00167EE8">
        <w:rPr>
          <w:rStyle w:val="BodyTextChar"/>
        </w:rPr>
        <w:t>Os projetos devem também procurar aumentar a participação de estudantes, estagiários e pessoal mais jovens e de participantes com necessidades especiais ou com estatuto vulnerável (por exemplo, provenientes de meios socioeconómicos desfavorecidos, países/regiões frágeis e menos desenvolvidos, com estatuto de refugiados).</w:t>
      </w:r>
    </w:p>
    <w:p w14:paraId="6C1EC514" w14:textId="77777777" w:rsidR="000435C2" w:rsidRPr="00167EE8" w:rsidRDefault="008B332B" w:rsidP="00BF35B3">
      <w:pPr>
        <w:pStyle w:val="Heading2"/>
        <w:rPr>
          <w:b w:val="0"/>
          <w:bCs w:val="0"/>
        </w:rPr>
      </w:pPr>
      <w:bookmarkStart w:id="15" w:name="bookmark20"/>
      <w:bookmarkStart w:id="16" w:name="_Toc185511135"/>
      <w:r w:rsidRPr="00167EE8">
        <w:rPr>
          <w:rStyle w:val="BodyTextChar"/>
          <w:b w:val="0"/>
          <w:i/>
          <w:u w:val="single"/>
        </w:rPr>
        <w:t>Atividades que podem ser financiadas (âmbito de aplicação)</w:t>
      </w:r>
      <w:bookmarkEnd w:id="15"/>
      <w:bookmarkEnd w:id="16"/>
    </w:p>
    <w:p w14:paraId="737B9363" w14:textId="77777777" w:rsidR="000435C2" w:rsidRPr="00167EE8" w:rsidRDefault="008B332B">
      <w:pPr>
        <w:pStyle w:val="BodyText"/>
        <w:spacing w:after="100"/>
        <w:jc w:val="both"/>
      </w:pPr>
      <w:r w:rsidRPr="00167EE8">
        <w:rPr>
          <w:rStyle w:val="BodyTextChar"/>
        </w:rPr>
        <w:t xml:space="preserve">Os projetos selecionados implicarão a organização e implementação de mobilidade internacional para estudantes, formandos e pessoal, bem como a implementação de </w:t>
      </w:r>
      <w:r w:rsidRPr="00167EE8">
        <w:rPr>
          <w:rStyle w:val="BodyTextChar"/>
        </w:rPr>
        <w:lastRenderedPageBreak/>
        <w:t>atividades institucionais conexas.</w:t>
      </w:r>
    </w:p>
    <w:p w14:paraId="66D2385F" w14:textId="77777777" w:rsidR="000435C2" w:rsidRPr="00167EE8" w:rsidRDefault="008B332B">
      <w:pPr>
        <w:pStyle w:val="BodyText"/>
        <w:spacing w:after="240"/>
        <w:jc w:val="both"/>
      </w:pPr>
      <w:r w:rsidRPr="00167EE8">
        <w:rPr>
          <w:rStyle w:val="BodyTextChar"/>
        </w:rPr>
        <w:t>Todas as atividades devem ser realizadas dentro do período de elegibilidade conforme definido na convenção de subvenção.</w:t>
      </w:r>
    </w:p>
    <w:p w14:paraId="29C974A5" w14:textId="77777777" w:rsidR="000435C2" w:rsidRPr="00167EE8" w:rsidRDefault="008B332B">
      <w:pPr>
        <w:pStyle w:val="BodyText"/>
        <w:spacing w:after="100"/>
        <w:jc w:val="both"/>
      </w:pPr>
      <w:r w:rsidRPr="00167EE8">
        <w:rPr>
          <w:rStyle w:val="BodyTextChar"/>
        </w:rPr>
        <w:t>O consórcio de IES que concordou em cooperar no projeto de mobilidade deverá também envolver países e IES com pouca ou nenhuma experiência anterior no âmbito do programa intra-África e realizar atividades para reforçar a sua internacionalização e modernização, bem como as suas ligações com o setor empresarial. Para o efeito, durante a execução do projeto, o consórcio deve:</w:t>
      </w:r>
    </w:p>
    <w:p w14:paraId="308CB981" w14:textId="77777777" w:rsidR="000435C2" w:rsidRPr="00167EE8" w:rsidRDefault="008B332B" w:rsidP="006008C4">
      <w:pPr>
        <w:pStyle w:val="BodyText"/>
        <w:numPr>
          <w:ilvl w:val="0"/>
          <w:numId w:val="6"/>
        </w:numPr>
        <w:tabs>
          <w:tab w:val="left" w:pos="735"/>
        </w:tabs>
        <w:spacing w:after="100"/>
        <w:ind w:left="740" w:hanging="360"/>
        <w:jc w:val="both"/>
      </w:pPr>
      <w:r w:rsidRPr="00167EE8">
        <w:rPr>
          <w:rStyle w:val="BodyTextChar"/>
        </w:rPr>
        <w:t>Elaborar um acordo de consórcio entre as IES participantes com o objetivo de alcançar uma boa gestão do projeto, que deverá abordar todos os principais aspetos relacionados com as disposições internas de coordenação e funcionamento.</w:t>
      </w:r>
    </w:p>
    <w:p w14:paraId="21B5625B" w14:textId="77777777" w:rsidR="000435C2" w:rsidRPr="00167EE8" w:rsidRDefault="008B332B" w:rsidP="006008C4">
      <w:pPr>
        <w:pStyle w:val="BodyText"/>
        <w:numPr>
          <w:ilvl w:val="0"/>
          <w:numId w:val="6"/>
        </w:numPr>
        <w:tabs>
          <w:tab w:val="left" w:pos="735"/>
        </w:tabs>
        <w:spacing w:after="100"/>
        <w:ind w:left="740" w:hanging="360"/>
        <w:jc w:val="both"/>
      </w:pPr>
      <w:r w:rsidRPr="00167EE8">
        <w:rPr>
          <w:rStyle w:val="BodyTextChar"/>
        </w:rPr>
        <w:t>Prever capacidades de recursos humanos adequadas em cada IES participante, para lidar com a gestão administrativa e financeira da subvenção, incluindo a apresentação contínua de relatórios sobre os dados e as atividades em matéria de mobilidade.</w:t>
      </w:r>
    </w:p>
    <w:p w14:paraId="468B0464" w14:textId="77777777" w:rsidR="000435C2" w:rsidRPr="00167EE8" w:rsidRDefault="008B332B" w:rsidP="006008C4">
      <w:pPr>
        <w:pStyle w:val="BodyText"/>
        <w:numPr>
          <w:ilvl w:val="0"/>
          <w:numId w:val="6"/>
        </w:numPr>
        <w:tabs>
          <w:tab w:val="left" w:pos="735"/>
        </w:tabs>
        <w:spacing w:after="100"/>
        <w:ind w:left="740" w:hanging="360"/>
        <w:jc w:val="both"/>
      </w:pPr>
      <w:r w:rsidRPr="00167EE8">
        <w:rPr>
          <w:rStyle w:val="BodyTextChar"/>
        </w:rPr>
        <w:t>Criar um conselho de gestão do projeto para assegurar uma gestão coesa das atividades do projeto, que inclua representantes dos serviços pertinentes (por exemplo, finanças, serviço de estudantes, escritório internacional, garantia da qualidade, etc.).</w:t>
      </w:r>
    </w:p>
    <w:p w14:paraId="5E34472B" w14:textId="77777777" w:rsidR="000435C2" w:rsidRPr="00167EE8" w:rsidRDefault="008B332B" w:rsidP="006008C4">
      <w:pPr>
        <w:pStyle w:val="BodyText"/>
        <w:numPr>
          <w:ilvl w:val="0"/>
          <w:numId w:val="6"/>
        </w:numPr>
        <w:tabs>
          <w:tab w:val="left" w:pos="735"/>
        </w:tabs>
        <w:spacing w:after="100"/>
        <w:ind w:left="740" w:hanging="360"/>
        <w:jc w:val="both"/>
      </w:pPr>
      <w:r w:rsidRPr="00167EE8">
        <w:rPr>
          <w:rStyle w:val="BodyTextChar"/>
        </w:rPr>
        <w:t>Realizar atividades para reforçar a capacidade das IES participantes, tais como o intercâmbio de experiências em gabinetes de relações internacionais, a construção de redes, o intercâmbio de práticas/métodos de ensino e investigação, a atualização e harmonização dos programas curriculares, o desenvolvimento de novos projetos de colaboração, etc.</w:t>
      </w:r>
    </w:p>
    <w:p w14:paraId="169B2A78" w14:textId="77777777" w:rsidR="000435C2" w:rsidRPr="00167EE8" w:rsidRDefault="008B332B" w:rsidP="006008C4">
      <w:pPr>
        <w:pStyle w:val="BodyText"/>
        <w:numPr>
          <w:ilvl w:val="0"/>
          <w:numId w:val="6"/>
        </w:numPr>
        <w:tabs>
          <w:tab w:val="left" w:pos="735"/>
        </w:tabs>
        <w:spacing w:after="100"/>
        <w:ind w:left="740" w:hanging="360"/>
        <w:jc w:val="both"/>
      </w:pPr>
      <w:r w:rsidRPr="00167EE8">
        <w:rPr>
          <w:rStyle w:val="BodyTextChar"/>
        </w:rPr>
        <w:t>Criar mecanismos adequados para executar o regime de mobilidade entre IES de diferentes países e regiões, incluindo disposições para comparar currículos e competências e reconhecer os períodos de estudo no estrangeiro.</w:t>
      </w:r>
    </w:p>
    <w:p w14:paraId="59B8FC02" w14:textId="77777777" w:rsidR="000435C2" w:rsidRPr="00167EE8" w:rsidRDefault="008B332B" w:rsidP="006008C4">
      <w:pPr>
        <w:pStyle w:val="BodyText"/>
        <w:numPr>
          <w:ilvl w:val="0"/>
          <w:numId w:val="6"/>
        </w:numPr>
        <w:tabs>
          <w:tab w:val="left" w:pos="735"/>
        </w:tabs>
        <w:spacing w:after="100"/>
        <w:ind w:left="740" w:hanging="360"/>
        <w:jc w:val="both"/>
      </w:pPr>
      <w:r w:rsidRPr="00167EE8">
        <w:rPr>
          <w:rStyle w:val="BodyTextChar"/>
        </w:rPr>
        <w:t>Estabelecer ligações e acordos de cooperação com agentes empresariais privados e/ou públicos (incluindo a nomeação nos conselhos de administração dos projetos), a fim de facilitar o diálogo entre universidades e empregadores, desenvolver e implementar a mobilidade dos estagiários e reforçar os serviços de carreira, a inovação, a transferência de conhecimentos, bem como a antecipação e a adequação de competências.</w:t>
      </w:r>
    </w:p>
    <w:p w14:paraId="28A8BE55" w14:textId="77777777" w:rsidR="000435C2" w:rsidRPr="00167EE8" w:rsidRDefault="008B332B" w:rsidP="006008C4">
      <w:pPr>
        <w:pStyle w:val="BodyText"/>
        <w:numPr>
          <w:ilvl w:val="0"/>
          <w:numId w:val="6"/>
        </w:numPr>
        <w:tabs>
          <w:tab w:val="left" w:pos="735"/>
        </w:tabs>
        <w:spacing w:after="100"/>
        <w:ind w:left="740" w:hanging="360"/>
        <w:jc w:val="both"/>
      </w:pPr>
      <w:r w:rsidRPr="00167EE8">
        <w:rPr>
          <w:rStyle w:val="BodyTextChar"/>
        </w:rPr>
        <w:t>Criar mecanismos e instrumentos internos e, quando possível, externos de garantia da qualidade para avaliar a execução geral do projeto, nomeadamente as modalidades de gestão e cooperação, processos de candidatura e seleção, serviços institucionais e apoio prestado antes, durante e após a mobilidade, atividades de acompanhamento em períodos pós-mobilidade, etc. Estes mecanismos devem permitir também avaliar/medir o impacto do projeto a todos os níveis.</w:t>
      </w:r>
    </w:p>
    <w:p w14:paraId="6C9A820B" w14:textId="77777777" w:rsidR="000435C2" w:rsidRPr="00167EE8" w:rsidRDefault="008B332B" w:rsidP="006008C4">
      <w:pPr>
        <w:pStyle w:val="BodyText"/>
        <w:numPr>
          <w:ilvl w:val="0"/>
          <w:numId w:val="6"/>
        </w:numPr>
        <w:tabs>
          <w:tab w:val="left" w:pos="735"/>
        </w:tabs>
        <w:spacing w:after="100"/>
        <w:ind w:left="740" w:hanging="360"/>
        <w:jc w:val="both"/>
      </w:pPr>
      <w:r w:rsidRPr="00167EE8">
        <w:rPr>
          <w:rStyle w:val="BodyTextChar"/>
        </w:rPr>
        <w:t>Desenvolver um plano de sustentabilidade para favorecer a criação de ligações duradouras entre as IES envolvidas - e com o setor empresarial - e assegurar a continuação financeira e operacional da colaboração para além do financiamento da UE.</w:t>
      </w:r>
    </w:p>
    <w:p w14:paraId="7E7BBE8D" w14:textId="77777777" w:rsidR="000435C2" w:rsidRPr="00167EE8" w:rsidRDefault="008B332B">
      <w:pPr>
        <w:pStyle w:val="BodyText"/>
        <w:jc w:val="both"/>
      </w:pPr>
      <w:r w:rsidRPr="00167EE8">
        <w:rPr>
          <w:rStyle w:val="BodyTextChar"/>
        </w:rPr>
        <w:t xml:space="preserve">Neste processo, espera-se que a IES candidata da UE, que participa como Parceiro Técnico, preste aconselhamento e apoio ativo através da transferência de conhecimentos e da partilha de experiências, em especial na gestão académica, administrativa e financeira do projeto e do programa de mobilidade. O seu papel e participação devem ser definidos na candidatura e não devem limitar-se à </w:t>
      </w:r>
      <w:r w:rsidRPr="00167EE8">
        <w:rPr>
          <w:rStyle w:val="BodyTextChar"/>
        </w:rPr>
        <w:lastRenderedPageBreak/>
        <w:t>participação na mobilidade do pessoal.</w:t>
      </w:r>
    </w:p>
    <w:p w14:paraId="6C4A306A" w14:textId="77777777" w:rsidR="000435C2" w:rsidRPr="00167EE8" w:rsidRDefault="008B332B">
      <w:pPr>
        <w:pStyle w:val="BodyText"/>
        <w:jc w:val="both"/>
      </w:pPr>
      <w:r w:rsidRPr="00167EE8">
        <w:rPr>
          <w:rStyle w:val="BodyTextChar"/>
        </w:rPr>
        <w:t>As atividades acima referidas devem conduzir a resultados concretos em termos de:</w:t>
      </w:r>
    </w:p>
    <w:p w14:paraId="75F2938F" w14:textId="77777777" w:rsidR="00BF35B3" w:rsidRPr="00167EE8" w:rsidRDefault="008B332B" w:rsidP="006008C4">
      <w:pPr>
        <w:pStyle w:val="BodyText"/>
        <w:numPr>
          <w:ilvl w:val="0"/>
          <w:numId w:val="6"/>
        </w:numPr>
        <w:spacing w:after="0"/>
        <w:ind w:firstLine="380"/>
        <w:jc w:val="both"/>
        <w:rPr>
          <w:rStyle w:val="BodyTextChar"/>
        </w:rPr>
      </w:pPr>
      <w:r w:rsidRPr="00167EE8">
        <w:rPr>
          <w:rStyle w:val="BodyTextChar"/>
        </w:rPr>
        <w:t>Número de IES participantes envolvidos pela primeira vez no programa;</w:t>
      </w:r>
    </w:p>
    <w:p w14:paraId="77530AE5" w14:textId="1F17FA85" w:rsidR="000435C2" w:rsidRPr="00167EE8" w:rsidRDefault="008B332B" w:rsidP="006008C4">
      <w:pPr>
        <w:pStyle w:val="BodyText"/>
        <w:numPr>
          <w:ilvl w:val="0"/>
          <w:numId w:val="6"/>
        </w:numPr>
        <w:spacing w:after="0"/>
        <w:ind w:firstLine="380"/>
        <w:jc w:val="both"/>
        <w:rPr>
          <w:rStyle w:val="BodyTextChar"/>
        </w:rPr>
      </w:pPr>
      <w:r w:rsidRPr="00167EE8">
        <w:rPr>
          <w:rStyle w:val="BodyTextChar"/>
        </w:rPr>
        <w:t>Número de IES participantes que desenvolveram procedimentos internos para executar projetos de mobilidade internacional, com o apoio desta ação;</w:t>
      </w:r>
    </w:p>
    <w:p w14:paraId="742F6F4C" w14:textId="47DC7080" w:rsidR="000435C2" w:rsidRPr="00167EE8" w:rsidRDefault="008B332B" w:rsidP="006008C4">
      <w:pPr>
        <w:pStyle w:val="BodyText"/>
        <w:numPr>
          <w:ilvl w:val="0"/>
          <w:numId w:val="6"/>
        </w:numPr>
        <w:spacing w:after="0"/>
        <w:ind w:firstLine="380"/>
        <w:jc w:val="both"/>
        <w:rPr>
          <w:rStyle w:val="BodyTextChar"/>
        </w:rPr>
      </w:pPr>
      <w:r w:rsidRPr="00167EE8">
        <w:rPr>
          <w:rStyle w:val="BodyTextChar"/>
        </w:rPr>
        <w:t>Número de IES que desenvolveram uma estratégia de internacionalização, novos escritórios/estruturas internacionais ou melhoraram os existentes;</w:t>
      </w:r>
    </w:p>
    <w:p w14:paraId="1FB1C97C" w14:textId="7C1F9D16" w:rsidR="000435C2" w:rsidRPr="00167EE8" w:rsidRDefault="008B332B" w:rsidP="006008C4">
      <w:pPr>
        <w:pStyle w:val="BodyText"/>
        <w:numPr>
          <w:ilvl w:val="0"/>
          <w:numId w:val="6"/>
        </w:numPr>
        <w:spacing w:after="0"/>
        <w:ind w:firstLine="380"/>
        <w:jc w:val="both"/>
        <w:rPr>
          <w:rStyle w:val="BodyTextChar"/>
        </w:rPr>
      </w:pPr>
      <w:r w:rsidRPr="00167EE8">
        <w:rPr>
          <w:rStyle w:val="BodyTextChar"/>
        </w:rPr>
        <w:t>Número de IES participantes em que são desenvolvidos ou revistos novos currículos baseados nos resultados em resultado dos projetos de mobilidade;</w:t>
      </w:r>
    </w:p>
    <w:p w14:paraId="5C7DC19F" w14:textId="2332BBF1" w:rsidR="00BF35B3" w:rsidRPr="00167EE8" w:rsidRDefault="008B332B" w:rsidP="006008C4">
      <w:pPr>
        <w:pStyle w:val="BodyText"/>
        <w:numPr>
          <w:ilvl w:val="0"/>
          <w:numId w:val="6"/>
        </w:numPr>
        <w:spacing w:after="720"/>
        <w:ind w:left="380"/>
        <w:jc w:val="both"/>
      </w:pPr>
      <w:r w:rsidRPr="00167EE8">
        <w:rPr>
          <w:rStyle w:val="BodyTextChar"/>
        </w:rPr>
        <w:t>Número de acordos estabelecidos entre IES participantes e parceiros comerciais através de projetos de mobilidade (estágios, projetos de investigação conjuntos, publicações conjuntas, etc.).</w:t>
      </w:r>
    </w:p>
    <w:p w14:paraId="7CF12BB2" w14:textId="77777777" w:rsidR="000435C2" w:rsidRPr="00167EE8" w:rsidRDefault="008B332B" w:rsidP="00BF35B3">
      <w:pPr>
        <w:pStyle w:val="BodyText"/>
        <w:keepNext/>
        <w:keepLines/>
        <w:spacing w:after="100"/>
        <w:jc w:val="both"/>
      </w:pPr>
      <w:r w:rsidRPr="00167EE8">
        <w:rPr>
          <w:rStyle w:val="BodyTextChar"/>
          <w:b/>
          <w:i/>
          <w:u w:val="single"/>
        </w:rPr>
        <w:t>Criação de um programa de mobilidade</w:t>
      </w:r>
    </w:p>
    <w:p w14:paraId="4B263C81" w14:textId="77777777" w:rsidR="000435C2" w:rsidRPr="00167EE8" w:rsidRDefault="008B332B" w:rsidP="00BF35B3">
      <w:pPr>
        <w:pStyle w:val="BodyText"/>
        <w:keepNext/>
        <w:keepLines/>
        <w:spacing w:after="200"/>
        <w:jc w:val="both"/>
      </w:pPr>
      <w:r w:rsidRPr="00167EE8">
        <w:rPr>
          <w:rStyle w:val="BodyTextChar"/>
        </w:rPr>
        <w:t>Espera-se que o consórcio crie condições ótimas, através de medidas de apoio de qualidade, para que estudantes, estagiários e pessoal realizem períodos de mobilidade (de trabalho/estudo/aprendizagem/investigação/formação) na organização de acolhimento.</w:t>
      </w:r>
    </w:p>
    <w:p w14:paraId="14EC0FFC" w14:textId="77777777" w:rsidR="000435C2" w:rsidRPr="00167EE8" w:rsidRDefault="008B332B">
      <w:pPr>
        <w:pStyle w:val="BodyText"/>
        <w:spacing w:after="200"/>
        <w:jc w:val="both"/>
      </w:pPr>
      <w:r w:rsidRPr="00167EE8">
        <w:rPr>
          <w:rStyle w:val="BodyTextChar"/>
        </w:rPr>
        <w:t>A fim de alcançar este objetivo durante a execução do projeto, o consórcio deve:</w:t>
      </w:r>
    </w:p>
    <w:p w14:paraId="3F2DF856" w14:textId="77777777" w:rsidR="000435C2" w:rsidRPr="00167EE8" w:rsidRDefault="008B332B" w:rsidP="006008C4">
      <w:pPr>
        <w:pStyle w:val="BodyText"/>
        <w:numPr>
          <w:ilvl w:val="0"/>
          <w:numId w:val="7"/>
        </w:numPr>
        <w:tabs>
          <w:tab w:val="left" w:pos="433"/>
        </w:tabs>
        <w:spacing w:after="120"/>
        <w:ind w:left="440" w:hanging="440"/>
        <w:jc w:val="both"/>
      </w:pPr>
      <w:r w:rsidRPr="00167EE8">
        <w:rPr>
          <w:rStyle w:val="BodyTextChar"/>
        </w:rPr>
        <w:t>Desenvolver uma estratégia clara de promoção e visibilidade para o consórcio incluindo um sítio Web específico do projeto que faça explicitamente referência ao «Programa de mobilidade académica Intra-África» e que disponibilize informações abrangentes sobre o projeto dos pontos de vista académico, financeiro e administrativo. Tal deve incluir uma estratégia sólida de promoção conjunta de oportunidades de bolsa de estudo para chegar ao maior número possível de potenciais candidatos/candidatos a bolsa de estudo no continente africano, com especial atenção para as candidatas do sexo feminino e para os candidatos com necessidades especiais ou situações vulneráveis (por exemplo, oriundos de meios socioeconómicos desfavorecidos, países/regiões frágeis e menos desenvolvidos, com estatuto de refugiado).</w:t>
      </w:r>
    </w:p>
    <w:p w14:paraId="619CC126" w14:textId="77777777" w:rsidR="000435C2" w:rsidRPr="00167EE8" w:rsidRDefault="008B332B" w:rsidP="006008C4">
      <w:pPr>
        <w:pStyle w:val="BodyText"/>
        <w:numPr>
          <w:ilvl w:val="0"/>
          <w:numId w:val="7"/>
        </w:numPr>
        <w:tabs>
          <w:tab w:val="left" w:pos="433"/>
        </w:tabs>
        <w:spacing w:after="120" w:line="226" w:lineRule="auto"/>
        <w:ind w:left="440" w:hanging="440"/>
        <w:jc w:val="both"/>
      </w:pPr>
      <w:r w:rsidRPr="00167EE8">
        <w:rPr>
          <w:rStyle w:val="BodyTextChar"/>
        </w:rPr>
        <w:t>Desenvolver um plano claro para a contribuição da mobilidade do pessoal para os objetivos gerais do projeto e a sua execução.</w:t>
      </w:r>
    </w:p>
    <w:p w14:paraId="55AABAB3" w14:textId="77777777" w:rsidR="000435C2" w:rsidRPr="00167EE8" w:rsidRDefault="008B332B" w:rsidP="006008C4">
      <w:pPr>
        <w:pStyle w:val="BodyText"/>
        <w:numPr>
          <w:ilvl w:val="0"/>
          <w:numId w:val="7"/>
        </w:numPr>
        <w:tabs>
          <w:tab w:val="left" w:pos="433"/>
        </w:tabs>
        <w:spacing w:after="120"/>
        <w:ind w:left="440" w:hanging="440"/>
        <w:jc w:val="both"/>
      </w:pPr>
      <w:r w:rsidRPr="00167EE8">
        <w:rPr>
          <w:rStyle w:val="BodyTextChar"/>
        </w:rPr>
        <w:t>Criar um mecanismo aberto e centralizado para a seleção de estudantes, estagiários e pessoal (incluindo a abertura dos convites à apresentação de propostas) que garanta a transparência que garanta a transparência do processo de seleção e um tratamento equitativo das candidaturas individuais.</w:t>
      </w:r>
    </w:p>
    <w:p w14:paraId="11C95473" w14:textId="77777777" w:rsidR="000435C2" w:rsidRPr="00167EE8" w:rsidRDefault="008B332B" w:rsidP="006008C4">
      <w:pPr>
        <w:pStyle w:val="BodyText"/>
        <w:numPr>
          <w:ilvl w:val="0"/>
          <w:numId w:val="7"/>
        </w:numPr>
        <w:tabs>
          <w:tab w:val="left" w:pos="433"/>
        </w:tabs>
        <w:spacing w:after="120"/>
        <w:ind w:left="440" w:hanging="440"/>
        <w:jc w:val="both"/>
      </w:pPr>
      <w:r w:rsidRPr="00167EE8">
        <w:rPr>
          <w:rStyle w:val="BodyTextChar"/>
        </w:rPr>
        <w:t>Elaborar procedimentos e critérios para a seleção de estudantes, estagiários e pessoal para participarem nas atividades de mobilidade individuais. Estes critérios de seleção devem respeitar os critérios de mobilidade específicos descritos no presente convite e, no caso dos estudantes, os critérios de admissão definidos por cada IES de acolhimento. O processo e a data-limite de candidatura à bolsa de estudo devem ser concebidos de forma a facultar aos candidatos todas as informações necessárias com bastante antecedência para lhes permitir tempo suficiente para prepararem e enviarem a sua candidatura.</w:t>
      </w:r>
    </w:p>
    <w:p w14:paraId="73B97712" w14:textId="77777777" w:rsidR="000435C2" w:rsidRPr="00167EE8" w:rsidRDefault="008B332B" w:rsidP="006008C4">
      <w:pPr>
        <w:pStyle w:val="BodyText"/>
        <w:numPr>
          <w:ilvl w:val="0"/>
          <w:numId w:val="7"/>
        </w:numPr>
        <w:tabs>
          <w:tab w:val="left" w:pos="433"/>
        </w:tabs>
        <w:spacing w:after="120" w:line="233" w:lineRule="auto"/>
        <w:ind w:left="440" w:hanging="440"/>
        <w:jc w:val="both"/>
      </w:pPr>
      <w:r w:rsidRPr="00167EE8">
        <w:rPr>
          <w:rStyle w:val="BodyTextChar"/>
        </w:rPr>
        <w:t>Oferecer serviços e instalações comuns aos bolseiros (por exemplo, acolhimento, alojamento, acompanhamento, assistência antes e durante a mobilidade, apoio a vistos, autorizações de residência e investigação, apoio linguístico).</w:t>
      </w:r>
    </w:p>
    <w:p w14:paraId="2D19EFB1" w14:textId="77777777" w:rsidR="000435C2" w:rsidRPr="00167EE8" w:rsidRDefault="008B332B" w:rsidP="006008C4">
      <w:pPr>
        <w:pStyle w:val="BodyText"/>
        <w:numPr>
          <w:ilvl w:val="0"/>
          <w:numId w:val="7"/>
        </w:numPr>
        <w:tabs>
          <w:tab w:val="left" w:pos="433"/>
        </w:tabs>
        <w:spacing w:after="120"/>
        <w:ind w:left="440" w:hanging="440"/>
        <w:jc w:val="both"/>
      </w:pPr>
      <w:r w:rsidRPr="00167EE8">
        <w:rPr>
          <w:rStyle w:val="BodyTextChar"/>
        </w:rPr>
        <w:lastRenderedPageBreak/>
        <w:t xml:space="preserve">Estabelecer </w:t>
      </w:r>
      <w:r w:rsidRPr="00167EE8">
        <w:rPr>
          <w:rStyle w:val="BodyTextChar"/>
          <w:b/>
        </w:rPr>
        <w:t>acordos de bolsa</w:t>
      </w:r>
      <w:r w:rsidRPr="00167EE8">
        <w:rPr>
          <w:rStyle w:val="BodyTextChar"/>
        </w:rPr>
        <w:t xml:space="preserve"> para cada mobilidade individual, descrevendo as condições de bolsa, o tipo de mobilidade, o período e a duração, os direitos e obrigações dos bolseiros, etc.</w:t>
      </w:r>
    </w:p>
    <w:p w14:paraId="570D2068" w14:textId="77777777" w:rsidR="000435C2" w:rsidRPr="00167EE8" w:rsidRDefault="008B332B" w:rsidP="006008C4">
      <w:pPr>
        <w:pStyle w:val="BodyText"/>
        <w:numPr>
          <w:ilvl w:val="0"/>
          <w:numId w:val="7"/>
        </w:numPr>
        <w:tabs>
          <w:tab w:val="left" w:pos="433"/>
        </w:tabs>
        <w:spacing w:after="120"/>
        <w:ind w:left="440" w:hanging="440"/>
        <w:jc w:val="both"/>
      </w:pPr>
      <w:r w:rsidRPr="00167EE8">
        <w:rPr>
          <w:rStyle w:val="BodyTextChar"/>
        </w:rPr>
        <w:t>Facilitar o reconhecimento dos períodos de mobilidade através de mecanismos acordados entre as IES de origem e de acolhimento, a fim de favorecer a criação de um Espaço Africano de Ensino Superior e Investigação. Nesta perspetiva, antes da mobilidade, as instituições envolvidas (de origem e de acolhimento) devem estabelecer:</w:t>
      </w:r>
    </w:p>
    <w:p w14:paraId="7789089C" w14:textId="7F7B78A6" w:rsidR="000435C2" w:rsidRPr="00167EE8" w:rsidRDefault="008B332B" w:rsidP="008B332B">
      <w:pPr>
        <w:keepNext/>
        <w:keepLines/>
        <w:numPr>
          <w:ilvl w:val="0"/>
          <w:numId w:val="8"/>
        </w:numPr>
        <w:tabs>
          <w:tab w:val="left" w:pos="1417"/>
          <w:tab w:val="right" w:pos="7308"/>
          <w:tab w:val="right" w:pos="8716"/>
        </w:tabs>
        <w:spacing w:after="120"/>
        <w:ind w:left="1418" w:hanging="425"/>
        <w:jc w:val="both"/>
      </w:pPr>
      <w:r w:rsidRPr="00167EE8">
        <w:rPr>
          <w:rStyle w:val="BodyTextChar"/>
          <w:b/>
        </w:rPr>
        <w:t>acordos de aprendizagem/planos de investigação</w:t>
      </w:r>
      <w:r w:rsidRPr="00167EE8">
        <w:rPr>
          <w:rStyle w:val="BodyTextChar"/>
        </w:rPr>
        <w:t xml:space="preserve"> com os estudantes (de mestrado e doutoramento) que definam em particular um programa individual de trabalho e a carga horária necessários para obter aprovação nos exames ou noutras formas de avaliação.</w:t>
      </w:r>
    </w:p>
    <w:p w14:paraId="751D8004" w14:textId="6ABD0516" w:rsidR="000435C2" w:rsidRPr="00167EE8" w:rsidRDefault="008B332B" w:rsidP="008B332B">
      <w:pPr>
        <w:keepNext/>
        <w:keepLines/>
        <w:numPr>
          <w:ilvl w:val="0"/>
          <w:numId w:val="8"/>
        </w:numPr>
        <w:tabs>
          <w:tab w:val="left" w:pos="1417"/>
          <w:tab w:val="right" w:pos="7308"/>
          <w:tab w:val="right" w:pos="8716"/>
        </w:tabs>
        <w:spacing w:after="120"/>
        <w:ind w:left="1418" w:hanging="425"/>
        <w:jc w:val="both"/>
        <w:rPr>
          <w:rStyle w:val="BodyTextChar"/>
        </w:rPr>
      </w:pPr>
      <w:bookmarkStart w:id="17" w:name="bookmark21"/>
      <w:r w:rsidRPr="00167EE8">
        <w:rPr>
          <w:rStyle w:val="BodyTextChar"/>
        </w:rPr>
        <w:t>acordos de estágio com os estagiários e acordos de mobilidade</w:t>
      </w:r>
      <w:bookmarkEnd w:id="17"/>
      <w:r w:rsidRPr="00167EE8">
        <w:rPr>
          <w:rStyle w:val="BodyTextChar"/>
        </w:rPr>
        <w:t xml:space="preserve"> com o pessoal que definam em particular o plano de atividades a implementar durante a mobilidade, por exemplo, práticas de trabalho, palestras, investigação, formação e atividades de capacitação.</w:t>
      </w:r>
    </w:p>
    <w:p w14:paraId="07C5067A" w14:textId="77777777" w:rsidR="000435C2" w:rsidRPr="00167EE8" w:rsidRDefault="008B332B" w:rsidP="006008C4">
      <w:pPr>
        <w:pStyle w:val="BodyText"/>
        <w:numPr>
          <w:ilvl w:val="0"/>
          <w:numId w:val="9"/>
        </w:numPr>
        <w:tabs>
          <w:tab w:val="left" w:pos="433"/>
        </w:tabs>
        <w:spacing w:after="720"/>
        <w:ind w:left="380" w:hanging="380"/>
        <w:jc w:val="both"/>
      </w:pPr>
      <w:r w:rsidRPr="00167EE8">
        <w:rPr>
          <w:rStyle w:val="BodyTextChar"/>
        </w:rPr>
        <w:t>Prever disposições para a monitorização das atividades dos bolseiros (por exemplo, tutoria, relatórios regulares, inquéritos), incluindo o acompanhamento pós-mobilidade.</w:t>
      </w:r>
    </w:p>
    <w:p w14:paraId="2C9634E3" w14:textId="77777777" w:rsidR="000435C2" w:rsidRPr="00167EE8" w:rsidRDefault="008B332B" w:rsidP="00F96019">
      <w:pPr>
        <w:pStyle w:val="BodyText"/>
        <w:keepNext/>
        <w:jc w:val="both"/>
      </w:pPr>
      <w:r w:rsidRPr="00167EE8">
        <w:rPr>
          <w:rStyle w:val="BodyTextChar"/>
          <w:b/>
          <w:i/>
          <w:u w:val="single"/>
        </w:rPr>
        <w:t>Atividades de mobilidade</w:t>
      </w:r>
    </w:p>
    <w:p w14:paraId="1977B5A5" w14:textId="77777777" w:rsidR="000435C2" w:rsidRPr="00167EE8" w:rsidRDefault="008B332B">
      <w:pPr>
        <w:pStyle w:val="BodyText"/>
        <w:spacing w:after="100"/>
        <w:jc w:val="both"/>
      </w:pPr>
      <w:r w:rsidRPr="00167EE8">
        <w:rPr>
          <w:rStyle w:val="BodyTextChar"/>
        </w:rPr>
        <w:t>Cada mobilidade individual tem de ser alojada num país africano, diferente do país de nacionalidade e de residência dos bolseiros no momento em que se candidatam à bolsa de estudo</w:t>
      </w:r>
      <w:r w:rsidRPr="00167EE8">
        <w:rPr>
          <w:rStyle w:val="BodyTextChar"/>
          <w:vertAlign w:val="superscript"/>
        </w:rPr>
        <w:footnoteReference w:id="6"/>
      </w:r>
      <w:r w:rsidRPr="00167EE8">
        <w:rPr>
          <w:rStyle w:val="BodyTextChar"/>
        </w:rPr>
        <w:t>.</w:t>
      </w:r>
    </w:p>
    <w:p w14:paraId="208031DE" w14:textId="77777777" w:rsidR="000435C2" w:rsidRPr="00167EE8" w:rsidRDefault="008B332B">
      <w:pPr>
        <w:pStyle w:val="BodyText"/>
        <w:spacing w:after="100"/>
        <w:jc w:val="both"/>
      </w:pPr>
      <w:r w:rsidRPr="00167EE8">
        <w:rPr>
          <w:rStyle w:val="BodyTextChar"/>
        </w:rPr>
        <w:t>Apenas as IES de África envolvidas no projeto como candidatas (beneficiárias) podem acolher a mobilidade de estudantes e pessoal.</w:t>
      </w:r>
    </w:p>
    <w:p w14:paraId="7105CA97" w14:textId="77777777" w:rsidR="000435C2" w:rsidRPr="00167EE8" w:rsidRDefault="008B332B">
      <w:pPr>
        <w:pStyle w:val="BodyText"/>
        <w:spacing w:after="100"/>
        <w:jc w:val="both"/>
      </w:pPr>
      <w:r w:rsidRPr="00167EE8">
        <w:rPr>
          <w:rStyle w:val="BodyTextChar"/>
        </w:rPr>
        <w:t>Apenas as organizações (públicas ou privadas) estabelecidas nos países das IES candidatas (beneficiárias) de África podem acolher estagiários.</w:t>
      </w:r>
    </w:p>
    <w:p w14:paraId="063A04DC" w14:textId="77777777" w:rsidR="000435C2" w:rsidRPr="00167EE8" w:rsidRDefault="008B332B">
      <w:pPr>
        <w:pStyle w:val="BodyText"/>
        <w:spacing w:after="100"/>
        <w:jc w:val="both"/>
      </w:pPr>
      <w:r w:rsidRPr="00167EE8">
        <w:rPr>
          <w:rStyle w:val="BodyTextChar"/>
        </w:rPr>
        <w:t>Os seguintes tipos de mobilidade são elegíveis:</w:t>
      </w:r>
    </w:p>
    <w:p w14:paraId="7AD92517" w14:textId="77777777" w:rsidR="000435C2" w:rsidRPr="00167EE8" w:rsidRDefault="008B332B" w:rsidP="006008C4">
      <w:pPr>
        <w:pStyle w:val="BodyText"/>
        <w:numPr>
          <w:ilvl w:val="0"/>
          <w:numId w:val="9"/>
        </w:numPr>
        <w:tabs>
          <w:tab w:val="left" w:pos="754"/>
        </w:tabs>
        <w:spacing w:after="100" w:line="230" w:lineRule="auto"/>
        <w:ind w:firstLine="380"/>
        <w:jc w:val="both"/>
      </w:pPr>
      <w:r w:rsidRPr="00167EE8">
        <w:rPr>
          <w:rStyle w:val="BodyTextChar"/>
          <w:b/>
        </w:rPr>
        <w:t>Mobilidade dos estudantes</w:t>
      </w:r>
    </w:p>
    <w:p w14:paraId="7770D3E5" w14:textId="77777777" w:rsidR="000435C2" w:rsidRPr="00167EE8" w:rsidRDefault="008B332B">
      <w:pPr>
        <w:pStyle w:val="BodyText"/>
        <w:spacing w:after="100"/>
        <w:jc w:val="both"/>
      </w:pPr>
      <w:r w:rsidRPr="00167EE8">
        <w:rPr>
          <w:rStyle w:val="BodyTextChar"/>
        </w:rPr>
        <w:t>A mobilidade dos estudantes deve ter lugar no âmbito de programas acreditados de mestrado</w:t>
      </w:r>
      <w:r w:rsidRPr="00167EE8">
        <w:rPr>
          <w:rStyle w:val="BodyTextChar"/>
          <w:vertAlign w:val="superscript"/>
        </w:rPr>
        <w:footnoteReference w:id="7"/>
      </w:r>
      <w:r w:rsidRPr="00167EE8">
        <w:rPr>
          <w:rStyle w:val="BodyTextChar"/>
        </w:rPr>
        <w:t xml:space="preserve"> e de doutoramento</w:t>
      </w:r>
      <w:r w:rsidRPr="00167EE8">
        <w:rPr>
          <w:rStyle w:val="BodyTextChar"/>
          <w:vertAlign w:val="superscript"/>
        </w:rPr>
        <w:footnoteReference w:id="8"/>
      </w:r>
      <w:r w:rsidRPr="00167EE8">
        <w:rPr>
          <w:rStyle w:val="BodyTextChar"/>
        </w:rPr>
        <w:t xml:space="preserve"> oferecidos pelas IES africanas envolvidas no projeto na qualidade de candidatas (beneficiários) e associados ao(s) domínio(s) prioritário(s) escolhido(s) do projeto. A Agência poderá pedir um comprovativo de acreditação para todos os programas indicados na candidatura durante a execução do projeto.</w:t>
      </w:r>
    </w:p>
    <w:p w14:paraId="3E7DF1CD" w14:textId="77777777" w:rsidR="000435C2" w:rsidRPr="00167EE8" w:rsidRDefault="008B332B">
      <w:pPr>
        <w:pStyle w:val="BodyText"/>
        <w:spacing w:after="100"/>
        <w:jc w:val="both"/>
      </w:pPr>
      <w:r w:rsidRPr="00167EE8">
        <w:rPr>
          <w:rStyle w:val="BodyTextChar"/>
        </w:rPr>
        <w:t>No momento em que solicitam uma bolsa de estudo, os candidatos devem ser nacionais e residentes num país africano.</w:t>
      </w:r>
    </w:p>
    <w:p w14:paraId="00B217D3" w14:textId="77777777" w:rsidR="000435C2" w:rsidRPr="00167EE8" w:rsidRDefault="008B332B">
      <w:pPr>
        <w:pStyle w:val="BodyText"/>
        <w:spacing w:after="100"/>
        <w:jc w:val="both"/>
      </w:pPr>
      <w:r w:rsidRPr="00167EE8">
        <w:rPr>
          <w:rStyle w:val="BodyTextChar"/>
        </w:rPr>
        <w:t>Serão apoiadas duas categorias de estudantes:</w:t>
      </w:r>
    </w:p>
    <w:p w14:paraId="4B489EAB" w14:textId="77777777" w:rsidR="000435C2" w:rsidRPr="00167EE8" w:rsidRDefault="008B332B" w:rsidP="006008C4">
      <w:pPr>
        <w:pStyle w:val="BodyText"/>
        <w:numPr>
          <w:ilvl w:val="0"/>
          <w:numId w:val="9"/>
        </w:numPr>
        <w:tabs>
          <w:tab w:val="left" w:pos="754"/>
        </w:tabs>
        <w:spacing w:after="100"/>
        <w:ind w:left="740" w:hanging="360"/>
        <w:jc w:val="both"/>
      </w:pPr>
      <w:r w:rsidRPr="00167EE8">
        <w:rPr>
          <w:rStyle w:val="BodyTextChar"/>
          <w:b/>
          <w:i/>
        </w:rPr>
        <w:t>Grupo-alvo 1</w:t>
      </w:r>
      <w:r w:rsidRPr="00167EE8">
        <w:rPr>
          <w:rStyle w:val="BodyTextChar"/>
          <w:i/>
        </w:rPr>
        <w:t>: estudantes inscritos/admitidos ou que tenham obtido um diploma de uma das IES africanas candidatas (beneficiárias) envolvidas no consórcio</w:t>
      </w:r>
    </w:p>
    <w:p w14:paraId="3BFBD59F" w14:textId="77777777" w:rsidR="000435C2" w:rsidRPr="00167EE8" w:rsidRDefault="008B332B" w:rsidP="006008C4">
      <w:pPr>
        <w:pStyle w:val="BodyText"/>
        <w:numPr>
          <w:ilvl w:val="0"/>
          <w:numId w:val="9"/>
        </w:numPr>
        <w:tabs>
          <w:tab w:val="left" w:pos="754"/>
        </w:tabs>
        <w:spacing w:after="100"/>
        <w:ind w:left="740" w:hanging="360"/>
        <w:jc w:val="both"/>
      </w:pPr>
      <w:r w:rsidRPr="00167EE8">
        <w:rPr>
          <w:rStyle w:val="BodyTextChar"/>
          <w:b/>
          <w:i/>
        </w:rPr>
        <w:t>Grupo-alvo 2:</w:t>
      </w:r>
      <w:r w:rsidRPr="00167EE8">
        <w:rPr>
          <w:rStyle w:val="BodyTextChar"/>
          <w:i/>
        </w:rPr>
        <w:t xml:space="preserve"> estudantes inscritos/admitidos ou que tenham obtido um </w:t>
      </w:r>
      <w:r w:rsidRPr="00167EE8">
        <w:rPr>
          <w:rStyle w:val="BodyTextChar"/>
          <w:i/>
        </w:rPr>
        <w:lastRenderedPageBreak/>
        <w:t>diploma de outra IES que não participe como candidata (beneficiária), mas que esteja estabelecida em África.</w:t>
      </w:r>
    </w:p>
    <w:p w14:paraId="473F0F5A" w14:textId="77777777" w:rsidR="000435C2" w:rsidRPr="00167EE8" w:rsidRDefault="008B332B">
      <w:pPr>
        <w:pStyle w:val="BodyText"/>
        <w:spacing w:after="100"/>
        <w:jc w:val="both"/>
      </w:pPr>
      <w:r w:rsidRPr="00167EE8">
        <w:rPr>
          <w:rStyle w:val="BodyTextChar"/>
        </w:rPr>
        <w:t>Os estudantes só podem receber uma bolsa de estudo no âmbito dos projetos selecionados no âmbito do Programa de mobilidade académica intra-África 2022-2027.</w:t>
      </w:r>
    </w:p>
    <w:p w14:paraId="593CBA53" w14:textId="77777777" w:rsidR="000435C2" w:rsidRPr="00167EE8" w:rsidRDefault="008B332B">
      <w:pPr>
        <w:pStyle w:val="BodyText"/>
        <w:spacing w:after="100"/>
        <w:jc w:val="both"/>
      </w:pPr>
      <w:r w:rsidRPr="00167EE8">
        <w:rPr>
          <w:rStyle w:val="BodyTextChar"/>
        </w:rPr>
        <w:t>A mobilidade dos estudantes pode ser de curto prazo, ou seja (</w:t>
      </w:r>
      <w:r w:rsidRPr="00167EE8">
        <w:rPr>
          <w:rStyle w:val="BodyTextChar"/>
          <w:b/>
        </w:rPr>
        <w:t xml:space="preserve">mobilidade que visa a obtenção de créditos </w:t>
      </w:r>
      <w:r w:rsidRPr="00167EE8">
        <w:rPr>
          <w:rStyle w:val="BodyTextChar"/>
        </w:rPr>
        <w:t xml:space="preserve">(conducente ao reconhecimento académico pela IESde origem do período de estudo/investigação passado na IES de acolhimento) ou por um curso completo de um programa académico, ou seja, </w:t>
      </w:r>
      <w:r w:rsidRPr="00167EE8">
        <w:rPr>
          <w:rStyle w:val="BodyTextChar"/>
          <w:b/>
        </w:rPr>
        <w:t>mobilidade que visa a obtenção de um diploma</w:t>
      </w:r>
      <w:r w:rsidRPr="00167EE8">
        <w:rPr>
          <w:rStyle w:val="BodyTextChar"/>
        </w:rPr>
        <w:t xml:space="preserve"> (conducente à atribuição de um diploma pela IES de acolhimento após a conclusão com aproveitamento dos estudos).</w:t>
      </w:r>
    </w:p>
    <w:p w14:paraId="09C4D8B3" w14:textId="77777777" w:rsidR="000435C2" w:rsidRPr="00167EE8" w:rsidRDefault="008B332B">
      <w:pPr>
        <w:pStyle w:val="BodyText"/>
        <w:spacing w:after="100"/>
        <w:jc w:val="both"/>
      </w:pPr>
      <w:r w:rsidRPr="00167EE8">
        <w:rPr>
          <w:rStyle w:val="BodyTextChar"/>
        </w:rPr>
        <w:t>A mobilidade dos estudantes pode incluir um período de colocação no mesmo país da IES de acolhimento, desde que a colocação seja reconhecida como parte integrante do programa de mobilidade do seu estudante.</w:t>
      </w:r>
    </w:p>
    <w:p w14:paraId="5FB9F6A2" w14:textId="77777777" w:rsidR="000435C2" w:rsidRPr="00167EE8" w:rsidRDefault="008B332B">
      <w:pPr>
        <w:pStyle w:val="BodyText"/>
        <w:spacing w:after="100"/>
        <w:jc w:val="both"/>
      </w:pPr>
      <w:r w:rsidRPr="00167EE8">
        <w:rPr>
          <w:rStyle w:val="BodyTextChar"/>
        </w:rPr>
        <w:t>O consórcio deve assegurar o reconhecimento académico dos períodos de estudo, formação e investigação através de mecanismos acordados entre a IES de origem e a IES de acolhimento. No fim do período de estudo/investigação, a IES de acolhimento facultará ao estudante recebido e à IES de origem um diploma e/ou uma transcrição dos resultados do estudo que confirme as atividades concluídas. Recomenda-se igualmente a atribuição de um suplemento ao diploma, se for caso disso.</w:t>
      </w:r>
    </w:p>
    <w:p w14:paraId="7C379A1C" w14:textId="77777777" w:rsidR="000435C2" w:rsidRPr="00167EE8" w:rsidRDefault="008B332B" w:rsidP="006008C4">
      <w:pPr>
        <w:pStyle w:val="BodyText"/>
        <w:numPr>
          <w:ilvl w:val="0"/>
          <w:numId w:val="9"/>
        </w:numPr>
        <w:tabs>
          <w:tab w:val="left" w:pos="754"/>
        </w:tabs>
        <w:spacing w:after="100"/>
        <w:ind w:firstLine="380"/>
        <w:jc w:val="both"/>
      </w:pPr>
      <w:r w:rsidRPr="00167EE8">
        <w:rPr>
          <w:rStyle w:val="BodyTextChar"/>
          <w:b/>
        </w:rPr>
        <w:t>Mobilidade dos estagiários</w:t>
      </w:r>
    </w:p>
    <w:p w14:paraId="7C202EA3" w14:textId="77777777" w:rsidR="000435C2" w:rsidRPr="00167EE8" w:rsidRDefault="008B332B">
      <w:pPr>
        <w:pStyle w:val="BodyText"/>
        <w:spacing w:after="100"/>
        <w:jc w:val="both"/>
      </w:pPr>
      <w:r w:rsidRPr="00167EE8">
        <w:rPr>
          <w:rStyle w:val="BodyTextChar"/>
        </w:rPr>
        <w:t>No momento em que solicitam uma bolsa de estudo, os candidatos devem ser nacionais e residentes num país africano.</w:t>
      </w:r>
    </w:p>
    <w:p w14:paraId="79AA16D3" w14:textId="77777777" w:rsidR="000435C2" w:rsidRPr="00167EE8" w:rsidRDefault="008B332B">
      <w:pPr>
        <w:pStyle w:val="BodyText"/>
        <w:spacing w:after="100"/>
        <w:jc w:val="both"/>
      </w:pPr>
      <w:r w:rsidRPr="00167EE8">
        <w:rPr>
          <w:rStyle w:val="BodyTextChar"/>
        </w:rPr>
        <w:t>Devem estar inscritos num programa de licenciatura/mestrado/doutoramento numa das IES candidatas (beneficiárias) de África envolvidas no consórcio.</w:t>
      </w:r>
    </w:p>
    <w:p w14:paraId="0D3AA759" w14:textId="77777777" w:rsidR="000435C2" w:rsidRPr="00167EE8" w:rsidRDefault="008B332B">
      <w:pPr>
        <w:pStyle w:val="BodyText"/>
        <w:jc w:val="both"/>
      </w:pPr>
      <w:r w:rsidRPr="00167EE8">
        <w:rPr>
          <w:rStyle w:val="BodyTextChar"/>
        </w:rPr>
        <w:t>A mobilidade dos estagiários implicará períodos de estágio em organizações privadas ou públicas/agentes empresariais, como parte do programa académico dos estagiários.</w:t>
      </w:r>
    </w:p>
    <w:p w14:paraId="1E32BD34" w14:textId="77777777" w:rsidR="000435C2" w:rsidRPr="00167EE8" w:rsidRDefault="008B332B">
      <w:pPr>
        <w:pStyle w:val="BodyText"/>
        <w:spacing w:after="100"/>
        <w:jc w:val="both"/>
      </w:pPr>
      <w:r w:rsidRPr="00167EE8">
        <w:rPr>
          <w:rStyle w:val="BodyTextChar"/>
        </w:rPr>
        <w:t>Os estagiários adquirirão uma experiência de trabalho substancial e significativa na(s) área(s) prioritária(s) do projeto, a fim de aumentar a sua empregabilidade. As IES candidatas estabelecidas no país de acolhimento devem estar envolvidas na organização e implementação da mobilidade, pelo que se espera que reforcem os seus serviços de emprego/carreira e as suas parcerias com o setor privado e público. O consórcio deve assegurar o reconhecimento académico pela IES de origem do período de estágio no estrangeiro.</w:t>
      </w:r>
    </w:p>
    <w:p w14:paraId="1B912C64" w14:textId="77777777" w:rsidR="000435C2" w:rsidRPr="00167EE8" w:rsidRDefault="008B332B" w:rsidP="006008C4">
      <w:pPr>
        <w:pStyle w:val="BodyText"/>
        <w:numPr>
          <w:ilvl w:val="0"/>
          <w:numId w:val="9"/>
        </w:numPr>
        <w:tabs>
          <w:tab w:val="left" w:pos="754"/>
        </w:tabs>
        <w:spacing w:after="100"/>
        <w:ind w:firstLine="380"/>
        <w:jc w:val="both"/>
      </w:pPr>
      <w:r w:rsidRPr="00167EE8">
        <w:rPr>
          <w:rStyle w:val="BodyTextChar"/>
          <w:b/>
        </w:rPr>
        <w:t>Mobilidade do pessoal</w:t>
      </w:r>
    </w:p>
    <w:p w14:paraId="2B60AA28" w14:textId="77777777" w:rsidR="000435C2" w:rsidRPr="00167EE8" w:rsidRDefault="008B332B">
      <w:pPr>
        <w:pStyle w:val="BodyText"/>
        <w:jc w:val="both"/>
      </w:pPr>
      <w:r w:rsidRPr="00167EE8">
        <w:rPr>
          <w:rStyle w:val="BodyTextChar"/>
        </w:rPr>
        <w:t>No momento em que se candidatam a uma bolsa de estudo, os candidatos devem ser membros do pessoal que trabalham para uma das IES candidatas (beneficiárias) envolvidas no consórcio (incluindo o Parceiro Técnico da UE).</w:t>
      </w:r>
    </w:p>
    <w:p w14:paraId="366C925B" w14:textId="77777777" w:rsidR="000435C2" w:rsidRPr="00167EE8" w:rsidRDefault="008B332B">
      <w:pPr>
        <w:pStyle w:val="BodyText"/>
        <w:jc w:val="both"/>
      </w:pPr>
      <w:r w:rsidRPr="00167EE8">
        <w:rPr>
          <w:rStyle w:val="BodyTextChar"/>
        </w:rPr>
        <w:t>A mobilidade do pessoal pode envolver pessoal académico, administrativo e técnico. As atividades conexas podem variar entre missões de ensino, atividades de investigação, tarefas administrativas, frequência/realização de cursos de formação, atividades de desenvolvimento curricular, apoio técnico, etc. A mobilidade do pessoal deve ter por objetivo promover o intercâmbio de práticas, o reforço das capacidades e a melhoria das competências (de gestão/académicas/técnicas/administrativas). Deve também conduzir a uma melhoria na harmonização e reconhecimento dos estudos nas IES participantes, bem como na qualidade do ensino e da investigação.</w:t>
      </w:r>
    </w:p>
    <w:p w14:paraId="7E376E05" w14:textId="77777777" w:rsidR="000435C2" w:rsidRPr="00167EE8" w:rsidRDefault="008B332B">
      <w:pPr>
        <w:pStyle w:val="BodyText"/>
        <w:jc w:val="both"/>
      </w:pPr>
      <w:r w:rsidRPr="00167EE8">
        <w:rPr>
          <w:rStyle w:val="BodyTextChar"/>
        </w:rPr>
        <w:t xml:space="preserve">O pessoal do Parceiro Técnico da UE será elegível para participar em períodos de </w:t>
      </w:r>
      <w:r w:rsidRPr="00167EE8">
        <w:rPr>
          <w:rStyle w:val="BodyTextChar"/>
        </w:rPr>
        <w:lastRenderedPageBreak/>
        <w:t>mobilidade numa das IES candidatas (beneficiárias) em África,</w:t>
      </w:r>
      <w:r w:rsidRPr="00167EE8">
        <w:rPr>
          <w:rStyle w:val="BodyTextChar"/>
          <w:vertAlign w:val="superscript"/>
        </w:rPr>
        <w:footnoteReference w:id="9"/>
      </w:r>
      <w:r w:rsidRPr="00167EE8">
        <w:rPr>
          <w:rStyle w:val="BodyTextChar"/>
        </w:rPr>
        <w:t xml:space="preserve"> com o objetivo de continuar a apoiar a gestão e a execução do projeto e do regime de mobilidade do ponto de vista académico, administrativo e financeiro.</w:t>
      </w:r>
    </w:p>
    <w:p w14:paraId="2F84A22A" w14:textId="77777777" w:rsidR="000435C2" w:rsidRPr="00167EE8" w:rsidRDefault="008B332B">
      <w:pPr>
        <w:pStyle w:val="BodyText"/>
        <w:jc w:val="both"/>
      </w:pPr>
      <w:r w:rsidRPr="00167EE8">
        <w:rPr>
          <w:rStyle w:val="BodyTextChar"/>
        </w:rPr>
        <w:t>A mobilidade do pessoal é uma componente integrante e importante do projeto e deve ser planeada e realizada atempadamente e de forma estratégica, tendo em vista a consecução dos objetivos do projeto.</w:t>
      </w:r>
    </w:p>
    <w:p w14:paraId="0E4DF1EA" w14:textId="77777777" w:rsidR="000435C2" w:rsidRPr="00167EE8" w:rsidRDefault="008B332B">
      <w:pPr>
        <w:pStyle w:val="BodyText"/>
        <w:jc w:val="both"/>
      </w:pPr>
      <w:r w:rsidRPr="00167EE8">
        <w:rPr>
          <w:rStyle w:val="BodyTextChar"/>
        </w:rPr>
        <w:t>Os bolseiros não podem beneficiar de outro regime de bolsas de estudo financiado pela UE (por exemplo, Programa de mobilidade académica intra-África, Erasmus+: Mestrados Conjuntos Erasmus Mundus) para realizar a mesma atividade durante o seu período de mobilidade intra-África.</w:t>
      </w:r>
    </w:p>
    <w:p w14:paraId="5F464A83" w14:textId="77777777" w:rsidR="000435C2" w:rsidRPr="00167EE8" w:rsidRDefault="008B332B">
      <w:pPr>
        <w:pStyle w:val="BodyText"/>
        <w:jc w:val="both"/>
      </w:pPr>
      <w:r w:rsidRPr="00167EE8">
        <w:rPr>
          <w:rStyle w:val="BodyTextChar"/>
        </w:rPr>
        <w:t>Para evitar irregularidades na seleção dos bolseiros, o consórcio deve solicitar o seguinte:</w:t>
      </w:r>
    </w:p>
    <w:p w14:paraId="26A57FBF" w14:textId="77777777" w:rsidR="000435C2" w:rsidRPr="00167EE8" w:rsidRDefault="008B332B" w:rsidP="006008C4">
      <w:pPr>
        <w:pStyle w:val="BodyText"/>
        <w:numPr>
          <w:ilvl w:val="0"/>
          <w:numId w:val="10"/>
        </w:numPr>
        <w:tabs>
          <w:tab w:val="left" w:pos="726"/>
        </w:tabs>
        <w:ind w:left="740" w:hanging="360"/>
        <w:jc w:val="both"/>
      </w:pPr>
      <w:r w:rsidRPr="00167EE8">
        <w:rPr>
          <w:rStyle w:val="BodyTextChar"/>
        </w:rPr>
        <w:t>Aos estudantes: declarar (tanto na fase de candidatura como no acordo de bolseiro) que não beneficiaram de uma anterior bolsa de estudo a estudantes no âmbito dos projetos selecionados no âmbito do regime de mobilidade académica intra-África 2022-2027.</w:t>
      </w:r>
    </w:p>
    <w:p w14:paraId="36229B67" w14:textId="77777777" w:rsidR="000435C2" w:rsidRPr="00167EE8" w:rsidRDefault="008B332B" w:rsidP="006008C4">
      <w:pPr>
        <w:pStyle w:val="BodyText"/>
        <w:numPr>
          <w:ilvl w:val="0"/>
          <w:numId w:val="10"/>
        </w:numPr>
        <w:tabs>
          <w:tab w:val="left" w:pos="634"/>
        </w:tabs>
        <w:spacing w:after="100"/>
        <w:ind w:left="740" w:hanging="360"/>
        <w:jc w:val="both"/>
      </w:pPr>
      <w:r w:rsidRPr="00167EE8">
        <w:rPr>
          <w:rStyle w:val="BodyTextChar"/>
        </w:rPr>
        <w:t>Para estudantes, formandos e pessoal: comprometer-se (tanto na fase de candidatura como no acordo de bolsa de estudo) a não beneficiar de outro programa de bolsas financiado pela UE (por exemplo, Programa de mobilidade académica Intra-África, Erasmus+: Mestrados Conjuntos Erasmus Mundus) para realizar a mesma atividade durante o seu período de mobilidade intra-África.</w:t>
      </w:r>
    </w:p>
    <w:p w14:paraId="68B0902A" w14:textId="77777777" w:rsidR="000435C2" w:rsidRPr="00167EE8" w:rsidRDefault="008B332B" w:rsidP="006008C4">
      <w:pPr>
        <w:pStyle w:val="BodyText"/>
        <w:numPr>
          <w:ilvl w:val="0"/>
          <w:numId w:val="10"/>
        </w:numPr>
        <w:tabs>
          <w:tab w:val="left" w:pos="634"/>
        </w:tabs>
        <w:spacing w:after="100"/>
        <w:ind w:left="740" w:hanging="360"/>
        <w:jc w:val="both"/>
      </w:pPr>
      <w:r w:rsidRPr="00167EE8">
        <w:rPr>
          <w:rStyle w:val="BodyTextChar"/>
        </w:rPr>
        <w:t>Aos estudantes, estagiários e pessoal: reembolsar o apoio financeiro em caso de declaração incompleta ou falsa.</w:t>
      </w:r>
    </w:p>
    <w:p w14:paraId="58977B9D" w14:textId="77777777" w:rsidR="000435C2" w:rsidRPr="00167EE8" w:rsidRDefault="008B332B">
      <w:pPr>
        <w:pStyle w:val="BodyText"/>
        <w:spacing w:after="200"/>
        <w:jc w:val="both"/>
      </w:pPr>
      <w:r w:rsidRPr="00167EE8">
        <w:rPr>
          <w:rStyle w:val="BodyTextChar"/>
        </w:rPr>
        <w:t>O consórcio deve assumir a responsabilidade de assegurar que os bolseiros selecionados sejam elegíveis de acordo com os critérios especificados no presente convite.</w:t>
      </w:r>
    </w:p>
    <w:p w14:paraId="466E2681" w14:textId="77777777" w:rsidR="000435C2" w:rsidRPr="00167EE8" w:rsidRDefault="008B332B">
      <w:pPr>
        <w:pStyle w:val="BodyText"/>
        <w:spacing w:after="420"/>
        <w:jc w:val="both"/>
      </w:pPr>
      <w:r w:rsidRPr="00167EE8">
        <w:rPr>
          <w:rStyle w:val="BodyTextChar"/>
        </w:rPr>
        <w:t>A mobilidade individual deve normalmente respeitar as seguintes durações:</w:t>
      </w:r>
    </w:p>
    <w:tbl>
      <w:tblPr>
        <w:tblOverlap w:val="never"/>
        <w:tblW w:w="0" w:type="auto"/>
        <w:jc w:val="center"/>
        <w:tblLayout w:type="fixed"/>
        <w:tblCellMar>
          <w:top w:w="28" w:type="dxa"/>
          <w:left w:w="57" w:type="dxa"/>
          <w:bottom w:w="28" w:type="dxa"/>
          <w:right w:w="57" w:type="dxa"/>
        </w:tblCellMar>
        <w:tblLook w:val="0000" w:firstRow="0" w:lastRow="0" w:firstColumn="0" w:lastColumn="0" w:noHBand="0" w:noVBand="0"/>
      </w:tblPr>
      <w:tblGrid>
        <w:gridCol w:w="2294"/>
        <w:gridCol w:w="2424"/>
      </w:tblGrid>
      <w:tr w:rsidR="000435C2" w:rsidRPr="00167EE8" w14:paraId="2C612836" w14:textId="77777777" w:rsidTr="00F96019">
        <w:trPr>
          <w:trHeight w:hRule="exact" w:val="422"/>
          <w:jc w:val="center"/>
        </w:trPr>
        <w:tc>
          <w:tcPr>
            <w:tcW w:w="2294" w:type="dxa"/>
            <w:tcBorders>
              <w:top w:val="single" w:sz="4" w:space="0" w:color="auto"/>
              <w:left w:val="single" w:sz="4" w:space="0" w:color="auto"/>
            </w:tcBorders>
            <w:shd w:val="clear" w:color="auto" w:fill="auto"/>
            <w:vAlign w:val="center"/>
          </w:tcPr>
          <w:p w14:paraId="0AC7EEFE" w14:textId="77777777" w:rsidR="000435C2" w:rsidRPr="00167EE8" w:rsidRDefault="008B332B">
            <w:pPr>
              <w:pStyle w:val="Other0"/>
              <w:spacing w:after="0"/>
            </w:pPr>
            <w:r w:rsidRPr="00167EE8">
              <w:rPr>
                <w:rStyle w:val="Other"/>
                <w:b/>
              </w:rPr>
              <w:t>Tipo de mobilidade</w:t>
            </w:r>
          </w:p>
        </w:tc>
        <w:tc>
          <w:tcPr>
            <w:tcW w:w="2424" w:type="dxa"/>
            <w:tcBorders>
              <w:top w:val="single" w:sz="4" w:space="0" w:color="auto"/>
              <w:left w:val="single" w:sz="4" w:space="0" w:color="auto"/>
              <w:right w:val="single" w:sz="4" w:space="0" w:color="auto"/>
            </w:tcBorders>
            <w:shd w:val="clear" w:color="auto" w:fill="auto"/>
            <w:vAlign w:val="center"/>
          </w:tcPr>
          <w:p w14:paraId="33284EBB" w14:textId="77777777" w:rsidR="000435C2" w:rsidRPr="00167EE8" w:rsidRDefault="008B332B">
            <w:pPr>
              <w:pStyle w:val="Other0"/>
              <w:spacing w:after="0"/>
            </w:pPr>
            <w:r w:rsidRPr="00167EE8">
              <w:rPr>
                <w:rStyle w:val="Other"/>
                <w:b/>
              </w:rPr>
              <w:t>Duração mínima/máxima</w:t>
            </w:r>
          </w:p>
        </w:tc>
      </w:tr>
      <w:tr w:rsidR="000435C2" w:rsidRPr="00167EE8" w14:paraId="6B5343C4" w14:textId="77777777" w:rsidTr="00F96019">
        <w:trPr>
          <w:trHeight w:hRule="exact" w:val="350"/>
          <w:jc w:val="center"/>
        </w:trPr>
        <w:tc>
          <w:tcPr>
            <w:tcW w:w="2294" w:type="dxa"/>
            <w:tcBorders>
              <w:top w:val="single" w:sz="4" w:space="0" w:color="auto"/>
              <w:left w:val="single" w:sz="4" w:space="0" w:color="auto"/>
            </w:tcBorders>
            <w:shd w:val="clear" w:color="auto" w:fill="auto"/>
            <w:vAlign w:val="center"/>
          </w:tcPr>
          <w:p w14:paraId="26507603" w14:textId="77777777" w:rsidR="000435C2" w:rsidRPr="00167EE8" w:rsidRDefault="008B332B">
            <w:pPr>
              <w:pStyle w:val="Other0"/>
              <w:spacing w:after="0"/>
            </w:pPr>
            <w:r w:rsidRPr="00167EE8">
              <w:rPr>
                <w:rStyle w:val="Other"/>
              </w:rPr>
              <w:t>Mestrandos</w:t>
            </w:r>
          </w:p>
        </w:tc>
        <w:tc>
          <w:tcPr>
            <w:tcW w:w="2424" w:type="dxa"/>
            <w:tcBorders>
              <w:top w:val="single" w:sz="4" w:space="0" w:color="auto"/>
              <w:left w:val="single" w:sz="4" w:space="0" w:color="auto"/>
              <w:right w:val="single" w:sz="4" w:space="0" w:color="auto"/>
            </w:tcBorders>
            <w:shd w:val="clear" w:color="auto" w:fill="auto"/>
            <w:vAlign w:val="center"/>
          </w:tcPr>
          <w:p w14:paraId="77CC151F" w14:textId="77777777" w:rsidR="000435C2" w:rsidRPr="00167EE8" w:rsidRDefault="008B332B">
            <w:pPr>
              <w:pStyle w:val="Other0"/>
              <w:spacing w:after="0"/>
            </w:pPr>
            <w:r w:rsidRPr="00167EE8">
              <w:rPr>
                <w:rStyle w:val="Other"/>
              </w:rPr>
              <w:t>4 a 24 meses</w:t>
            </w:r>
          </w:p>
        </w:tc>
      </w:tr>
      <w:tr w:rsidR="000435C2" w:rsidRPr="00167EE8" w14:paraId="1D7D9677" w14:textId="77777777" w:rsidTr="00F96019">
        <w:trPr>
          <w:trHeight w:hRule="exact" w:val="350"/>
          <w:jc w:val="center"/>
        </w:trPr>
        <w:tc>
          <w:tcPr>
            <w:tcW w:w="2294" w:type="dxa"/>
            <w:tcBorders>
              <w:top w:val="single" w:sz="4" w:space="0" w:color="auto"/>
              <w:left w:val="single" w:sz="4" w:space="0" w:color="auto"/>
            </w:tcBorders>
            <w:shd w:val="clear" w:color="auto" w:fill="auto"/>
            <w:vAlign w:val="center"/>
          </w:tcPr>
          <w:p w14:paraId="745B99A1" w14:textId="77777777" w:rsidR="000435C2" w:rsidRPr="00167EE8" w:rsidRDefault="008B332B">
            <w:pPr>
              <w:pStyle w:val="Other0"/>
              <w:spacing w:after="0"/>
            </w:pPr>
            <w:r w:rsidRPr="00167EE8">
              <w:rPr>
                <w:rStyle w:val="Other"/>
              </w:rPr>
              <w:t>Doutorandos</w:t>
            </w:r>
          </w:p>
        </w:tc>
        <w:tc>
          <w:tcPr>
            <w:tcW w:w="2424" w:type="dxa"/>
            <w:tcBorders>
              <w:top w:val="single" w:sz="4" w:space="0" w:color="auto"/>
              <w:left w:val="single" w:sz="4" w:space="0" w:color="auto"/>
              <w:right w:val="single" w:sz="4" w:space="0" w:color="auto"/>
            </w:tcBorders>
            <w:shd w:val="clear" w:color="auto" w:fill="auto"/>
            <w:vAlign w:val="center"/>
          </w:tcPr>
          <w:p w14:paraId="7921B730" w14:textId="77777777" w:rsidR="000435C2" w:rsidRPr="00167EE8" w:rsidRDefault="008B332B">
            <w:pPr>
              <w:pStyle w:val="Other0"/>
              <w:spacing w:after="0"/>
            </w:pPr>
            <w:r w:rsidRPr="00167EE8">
              <w:rPr>
                <w:rStyle w:val="Other"/>
              </w:rPr>
              <w:t>6 a 36 meses</w:t>
            </w:r>
          </w:p>
        </w:tc>
      </w:tr>
      <w:tr w:rsidR="000435C2" w:rsidRPr="00167EE8" w14:paraId="31B768D3" w14:textId="77777777" w:rsidTr="00F96019">
        <w:trPr>
          <w:trHeight w:hRule="exact" w:val="350"/>
          <w:jc w:val="center"/>
        </w:trPr>
        <w:tc>
          <w:tcPr>
            <w:tcW w:w="2294" w:type="dxa"/>
            <w:tcBorders>
              <w:top w:val="single" w:sz="4" w:space="0" w:color="auto"/>
              <w:left w:val="single" w:sz="4" w:space="0" w:color="auto"/>
            </w:tcBorders>
            <w:shd w:val="clear" w:color="auto" w:fill="auto"/>
            <w:vAlign w:val="center"/>
          </w:tcPr>
          <w:p w14:paraId="7602079A" w14:textId="77777777" w:rsidR="000435C2" w:rsidRPr="00167EE8" w:rsidRDefault="008B332B">
            <w:pPr>
              <w:pStyle w:val="Other0"/>
              <w:spacing w:after="0"/>
            </w:pPr>
            <w:r w:rsidRPr="00167EE8">
              <w:rPr>
                <w:rStyle w:val="Other"/>
              </w:rPr>
              <w:t>Estagiários</w:t>
            </w:r>
          </w:p>
        </w:tc>
        <w:tc>
          <w:tcPr>
            <w:tcW w:w="2424" w:type="dxa"/>
            <w:tcBorders>
              <w:top w:val="single" w:sz="4" w:space="0" w:color="auto"/>
              <w:left w:val="single" w:sz="4" w:space="0" w:color="auto"/>
              <w:right w:val="single" w:sz="4" w:space="0" w:color="auto"/>
            </w:tcBorders>
            <w:shd w:val="clear" w:color="auto" w:fill="auto"/>
            <w:vAlign w:val="center"/>
          </w:tcPr>
          <w:p w14:paraId="46EA9DE0" w14:textId="77777777" w:rsidR="000435C2" w:rsidRPr="00167EE8" w:rsidRDefault="008B332B">
            <w:pPr>
              <w:pStyle w:val="Other0"/>
              <w:spacing w:after="0"/>
            </w:pPr>
            <w:r w:rsidRPr="00167EE8">
              <w:rPr>
                <w:rStyle w:val="Other"/>
              </w:rPr>
              <w:t>3 a 6 meses</w:t>
            </w:r>
          </w:p>
        </w:tc>
      </w:tr>
      <w:tr w:rsidR="000435C2" w:rsidRPr="00167EE8" w14:paraId="0992D9DC" w14:textId="77777777" w:rsidTr="00F96019">
        <w:trPr>
          <w:trHeight w:hRule="exact" w:val="355"/>
          <w:jc w:val="center"/>
        </w:trPr>
        <w:tc>
          <w:tcPr>
            <w:tcW w:w="2294" w:type="dxa"/>
            <w:tcBorders>
              <w:top w:val="single" w:sz="4" w:space="0" w:color="auto"/>
              <w:left w:val="single" w:sz="4" w:space="0" w:color="auto"/>
              <w:bottom w:val="single" w:sz="4" w:space="0" w:color="auto"/>
            </w:tcBorders>
            <w:shd w:val="clear" w:color="auto" w:fill="auto"/>
            <w:vAlign w:val="center"/>
          </w:tcPr>
          <w:p w14:paraId="643D474F" w14:textId="77777777" w:rsidR="000435C2" w:rsidRPr="00167EE8" w:rsidRDefault="008B332B">
            <w:pPr>
              <w:pStyle w:val="Other0"/>
              <w:spacing w:after="0"/>
            </w:pPr>
            <w:r w:rsidRPr="00167EE8">
              <w:rPr>
                <w:rStyle w:val="Other"/>
              </w:rPr>
              <w:t>Membros do pessoal</w:t>
            </w:r>
          </w:p>
        </w:tc>
        <w:tc>
          <w:tcPr>
            <w:tcW w:w="2424" w:type="dxa"/>
            <w:tcBorders>
              <w:top w:val="single" w:sz="4" w:space="0" w:color="auto"/>
              <w:left w:val="single" w:sz="4" w:space="0" w:color="auto"/>
              <w:bottom w:val="single" w:sz="4" w:space="0" w:color="auto"/>
              <w:right w:val="single" w:sz="4" w:space="0" w:color="auto"/>
            </w:tcBorders>
            <w:shd w:val="clear" w:color="auto" w:fill="auto"/>
            <w:vAlign w:val="center"/>
          </w:tcPr>
          <w:p w14:paraId="1DE587AE" w14:textId="77777777" w:rsidR="000435C2" w:rsidRPr="00167EE8" w:rsidRDefault="008B332B">
            <w:pPr>
              <w:pStyle w:val="Other0"/>
              <w:spacing w:after="0"/>
            </w:pPr>
            <w:r w:rsidRPr="00167EE8">
              <w:rPr>
                <w:rStyle w:val="Other"/>
              </w:rPr>
              <w:t>2 semanas a 3 meses</w:t>
            </w:r>
          </w:p>
        </w:tc>
      </w:tr>
    </w:tbl>
    <w:p w14:paraId="61BC7083" w14:textId="77777777" w:rsidR="000435C2" w:rsidRPr="00167EE8" w:rsidRDefault="000435C2">
      <w:pPr>
        <w:spacing w:after="419" w:line="1" w:lineRule="exact"/>
      </w:pPr>
    </w:p>
    <w:p w14:paraId="15353626" w14:textId="77777777" w:rsidR="000435C2" w:rsidRPr="00167EE8" w:rsidRDefault="008B332B">
      <w:pPr>
        <w:pStyle w:val="BodyText"/>
        <w:spacing w:after="200"/>
        <w:jc w:val="both"/>
      </w:pPr>
      <w:r w:rsidRPr="00167EE8">
        <w:rPr>
          <w:rStyle w:val="BodyTextChar"/>
        </w:rPr>
        <w:t>São possíveis durações mais curtas ou mais longas, desde que devidamente justificadas e autorizadas pela Agência.</w:t>
      </w:r>
    </w:p>
    <w:p w14:paraId="356AFA24" w14:textId="77777777" w:rsidR="000435C2" w:rsidRPr="00167EE8" w:rsidRDefault="008B332B">
      <w:pPr>
        <w:pStyle w:val="BodyText"/>
        <w:spacing w:after="200"/>
        <w:jc w:val="both"/>
      </w:pPr>
      <w:r w:rsidRPr="00167EE8">
        <w:rPr>
          <w:rStyle w:val="BodyTextChar"/>
        </w:rPr>
        <w:t xml:space="preserve">Além disso, no que diz respeito aos tipos de mobilidade individuais acima especificados, recomenda-se que cada projeto respeite as seguintes </w:t>
      </w:r>
      <w:r w:rsidRPr="00167EE8">
        <w:rPr>
          <w:rStyle w:val="BodyTextChar"/>
          <w:b/>
          <w:u w:val="single"/>
        </w:rPr>
        <w:t>metas indicativas</w:t>
      </w:r>
      <w:r w:rsidRPr="00167EE8">
        <w:rPr>
          <w:rStyle w:val="BodyTextChar"/>
        </w:rPr>
        <w:t>:</w:t>
      </w:r>
    </w:p>
    <w:p w14:paraId="640B029B" w14:textId="77777777" w:rsidR="000435C2" w:rsidRPr="00167EE8" w:rsidRDefault="008B332B" w:rsidP="006008C4">
      <w:pPr>
        <w:pStyle w:val="BodyText"/>
        <w:numPr>
          <w:ilvl w:val="0"/>
          <w:numId w:val="11"/>
        </w:numPr>
        <w:tabs>
          <w:tab w:val="left" w:pos="606"/>
        </w:tabs>
        <w:spacing w:after="100" w:line="276" w:lineRule="auto"/>
        <w:jc w:val="both"/>
      </w:pPr>
      <w:r w:rsidRPr="00167EE8">
        <w:rPr>
          <w:rStyle w:val="BodyTextChar"/>
        </w:rPr>
        <w:t>Percentagem mínima de bolseiros por tipo de mobilidade:</w:t>
      </w:r>
    </w:p>
    <w:tbl>
      <w:tblPr>
        <w:tblOverlap w:val="never"/>
        <w:tblW w:w="0" w:type="auto"/>
        <w:jc w:val="center"/>
        <w:tblLayout w:type="fixed"/>
        <w:tblCellMar>
          <w:top w:w="28" w:type="dxa"/>
          <w:left w:w="57" w:type="dxa"/>
          <w:bottom w:w="28" w:type="dxa"/>
          <w:right w:w="57" w:type="dxa"/>
        </w:tblCellMar>
        <w:tblLook w:val="0000" w:firstRow="0" w:lastRow="0" w:firstColumn="0" w:lastColumn="0" w:noHBand="0" w:noVBand="0"/>
      </w:tblPr>
      <w:tblGrid>
        <w:gridCol w:w="2587"/>
        <w:gridCol w:w="2534"/>
      </w:tblGrid>
      <w:tr w:rsidR="000435C2" w:rsidRPr="00167EE8" w14:paraId="6F5D5176" w14:textId="77777777" w:rsidTr="00F96019">
        <w:trPr>
          <w:trHeight w:hRule="exact" w:val="413"/>
          <w:jc w:val="center"/>
        </w:trPr>
        <w:tc>
          <w:tcPr>
            <w:tcW w:w="2587" w:type="dxa"/>
            <w:tcBorders>
              <w:top w:val="single" w:sz="4" w:space="0" w:color="auto"/>
              <w:left w:val="single" w:sz="4" w:space="0" w:color="auto"/>
            </w:tcBorders>
            <w:shd w:val="clear" w:color="auto" w:fill="auto"/>
            <w:vAlign w:val="center"/>
          </w:tcPr>
          <w:p w14:paraId="156FD1BF" w14:textId="77777777" w:rsidR="000435C2" w:rsidRPr="00167EE8" w:rsidRDefault="008B332B">
            <w:pPr>
              <w:pStyle w:val="Other0"/>
              <w:spacing w:after="0"/>
            </w:pPr>
            <w:r w:rsidRPr="00167EE8">
              <w:rPr>
                <w:rStyle w:val="Other"/>
                <w:b/>
              </w:rPr>
              <w:lastRenderedPageBreak/>
              <w:t>Tipo de mobilidade</w:t>
            </w:r>
          </w:p>
        </w:tc>
        <w:tc>
          <w:tcPr>
            <w:tcW w:w="2534" w:type="dxa"/>
            <w:tcBorders>
              <w:top w:val="single" w:sz="4" w:space="0" w:color="auto"/>
              <w:left w:val="single" w:sz="4" w:space="0" w:color="auto"/>
              <w:right w:val="single" w:sz="4" w:space="0" w:color="auto"/>
            </w:tcBorders>
            <w:shd w:val="clear" w:color="auto" w:fill="auto"/>
            <w:vAlign w:val="center"/>
          </w:tcPr>
          <w:p w14:paraId="7DCE5344" w14:textId="77777777" w:rsidR="000435C2" w:rsidRPr="00167EE8" w:rsidRDefault="008B332B">
            <w:pPr>
              <w:pStyle w:val="Other0"/>
              <w:spacing w:after="0"/>
            </w:pPr>
            <w:r w:rsidRPr="00167EE8">
              <w:rPr>
                <w:rStyle w:val="Other"/>
                <w:b/>
              </w:rPr>
              <w:t>Percentagem</w:t>
            </w:r>
          </w:p>
        </w:tc>
      </w:tr>
      <w:tr w:rsidR="000435C2" w:rsidRPr="00167EE8" w14:paraId="168B8B75" w14:textId="77777777" w:rsidTr="00F96019">
        <w:trPr>
          <w:trHeight w:hRule="exact" w:val="341"/>
          <w:jc w:val="center"/>
        </w:trPr>
        <w:tc>
          <w:tcPr>
            <w:tcW w:w="2587" w:type="dxa"/>
            <w:tcBorders>
              <w:top w:val="single" w:sz="4" w:space="0" w:color="auto"/>
              <w:left w:val="single" w:sz="4" w:space="0" w:color="auto"/>
            </w:tcBorders>
            <w:shd w:val="clear" w:color="auto" w:fill="auto"/>
            <w:vAlign w:val="center"/>
          </w:tcPr>
          <w:p w14:paraId="6A0AFC26" w14:textId="77777777" w:rsidR="000435C2" w:rsidRPr="00167EE8" w:rsidRDefault="008B332B">
            <w:pPr>
              <w:pStyle w:val="Other0"/>
              <w:spacing w:after="0"/>
            </w:pPr>
            <w:r w:rsidRPr="00167EE8">
              <w:rPr>
                <w:rStyle w:val="Other"/>
              </w:rPr>
              <w:t>Mestrandos</w:t>
            </w:r>
          </w:p>
        </w:tc>
        <w:tc>
          <w:tcPr>
            <w:tcW w:w="2534" w:type="dxa"/>
            <w:tcBorders>
              <w:top w:val="single" w:sz="4" w:space="0" w:color="auto"/>
              <w:left w:val="single" w:sz="4" w:space="0" w:color="auto"/>
              <w:right w:val="single" w:sz="4" w:space="0" w:color="auto"/>
            </w:tcBorders>
            <w:shd w:val="clear" w:color="auto" w:fill="auto"/>
            <w:vAlign w:val="center"/>
          </w:tcPr>
          <w:p w14:paraId="42782761" w14:textId="77777777" w:rsidR="000435C2" w:rsidRPr="00167EE8" w:rsidRDefault="008B332B">
            <w:pPr>
              <w:pStyle w:val="Other0"/>
              <w:spacing w:after="0"/>
            </w:pPr>
            <w:r w:rsidRPr="00167EE8">
              <w:rPr>
                <w:rStyle w:val="Other"/>
              </w:rPr>
              <w:t>45 %</w:t>
            </w:r>
          </w:p>
        </w:tc>
      </w:tr>
      <w:tr w:rsidR="000435C2" w:rsidRPr="00167EE8" w14:paraId="64F3AAE5" w14:textId="77777777" w:rsidTr="00F96019">
        <w:trPr>
          <w:trHeight w:hRule="exact" w:val="312"/>
          <w:jc w:val="center"/>
        </w:trPr>
        <w:tc>
          <w:tcPr>
            <w:tcW w:w="2587" w:type="dxa"/>
            <w:tcBorders>
              <w:top w:val="single" w:sz="4" w:space="0" w:color="auto"/>
              <w:left w:val="single" w:sz="4" w:space="0" w:color="auto"/>
            </w:tcBorders>
            <w:shd w:val="clear" w:color="auto" w:fill="auto"/>
            <w:vAlign w:val="center"/>
          </w:tcPr>
          <w:p w14:paraId="0271CB78" w14:textId="77777777" w:rsidR="000435C2" w:rsidRPr="00167EE8" w:rsidRDefault="008B332B">
            <w:pPr>
              <w:pStyle w:val="Other0"/>
              <w:spacing w:after="0"/>
            </w:pPr>
            <w:r w:rsidRPr="00167EE8">
              <w:rPr>
                <w:rStyle w:val="Other"/>
              </w:rPr>
              <w:t>Doutorandos</w:t>
            </w:r>
          </w:p>
        </w:tc>
        <w:tc>
          <w:tcPr>
            <w:tcW w:w="2534" w:type="dxa"/>
            <w:tcBorders>
              <w:top w:val="single" w:sz="4" w:space="0" w:color="auto"/>
              <w:left w:val="single" w:sz="4" w:space="0" w:color="auto"/>
              <w:right w:val="single" w:sz="4" w:space="0" w:color="auto"/>
            </w:tcBorders>
            <w:shd w:val="clear" w:color="auto" w:fill="auto"/>
            <w:vAlign w:val="center"/>
          </w:tcPr>
          <w:p w14:paraId="62976467" w14:textId="77777777" w:rsidR="000435C2" w:rsidRPr="00167EE8" w:rsidRDefault="008B332B">
            <w:pPr>
              <w:pStyle w:val="Other0"/>
              <w:spacing w:after="0"/>
            </w:pPr>
            <w:r w:rsidRPr="00167EE8">
              <w:rPr>
                <w:rStyle w:val="Other"/>
              </w:rPr>
              <w:t>10 %</w:t>
            </w:r>
          </w:p>
        </w:tc>
      </w:tr>
      <w:tr w:rsidR="000435C2" w:rsidRPr="00167EE8" w14:paraId="6DE2DF60" w14:textId="77777777" w:rsidTr="00F96019">
        <w:trPr>
          <w:trHeight w:hRule="exact" w:val="307"/>
          <w:jc w:val="center"/>
        </w:trPr>
        <w:tc>
          <w:tcPr>
            <w:tcW w:w="2587" w:type="dxa"/>
            <w:tcBorders>
              <w:top w:val="single" w:sz="4" w:space="0" w:color="auto"/>
              <w:left w:val="single" w:sz="4" w:space="0" w:color="auto"/>
            </w:tcBorders>
            <w:shd w:val="clear" w:color="auto" w:fill="auto"/>
            <w:vAlign w:val="center"/>
          </w:tcPr>
          <w:p w14:paraId="72EFFE1C" w14:textId="77777777" w:rsidR="000435C2" w:rsidRPr="00167EE8" w:rsidRDefault="008B332B">
            <w:pPr>
              <w:pStyle w:val="Other0"/>
              <w:spacing w:after="0"/>
            </w:pPr>
            <w:r w:rsidRPr="00167EE8">
              <w:rPr>
                <w:rStyle w:val="Other"/>
              </w:rPr>
              <w:t>Estagiários</w:t>
            </w:r>
          </w:p>
        </w:tc>
        <w:tc>
          <w:tcPr>
            <w:tcW w:w="2534" w:type="dxa"/>
            <w:tcBorders>
              <w:top w:val="single" w:sz="4" w:space="0" w:color="auto"/>
              <w:left w:val="single" w:sz="4" w:space="0" w:color="auto"/>
              <w:right w:val="single" w:sz="4" w:space="0" w:color="auto"/>
            </w:tcBorders>
            <w:shd w:val="clear" w:color="auto" w:fill="auto"/>
            <w:vAlign w:val="center"/>
          </w:tcPr>
          <w:p w14:paraId="7BF48017" w14:textId="77777777" w:rsidR="000435C2" w:rsidRPr="00167EE8" w:rsidRDefault="008B332B">
            <w:pPr>
              <w:pStyle w:val="Other0"/>
              <w:spacing w:after="0"/>
            </w:pPr>
            <w:r w:rsidRPr="00167EE8">
              <w:rPr>
                <w:rStyle w:val="Other"/>
              </w:rPr>
              <w:t>20 %</w:t>
            </w:r>
          </w:p>
        </w:tc>
      </w:tr>
      <w:tr w:rsidR="000435C2" w:rsidRPr="00167EE8" w14:paraId="0AF1C640" w14:textId="77777777" w:rsidTr="00F96019">
        <w:trPr>
          <w:trHeight w:hRule="exact" w:val="317"/>
          <w:jc w:val="center"/>
        </w:trPr>
        <w:tc>
          <w:tcPr>
            <w:tcW w:w="2587" w:type="dxa"/>
            <w:tcBorders>
              <w:top w:val="single" w:sz="4" w:space="0" w:color="auto"/>
              <w:left w:val="single" w:sz="4" w:space="0" w:color="auto"/>
              <w:bottom w:val="single" w:sz="4" w:space="0" w:color="auto"/>
            </w:tcBorders>
            <w:shd w:val="clear" w:color="auto" w:fill="auto"/>
            <w:vAlign w:val="center"/>
          </w:tcPr>
          <w:p w14:paraId="33A04ACE" w14:textId="77777777" w:rsidR="000435C2" w:rsidRPr="00167EE8" w:rsidRDefault="008B332B">
            <w:pPr>
              <w:pStyle w:val="Other0"/>
              <w:spacing w:after="0"/>
            </w:pPr>
            <w:r w:rsidRPr="00167EE8">
              <w:rPr>
                <w:rStyle w:val="Other"/>
              </w:rPr>
              <w:t>Membros do pessoal</w:t>
            </w:r>
          </w:p>
        </w:tc>
        <w:tc>
          <w:tcPr>
            <w:tcW w:w="2534" w:type="dxa"/>
            <w:tcBorders>
              <w:top w:val="single" w:sz="4" w:space="0" w:color="auto"/>
              <w:left w:val="single" w:sz="4" w:space="0" w:color="auto"/>
              <w:bottom w:val="single" w:sz="4" w:space="0" w:color="auto"/>
              <w:right w:val="single" w:sz="4" w:space="0" w:color="auto"/>
            </w:tcBorders>
            <w:shd w:val="clear" w:color="auto" w:fill="auto"/>
            <w:vAlign w:val="center"/>
          </w:tcPr>
          <w:p w14:paraId="27628E17" w14:textId="77777777" w:rsidR="000435C2" w:rsidRPr="00167EE8" w:rsidRDefault="008B332B">
            <w:pPr>
              <w:pStyle w:val="Other0"/>
              <w:spacing w:after="0"/>
            </w:pPr>
            <w:r w:rsidRPr="00167EE8">
              <w:rPr>
                <w:rStyle w:val="Other"/>
              </w:rPr>
              <w:t>10 %</w:t>
            </w:r>
          </w:p>
        </w:tc>
      </w:tr>
    </w:tbl>
    <w:p w14:paraId="784F3A12" w14:textId="77777777" w:rsidR="000435C2" w:rsidRPr="00167EE8" w:rsidRDefault="000435C2">
      <w:pPr>
        <w:spacing w:after="199" w:line="1" w:lineRule="exact"/>
      </w:pPr>
    </w:p>
    <w:p w14:paraId="1273C6EB" w14:textId="77777777" w:rsidR="000435C2" w:rsidRPr="00167EE8" w:rsidRDefault="008B332B" w:rsidP="006008C4">
      <w:pPr>
        <w:pStyle w:val="BodyText"/>
        <w:numPr>
          <w:ilvl w:val="0"/>
          <w:numId w:val="11"/>
        </w:numPr>
        <w:tabs>
          <w:tab w:val="left" w:pos="606"/>
        </w:tabs>
        <w:spacing w:after="0"/>
        <w:jc w:val="both"/>
      </w:pPr>
      <w:r w:rsidRPr="00167EE8">
        <w:rPr>
          <w:rStyle w:val="BodyTextChar"/>
        </w:rPr>
        <w:t>Pelo menos 25 % do número de estudantes bolseiros (mestrandos</w:t>
      </w:r>
    </w:p>
    <w:p w14:paraId="7EA2DAF1" w14:textId="77777777" w:rsidR="000435C2" w:rsidRPr="00167EE8" w:rsidRDefault="008B332B">
      <w:pPr>
        <w:pStyle w:val="BodyText"/>
        <w:spacing w:after="100"/>
        <w:ind w:firstLine="580"/>
      </w:pPr>
      <w:r w:rsidRPr="00167EE8">
        <w:rPr>
          <w:rStyle w:val="BodyTextChar"/>
        </w:rPr>
        <w:t>e doutorandos) procuram créditos.</w:t>
      </w:r>
    </w:p>
    <w:p w14:paraId="48B64AE2" w14:textId="77777777" w:rsidR="000435C2" w:rsidRPr="00167EE8" w:rsidRDefault="008B332B" w:rsidP="006008C4">
      <w:pPr>
        <w:pStyle w:val="BodyText"/>
        <w:numPr>
          <w:ilvl w:val="0"/>
          <w:numId w:val="11"/>
        </w:numPr>
        <w:tabs>
          <w:tab w:val="left" w:pos="606"/>
        </w:tabs>
        <w:spacing w:after="0"/>
        <w:jc w:val="both"/>
      </w:pPr>
      <w:r w:rsidRPr="00167EE8">
        <w:rPr>
          <w:rStyle w:val="BodyTextChar"/>
        </w:rPr>
        <w:t>Distribuição equilibrada do número de fluxos de mobilidade entre as IES candidatas</w:t>
      </w:r>
    </w:p>
    <w:p w14:paraId="14639958" w14:textId="77777777" w:rsidR="000435C2" w:rsidRPr="00167EE8" w:rsidRDefault="008B332B">
      <w:pPr>
        <w:pStyle w:val="BodyText"/>
        <w:spacing w:after="100"/>
        <w:ind w:left="580"/>
        <w:jc w:val="both"/>
      </w:pPr>
      <w:r w:rsidRPr="00167EE8">
        <w:rPr>
          <w:rStyle w:val="BodyTextChar"/>
        </w:rPr>
        <w:t>(beneficiárias) de África (tendo em conta a capacidade operacional para gerir a mobilidade e a capacidade para acolher e enviar bolseiros).</w:t>
      </w:r>
    </w:p>
    <w:p w14:paraId="4BFE8542" w14:textId="77777777" w:rsidR="000435C2" w:rsidRPr="00167EE8" w:rsidRDefault="008B332B" w:rsidP="006008C4">
      <w:pPr>
        <w:pStyle w:val="BodyText"/>
        <w:numPr>
          <w:ilvl w:val="0"/>
          <w:numId w:val="11"/>
        </w:numPr>
        <w:tabs>
          <w:tab w:val="left" w:pos="606"/>
        </w:tabs>
        <w:spacing w:after="100"/>
        <w:jc w:val="both"/>
      </w:pPr>
      <w:r w:rsidRPr="00167EE8">
        <w:rPr>
          <w:rStyle w:val="BodyTextChar"/>
        </w:rPr>
        <w:t>Pelo menos 25 % do número total de bolseiros são mulheres.</w:t>
      </w:r>
    </w:p>
    <w:p w14:paraId="7E4B08F8" w14:textId="77777777" w:rsidR="000435C2" w:rsidRPr="00167EE8" w:rsidRDefault="008B332B" w:rsidP="006008C4">
      <w:pPr>
        <w:pStyle w:val="BodyText"/>
        <w:numPr>
          <w:ilvl w:val="0"/>
          <w:numId w:val="11"/>
        </w:numPr>
        <w:tabs>
          <w:tab w:val="left" w:pos="606"/>
        </w:tabs>
        <w:spacing w:after="0"/>
        <w:jc w:val="both"/>
      </w:pPr>
      <w:r w:rsidRPr="00167EE8">
        <w:rPr>
          <w:rStyle w:val="BodyTextChar"/>
        </w:rPr>
        <w:t>Pelo menos 10 % do número total de bolseiros têm necessidades especiais</w:t>
      </w:r>
    </w:p>
    <w:p w14:paraId="1FA403B0" w14:textId="77777777" w:rsidR="000435C2" w:rsidRPr="00167EE8" w:rsidRDefault="008B332B">
      <w:pPr>
        <w:pStyle w:val="BodyText"/>
        <w:spacing w:after="100"/>
        <w:ind w:left="580"/>
        <w:jc w:val="both"/>
      </w:pPr>
      <w:r w:rsidRPr="00167EE8">
        <w:rPr>
          <w:rStyle w:val="BodyTextChar"/>
        </w:rPr>
        <w:t>ou estatuto vulnerável (por exemplo, proveniente de origens socioeconómicas desfavorecidas, países/regiões frágeis e menos desenvolvidos, com estatuto de refugiado).</w:t>
      </w:r>
    </w:p>
    <w:p w14:paraId="722E387F" w14:textId="77777777" w:rsidR="000435C2" w:rsidRPr="00167EE8" w:rsidRDefault="008B332B" w:rsidP="006008C4">
      <w:pPr>
        <w:pStyle w:val="BodyText"/>
        <w:numPr>
          <w:ilvl w:val="0"/>
          <w:numId w:val="11"/>
        </w:numPr>
        <w:tabs>
          <w:tab w:val="left" w:pos="606"/>
        </w:tabs>
        <w:spacing w:after="0"/>
        <w:jc w:val="both"/>
      </w:pPr>
      <w:r w:rsidRPr="00167EE8">
        <w:rPr>
          <w:rStyle w:val="BodyTextChar"/>
        </w:rPr>
        <w:t>No máximo, 20 % do número total de bolseiros são da mesma</w:t>
      </w:r>
    </w:p>
    <w:p w14:paraId="723A5DDD" w14:textId="77777777" w:rsidR="000435C2" w:rsidRPr="00167EE8" w:rsidRDefault="008B332B">
      <w:pPr>
        <w:pStyle w:val="BodyText"/>
        <w:spacing w:after="160"/>
        <w:ind w:firstLine="580"/>
        <w:jc w:val="both"/>
      </w:pPr>
      <w:r w:rsidRPr="00167EE8">
        <w:rPr>
          <w:rStyle w:val="BodyTextChar"/>
        </w:rPr>
        <w:t>nacionalidade.</w:t>
      </w:r>
    </w:p>
    <w:p w14:paraId="442FDFB2" w14:textId="77777777" w:rsidR="000435C2" w:rsidRPr="00167EE8" w:rsidRDefault="008B332B" w:rsidP="00F96019">
      <w:pPr>
        <w:pStyle w:val="BodyText"/>
        <w:keepNext/>
        <w:spacing w:before="720"/>
        <w:jc w:val="both"/>
      </w:pPr>
      <w:r w:rsidRPr="00167EE8">
        <w:rPr>
          <w:rStyle w:val="BodyTextChar"/>
          <w:b/>
          <w:i/>
          <w:u w:val="single"/>
        </w:rPr>
        <w:t>Atividades de divulgação</w:t>
      </w:r>
    </w:p>
    <w:p w14:paraId="7BA5859A" w14:textId="77777777" w:rsidR="000435C2" w:rsidRPr="00167EE8" w:rsidRDefault="008B332B" w:rsidP="00F96019">
      <w:pPr>
        <w:pStyle w:val="BodyText"/>
        <w:keepLines/>
        <w:jc w:val="both"/>
      </w:pPr>
      <w:r w:rsidRPr="00167EE8">
        <w:rPr>
          <w:rStyle w:val="BodyTextChar"/>
        </w:rPr>
        <w:t>Espera-se que cada projeto contribua para aumentar a qualidade, a relevância e a internacionalização do ensino superior em África. Durante a fase de implementação, o consórcio terá de divulgar os resultados dos projetos, em particular no domínio da investigação e do diálogo político. Por conseguinte, espera-se que o projeto (se for caso disso):</w:t>
      </w:r>
    </w:p>
    <w:p w14:paraId="18037243" w14:textId="77777777" w:rsidR="000435C2" w:rsidRPr="00167EE8" w:rsidRDefault="008B332B" w:rsidP="006008C4">
      <w:pPr>
        <w:pStyle w:val="BodyText"/>
        <w:numPr>
          <w:ilvl w:val="0"/>
          <w:numId w:val="12"/>
        </w:numPr>
        <w:tabs>
          <w:tab w:val="left" w:pos="713"/>
        </w:tabs>
        <w:spacing w:after="120"/>
        <w:ind w:left="740" w:hanging="360"/>
        <w:jc w:val="both"/>
      </w:pPr>
      <w:r w:rsidRPr="00167EE8">
        <w:rPr>
          <w:rStyle w:val="BodyTextChar"/>
        </w:rPr>
        <w:t>Promova projetos de investigação e publicações conjuntas - desenvolvidos entre IES e/ou centros de excelência.</w:t>
      </w:r>
    </w:p>
    <w:p w14:paraId="57433DFE" w14:textId="77777777" w:rsidR="000435C2" w:rsidRPr="00167EE8" w:rsidRDefault="008B332B" w:rsidP="006008C4">
      <w:pPr>
        <w:pStyle w:val="BodyText"/>
        <w:numPr>
          <w:ilvl w:val="0"/>
          <w:numId w:val="12"/>
        </w:numPr>
        <w:tabs>
          <w:tab w:val="left" w:pos="745"/>
        </w:tabs>
        <w:spacing w:after="120"/>
        <w:ind w:firstLine="380"/>
        <w:jc w:val="both"/>
      </w:pPr>
      <w:r w:rsidRPr="00167EE8">
        <w:rPr>
          <w:rStyle w:val="BodyTextChar"/>
        </w:rPr>
        <w:t>Promova documentos políticos partilhados com os decisores políticos dos países participantes.</w:t>
      </w:r>
    </w:p>
    <w:p w14:paraId="49AE2851" w14:textId="77777777" w:rsidR="000435C2" w:rsidRPr="00167EE8" w:rsidRDefault="008B332B" w:rsidP="006008C4">
      <w:pPr>
        <w:pStyle w:val="BodyText"/>
        <w:numPr>
          <w:ilvl w:val="0"/>
          <w:numId w:val="12"/>
        </w:numPr>
        <w:tabs>
          <w:tab w:val="left" w:pos="713"/>
        </w:tabs>
        <w:spacing w:after="120"/>
        <w:ind w:left="740" w:hanging="360"/>
        <w:jc w:val="both"/>
      </w:pPr>
      <w:r w:rsidRPr="00167EE8">
        <w:rPr>
          <w:rStyle w:val="BodyTextChar"/>
        </w:rPr>
        <w:t>Promova atividades de divulgação sobre as boas práticas e os conhecimentos adquiridos através dos projetos, envolvendo parcerias públicas e privadas.</w:t>
      </w:r>
    </w:p>
    <w:p w14:paraId="394D8C9C" w14:textId="77777777" w:rsidR="000435C2" w:rsidRPr="00167EE8" w:rsidRDefault="008B332B" w:rsidP="006008C4">
      <w:pPr>
        <w:pStyle w:val="BodyText"/>
        <w:numPr>
          <w:ilvl w:val="0"/>
          <w:numId w:val="12"/>
        </w:numPr>
        <w:tabs>
          <w:tab w:val="left" w:pos="713"/>
        </w:tabs>
        <w:spacing w:after="240" w:line="226" w:lineRule="auto"/>
        <w:ind w:left="740" w:hanging="360"/>
        <w:jc w:val="both"/>
      </w:pPr>
      <w:r w:rsidRPr="00167EE8">
        <w:rPr>
          <w:rStyle w:val="BodyTextChar"/>
        </w:rPr>
        <w:t>Apoiar a divulgação dos resultados, envolvendo o maior número possível de partes interessadas e participantes internos e externos.</w:t>
      </w:r>
    </w:p>
    <w:p w14:paraId="6F1806B3" w14:textId="77777777" w:rsidR="000435C2" w:rsidRPr="00167EE8" w:rsidRDefault="008B332B" w:rsidP="00F96019">
      <w:pPr>
        <w:pStyle w:val="Heading2"/>
        <w:rPr>
          <w:b w:val="0"/>
          <w:bCs w:val="0"/>
        </w:rPr>
      </w:pPr>
      <w:bookmarkStart w:id="18" w:name="bookmark23"/>
      <w:bookmarkStart w:id="19" w:name="_Toc185511136"/>
      <w:r w:rsidRPr="00167EE8">
        <w:rPr>
          <w:rStyle w:val="BodyTextChar"/>
          <w:b w:val="0"/>
          <w:i/>
          <w:u w:val="single"/>
        </w:rPr>
        <w:t>Impacto esperado</w:t>
      </w:r>
      <w:bookmarkEnd w:id="18"/>
      <w:bookmarkEnd w:id="19"/>
    </w:p>
    <w:p w14:paraId="07C5EC8E" w14:textId="77777777" w:rsidR="000435C2" w:rsidRPr="00167EE8" w:rsidRDefault="008B332B">
      <w:pPr>
        <w:pStyle w:val="BodyText"/>
        <w:jc w:val="both"/>
      </w:pPr>
      <w:r w:rsidRPr="00167EE8">
        <w:rPr>
          <w:rStyle w:val="BodyTextChar"/>
        </w:rPr>
        <w:t>As realizações esperadas para esta ação e que contribuam para os Objetivos Específicos são as seguintes:</w:t>
      </w:r>
    </w:p>
    <w:p w14:paraId="4F10A9E0" w14:textId="77777777" w:rsidR="000435C2" w:rsidRPr="00167EE8" w:rsidRDefault="008B332B">
      <w:pPr>
        <w:pStyle w:val="BodyText"/>
        <w:jc w:val="both"/>
      </w:pPr>
      <w:r w:rsidRPr="00167EE8">
        <w:rPr>
          <w:rStyle w:val="BodyTextChar"/>
          <w:i/>
        </w:rPr>
        <w:t>A nível do sistema</w:t>
      </w:r>
    </w:p>
    <w:p w14:paraId="55A24BAE" w14:textId="7ACCD419" w:rsidR="000435C2" w:rsidRPr="00167EE8" w:rsidRDefault="008B332B" w:rsidP="008B332B">
      <w:pPr>
        <w:pStyle w:val="BodyText"/>
        <w:numPr>
          <w:ilvl w:val="0"/>
          <w:numId w:val="13"/>
        </w:numPr>
        <w:spacing w:after="120"/>
        <w:ind w:left="709" w:hanging="709"/>
        <w:jc w:val="both"/>
      </w:pPr>
      <w:r w:rsidRPr="00167EE8">
        <w:rPr>
          <w:rStyle w:val="BodyTextChar"/>
        </w:rPr>
        <w:t>Melhores mecanismos para a transparência internacional e o reconhecimento de estudos/graus e qualificações nas IES participantes.</w:t>
      </w:r>
    </w:p>
    <w:p w14:paraId="420D21D1" w14:textId="49EFDA98" w:rsidR="000435C2" w:rsidRPr="00167EE8" w:rsidRDefault="008B332B" w:rsidP="008B332B">
      <w:pPr>
        <w:pStyle w:val="BodyText"/>
        <w:numPr>
          <w:ilvl w:val="0"/>
          <w:numId w:val="13"/>
        </w:numPr>
        <w:spacing w:after="120"/>
        <w:ind w:left="709" w:hanging="709"/>
        <w:jc w:val="both"/>
      </w:pPr>
      <w:r w:rsidRPr="00167EE8">
        <w:rPr>
          <w:rStyle w:val="BodyTextChar"/>
        </w:rPr>
        <w:t xml:space="preserve">Melhoria da transferência de conhecimentos entre IES, qualidade do ensino superior e intercâmbio de informações sobre oportunidades de estudo no </w:t>
      </w:r>
      <w:r w:rsidRPr="00167EE8">
        <w:rPr>
          <w:rStyle w:val="BodyTextChar"/>
        </w:rPr>
        <w:lastRenderedPageBreak/>
        <w:t>Espaço Africano de Ensino Superior e Investigação.</w:t>
      </w:r>
    </w:p>
    <w:p w14:paraId="0CD72F49" w14:textId="77777777" w:rsidR="000435C2" w:rsidRPr="00167EE8" w:rsidRDefault="008B332B" w:rsidP="008B332B">
      <w:pPr>
        <w:pStyle w:val="BodyText"/>
        <w:ind w:left="709" w:hanging="709"/>
        <w:jc w:val="both"/>
      </w:pPr>
      <w:r w:rsidRPr="00167EE8">
        <w:rPr>
          <w:rStyle w:val="BodyTextChar"/>
          <w:i/>
        </w:rPr>
        <w:t>A nível institucional</w:t>
      </w:r>
    </w:p>
    <w:p w14:paraId="7C063F40" w14:textId="122FCD57" w:rsidR="000435C2" w:rsidRPr="00167EE8" w:rsidRDefault="008B332B" w:rsidP="008B332B">
      <w:pPr>
        <w:pStyle w:val="BodyText"/>
        <w:numPr>
          <w:ilvl w:val="0"/>
          <w:numId w:val="13"/>
        </w:numPr>
        <w:spacing w:after="120"/>
        <w:ind w:left="709" w:hanging="709"/>
        <w:jc w:val="both"/>
      </w:pPr>
      <w:r w:rsidRPr="00167EE8">
        <w:rPr>
          <w:rStyle w:val="BodyTextChar"/>
        </w:rPr>
        <w:t>Reforço da capacidade das IES para gerir parcerias internacionais, fluxos de mobilidade e serviços de carreira.</w:t>
      </w:r>
    </w:p>
    <w:p w14:paraId="488CA3E4" w14:textId="3FBF491B" w:rsidR="000435C2" w:rsidRPr="00167EE8" w:rsidRDefault="008B332B" w:rsidP="008B332B">
      <w:pPr>
        <w:pStyle w:val="BodyText"/>
        <w:numPr>
          <w:ilvl w:val="0"/>
          <w:numId w:val="13"/>
        </w:numPr>
        <w:spacing w:after="120"/>
        <w:ind w:left="709" w:hanging="709"/>
        <w:jc w:val="both"/>
      </w:pPr>
      <w:r w:rsidRPr="00167EE8">
        <w:rPr>
          <w:rStyle w:val="BodyTextChar"/>
        </w:rPr>
        <w:t>Aumento do número de parcerias e redes entre IES em África, em particular no domínio da investigação a nível regional e continental.</w:t>
      </w:r>
    </w:p>
    <w:p w14:paraId="5E1CFAB7" w14:textId="1406502D" w:rsidR="000435C2" w:rsidRPr="00167EE8" w:rsidRDefault="008B332B" w:rsidP="008B332B">
      <w:pPr>
        <w:pStyle w:val="BodyText"/>
        <w:numPr>
          <w:ilvl w:val="0"/>
          <w:numId w:val="13"/>
        </w:numPr>
        <w:spacing w:after="120"/>
        <w:ind w:left="709" w:hanging="709"/>
        <w:jc w:val="both"/>
      </w:pPr>
      <w:r w:rsidRPr="00167EE8">
        <w:rPr>
          <w:rStyle w:val="BodyTextChar"/>
        </w:rPr>
        <w:t>Reforço da cooperação entre as IES e as empresas, nomeadamente no domínio das alterações climáticas.</w:t>
      </w:r>
    </w:p>
    <w:p w14:paraId="18CB1600" w14:textId="77777777" w:rsidR="000435C2" w:rsidRPr="00167EE8" w:rsidRDefault="008B332B" w:rsidP="008B332B">
      <w:pPr>
        <w:pStyle w:val="BodyText"/>
        <w:ind w:left="709" w:hanging="709"/>
        <w:jc w:val="both"/>
      </w:pPr>
      <w:r w:rsidRPr="00167EE8">
        <w:rPr>
          <w:rStyle w:val="BodyTextChar"/>
          <w:i/>
        </w:rPr>
        <w:t>A nível individual</w:t>
      </w:r>
    </w:p>
    <w:p w14:paraId="22E65CA6" w14:textId="552F474E" w:rsidR="000435C2" w:rsidRPr="00167EE8" w:rsidRDefault="008B332B" w:rsidP="008B332B">
      <w:pPr>
        <w:pStyle w:val="BodyText"/>
        <w:numPr>
          <w:ilvl w:val="0"/>
          <w:numId w:val="13"/>
        </w:numPr>
        <w:spacing w:after="120"/>
        <w:ind w:left="709" w:hanging="709"/>
        <w:jc w:val="both"/>
        <w:rPr>
          <w:rStyle w:val="BodyTextChar"/>
        </w:rPr>
      </w:pPr>
      <w:r w:rsidRPr="00167EE8">
        <w:rPr>
          <w:rStyle w:val="BodyTextChar"/>
        </w:rPr>
        <w:t>Melhoria dos conhecimentos, competências, aptidões e empregabilidade dos bolseiros.</w:t>
      </w:r>
    </w:p>
    <w:p w14:paraId="2AB21335" w14:textId="38AC8F2C" w:rsidR="000435C2" w:rsidRPr="00167EE8" w:rsidRDefault="008B332B" w:rsidP="008B332B">
      <w:pPr>
        <w:pStyle w:val="BodyText"/>
        <w:numPr>
          <w:ilvl w:val="0"/>
          <w:numId w:val="13"/>
        </w:numPr>
        <w:spacing w:after="120"/>
        <w:ind w:left="709" w:hanging="709"/>
        <w:jc w:val="both"/>
        <w:rPr>
          <w:rStyle w:val="BodyTextChar"/>
        </w:rPr>
      </w:pPr>
      <w:r w:rsidRPr="00167EE8">
        <w:rPr>
          <w:rStyle w:val="BodyTextChar"/>
        </w:rPr>
        <w:t>Os conhecimentos, as competências e as aptidões no domínio da adaptação às alterações climáticas e da atenuação dos seus efeitos são reforçados em todos os países e partes interessadas.</w:t>
      </w:r>
    </w:p>
    <w:p w14:paraId="2E81C377" w14:textId="1839C70A" w:rsidR="000435C2" w:rsidRPr="00167EE8" w:rsidRDefault="008B332B" w:rsidP="008B332B">
      <w:pPr>
        <w:pStyle w:val="BodyText"/>
        <w:numPr>
          <w:ilvl w:val="0"/>
          <w:numId w:val="13"/>
        </w:numPr>
        <w:spacing w:after="120"/>
        <w:ind w:left="709" w:hanging="709"/>
        <w:jc w:val="both"/>
        <w:rPr>
          <w:rStyle w:val="BodyTextChar"/>
        </w:rPr>
      </w:pPr>
      <w:r w:rsidRPr="00167EE8">
        <w:rPr>
          <w:rStyle w:val="BodyTextChar"/>
        </w:rPr>
        <w:t>Aumento da participação das mulheres e aumento do número de mulheres africanas titulares de um diploma de pós-graduação.</w:t>
      </w:r>
    </w:p>
    <w:p w14:paraId="518C6C43" w14:textId="3499C274" w:rsidR="000435C2" w:rsidRPr="00167EE8" w:rsidRDefault="008B332B" w:rsidP="008B332B">
      <w:pPr>
        <w:pStyle w:val="BodyText"/>
        <w:numPr>
          <w:ilvl w:val="0"/>
          <w:numId w:val="13"/>
        </w:numPr>
        <w:spacing w:after="120"/>
        <w:ind w:left="709" w:hanging="709"/>
        <w:jc w:val="both"/>
        <w:rPr>
          <w:rStyle w:val="BodyTextChar"/>
        </w:rPr>
      </w:pPr>
      <w:r w:rsidRPr="00167EE8">
        <w:rPr>
          <w:rStyle w:val="BodyTextChar"/>
        </w:rPr>
        <w:t>O acesso aos graus de pós-graduação é diversificado, com especial atenção aos</w:t>
      </w:r>
      <w:bookmarkStart w:id="20" w:name="bookmark24"/>
      <w:r w:rsidRPr="00167EE8">
        <w:rPr>
          <w:rStyle w:val="BodyTextChar"/>
        </w:rPr>
        <w:t xml:space="preserve"> estudantes com necessidades especiais ou estatuto vulnerável (por exemplo, provenientes de origens socioeconómicas desfavorecidas, países/regiões frágeis e menos desenvolvidos, com estatuto de refugiado).</w:t>
      </w:r>
      <w:bookmarkEnd w:id="20"/>
    </w:p>
    <w:p w14:paraId="132221FB" w14:textId="559BD009" w:rsidR="000435C2" w:rsidRPr="00167EE8" w:rsidRDefault="008B332B" w:rsidP="00BF35B3">
      <w:pPr>
        <w:pStyle w:val="Heading1"/>
      </w:pPr>
      <w:bookmarkStart w:id="21" w:name="_Toc185511137"/>
      <w:r w:rsidRPr="00167EE8">
        <w:rPr>
          <w:rStyle w:val="Heading3"/>
          <w:b/>
        </w:rPr>
        <w:t>Orçamento disponível</w:t>
      </w:r>
      <w:bookmarkEnd w:id="21"/>
    </w:p>
    <w:p w14:paraId="1F7E5348" w14:textId="77777777" w:rsidR="000435C2" w:rsidRPr="00167EE8" w:rsidRDefault="008B332B">
      <w:pPr>
        <w:pStyle w:val="BodyText"/>
        <w:jc w:val="both"/>
      </w:pPr>
      <w:r w:rsidRPr="00167EE8">
        <w:rPr>
          <w:rStyle w:val="BodyTextChar"/>
        </w:rPr>
        <w:t xml:space="preserve">O orçamento estimado disponível para o convite à apresentação de propostas é de </w:t>
      </w:r>
      <w:r w:rsidRPr="00167EE8">
        <w:rPr>
          <w:rStyle w:val="BodyTextChar"/>
          <w:b/>
        </w:rPr>
        <w:t>29 000 000 EUR</w:t>
      </w:r>
      <w:r w:rsidRPr="00167EE8">
        <w:rPr>
          <w:rStyle w:val="BodyTextChar"/>
        </w:rPr>
        <w:t>.</w:t>
      </w:r>
    </w:p>
    <w:p w14:paraId="4C4DB45E" w14:textId="77777777" w:rsidR="000435C2" w:rsidRPr="00167EE8" w:rsidRDefault="008B332B">
      <w:pPr>
        <w:pStyle w:val="BodyText"/>
        <w:jc w:val="both"/>
      </w:pPr>
      <w:r w:rsidRPr="00167EE8">
        <w:rPr>
          <w:rStyle w:val="BodyTextChar"/>
        </w:rPr>
        <w:t>Esperamos financiar 20 projetos.</w:t>
      </w:r>
    </w:p>
    <w:p w14:paraId="5C0D515D" w14:textId="77777777" w:rsidR="000435C2" w:rsidRPr="00167EE8" w:rsidRDefault="008B332B">
      <w:pPr>
        <w:pStyle w:val="BodyText"/>
        <w:spacing w:after="620"/>
        <w:jc w:val="both"/>
      </w:pPr>
      <w:r w:rsidRPr="00167EE8">
        <w:rPr>
          <w:rStyle w:val="BodyTextChar"/>
        </w:rPr>
        <w:t>Reservamo-nos o direito de não atribuir a totalidade dos fundos disponíveis ou de os redistribuir entre as prioridades do convite, em função das propostas recebidas e dos resultados da avaliação.</w:t>
      </w:r>
    </w:p>
    <w:p w14:paraId="05F7471D" w14:textId="77777777" w:rsidR="000435C2" w:rsidRPr="00167EE8" w:rsidRDefault="008B332B" w:rsidP="00BF35B3">
      <w:pPr>
        <w:pStyle w:val="Heading1"/>
      </w:pPr>
      <w:bookmarkStart w:id="22" w:name="bookmark27"/>
      <w:bookmarkStart w:id="23" w:name="_Toc185511138"/>
      <w:r w:rsidRPr="00167EE8">
        <w:rPr>
          <w:rStyle w:val="BodyTextChar"/>
        </w:rPr>
        <w:t>Calendário e prazos</w:t>
      </w:r>
      <w:bookmarkEnd w:id="22"/>
      <w:bookmarkEnd w:id="23"/>
    </w:p>
    <w:tbl>
      <w:tblPr>
        <w:tblOverlap w:val="never"/>
        <w:tblW w:w="0" w:type="auto"/>
        <w:jc w:val="center"/>
        <w:tblCellMar>
          <w:top w:w="28" w:type="dxa"/>
          <w:left w:w="57" w:type="dxa"/>
          <w:bottom w:w="28" w:type="dxa"/>
          <w:right w:w="57" w:type="dxa"/>
        </w:tblCellMar>
        <w:tblLook w:val="0000" w:firstRow="0" w:lastRow="0" w:firstColumn="0" w:lastColumn="0" w:noHBand="0" w:noVBand="0"/>
      </w:tblPr>
      <w:tblGrid>
        <w:gridCol w:w="3648"/>
        <w:gridCol w:w="3422"/>
      </w:tblGrid>
      <w:tr w:rsidR="000435C2" w:rsidRPr="00167EE8" w14:paraId="2E259072" w14:textId="77777777" w:rsidTr="00F96019">
        <w:trPr>
          <w:trHeight w:hRule="exact" w:val="475"/>
          <w:jc w:val="center"/>
        </w:trPr>
        <w:tc>
          <w:tcPr>
            <w:tcW w:w="7070" w:type="dxa"/>
            <w:gridSpan w:val="2"/>
            <w:tcBorders>
              <w:top w:val="single" w:sz="4" w:space="0" w:color="auto"/>
              <w:left w:val="single" w:sz="4" w:space="0" w:color="auto"/>
              <w:right w:val="single" w:sz="4" w:space="0" w:color="auto"/>
            </w:tcBorders>
            <w:shd w:val="clear" w:color="auto" w:fill="auto"/>
            <w:vAlign w:val="center"/>
          </w:tcPr>
          <w:p w14:paraId="7A6FCD58" w14:textId="77777777" w:rsidR="000435C2" w:rsidRPr="00167EE8" w:rsidRDefault="008B332B">
            <w:pPr>
              <w:pStyle w:val="Other0"/>
              <w:spacing w:after="0"/>
              <w:rPr>
                <w:sz w:val="16"/>
                <w:szCs w:val="16"/>
              </w:rPr>
            </w:pPr>
            <w:r w:rsidRPr="00167EE8">
              <w:rPr>
                <w:rStyle w:val="Other"/>
                <w:b/>
                <w:color w:val="595959"/>
                <w:sz w:val="16"/>
              </w:rPr>
              <w:t>Calendário e prazos (indicativos)</w:t>
            </w:r>
          </w:p>
        </w:tc>
      </w:tr>
      <w:tr w:rsidR="000435C2" w:rsidRPr="00167EE8" w14:paraId="563EF070" w14:textId="77777777" w:rsidTr="00F96019">
        <w:trPr>
          <w:trHeight w:hRule="exact" w:val="470"/>
          <w:jc w:val="center"/>
        </w:trPr>
        <w:tc>
          <w:tcPr>
            <w:tcW w:w="3648" w:type="dxa"/>
            <w:tcBorders>
              <w:top w:val="single" w:sz="4" w:space="0" w:color="auto"/>
              <w:left w:val="single" w:sz="4" w:space="0" w:color="auto"/>
            </w:tcBorders>
            <w:shd w:val="clear" w:color="auto" w:fill="auto"/>
            <w:vAlign w:val="center"/>
          </w:tcPr>
          <w:p w14:paraId="72233968" w14:textId="77777777" w:rsidR="000435C2" w:rsidRPr="00167EE8" w:rsidRDefault="008B332B">
            <w:pPr>
              <w:pStyle w:val="Other0"/>
              <w:spacing w:after="0"/>
              <w:rPr>
                <w:sz w:val="16"/>
                <w:szCs w:val="16"/>
              </w:rPr>
            </w:pPr>
            <w:r w:rsidRPr="00167EE8">
              <w:rPr>
                <w:rStyle w:val="Other"/>
                <w:color w:val="595959"/>
                <w:sz w:val="16"/>
              </w:rPr>
              <w:t>Abertura do convite à apresentação de propostas:</w:t>
            </w:r>
          </w:p>
        </w:tc>
        <w:tc>
          <w:tcPr>
            <w:tcW w:w="3422" w:type="dxa"/>
            <w:tcBorders>
              <w:top w:val="single" w:sz="4" w:space="0" w:color="auto"/>
              <w:left w:val="single" w:sz="4" w:space="0" w:color="auto"/>
              <w:right w:val="single" w:sz="4" w:space="0" w:color="auto"/>
            </w:tcBorders>
            <w:shd w:val="clear" w:color="auto" w:fill="auto"/>
            <w:vAlign w:val="center"/>
          </w:tcPr>
          <w:p w14:paraId="4C5E3C5F" w14:textId="77777777" w:rsidR="000435C2" w:rsidRPr="00167EE8" w:rsidRDefault="008B332B">
            <w:pPr>
              <w:pStyle w:val="Other0"/>
              <w:spacing w:after="0"/>
              <w:jc w:val="center"/>
              <w:rPr>
                <w:sz w:val="16"/>
                <w:szCs w:val="16"/>
              </w:rPr>
            </w:pPr>
            <w:r w:rsidRPr="00167EE8">
              <w:rPr>
                <w:rStyle w:val="Other"/>
                <w:color w:val="595959"/>
                <w:sz w:val="16"/>
              </w:rPr>
              <w:t>14 de novembro de 2024</w:t>
            </w:r>
          </w:p>
        </w:tc>
      </w:tr>
      <w:tr w:rsidR="000435C2" w:rsidRPr="00167EE8" w14:paraId="5A76DD7A" w14:textId="77777777" w:rsidTr="00F96019">
        <w:trPr>
          <w:trHeight w:hRule="exact" w:val="682"/>
          <w:jc w:val="center"/>
        </w:trPr>
        <w:tc>
          <w:tcPr>
            <w:tcW w:w="3648" w:type="dxa"/>
            <w:tcBorders>
              <w:top w:val="single" w:sz="4" w:space="0" w:color="auto"/>
              <w:left w:val="single" w:sz="4" w:space="0" w:color="auto"/>
            </w:tcBorders>
            <w:shd w:val="clear" w:color="auto" w:fill="auto"/>
          </w:tcPr>
          <w:p w14:paraId="479AD00E" w14:textId="77777777" w:rsidR="000435C2" w:rsidRPr="00167EE8" w:rsidRDefault="008B332B">
            <w:pPr>
              <w:pStyle w:val="Other0"/>
              <w:spacing w:before="120" w:after="0"/>
              <w:rPr>
                <w:sz w:val="16"/>
                <w:szCs w:val="16"/>
              </w:rPr>
            </w:pPr>
            <w:r w:rsidRPr="00167EE8">
              <w:rPr>
                <w:rStyle w:val="Other"/>
                <w:color w:val="595959"/>
                <w:sz w:val="16"/>
                <w:u w:val="single"/>
              </w:rPr>
              <w:t>Data-limite para a apresentação das propostas:</w:t>
            </w:r>
          </w:p>
        </w:tc>
        <w:tc>
          <w:tcPr>
            <w:tcW w:w="3422" w:type="dxa"/>
            <w:tcBorders>
              <w:top w:val="single" w:sz="4" w:space="0" w:color="auto"/>
              <w:left w:val="single" w:sz="4" w:space="0" w:color="auto"/>
              <w:right w:val="single" w:sz="4" w:space="0" w:color="auto"/>
            </w:tcBorders>
            <w:shd w:val="clear" w:color="auto" w:fill="auto"/>
            <w:vAlign w:val="center"/>
          </w:tcPr>
          <w:p w14:paraId="192C7AFC" w14:textId="77777777" w:rsidR="000435C2" w:rsidRPr="00167EE8" w:rsidRDefault="008B332B">
            <w:pPr>
              <w:pStyle w:val="Other0"/>
              <w:spacing w:after="0" w:line="276" w:lineRule="auto"/>
              <w:jc w:val="center"/>
              <w:rPr>
                <w:sz w:val="16"/>
                <w:szCs w:val="16"/>
              </w:rPr>
            </w:pPr>
            <w:r w:rsidRPr="00167EE8">
              <w:rPr>
                <w:rStyle w:val="Other"/>
                <w:color w:val="595959"/>
                <w:sz w:val="16"/>
                <w:u w:val="single"/>
              </w:rPr>
              <w:t>30 de janeiro de 2025 - 17h00:00 CET (Bruxelas)</w:t>
            </w:r>
            <w:r w:rsidRPr="00167EE8">
              <w:rPr>
                <w:rStyle w:val="Other"/>
                <w:color w:val="595959"/>
                <w:sz w:val="16"/>
                <w:szCs w:val="16"/>
                <w:u w:val="single"/>
                <w:vertAlign w:val="superscript"/>
              </w:rPr>
              <w:footnoteReference w:id="10"/>
            </w:r>
          </w:p>
        </w:tc>
      </w:tr>
      <w:tr w:rsidR="000435C2" w:rsidRPr="00167EE8" w14:paraId="63DF6012" w14:textId="77777777" w:rsidTr="00F96019">
        <w:trPr>
          <w:trHeight w:hRule="exact" w:val="461"/>
          <w:jc w:val="center"/>
        </w:trPr>
        <w:tc>
          <w:tcPr>
            <w:tcW w:w="3648" w:type="dxa"/>
            <w:tcBorders>
              <w:top w:val="single" w:sz="4" w:space="0" w:color="auto"/>
              <w:left w:val="single" w:sz="4" w:space="0" w:color="auto"/>
            </w:tcBorders>
            <w:shd w:val="clear" w:color="auto" w:fill="auto"/>
            <w:vAlign w:val="center"/>
          </w:tcPr>
          <w:p w14:paraId="1D1B798C" w14:textId="77777777" w:rsidR="000435C2" w:rsidRPr="00167EE8" w:rsidRDefault="008B332B">
            <w:pPr>
              <w:pStyle w:val="Other0"/>
              <w:spacing w:after="0"/>
              <w:rPr>
                <w:sz w:val="16"/>
                <w:szCs w:val="16"/>
              </w:rPr>
            </w:pPr>
            <w:r w:rsidRPr="00167EE8">
              <w:rPr>
                <w:rStyle w:val="Other"/>
                <w:color w:val="595959"/>
                <w:sz w:val="16"/>
              </w:rPr>
              <w:t>Avaliação:</w:t>
            </w:r>
          </w:p>
        </w:tc>
        <w:tc>
          <w:tcPr>
            <w:tcW w:w="3422" w:type="dxa"/>
            <w:tcBorders>
              <w:top w:val="single" w:sz="4" w:space="0" w:color="auto"/>
              <w:left w:val="single" w:sz="4" w:space="0" w:color="auto"/>
              <w:right w:val="single" w:sz="4" w:space="0" w:color="auto"/>
            </w:tcBorders>
            <w:shd w:val="clear" w:color="auto" w:fill="auto"/>
            <w:vAlign w:val="center"/>
          </w:tcPr>
          <w:p w14:paraId="4212BCBC" w14:textId="77777777" w:rsidR="000435C2" w:rsidRPr="00167EE8" w:rsidRDefault="008B332B">
            <w:pPr>
              <w:pStyle w:val="Other0"/>
              <w:spacing w:after="0"/>
              <w:jc w:val="center"/>
              <w:rPr>
                <w:sz w:val="16"/>
                <w:szCs w:val="16"/>
              </w:rPr>
            </w:pPr>
            <w:r w:rsidRPr="00167EE8">
              <w:rPr>
                <w:rStyle w:val="Other"/>
                <w:color w:val="595959"/>
                <w:sz w:val="16"/>
              </w:rPr>
              <w:t>Fevereiro-maio de 2025</w:t>
            </w:r>
          </w:p>
        </w:tc>
      </w:tr>
      <w:tr w:rsidR="000435C2" w:rsidRPr="00167EE8" w14:paraId="7E0073FF" w14:textId="77777777" w:rsidTr="00F96019">
        <w:trPr>
          <w:trHeight w:hRule="exact" w:val="466"/>
          <w:jc w:val="center"/>
        </w:trPr>
        <w:tc>
          <w:tcPr>
            <w:tcW w:w="3648" w:type="dxa"/>
            <w:tcBorders>
              <w:top w:val="single" w:sz="4" w:space="0" w:color="auto"/>
              <w:left w:val="single" w:sz="4" w:space="0" w:color="auto"/>
            </w:tcBorders>
            <w:shd w:val="clear" w:color="auto" w:fill="auto"/>
            <w:vAlign w:val="center"/>
          </w:tcPr>
          <w:p w14:paraId="0B758256" w14:textId="77777777" w:rsidR="000435C2" w:rsidRPr="00167EE8" w:rsidRDefault="008B332B">
            <w:pPr>
              <w:pStyle w:val="Other0"/>
              <w:spacing w:after="0"/>
              <w:rPr>
                <w:sz w:val="16"/>
                <w:szCs w:val="16"/>
              </w:rPr>
            </w:pPr>
            <w:r w:rsidRPr="00167EE8">
              <w:rPr>
                <w:rStyle w:val="Other"/>
                <w:color w:val="595959"/>
                <w:sz w:val="16"/>
              </w:rPr>
              <w:t>Informação sobre os resultados da avaliação:</w:t>
            </w:r>
          </w:p>
        </w:tc>
        <w:tc>
          <w:tcPr>
            <w:tcW w:w="3422" w:type="dxa"/>
            <w:tcBorders>
              <w:top w:val="single" w:sz="4" w:space="0" w:color="auto"/>
              <w:left w:val="single" w:sz="4" w:space="0" w:color="auto"/>
              <w:right w:val="single" w:sz="4" w:space="0" w:color="auto"/>
            </w:tcBorders>
            <w:shd w:val="clear" w:color="auto" w:fill="auto"/>
            <w:vAlign w:val="center"/>
          </w:tcPr>
          <w:p w14:paraId="3615D105" w14:textId="77777777" w:rsidR="000435C2" w:rsidRPr="00167EE8" w:rsidRDefault="008B332B">
            <w:pPr>
              <w:pStyle w:val="Other0"/>
              <w:spacing w:after="0"/>
              <w:jc w:val="center"/>
              <w:rPr>
                <w:sz w:val="16"/>
                <w:szCs w:val="16"/>
              </w:rPr>
            </w:pPr>
            <w:r w:rsidRPr="00167EE8">
              <w:rPr>
                <w:rStyle w:val="Other"/>
                <w:color w:val="595959"/>
                <w:sz w:val="16"/>
              </w:rPr>
              <w:t>Julho de 2025</w:t>
            </w:r>
          </w:p>
        </w:tc>
      </w:tr>
      <w:tr w:rsidR="000435C2" w:rsidRPr="00167EE8" w14:paraId="5CA3FA56" w14:textId="77777777" w:rsidTr="00F96019">
        <w:trPr>
          <w:trHeight w:hRule="exact" w:val="480"/>
          <w:jc w:val="center"/>
        </w:trPr>
        <w:tc>
          <w:tcPr>
            <w:tcW w:w="3648" w:type="dxa"/>
            <w:tcBorders>
              <w:top w:val="single" w:sz="4" w:space="0" w:color="auto"/>
              <w:left w:val="single" w:sz="4" w:space="0" w:color="auto"/>
              <w:bottom w:val="single" w:sz="4" w:space="0" w:color="auto"/>
            </w:tcBorders>
            <w:shd w:val="clear" w:color="auto" w:fill="auto"/>
            <w:vAlign w:val="center"/>
          </w:tcPr>
          <w:p w14:paraId="726EECE7" w14:textId="77777777" w:rsidR="000435C2" w:rsidRPr="00167EE8" w:rsidRDefault="008B332B">
            <w:pPr>
              <w:pStyle w:val="Other0"/>
              <w:spacing w:after="0"/>
              <w:rPr>
                <w:sz w:val="16"/>
                <w:szCs w:val="16"/>
              </w:rPr>
            </w:pPr>
            <w:r w:rsidRPr="00167EE8">
              <w:rPr>
                <w:rStyle w:val="Other"/>
                <w:color w:val="595959"/>
                <w:sz w:val="16"/>
              </w:rPr>
              <w:t>Assinatura da convenção de subvenção:</w:t>
            </w:r>
          </w:p>
        </w:tc>
        <w:tc>
          <w:tcPr>
            <w:tcW w:w="3422" w:type="dxa"/>
            <w:tcBorders>
              <w:top w:val="single" w:sz="4" w:space="0" w:color="auto"/>
              <w:left w:val="single" w:sz="4" w:space="0" w:color="auto"/>
              <w:bottom w:val="single" w:sz="4" w:space="0" w:color="auto"/>
              <w:right w:val="single" w:sz="4" w:space="0" w:color="auto"/>
            </w:tcBorders>
            <w:shd w:val="clear" w:color="auto" w:fill="auto"/>
            <w:vAlign w:val="center"/>
          </w:tcPr>
          <w:p w14:paraId="24835015" w14:textId="77777777" w:rsidR="000435C2" w:rsidRPr="00167EE8" w:rsidRDefault="008B332B">
            <w:pPr>
              <w:pStyle w:val="Other0"/>
              <w:spacing w:after="0"/>
              <w:jc w:val="center"/>
              <w:rPr>
                <w:sz w:val="16"/>
                <w:szCs w:val="16"/>
              </w:rPr>
            </w:pPr>
            <w:r w:rsidRPr="00167EE8">
              <w:rPr>
                <w:rStyle w:val="Other"/>
                <w:color w:val="595959"/>
                <w:sz w:val="16"/>
              </w:rPr>
              <w:t>Outubro de 2025</w:t>
            </w:r>
          </w:p>
        </w:tc>
      </w:tr>
    </w:tbl>
    <w:p w14:paraId="19C7A4BD" w14:textId="77777777" w:rsidR="000435C2" w:rsidRPr="00167EE8" w:rsidRDefault="000435C2">
      <w:pPr>
        <w:spacing w:after="439" w:line="1" w:lineRule="exact"/>
      </w:pPr>
    </w:p>
    <w:p w14:paraId="1B07A4EE" w14:textId="69BADEB5" w:rsidR="000435C2" w:rsidRPr="00167EE8" w:rsidRDefault="008B332B" w:rsidP="00BF35B3">
      <w:pPr>
        <w:pStyle w:val="Heading1"/>
      </w:pPr>
      <w:bookmarkStart w:id="24" w:name="bookmark28"/>
      <w:bookmarkStart w:id="25" w:name="_Toc185511139"/>
      <w:r w:rsidRPr="00167EE8">
        <w:rPr>
          <w:rStyle w:val="Heading3"/>
          <w:b/>
        </w:rPr>
        <w:t>Admissibilidade e documentos</w:t>
      </w:r>
      <w:bookmarkEnd w:id="24"/>
      <w:bookmarkEnd w:id="25"/>
    </w:p>
    <w:p w14:paraId="0F4EEFC4" w14:textId="77777777" w:rsidR="000435C2" w:rsidRPr="00167EE8" w:rsidRDefault="008B332B">
      <w:pPr>
        <w:pStyle w:val="BodyText"/>
        <w:jc w:val="both"/>
      </w:pPr>
      <w:r w:rsidRPr="00167EE8">
        <w:rPr>
          <w:rStyle w:val="BodyTextChar"/>
        </w:rPr>
        <w:t xml:space="preserve">As propostas têm de ser apresentadas antes da </w:t>
      </w:r>
      <w:r w:rsidRPr="00167EE8">
        <w:rPr>
          <w:rStyle w:val="BodyTextChar"/>
          <w:b/>
        </w:rPr>
        <w:t>data-limite para a apresentação de propostas</w:t>
      </w:r>
      <w:r w:rsidRPr="00167EE8">
        <w:rPr>
          <w:rStyle w:val="BodyTextChar"/>
        </w:rPr>
        <w:t xml:space="preserve"> </w:t>
      </w:r>
      <w:r w:rsidRPr="00167EE8">
        <w:rPr>
          <w:rStyle w:val="BodyTextChar"/>
          <w:i/>
        </w:rPr>
        <w:t>(ver secção 4, «Calendário»)</w:t>
      </w:r>
      <w:r w:rsidRPr="00167EE8">
        <w:rPr>
          <w:rStyle w:val="BodyTextChar"/>
        </w:rPr>
        <w:t>.</w:t>
      </w:r>
    </w:p>
    <w:p w14:paraId="6250F99C" w14:textId="77777777" w:rsidR="000435C2" w:rsidRPr="00167EE8" w:rsidRDefault="008B332B" w:rsidP="008B332B">
      <w:pPr>
        <w:pStyle w:val="Style6"/>
      </w:pPr>
      <w:r w:rsidRPr="00167EE8">
        <w:rPr>
          <w:rStyle w:val="BodyTextChar"/>
        </w:rPr>
        <w:t xml:space="preserve">As propostas devem ser apresentadas </w:t>
      </w:r>
      <w:r w:rsidRPr="00167EE8">
        <w:rPr>
          <w:rStyle w:val="BodyTextChar"/>
          <w:b/>
        </w:rPr>
        <w:t>por via eletrónica</w:t>
      </w:r>
      <w:r w:rsidRPr="00167EE8">
        <w:rPr>
          <w:rStyle w:val="BodyTextChar"/>
        </w:rPr>
        <w:t xml:space="preserve"> através do sistema de apresentação eletrónica do Portal de Financiamento e Concursos (acessível através da página temática da secção </w:t>
      </w:r>
      <w:r w:rsidRPr="00167EE8">
        <w:rPr>
          <w:rStyle w:val="BodyTextChar"/>
          <w:color w:val="0088CC"/>
          <w:u w:val="single"/>
        </w:rPr>
        <w:t>Search Funding &amp; Tenders</w:t>
      </w:r>
      <w:r w:rsidRPr="00167EE8">
        <w:rPr>
          <w:rStyle w:val="BodyTextChar"/>
        </w:rPr>
        <w:t>). A apresentação de propostas em papel NÃO é admissível.</w:t>
      </w:r>
    </w:p>
    <w:p w14:paraId="5784B37B" w14:textId="1A4503CA" w:rsidR="000435C2" w:rsidRPr="00167EE8" w:rsidRDefault="008B332B">
      <w:pPr>
        <w:pStyle w:val="BodyText"/>
        <w:spacing w:after="120" w:line="283" w:lineRule="auto"/>
        <w:jc w:val="both"/>
      </w:pPr>
      <w:r w:rsidRPr="00167EE8">
        <w:rPr>
          <w:rStyle w:val="BodyTextChar"/>
        </w:rPr>
        <w:t xml:space="preserve">As propostas (incluindo os anexos e documentos comprovativos) têm de ser apresentadas com recurso aos formulários fornecidos </w:t>
      </w:r>
      <w:r w:rsidRPr="00167EE8">
        <w:rPr>
          <w:rStyle w:val="BodyTextChar"/>
          <w:i/>
        </w:rPr>
        <w:t>dentro</w:t>
      </w:r>
      <w:r w:rsidRPr="00167EE8">
        <w:rPr>
          <w:rStyle w:val="BodyTextChar"/>
        </w:rPr>
        <w:t xml:space="preserve"> do sistema de apresentação (</w:t>
      </w:r>
      <w:r w:rsidRPr="00167EE8">
        <w:rPr>
          <w:noProof/>
        </w:rPr>
        <w:drawing>
          <wp:inline distT="0" distB="0" distL="0" distR="0" wp14:anchorId="3A4F839D" wp14:editId="177902E4">
            <wp:extent cx="151130" cy="151130"/>
            <wp:effectExtent l="0" t="0" r="1270" b="127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1130" cy="151130"/>
                    </a:xfrm>
                    <a:prstGeom prst="rect">
                      <a:avLst/>
                    </a:prstGeom>
                    <a:noFill/>
                    <a:ln>
                      <a:noFill/>
                    </a:ln>
                  </pic:spPr>
                </pic:pic>
              </a:graphicData>
            </a:graphic>
          </wp:inline>
        </w:drawing>
      </w:r>
      <w:r w:rsidRPr="00167EE8">
        <w:rPr>
          <w:rStyle w:val="BodyTextChar"/>
        </w:rPr>
        <w:t xml:space="preserve"> NÃO os documentos disponíveis na página do tema do concurso, que são apenas para informação).</w:t>
      </w:r>
    </w:p>
    <w:p w14:paraId="18E65F69" w14:textId="77777777" w:rsidR="000435C2" w:rsidRPr="00167EE8" w:rsidRDefault="008B332B">
      <w:pPr>
        <w:pStyle w:val="BodyText"/>
        <w:spacing w:after="120"/>
        <w:jc w:val="both"/>
      </w:pPr>
      <w:r w:rsidRPr="00167EE8">
        <w:rPr>
          <w:rStyle w:val="BodyTextChar"/>
        </w:rPr>
        <w:t xml:space="preserve">As propostas têm de estar </w:t>
      </w:r>
      <w:r w:rsidRPr="00167EE8">
        <w:rPr>
          <w:rStyle w:val="BodyTextChar"/>
          <w:b/>
        </w:rPr>
        <w:t>completas</w:t>
      </w:r>
      <w:r w:rsidRPr="00167EE8">
        <w:rPr>
          <w:rStyle w:val="BodyTextChar"/>
        </w:rPr>
        <w:t xml:space="preserve"> e conter todas as informações solicitadas e todos os anexos obrigatórios e documentos comprovativos:</w:t>
      </w:r>
    </w:p>
    <w:p w14:paraId="58E6FDEF" w14:textId="77777777" w:rsidR="000435C2" w:rsidRPr="00167EE8" w:rsidRDefault="008B332B" w:rsidP="006008C4">
      <w:pPr>
        <w:pStyle w:val="BodyText"/>
        <w:numPr>
          <w:ilvl w:val="0"/>
          <w:numId w:val="14"/>
        </w:numPr>
        <w:tabs>
          <w:tab w:val="left" w:pos="740"/>
        </w:tabs>
        <w:ind w:left="740" w:hanging="360"/>
        <w:jc w:val="both"/>
      </w:pPr>
      <w:r w:rsidRPr="00167EE8">
        <w:rPr>
          <w:rStyle w:val="BodyTextChar"/>
        </w:rPr>
        <w:t>Parte A do formulário de candidatura — contém informações administrativas sobre os participantes (</w:t>
      </w:r>
      <w:proofErr w:type="gramStart"/>
      <w:r w:rsidRPr="00167EE8">
        <w:rPr>
          <w:rStyle w:val="BodyTextChar"/>
        </w:rPr>
        <w:t>futuros coordenador</w:t>
      </w:r>
      <w:proofErr w:type="gramEnd"/>
      <w:r w:rsidRPr="00167EE8">
        <w:rPr>
          <w:rStyle w:val="BodyTextChar"/>
        </w:rPr>
        <w:t xml:space="preserve">, beneficiários e entidades afiliadas) e uma síntese do orçamento do projeto </w:t>
      </w:r>
      <w:r w:rsidRPr="00167EE8">
        <w:rPr>
          <w:rStyle w:val="BodyTextChar"/>
          <w:i/>
          <w:color w:val="808080"/>
        </w:rPr>
        <w:t>(a preencher diretamente em linha)</w:t>
      </w:r>
    </w:p>
    <w:p w14:paraId="30A89BE8" w14:textId="77777777" w:rsidR="000435C2" w:rsidRPr="00167EE8" w:rsidRDefault="008B332B" w:rsidP="006008C4">
      <w:pPr>
        <w:pStyle w:val="BodyText"/>
        <w:numPr>
          <w:ilvl w:val="0"/>
          <w:numId w:val="14"/>
        </w:numPr>
        <w:tabs>
          <w:tab w:val="left" w:pos="740"/>
        </w:tabs>
        <w:ind w:left="740" w:hanging="360"/>
        <w:jc w:val="both"/>
      </w:pPr>
      <w:r w:rsidRPr="00167EE8">
        <w:rPr>
          <w:rStyle w:val="BodyTextChar"/>
        </w:rPr>
        <w:t xml:space="preserve">Parte B do formulário de candidatura — contém a descrição técnica do projeto </w:t>
      </w:r>
      <w:r w:rsidRPr="00167EE8">
        <w:rPr>
          <w:rStyle w:val="BodyTextChar"/>
          <w:i/>
          <w:color w:val="808080"/>
        </w:rPr>
        <w:t>(a descarregar do sistema de apresentação do Portal, preencher, organizar e carregar novamente)</w:t>
      </w:r>
    </w:p>
    <w:p w14:paraId="4F71E434" w14:textId="77777777" w:rsidR="000435C2" w:rsidRPr="00167EE8" w:rsidRDefault="008B332B" w:rsidP="006008C4">
      <w:pPr>
        <w:pStyle w:val="BodyText"/>
        <w:numPr>
          <w:ilvl w:val="0"/>
          <w:numId w:val="14"/>
        </w:numPr>
        <w:tabs>
          <w:tab w:val="left" w:pos="740"/>
        </w:tabs>
        <w:ind w:left="740" w:hanging="360"/>
        <w:jc w:val="both"/>
      </w:pPr>
      <w:r w:rsidRPr="00167EE8">
        <w:rPr>
          <w:rStyle w:val="BodyTextChar"/>
          <w:b/>
          <w:bCs/>
        </w:rPr>
        <w:t xml:space="preserve">anexos obrigatórios e </w:t>
      </w:r>
      <w:r w:rsidRPr="00167EE8">
        <w:rPr>
          <w:rStyle w:val="BodyTextChar"/>
          <w:b/>
        </w:rPr>
        <w:t>documentos comprovativos</w:t>
      </w:r>
      <w:r w:rsidRPr="00167EE8">
        <w:rPr>
          <w:rStyle w:val="BodyTextChar"/>
        </w:rPr>
        <w:t xml:space="preserve"> </w:t>
      </w:r>
      <w:r w:rsidRPr="00167EE8">
        <w:rPr>
          <w:rStyle w:val="BodyTextChar"/>
          <w:i/>
          <w:color w:val="808080"/>
        </w:rPr>
        <w:t>(modelos disponíveis a descarregar do sistema de apresentação do Portal, preencher, reunir e carregar novamente)</w:t>
      </w:r>
      <w:r w:rsidRPr="00167EE8">
        <w:rPr>
          <w:rStyle w:val="BodyTextChar"/>
        </w:rPr>
        <w:t>:</w:t>
      </w:r>
    </w:p>
    <w:p w14:paraId="5F4C7F52" w14:textId="77777777" w:rsidR="000435C2" w:rsidRPr="00167EE8" w:rsidRDefault="008B332B" w:rsidP="006008C4">
      <w:pPr>
        <w:pStyle w:val="BodyText"/>
        <w:numPr>
          <w:ilvl w:val="0"/>
          <w:numId w:val="15"/>
        </w:numPr>
        <w:spacing w:after="100"/>
        <w:ind w:left="1080"/>
        <w:jc w:val="both"/>
      </w:pPr>
      <w:r w:rsidRPr="00167EE8">
        <w:rPr>
          <w:rStyle w:val="BodyTextChar"/>
        </w:rPr>
        <w:t>quadro orçamental detalhado/calculadora</w:t>
      </w:r>
    </w:p>
    <w:p w14:paraId="14BD643A" w14:textId="77777777" w:rsidR="000435C2" w:rsidRPr="00167EE8" w:rsidRDefault="008B332B" w:rsidP="006008C4">
      <w:pPr>
        <w:pStyle w:val="BodyText"/>
        <w:numPr>
          <w:ilvl w:val="0"/>
          <w:numId w:val="15"/>
        </w:numPr>
        <w:tabs>
          <w:tab w:val="left" w:pos="1452"/>
        </w:tabs>
        <w:spacing w:after="100"/>
        <w:ind w:left="1080"/>
        <w:jc w:val="both"/>
      </w:pPr>
      <w:r w:rsidRPr="00167EE8">
        <w:rPr>
          <w:rStyle w:val="BodyTextChar"/>
        </w:rPr>
        <w:t>CV da equipa principal do projeto: não aplicável</w:t>
      </w:r>
    </w:p>
    <w:p w14:paraId="40BACD14" w14:textId="77777777" w:rsidR="000435C2" w:rsidRPr="00167EE8" w:rsidRDefault="008B332B" w:rsidP="006008C4">
      <w:pPr>
        <w:pStyle w:val="BodyText"/>
        <w:numPr>
          <w:ilvl w:val="0"/>
          <w:numId w:val="15"/>
        </w:numPr>
        <w:tabs>
          <w:tab w:val="left" w:pos="1452"/>
        </w:tabs>
        <w:spacing w:after="100"/>
        <w:ind w:left="1080"/>
        <w:jc w:val="both"/>
      </w:pPr>
      <w:r w:rsidRPr="00167EE8">
        <w:rPr>
          <w:rStyle w:val="BodyTextChar"/>
        </w:rPr>
        <w:t>relatórios de atividades do ano anterior: não aplicável</w:t>
      </w:r>
    </w:p>
    <w:p w14:paraId="595A4118" w14:textId="77777777" w:rsidR="000435C2" w:rsidRPr="00167EE8" w:rsidRDefault="008B332B" w:rsidP="006008C4">
      <w:pPr>
        <w:pStyle w:val="BodyText"/>
        <w:numPr>
          <w:ilvl w:val="0"/>
          <w:numId w:val="15"/>
        </w:numPr>
        <w:tabs>
          <w:tab w:val="left" w:pos="1452"/>
        </w:tabs>
        <w:spacing w:after="100"/>
        <w:ind w:left="1460" w:hanging="360"/>
        <w:jc w:val="both"/>
      </w:pPr>
      <w:r w:rsidRPr="00167EE8">
        <w:rPr>
          <w:rStyle w:val="BodyTextChar"/>
        </w:rPr>
        <w:t xml:space="preserve">lista de projetos anteriores (projetos-chave dos últimos quatro anos) </w:t>
      </w:r>
      <w:r w:rsidRPr="00167EE8">
        <w:rPr>
          <w:rStyle w:val="BodyTextChar"/>
          <w:i/>
          <w:color w:val="808080"/>
        </w:rPr>
        <w:t>(modelo disponível na Parte B)</w:t>
      </w:r>
      <w:r w:rsidRPr="00167EE8">
        <w:rPr>
          <w:rStyle w:val="BodyTextChar"/>
        </w:rPr>
        <w:t>.</w:t>
      </w:r>
    </w:p>
    <w:p w14:paraId="768024D6" w14:textId="77777777" w:rsidR="000435C2" w:rsidRPr="00167EE8" w:rsidRDefault="008B332B" w:rsidP="006008C4">
      <w:pPr>
        <w:pStyle w:val="BodyText"/>
        <w:numPr>
          <w:ilvl w:val="0"/>
          <w:numId w:val="15"/>
        </w:numPr>
        <w:tabs>
          <w:tab w:val="left" w:pos="1452"/>
        </w:tabs>
        <w:ind w:left="1080"/>
        <w:jc w:val="both"/>
      </w:pPr>
      <w:r w:rsidRPr="00167EE8">
        <w:rPr>
          <w:rStyle w:val="BodyTextChar"/>
        </w:rPr>
        <w:t>lista de programas académicos.</w:t>
      </w:r>
    </w:p>
    <w:p w14:paraId="2D120DE5" w14:textId="77777777" w:rsidR="000435C2" w:rsidRPr="00167EE8" w:rsidRDefault="008B332B">
      <w:pPr>
        <w:pStyle w:val="BodyText"/>
        <w:spacing w:after="100"/>
        <w:jc w:val="both"/>
      </w:pPr>
      <w:r w:rsidRPr="00167EE8">
        <w:rPr>
          <w:rStyle w:val="BodyTextChar"/>
        </w:rPr>
        <w:t xml:space="preserve">Aquando da apresentação da proposta, deve confirmar que possui </w:t>
      </w:r>
      <w:r w:rsidRPr="00167EE8">
        <w:rPr>
          <w:rStyle w:val="BodyTextChar"/>
          <w:b/>
        </w:rPr>
        <w:t>mandato para agir</w:t>
      </w:r>
      <w:r w:rsidRPr="00167EE8">
        <w:rPr>
          <w:rStyle w:val="BodyTextChar"/>
        </w:rPr>
        <w:t xml:space="preserve"> em nome de todos os candidatos. Além disso, tem de confirmar que as informações constantes da candidatura estão corretas e completas e que os participantes cumprem as condições para receberem financiamento da UE (em particular, elegibilidade, capacidade financeira e operacional, exclusão, etc.). Antes de assinar a subvenção, cada beneficiário e entidade afiliada terá de voltar a confirmar estes elementos, assinando uma declaração de honra. As propostas que não beneficiem de um apoio total serão rejeitadas.</w:t>
      </w:r>
    </w:p>
    <w:p w14:paraId="28ABD040" w14:textId="77777777" w:rsidR="000435C2" w:rsidRPr="00167EE8" w:rsidRDefault="008B332B">
      <w:pPr>
        <w:pStyle w:val="BodyText"/>
        <w:jc w:val="both"/>
      </w:pPr>
      <w:r w:rsidRPr="00167EE8">
        <w:rPr>
          <w:rStyle w:val="BodyTextChar"/>
        </w:rPr>
        <w:t xml:space="preserve">A candidatura deve ser </w:t>
      </w:r>
      <w:r w:rsidRPr="00167EE8">
        <w:rPr>
          <w:rStyle w:val="BodyTextChar"/>
          <w:b/>
        </w:rPr>
        <w:t>legível e acessível e deve poder ser impressa</w:t>
      </w:r>
      <w:r w:rsidRPr="00167EE8">
        <w:rPr>
          <w:rStyle w:val="BodyTextChar"/>
        </w:rPr>
        <w:t>.</w:t>
      </w:r>
    </w:p>
    <w:p w14:paraId="6260FAB8" w14:textId="77777777" w:rsidR="000435C2" w:rsidRPr="00167EE8" w:rsidRDefault="008B332B">
      <w:pPr>
        <w:pStyle w:val="BodyText"/>
        <w:jc w:val="both"/>
      </w:pPr>
      <w:r w:rsidRPr="00167EE8">
        <w:rPr>
          <w:rStyle w:val="BodyTextChar"/>
        </w:rPr>
        <w:t xml:space="preserve">As propostas não podem ter mais de </w:t>
      </w:r>
      <w:r w:rsidRPr="00167EE8">
        <w:rPr>
          <w:rStyle w:val="BodyTextChar"/>
          <w:b/>
        </w:rPr>
        <w:t>70 páginas</w:t>
      </w:r>
      <w:r w:rsidRPr="00167EE8">
        <w:rPr>
          <w:rStyle w:val="BodyTextChar"/>
        </w:rPr>
        <w:t xml:space="preserve"> (Parte B). Os avaliadores não terão em conta quaisquer páginas adicionais. São bem-vindas propostas mais curtas.</w:t>
      </w:r>
    </w:p>
    <w:p w14:paraId="3D7F4C05" w14:textId="77777777" w:rsidR="000435C2" w:rsidRPr="00167EE8" w:rsidRDefault="008B332B">
      <w:pPr>
        <w:pStyle w:val="BodyText"/>
        <w:spacing w:after="260"/>
        <w:jc w:val="both"/>
      </w:pPr>
      <w:r w:rsidRPr="00167EE8">
        <w:rPr>
          <w:rStyle w:val="BodyTextChar"/>
        </w:rPr>
        <w:t xml:space="preserve">Numa fase ulterior, poderá ser-lhe solicitada documentação adicional </w:t>
      </w:r>
      <w:r w:rsidRPr="00167EE8">
        <w:rPr>
          <w:rStyle w:val="BodyTextChar"/>
          <w:i/>
        </w:rPr>
        <w:t>(para validação da entidade jurídica, verificação da capacidade financeira, validação da conta bancária, etc.)</w:t>
      </w:r>
      <w:r w:rsidRPr="00167EE8">
        <w:rPr>
          <w:rStyle w:val="BodyTextChar"/>
        </w:rPr>
        <w:t>.</w:t>
      </w:r>
    </w:p>
    <w:p w14:paraId="57943A3A" w14:textId="48F352EA" w:rsidR="000435C2" w:rsidRPr="00167EE8" w:rsidRDefault="008B332B" w:rsidP="008B332B">
      <w:pPr>
        <w:pStyle w:val="BodyText"/>
        <w:spacing w:after="640"/>
        <w:jc w:val="both"/>
      </w:pPr>
      <w:r w:rsidRPr="00167EE8">
        <w:rPr>
          <w:noProof/>
        </w:rPr>
        <w:lastRenderedPageBreak/>
        <w:drawing>
          <wp:inline distT="0" distB="0" distL="0" distR="0" wp14:anchorId="39C0A842" wp14:editId="2F03D03B">
            <wp:extent cx="167005" cy="167005"/>
            <wp:effectExtent l="0" t="0" r="4445" b="4445"/>
            <wp:docPr id="21" name="Picture 21" descr="https://lh5.googleusercontent.com/-n5VVWXljoCs/T8X1egaB-BI/AAAAAAAAC1I/fLBP4VIzxQM/s16/infoIcon_bl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lh5.googleusercontent.com/-n5VVWXljoCs/T8X1egaB-BI/AAAAAAAAC1I/fLBP4VIzxQM/s16/infoIcon_blue.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67005" cy="167005"/>
                    </a:xfrm>
                    <a:prstGeom prst="rect">
                      <a:avLst/>
                    </a:prstGeom>
                    <a:noFill/>
                    <a:ln>
                      <a:noFill/>
                    </a:ln>
                  </pic:spPr>
                </pic:pic>
              </a:graphicData>
            </a:graphic>
          </wp:inline>
        </w:drawing>
      </w:r>
      <w:r w:rsidRPr="00167EE8">
        <w:t xml:space="preserve"> </w:t>
      </w:r>
      <w:r w:rsidRPr="00167EE8">
        <w:rPr>
          <w:rStyle w:val="BodyTextChar"/>
        </w:rPr>
        <w:t xml:space="preserve">Para mais informações sobre o processo de apresentação de propostas (incluindo aspetos informáticos), consulte o </w:t>
      </w:r>
      <w:r w:rsidRPr="00167EE8">
        <w:rPr>
          <w:rStyle w:val="BodyTextChar"/>
          <w:color w:val="0088CC"/>
          <w:u w:val="single"/>
        </w:rPr>
        <w:t>manual em linha</w:t>
      </w:r>
      <w:hyperlink r:id="rId24" w:history="1">
        <w:r w:rsidRPr="00167EE8">
          <w:rPr>
            <w:rStyle w:val="BodyTextChar"/>
          </w:rPr>
          <w:t>.</w:t>
        </w:r>
      </w:hyperlink>
    </w:p>
    <w:p w14:paraId="6C8A97D0" w14:textId="3EE3483A" w:rsidR="000435C2" w:rsidRPr="00167EE8" w:rsidRDefault="008B332B" w:rsidP="00BF35B3">
      <w:pPr>
        <w:pStyle w:val="Heading1"/>
      </w:pPr>
      <w:bookmarkStart w:id="26" w:name="bookmark31"/>
      <w:bookmarkStart w:id="27" w:name="_Toc185511140"/>
      <w:r w:rsidRPr="00167EE8">
        <w:rPr>
          <w:rStyle w:val="Heading3"/>
          <w:b/>
        </w:rPr>
        <w:t>Elegibilidade</w:t>
      </w:r>
      <w:bookmarkEnd w:id="26"/>
      <w:bookmarkEnd w:id="27"/>
    </w:p>
    <w:p w14:paraId="1BEEF11D" w14:textId="77777777" w:rsidR="000435C2" w:rsidRPr="00167EE8" w:rsidRDefault="008B332B">
      <w:pPr>
        <w:pStyle w:val="BodyText"/>
        <w:jc w:val="both"/>
      </w:pPr>
      <w:r w:rsidRPr="00167EE8">
        <w:rPr>
          <w:rStyle w:val="BodyTextChar"/>
        </w:rPr>
        <w:t>As propostas só serão consideradas elegíveis se o seu conteúdo corresponder na totalidade (ou, pelo menos, em parte) à descrição do tema para o qual são apresentadas.</w:t>
      </w:r>
    </w:p>
    <w:p w14:paraId="38A4A467" w14:textId="77777777" w:rsidR="000435C2" w:rsidRPr="00167EE8" w:rsidRDefault="008B332B" w:rsidP="00F96019">
      <w:pPr>
        <w:pStyle w:val="Heading2"/>
        <w:rPr>
          <w:b w:val="0"/>
          <w:bCs w:val="0"/>
        </w:rPr>
      </w:pPr>
      <w:bookmarkStart w:id="28" w:name="bookmark34"/>
      <w:bookmarkStart w:id="29" w:name="_Toc185511141"/>
      <w:r w:rsidRPr="00167EE8">
        <w:rPr>
          <w:rStyle w:val="BodyTextChar"/>
          <w:b w:val="0"/>
          <w:i/>
          <w:u w:val="single"/>
        </w:rPr>
        <w:t>Participantes elegíveis (países elegíveis)</w:t>
      </w:r>
      <w:bookmarkEnd w:id="28"/>
      <w:bookmarkEnd w:id="29"/>
    </w:p>
    <w:p w14:paraId="1F43C61B" w14:textId="77777777" w:rsidR="000435C2" w:rsidRPr="00167EE8" w:rsidRDefault="008B332B">
      <w:pPr>
        <w:pStyle w:val="BodyText"/>
        <w:spacing w:after="100"/>
        <w:jc w:val="both"/>
      </w:pPr>
      <w:r w:rsidRPr="00167EE8">
        <w:rPr>
          <w:rStyle w:val="BodyTextChar"/>
        </w:rPr>
        <w:t>Para serem elegíveis, os candidatos (beneficiários e entidades afiliadas) devem:</w:t>
      </w:r>
    </w:p>
    <w:p w14:paraId="0613C69D" w14:textId="77777777" w:rsidR="000435C2" w:rsidRPr="00167EE8" w:rsidRDefault="008B332B" w:rsidP="006008C4">
      <w:pPr>
        <w:pStyle w:val="BodyText"/>
        <w:numPr>
          <w:ilvl w:val="0"/>
          <w:numId w:val="16"/>
        </w:numPr>
        <w:tabs>
          <w:tab w:val="left" w:pos="734"/>
        </w:tabs>
        <w:spacing w:after="100"/>
        <w:ind w:firstLine="360"/>
        <w:jc w:val="both"/>
      </w:pPr>
      <w:r w:rsidRPr="00167EE8">
        <w:rPr>
          <w:rStyle w:val="BodyTextChar"/>
        </w:rPr>
        <w:t>ser entidades jurídicas (organismos públicos ou privados);</w:t>
      </w:r>
    </w:p>
    <w:p w14:paraId="3FB72F7B" w14:textId="77777777" w:rsidR="000435C2" w:rsidRPr="00167EE8" w:rsidRDefault="008B332B" w:rsidP="006008C4">
      <w:pPr>
        <w:pStyle w:val="BodyText"/>
        <w:numPr>
          <w:ilvl w:val="0"/>
          <w:numId w:val="16"/>
        </w:numPr>
        <w:tabs>
          <w:tab w:val="left" w:pos="734"/>
        </w:tabs>
        <w:spacing w:after="100"/>
        <w:ind w:firstLine="360"/>
      </w:pPr>
      <w:r w:rsidRPr="00167EE8">
        <w:rPr>
          <w:rStyle w:val="BodyTextChar"/>
        </w:rPr>
        <w:t>estar estabelecidos num dos países elegíveis, ou seja:</w:t>
      </w:r>
    </w:p>
    <w:p w14:paraId="71A54F3B" w14:textId="77777777" w:rsidR="000435C2" w:rsidRPr="00167EE8" w:rsidRDefault="008B332B" w:rsidP="006008C4">
      <w:pPr>
        <w:pStyle w:val="BodyText"/>
        <w:numPr>
          <w:ilvl w:val="0"/>
          <w:numId w:val="17"/>
        </w:numPr>
        <w:tabs>
          <w:tab w:val="left" w:pos="1452"/>
        </w:tabs>
        <w:spacing w:after="100"/>
        <w:ind w:left="1080"/>
        <w:jc w:val="both"/>
      </w:pPr>
      <w:r w:rsidRPr="00167EE8">
        <w:rPr>
          <w:rStyle w:val="BodyTextChar"/>
        </w:rPr>
        <w:t>Estados-Membros da UE e países e territórios ultramarinos (PTU).</w:t>
      </w:r>
    </w:p>
    <w:p w14:paraId="6DDD8A8F" w14:textId="77777777" w:rsidR="000435C2" w:rsidRPr="00167EE8" w:rsidRDefault="008B332B" w:rsidP="006008C4">
      <w:pPr>
        <w:pStyle w:val="BodyText"/>
        <w:numPr>
          <w:ilvl w:val="0"/>
          <w:numId w:val="17"/>
        </w:numPr>
        <w:tabs>
          <w:tab w:val="left" w:pos="1452"/>
        </w:tabs>
        <w:spacing w:after="100"/>
        <w:ind w:left="1080"/>
        <w:jc w:val="both"/>
      </w:pPr>
      <w:r w:rsidRPr="00167EE8">
        <w:rPr>
          <w:rStyle w:val="BodyTextChar"/>
        </w:rPr>
        <w:t>Países africanos:</w:t>
      </w:r>
    </w:p>
    <w:p w14:paraId="6719812A" w14:textId="77777777" w:rsidR="000435C2" w:rsidRPr="00167EE8" w:rsidRDefault="008B332B" w:rsidP="006008C4">
      <w:pPr>
        <w:keepNext/>
        <w:keepLines/>
        <w:numPr>
          <w:ilvl w:val="0"/>
          <w:numId w:val="18"/>
        </w:numPr>
        <w:tabs>
          <w:tab w:val="left" w:pos="1834"/>
        </w:tabs>
        <w:ind w:left="1460"/>
        <w:rPr>
          <w:b/>
          <w:bCs/>
        </w:rPr>
      </w:pPr>
      <w:bookmarkStart w:id="30" w:name="bookmark35"/>
      <w:r w:rsidRPr="00167EE8">
        <w:rPr>
          <w:b/>
        </w:rPr>
        <w:t xml:space="preserve">África Oriental </w:t>
      </w:r>
      <w:proofErr w:type="gramStart"/>
      <w:r w:rsidRPr="00167EE8">
        <w:rPr>
          <w:b/>
        </w:rPr>
        <w:t>e Central</w:t>
      </w:r>
      <w:proofErr w:type="gramEnd"/>
      <w:r w:rsidRPr="00167EE8">
        <w:rPr>
          <w:b/>
        </w:rPr>
        <w:t>:</w:t>
      </w:r>
      <w:bookmarkEnd w:id="30"/>
    </w:p>
    <w:p w14:paraId="587D13C7" w14:textId="77777777" w:rsidR="000435C2" w:rsidRPr="00167EE8" w:rsidRDefault="008B332B">
      <w:pPr>
        <w:pStyle w:val="BodyText"/>
        <w:spacing w:after="140"/>
        <w:ind w:left="2180"/>
        <w:jc w:val="both"/>
      </w:pPr>
      <w:r w:rsidRPr="00167EE8">
        <w:rPr>
          <w:rStyle w:val="BodyTextChar"/>
        </w:rPr>
        <w:t>Burundi, Camarões, Congo, Eritreia, Etiópia, Gabão, Guiné Equatorial, Jibuti, Quénia, República Centro-Africana, República Democrática do Congo, Ruanda, São Tomé e Príncipe, Somália, Sudão, Sudão- do Sul, Tanzânia, Uganda.</w:t>
      </w:r>
    </w:p>
    <w:p w14:paraId="516CAC3B" w14:textId="77777777" w:rsidR="000435C2" w:rsidRPr="00167EE8" w:rsidRDefault="008B332B" w:rsidP="006008C4">
      <w:pPr>
        <w:keepNext/>
        <w:keepLines/>
        <w:numPr>
          <w:ilvl w:val="0"/>
          <w:numId w:val="18"/>
        </w:numPr>
        <w:tabs>
          <w:tab w:val="left" w:pos="1834"/>
        </w:tabs>
        <w:rPr>
          <w:b/>
          <w:bCs/>
        </w:rPr>
      </w:pPr>
      <w:bookmarkStart w:id="31" w:name="bookmark37"/>
      <w:r w:rsidRPr="00167EE8">
        <w:rPr>
          <w:b/>
        </w:rPr>
        <w:t>África Austral e Oceano Índico:</w:t>
      </w:r>
      <w:bookmarkEnd w:id="31"/>
    </w:p>
    <w:p w14:paraId="511845B3" w14:textId="77777777" w:rsidR="000435C2" w:rsidRPr="00167EE8" w:rsidRDefault="008B332B">
      <w:pPr>
        <w:pStyle w:val="BodyText"/>
        <w:spacing w:after="100"/>
        <w:ind w:left="2180"/>
        <w:jc w:val="both"/>
      </w:pPr>
      <w:r w:rsidRPr="00167EE8">
        <w:rPr>
          <w:rStyle w:val="BodyTextChar"/>
        </w:rPr>
        <w:t>África do Sul, Angola, Botsuana, Comores, Eswatini, Lesotho, Madagáscar, Malai, Maurícia, Moçambique, Namíbia, Seicheles, Zâmbia, Zimbabué.</w:t>
      </w:r>
    </w:p>
    <w:p w14:paraId="2B36BDF1" w14:textId="77777777" w:rsidR="000435C2" w:rsidRPr="00167EE8" w:rsidRDefault="008B332B" w:rsidP="006008C4">
      <w:pPr>
        <w:keepNext/>
        <w:keepLines/>
        <w:numPr>
          <w:ilvl w:val="0"/>
          <w:numId w:val="18"/>
        </w:numPr>
        <w:tabs>
          <w:tab w:val="left" w:pos="1874"/>
        </w:tabs>
        <w:ind w:left="1500"/>
        <w:rPr>
          <w:b/>
          <w:bCs/>
        </w:rPr>
      </w:pPr>
      <w:bookmarkStart w:id="32" w:name="bookmark39"/>
      <w:r w:rsidRPr="00167EE8">
        <w:rPr>
          <w:b/>
        </w:rPr>
        <w:t>África Ocidental:</w:t>
      </w:r>
      <w:bookmarkEnd w:id="32"/>
    </w:p>
    <w:p w14:paraId="6E219F30" w14:textId="77777777" w:rsidR="000435C2" w:rsidRPr="00167EE8" w:rsidRDefault="008B332B">
      <w:pPr>
        <w:pStyle w:val="BodyText"/>
        <w:spacing w:after="100"/>
        <w:ind w:left="2180"/>
        <w:jc w:val="both"/>
      </w:pPr>
      <w:r w:rsidRPr="00167EE8">
        <w:rPr>
          <w:rStyle w:val="BodyTextChar"/>
        </w:rPr>
        <w:t>Benim, Burquina Fasso, Cabo Verde, Costa do Marfim, Gâmbia, Gana, Guiné, Guiné-Bissau, Libéria, Mali, Mauritânia, Níger, Nigéria, Senegal, Serra Leoa, Togo</w:t>
      </w:r>
    </w:p>
    <w:p w14:paraId="1AE4F012" w14:textId="47CF374F" w:rsidR="000435C2" w:rsidRPr="00167EE8" w:rsidRDefault="008B332B" w:rsidP="006008C4">
      <w:pPr>
        <w:pStyle w:val="BodyText"/>
        <w:numPr>
          <w:ilvl w:val="0"/>
          <w:numId w:val="19"/>
        </w:numPr>
        <w:tabs>
          <w:tab w:val="left" w:pos="744"/>
          <w:tab w:val="left" w:pos="4354"/>
        </w:tabs>
        <w:spacing w:after="0"/>
        <w:ind w:left="720" w:hanging="360"/>
        <w:jc w:val="both"/>
      </w:pPr>
      <w:r w:rsidRPr="00167EE8">
        <w:rPr>
          <w:rStyle w:val="BodyTextChar"/>
        </w:rPr>
        <w:t>ser uma instituição de ensino superior (IES) acreditada pelas autoridades nacionais competentes e ministrar cursos de pós-graduação (nível de mestrado e/ou doutoramento) que conduzam a uma qualificação reconhecida pelas autoridades competentes do seu país (— independentemente do seu nome, «universidade»</w:t>
      </w:r>
    </w:p>
    <w:p w14:paraId="5BDAB14A" w14:textId="77777777" w:rsidR="000435C2" w:rsidRPr="00167EE8" w:rsidRDefault="008B332B">
      <w:pPr>
        <w:pStyle w:val="BodyText"/>
        <w:spacing w:after="100"/>
        <w:ind w:firstLine="720"/>
        <w:jc w:val="both"/>
      </w:pPr>
      <w:r w:rsidRPr="00167EE8">
        <w:rPr>
          <w:rStyle w:val="BodyTextChar"/>
        </w:rPr>
        <w:t>«politécnico», «colégio», «instituto» ou outro).</w:t>
      </w:r>
    </w:p>
    <w:p w14:paraId="6FD03A0C" w14:textId="77777777" w:rsidR="000435C2" w:rsidRPr="00167EE8" w:rsidRDefault="008B332B" w:rsidP="004A65E7">
      <w:pPr>
        <w:pStyle w:val="Style7"/>
      </w:pPr>
      <w:r w:rsidRPr="00167EE8">
        <w:rPr>
          <w:rStyle w:val="BodyTextChar"/>
        </w:rPr>
        <w:t>Os beneficiários e as entidades afiliadas devem inscrever-se no</w:t>
      </w:r>
      <w:hyperlink r:id="rId25" w:history="1">
        <w:r w:rsidRPr="00167EE8">
          <w:rPr>
            <w:rStyle w:val="BodyTextChar"/>
          </w:rPr>
          <w:t xml:space="preserve"> </w:t>
        </w:r>
        <w:r w:rsidRPr="00167EE8">
          <w:rPr>
            <w:rStyle w:val="BodyTextChar"/>
            <w:color w:val="0088CC"/>
            <w:u w:val="single"/>
          </w:rPr>
          <w:t>Registo de Participantes</w:t>
        </w:r>
      </w:hyperlink>
      <w:r w:rsidRPr="00167EE8">
        <w:rPr>
          <w:rStyle w:val="BodyTextChar"/>
        </w:rPr>
        <w:t xml:space="preserve"> — antes de apresentarem a proposta — e têm de ser validados pelo Serviço Central de Validação («REA Validation»). Para a validação, ser-lhes-á pedido que carreguem documentos que indiquem o estatuto jurídico e a origem.</w:t>
      </w:r>
    </w:p>
    <w:p w14:paraId="224FDA38" w14:textId="77777777" w:rsidR="000435C2" w:rsidRPr="00167EE8" w:rsidRDefault="008B332B">
      <w:pPr>
        <w:pStyle w:val="BodyText"/>
        <w:jc w:val="both"/>
      </w:pPr>
      <w:r w:rsidRPr="00167EE8">
        <w:rPr>
          <w:rStyle w:val="BodyTextChar"/>
        </w:rPr>
        <w:t xml:space="preserve">Outras entidades podem participar noutras funções do consórcio, tais como parceiros associados, subcontratantes, terceiros que deem contribuições em espécie, etc. </w:t>
      </w:r>
      <w:r w:rsidRPr="00167EE8">
        <w:rPr>
          <w:rStyle w:val="BodyTextChar"/>
          <w:i/>
        </w:rPr>
        <w:t>(ver secção 13)</w:t>
      </w:r>
      <w:r w:rsidRPr="00167EE8">
        <w:rPr>
          <w:rStyle w:val="BodyTextChar"/>
        </w:rPr>
        <w:t>.</w:t>
      </w:r>
    </w:p>
    <w:p w14:paraId="6C73538F" w14:textId="77777777" w:rsidR="000435C2" w:rsidRPr="00167EE8" w:rsidRDefault="008B332B">
      <w:pPr>
        <w:pStyle w:val="BodyText"/>
        <w:jc w:val="both"/>
        <w:rPr>
          <w:rStyle w:val="BodyTextChar"/>
          <w:i/>
          <w:iCs/>
          <w:color w:val="A50021"/>
        </w:rPr>
      </w:pPr>
      <w:r w:rsidRPr="00167EE8">
        <w:rPr>
          <w:rStyle w:val="BodyTextChar"/>
          <w:i/>
          <w:color w:val="A50021"/>
        </w:rPr>
        <w:t>Casos específicos</w:t>
      </w:r>
    </w:p>
    <w:p w14:paraId="1F597E27" w14:textId="77777777" w:rsidR="000435C2" w:rsidRPr="00167EE8" w:rsidRDefault="008B332B">
      <w:pPr>
        <w:pStyle w:val="BodyText"/>
        <w:jc w:val="both"/>
      </w:pPr>
      <w:r w:rsidRPr="00167EE8">
        <w:rPr>
          <w:rStyle w:val="BodyTextChar"/>
        </w:rPr>
        <w:t>Pessoas singulares — As pessoas singulares NÃO são elegíveis.</w:t>
      </w:r>
    </w:p>
    <w:p w14:paraId="4749528B" w14:textId="77777777" w:rsidR="000435C2" w:rsidRPr="00167EE8" w:rsidRDefault="008B332B">
      <w:pPr>
        <w:pStyle w:val="BodyText"/>
        <w:jc w:val="both"/>
      </w:pPr>
      <w:r w:rsidRPr="00167EE8">
        <w:rPr>
          <w:rStyle w:val="BodyTextChar"/>
        </w:rPr>
        <w:t>Organizações internacionais — as organizações internacionais não são elegíveis.</w:t>
      </w:r>
    </w:p>
    <w:p w14:paraId="62F0770F" w14:textId="77777777" w:rsidR="000435C2" w:rsidRPr="00167EE8" w:rsidRDefault="008B332B">
      <w:pPr>
        <w:pStyle w:val="BodyText"/>
        <w:jc w:val="both"/>
      </w:pPr>
      <w:r w:rsidRPr="00167EE8">
        <w:rPr>
          <w:rStyle w:val="BodyTextChar"/>
        </w:rPr>
        <w:t xml:space="preserve">Entidades sem personalidade jurídica — as entidades sem personalidade jurídica nos </w:t>
      </w:r>
      <w:r w:rsidRPr="00167EE8">
        <w:rPr>
          <w:rStyle w:val="BodyTextChar"/>
        </w:rPr>
        <w:lastRenderedPageBreak/>
        <w:t>termos do respetivo direito nacional podem participar a título excecional, desde que os seus representantes tenham capacidade para assumir obrigações jurídicas em seu nome e ofereçam garantias de proteção dos interesses financeiros da UE equivalentes às oferecidas pelas pessoas coletivas</w:t>
      </w:r>
      <w:r w:rsidRPr="00167EE8">
        <w:rPr>
          <w:rStyle w:val="BodyTextChar"/>
          <w:vertAlign w:val="superscript"/>
        </w:rPr>
        <w:footnoteReference w:id="11"/>
      </w:r>
      <w:r w:rsidRPr="00167EE8">
        <w:rPr>
          <w:rStyle w:val="BodyTextChar"/>
        </w:rPr>
        <w:t>.</w:t>
      </w:r>
    </w:p>
    <w:p w14:paraId="3E146F1D" w14:textId="77777777" w:rsidR="000435C2" w:rsidRPr="00167EE8" w:rsidRDefault="008B332B">
      <w:pPr>
        <w:pStyle w:val="BodyText"/>
        <w:jc w:val="both"/>
      </w:pPr>
      <w:r w:rsidRPr="00167EE8">
        <w:rPr>
          <w:rStyle w:val="BodyTextChar"/>
        </w:rPr>
        <w:t>Organismos da UE — os organismos da UE (com exceção do Centro Comum de Investigação da Comissão Europeia) NÃO podem fazer parte do consórcio.</w:t>
      </w:r>
    </w:p>
    <w:p w14:paraId="30F77E42" w14:textId="24FAC598" w:rsidR="000435C2" w:rsidRPr="00167EE8" w:rsidRDefault="008B332B">
      <w:pPr>
        <w:pStyle w:val="BodyText"/>
        <w:spacing w:line="266" w:lineRule="auto"/>
        <w:jc w:val="both"/>
      </w:pPr>
      <w:r w:rsidRPr="00167EE8">
        <w:rPr>
          <w:rStyle w:val="BodyTextChar"/>
        </w:rPr>
        <w:t>Associações e agrupamentos de interesses — as entidades compostas por membros podem participar como «beneficiários únicos» ou «beneficiários sem personalidade jurídica»</w:t>
      </w:r>
      <w:r w:rsidRPr="00167EE8">
        <w:rPr>
          <w:rStyle w:val="BodyTextChar"/>
          <w:vertAlign w:val="superscript"/>
        </w:rPr>
        <w:footnoteReference w:id="12"/>
      </w:r>
      <w:r w:rsidRPr="00167EE8">
        <w:rPr>
          <w:rStyle w:val="BodyTextChar"/>
        </w:rPr>
        <w:t xml:space="preserve">. </w:t>
      </w:r>
      <w:r w:rsidRPr="00167EE8">
        <w:rPr>
          <w:noProof/>
        </w:rPr>
        <w:drawing>
          <wp:inline distT="0" distB="0" distL="0" distR="0" wp14:anchorId="761ACA87" wp14:editId="7CD88FFB">
            <wp:extent cx="151130" cy="151130"/>
            <wp:effectExtent l="0" t="0" r="127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1130" cy="151130"/>
                    </a:xfrm>
                    <a:prstGeom prst="rect">
                      <a:avLst/>
                    </a:prstGeom>
                    <a:noFill/>
                    <a:ln>
                      <a:noFill/>
                    </a:ln>
                  </pic:spPr>
                </pic:pic>
              </a:graphicData>
            </a:graphic>
          </wp:inline>
        </w:drawing>
      </w:r>
      <w:r w:rsidRPr="00167EE8">
        <w:rPr>
          <w:rStyle w:val="BodyTextChar"/>
        </w:rPr>
        <w:t xml:space="preserve"> Note-se que, se a ação for executada pelos membros, estes também devem participar (quer como beneficiários, quer como entidades afiliadas; caso contrário os seus custos NÃO serão elegíveis).</w:t>
      </w:r>
    </w:p>
    <w:p w14:paraId="21B371D6" w14:textId="74074E71" w:rsidR="000435C2" w:rsidRPr="00167EE8" w:rsidRDefault="008B332B" w:rsidP="004A65E7">
      <w:pPr>
        <w:pStyle w:val="Style8"/>
      </w:pPr>
      <w:r w:rsidRPr="00167EE8">
        <w:rPr>
          <w:rStyle w:val="BodyTextChar"/>
        </w:rPr>
        <w:t xml:space="preserve">Medidas restritivas da UE — são aplicáveis regras especiais a determinadas entidades </w:t>
      </w:r>
      <w:r w:rsidRPr="00167EE8">
        <w:rPr>
          <w:rStyle w:val="BodyTextChar"/>
          <w:i/>
        </w:rPr>
        <w:t xml:space="preserve">[por exemplo, entidades sujeitas a </w:t>
      </w:r>
      <w:hyperlink r:id="rId26" w:history="1">
        <w:r w:rsidRPr="00167EE8">
          <w:rPr>
            <w:rStyle w:val="Hyperlink"/>
            <w:i/>
          </w:rPr>
          <w:t>medidas restritivas da UE</w:t>
        </w:r>
      </w:hyperlink>
      <w:r w:rsidRPr="00167EE8">
        <w:rPr>
          <w:rStyle w:val="BodyTextChar"/>
        </w:rPr>
        <w:t xml:space="preserve"> </w:t>
      </w:r>
      <w:r w:rsidRPr="00167EE8">
        <w:rPr>
          <w:rStyle w:val="BodyTextChar"/>
          <w:i/>
        </w:rPr>
        <w:t xml:space="preserve"> nos termos do artigo 29.º do Tratado da União Europeia (TUE) e do artigo 215.º do Tratado sobre o Funcionamento da UE (TFUE)</w:t>
      </w:r>
      <w:r w:rsidRPr="00167EE8">
        <w:rPr>
          <w:rStyle w:val="BodyTextChar"/>
          <w:i/>
          <w:iCs/>
          <w:vertAlign w:val="superscript"/>
        </w:rPr>
        <w:footnoteReference w:id="13"/>
      </w:r>
      <w:r w:rsidRPr="00167EE8">
        <w:rPr>
          <w:rStyle w:val="BodyTextChar"/>
          <w:i/>
        </w:rPr>
        <w:t>)</w:t>
      </w:r>
      <w:r w:rsidRPr="00167EE8">
        <w:rPr>
          <w:rStyle w:val="BodyTextChar"/>
        </w:rPr>
        <w:t>. Essas entidades não são elegíveis para participar a qualquer título, nomeadamente como beneficiários, entidades afiliadas, parceiros associados, subcontratantes ou destinatários de apoio financeiro a terceiros (se for caso disso).</w:t>
      </w:r>
    </w:p>
    <w:p w14:paraId="7C22D9A2" w14:textId="62FC0CE2" w:rsidR="000435C2" w:rsidRPr="00167EE8" w:rsidRDefault="000F6913" w:rsidP="00F96019">
      <w:pPr>
        <w:pStyle w:val="BodyText"/>
        <w:jc w:val="both"/>
      </w:pPr>
      <w:r>
        <w:pict w14:anchorId="727A903B">
          <v:shape id="_x0000_i1026" type="#_x0000_t75" alt="https://lh5.googleusercontent.com/-n5VVWXljoCs/T8X1egaB-BI/AAAAAAAAC1I/fLBP4VIzxQM/s16/infoIcon_blue.png" style="width:12.75pt;height:12.75pt;visibility:visible;mso-wrap-style:square">
            <v:imagedata r:id="rId27" o:title="infoIcon_blue"/>
          </v:shape>
        </w:pict>
      </w:r>
      <w:r w:rsidR="004A65E7" w:rsidRPr="00167EE8">
        <w:rPr>
          <w:rStyle w:val="BodyTextChar"/>
        </w:rPr>
        <w:t xml:space="preserve"> Para mais informações,</w:t>
      </w:r>
      <w:r w:rsidR="004A65E7" w:rsidRPr="00167EE8">
        <w:rPr>
          <w:rStyle w:val="BodyTextChar"/>
          <w:i/>
        </w:rPr>
        <w:t xml:space="preserve"> consultar</w:t>
      </w:r>
      <w:hyperlink r:id="rId28" w:history="1">
        <w:r w:rsidR="004A65E7" w:rsidRPr="00167EE8">
          <w:rPr>
            <w:rStyle w:val="BodyTextChar"/>
            <w:i/>
          </w:rPr>
          <w:t xml:space="preserve"> </w:t>
        </w:r>
        <w:r w:rsidR="004A65E7" w:rsidRPr="00167EE8">
          <w:rPr>
            <w:rStyle w:val="BodyTextChar"/>
            <w:i/>
            <w:color w:val="0088CC"/>
            <w:u w:val="single"/>
          </w:rPr>
          <w:t xml:space="preserve"> as Regras relativas à validação da entidade jurídica, à designação do LEAR e</w:t>
        </w:r>
      </w:hyperlink>
      <w:r w:rsidR="004A65E7" w:rsidRPr="00167EE8">
        <w:rPr>
          <w:rStyle w:val="BodyTextChar"/>
          <w:i/>
          <w:color w:val="0088CC"/>
          <w:u w:val="single"/>
        </w:rPr>
        <w:t xml:space="preserve"> </w:t>
      </w:r>
      <w:hyperlink r:id="rId29" w:history="1">
        <w:r w:rsidR="004A65E7" w:rsidRPr="00167EE8">
          <w:rPr>
            <w:rStyle w:val="BodyTextChar"/>
            <w:i/>
            <w:color w:val="0088CC"/>
            <w:u w:val="single"/>
          </w:rPr>
          <w:t xml:space="preserve"> à avaliação da capacidade financeira</w:t>
        </w:r>
        <w:r w:rsidR="004A65E7" w:rsidRPr="00167EE8">
          <w:rPr>
            <w:rStyle w:val="BodyTextChar"/>
            <w:i/>
          </w:rPr>
          <w:t>.</w:t>
        </w:r>
      </w:hyperlink>
    </w:p>
    <w:p w14:paraId="60041336" w14:textId="77777777" w:rsidR="000435C2" w:rsidRPr="00167EE8" w:rsidRDefault="008B332B" w:rsidP="00F96019">
      <w:pPr>
        <w:pStyle w:val="Heading2"/>
        <w:rPr>
          <w:b w:val="0"/>
          <w:bCs w:val="0"/>
        </w:rPr>
      </w:pPr>
      <w:bookmarkStart w:id="33" w:name="bookmark41"/>
      <w:bookmarkStart w:id="34" w:name="_Toc185511142"/>
      <w:r w:rsidRPr="00167EE8">
        <w:rPr>
          <w:rStyle w:val="BodyTextChar"/>
          <w:b w:val="0"/>
          <w:i/>
          <w:u w:val="single"/>
        </w:rPr>
        <w:t>Composição do consórcio</w:t>
      </w:r>
      <w:bookmarkEnd w:id="33"/>
      <w:bookmarkEnd w:id="34"/>
    </w:p>
    <w:p w14:paraId="1761E619" w14:textId="77777777" w:rsidR="000435C2" w:rsidRPr="00167EE8" w:rsidRDefault="008B332B">
      <w:pPr>
        <w:pStyle w:val="BodyText"/>
        <w:jc w:val="both"/>
      </w:pPr>
      <w:r w:rsidRPr="00167EE8">
        <w:rPr>
          <w:rStyle w:val="BodyTextChar"/>
        </w:rPr>
        <w:t>As propostas devem ser apresentadas por um consórcio de, pelo menos, 5 e no máximo 7 candidatos (beneficiários; entidades não afiliadas) que satisfaçam as seguintes condições:</w:t>
      </w:r>
    </w:p>
    <w:p w14:paraId="21C4FAA4" w14:textId="77777777" w:rsidR="000435C2" w:rsidRPr="00167EE8" w:rsidRDefault="008B332B" w:rsidP="006008C4">
      <w:pPr>
        <w:pStyle w:val="BodyText"/>
        <w:numPr>
          <w:ilvl w:val="0"/>
          <w:numId w:val="19"/>
        </w:numPr>
        <w:tabs>
          <w:tab w:val="left" w:pos="764"/>
        </w:tabs>
        <w:spacing w:after="120" w:line="233" w:lineRule="auto"/>
        <w:ind w:left="740" w:hanging="360"/>
        <w:jc w:val="both"/>
      </w:pPr>
      <w:r w:rsidRPr="00167EE8">
        <w:rPr>
          <w:rStyle w:val="BodyTextChar"/>
        </w:rPr>
        <w:t xml:space="preserve">Mínimo 4 e máximo 6 IES dos países elegíveis nas seguintes regiões africanas: África Oriental </w:t>
      </w:r>
      <w:proofErr w:type="gramStart"/>
      <w:r w:rsidRPr="00167EE8">
        <w:rPr>
          <w:rStyle w:val="BodyTextChar"/>
        </w:rPr>
        <w:t>e Central</w:t>
      </w:r>
      <w:proofErr w:type="gramEnd"/>
      <w:r w:rsidRPr="00167EE8">
        <w:rPr>
          <w:rStyle w:val="BodyTextChar"/>
        </w:rPr>
        <w:t>, África Austral e Oceano Índico, África Ocidental</w:t>
      </w:r>
    </w:p>
    <w:p w14:paraId="1CD029D7" w14:textId="77777777" w:rsidR="000435C2" w:rsidRPr="00167EE8" w:rsidRDefault="008B332B" w:rsidP="006008C4">
      <w:pPr>
        <w:pStyle w:val="BodyText"/>
        <w:numPr>
          <w:ilvl w:val="0"/>
          <w:numId w:val="19"/>
        </w:numPr>
        <w:tabs>
          <w:tab w:val="left" w:pos="764"/>
        </w:tabs>
        <w:spacing w:after="120" w:line="221" w:lineRule="auto"/>
        <w:ind w:firstLine="380"/>
        <w:jc w:val="both"/>
      </w:pPr>
      <w:r w:rsidRPr="00167EE8">
        <w:rPr>
          <w:rStyle w:val="BodyTextChar"/>
        </w:rPr>
        <w:t>Uma IES de um dos Estados-Membros da UE (parceiro técnico da UE)</w:t>
      </w:r>
    </w:p>
    <w:p w14:paraId="78E1E2C9" w14:textId="77777777" w:rsidR="000435C2" w:rsidRPr="00167EE8" w:rsidRDefault="008B332B" w:rsidP="006008C4">
      <w:pPr>
        <w:pStyle w:val="BodyText"/>
        <w:numPr>
          <w:ilvl w:val="0"/>
          <w:numId w:val="19"/>
        </w:numPr>
        <w:tabs>
          <w:tab w:val="left" w:pos="764"/>
        </w:tabs>
        <w:spacing w:after="120" w:line="221" w:lineRule="auto"/>
        <w:ind w:firstLine="380"/>
        <w:jc w:val="both"/>
      </w:pPr>
      <w:r w:rsidRPr="00167EE8">
        <w:rPr>
          <w:rStyle w:val="BodyTextChar"/>
        </w:rPr>
        <w:t>Máximo 2 IES do mesmo país elegível em África.</w:t>
      </w:r>
    </w:p>
    <w:p w14:paraId="0CC63661" w14:textId="77777777" w:rsidR="000435C2" w:rsidRPr="00167EE8" w:rsidRDefault="008B332B" w:rsidP="006008C4">
      <w:pPr>
        <w:pStyle w:val="BodyText"/>
        <w:numPr>
          <w:ilvl w:val="0"/>
          <w:numId w:val="19"/>
        </w:numPr>
        <w:tabs>
          <w:tab w:val="left" w:pos="764"/>
        </w:tabs>
        <w:spacing w:after="120"/>
        <w:ind w:left="740" w:hanging="360"/>
        <w:jc w:val="both"/>
      </w:pPr>
      <w:r w:rsidRPr="00167EE8">
        <w:rPr>
          <w:rStyle w:val="BodyTextChar"/>
        </w:rPr>
        <w:t xml:space="preserve">Mínimo </w:t>
      </w:r>
      <w:r w:rsidRPr="00167EE8">
        <w:rPr>
          <w:rStyle w:val="BodyTextChar"/>
          <w:b/>
        </w:rPr>
        <w:t>três</w:t>
      </w:r>
      <w:r w:rsidRPr="00167EE8">
        <w:rPr>
          <w:rStyle w:val="BodyTextChar"/>
        </w:rPr>
        <w:t xml:space="preserve"> (3) países elegíveis diferentes em África representando, pelo menos, </w:t>
      </w:r>
      <w:r w:rsidRPr="00167EE8">
        <w:rPr>
          <w:rStyle w:val="BodyTextChar"/>
          <w:b/>
        </w:rPr>
        <w:t>duas</w:t>
      </w:r>
      <w:r w:rsidRPr="00167EE8">
        <w:rPr>
          <w:rStyle w:val="BodyTextChar"/>
        </w:rPr>
        <w:t xml:space="preserve"> (2) das </w:t>
      </w:r>
      <w:r w:rsidRPr="00167EE8">
        <w:rPr>
          <w:rStyle w:val="BodyTextChar"/>
          <w:b/>
        </w:rPr>
        <w:t>três</w:t>
      </w:r>
      <w:r w:rsidRPr="00167EE8">
        <w:rPr>
          <w:rStyle w:val="BodyTextChar"/>
        </w:rPr>
        <w:t xml:space="preserve"> (3) regiões africanas elegíveis, ou seja, África Oriental </w:t>
      </w:r>
      <w:proofErr w:type="gramStart"/>
      <w:r w:rsidRPr="00167EE8">
        <w:rPr>
          <w:rStyle w:val="BodyTextChar"/>
        </w:rPr>
        <w:t>e Central</w:t>
      </w:r>
      <w:proofErr w:type="gramEnd"/>
      <w:r w:rsidRPr="00167EE8">
        <w:rPr>
          <w:rStyle w:val="BodyTextChar"/>
        </w:rPr>
        <w:t>; África Austral e Oceano Índico; África Ocidental.</w:t>
      </w:r>
    </w:p>
    <w:p w14:paraId="2B20D65F" w14:textId="77777777" w:rsidR="000435C2" w:rsidRPr="00167EE8" w:rsidRDefault="008B332B">
      <w:pPr>
        <w:pStyle w:val="BodyText"/>
        <w:spacing w:after="120"/>
        <w:jc w:val="both"/>
      </w:pPr>
      <w:r w:rsidRPr="00167EE8">
        <w:rPr>
          <w:rStyle w:val="BodyTextChar"/>
        </w:rPr>
        <w:t>O candidato que atua na qualidade de coordenador deve ser uma instituição de ensino superior estabelecida em África e só pode atuar como coordenador numa proposta adjudicada no âmbito do presente convite à apresentação de propostas.</w:t>
      </w:r>
    </w:p>
    <w:p w14:paraId="25CCB7A8" w14:textId="77777777" w:rsidR="000435C2" w:rsidRPr="00167EE8" w:rsidRDefault="008B332B">
      <w:pPr>
        <w:pStyle w:val="BodyText"/>
        <w:jc w:val="both"/>
      </w:pPr>
      <w:r w:rsidRPr="00167EE8">
        <w:rPr>
          <w:rStyle w:val="BodyTextChar"/>
        </w:rPr>
        <w:t>Outras entidades que participam no consórcio como parceiros associados devem estar estabelecidas em África. Inclui o Norte de África (Argélia, Egito, Líbia, Marrocos, Tunísia).</w:t>
      </w:r>
    </w:p>
    <w:p w14:paraId="39AE63E6" w14:textId="77777777" w:rsidR="000435C2" w:rsidRPr="00167EE8" w:rsidRDefault="008B332B" w:rsidP="00F96019">
      <w:pPr>
        <w:pStyle w:val="Heading2"/>
        <w:rPr>
          <w:b w:val="0"/>
          <w:bCs w:val="0"/>
        </w:rPr>
      </w:pPr>
      <w:bookmarkStart w:id="35" w:name="bookmark42"/>
      <w:bookmarkStart w:id="36" w:name="_Toc185511143"/>
      <w:r w:rsidRPr="00167EE8">
        <w:rPr>
          <w:rStyle w:val="BodyTextChar"/>
          <w:b w:val="0"/>
          <w:i/>
          <w:u w:val="single"/>
        </w:rPr>
        <w:t>Atividades elegíveis</w:t>
      </w:r>
      <w:bookmarkEnd w:id="35"/>
      <w:bookmarkEnd w:id="36"/>
    </w:p>
    <w:p w14:paraId="723B4D69" w14:textId="77777777" w:rsidR="000435C2" w:rsidRPr="00167EE8" w:rsidRDefault="008B332B">
      <w:pPr>
        <w:pStyle w:val="BodyText"/>
        <w:jc w:val="both"/>
      </w:pPr>
      <w:r w:rsidRPr="00167EE8">
        <w:rPr>
          <w:rStyle w:val="BodyTextChar"/>
        </w:rPr>
        <w:t xml:space="preserve">As candidaturas só serão consideradas elegíveis se o seu conteúdo corresponder na </w:t>
      </w:r>
      <w:r w:rsidRPr="00167EE8">
        <w:rPr>
          <w:rStyle w:val="BodyTextChar"/>
        </w:rPr>
        <w:lastRenderedPageBreak/>
        <w:t>totalidade ou em parte à descrição do tema para o qual é apresentado.</w:t>
      </w:r>
    </w:p>
    <w:p w14:paraId="6815B3B2" w14:textId="77777777" w:rsidR="000435C2" w:rsidRPr="00167EE8" w:rsidRDefault="008B332B">
      <w:pPr>
        <w:pStyle w:val="BodyText"/>
        <w:jc w:val="both"/>
      </w:pPr>
      <w:r w:rsidRPr="00167EE8">
        <w:rPr>
          <w:rStyle w:val="BodyTextChar"/>
        </w:rPr>
        <w:t>São elegíveis as atividades descritas na secção 2 acima.</w:t>
      </w:r>
    </w:p>
    <w:p w14:paraId="239BABED" w14:textId="77777777" w:rsidR="000435C2" w:rsidRPr="00167EE8" w:rsidRDefault="008B332B">
      <w:pPr>
        <w:pStyle w:val="BodyText"/>
        <w:jc w:val="both"/>
      </w:pPr>
      <w:r w:rsidRPr="00167EE8">
        <w:rPr>
          <w:rStyle w:val="BodyTextChar"/>
        </w:rPr>
        <w:t>Os projetos devem ter em conta os resultados de projetos apoiados por outros programas de financiamento da UE. As complementaridades devem ser descritas nas propostas de projeto (Parte B do formulário de candidatura).</w:t>
      </w:r>
    </w:p>
    <w:p w14:paraId="261F6B08" w14:textId="77777777" w:rsidR="000435C2" w:rsidRPr="00167EE8" w:rsidRDefault="008B332B">
      <w:pPr>
        <w:pStyle w:val="BodyText"/>
        <w:jc w:val="both"/>
      </w:pPr>
      <w:r w:rsidRPr="00167EE8">
        <w:rPr>
          <w:rStyle w:val="BodyTextChar"/>
        </w:rPr>
        <w:t xml:space="preserve">Os projetos devem respeitar os interesses e as prioridades das políticas da UE </w:t>
      </w:r>
      <w:r w:rsidRPr="00167EE8">
        <w:rPr>
          <w:rStyle w:val="BodyTextChar"/>
          <w:i/>
        </w:rPr>
        <w:t>(como as políticas UE-África, etc.)</w:t>
      </w:r>
      <w:r w:rsidRPr="00167EE8">
        <w:rPr>
          <w:rStyle w:val="BodyTextChar"/>
        </w:rPr>
        <w:t>.</w:t>
      </w:r>
    </w:p>
    <w:p w14:paraId="1E59D3C5" w14:textId="77777777" w:rsidR="000435C2" w:rsidRPr="00167EE8" w:rsidRDefault="008B332B" w:rsidP="00F96019">
      <w:pPr>
        <w:pStyle w:val="Heading2"/>
        <w:rPr>
          <w:b w:val="0"/>
          <w:bCs w:val="0"/>
        </w:rPr>
      </w:pPr>
      <w:bookmarkStart w:id="37" w:name="bookmark43"/>
      <w:bookmarkStart w:id="38" w:name="_Toc185511144"/>
      <w:r w:rsidRPr="00167EE8">
        <w:rPr>
          <w:rStyle w:val="BodyTextChar"/>
          <w:b w:val="0"/>
          <w:i/>
          <w:u w:val="single"/>
        </w:rPr>
        <w:t>Localização geográfica (países-alvo)</w:t>
      </w:r>
      <w:bookmarkEnd w:id="37"/>
      <w:bookmarkEnd w:id="38"/>
    </w:p>
    <w:p w14:paraId="771DF971" w14:textId="77777777" w:rsidR="000435C2" w:rsidRPr="00167EE8" w:rsidRDefault="008B332B">
      <w:pPr>
        <w:pStyle w:val="BodyText"/>
        <w:jc w:val="both"/>
      </w:pPr>
      <w:r w:rsidRPr="00167EE8">
        <w:rPr>
          <w:rStyle w:val="BodyTextChar"/>
        </w:rPr>
        <w:t xml:space="preserve">As propostas devem dizer respeito a atividades realizadas nos países elegíveis </w:t>
      </w:r>
      <w:r w:rsidRPr="00167EE8">
        <w:rPr>
          <w:rStyle w:val="BodyTextChar"/>
          <w:i/>
        </w:rPr>
        <w:t>(ver acima)</w:t>
      </w:r>
      <w:r w:rsidRPr="00167EE8">
        <w:rPr>
          <w:rStyle w:val="BodyTextChar"/>
        </w:rPr>
        <w:t>. Os estudantes e estagiários devem ser nacionais e residentes num país africano. Inclui o Norte de África (Argélia, Egito, Líbia, Marrocos, Tunísia).</w:t>
      </w:r>
    </w:p>
    <w:p w14:paraId="53F74BD3" w14:textId="77777777" w:rsidR="000435C2" w:rsidRPr="00167EE8" w:rsidRDefault="008B332B" w:rsidP="00F96019">
      <w:pPr>
        <w:pStyle w:val="Heading2"/>
        <w:rPr>
          <w:b w:val="0"/>
          <w:bCs w:val="0"/>
        </w:rPr>
      </w:pPr>
      <w:bookmarkStart w:id="39" w:name="bookmark44"/>
      <w:bookmarkStart w:id="40" w:name="_Toc185511145"/>
      <w:r w:rsidRPr="00167EE8">
        <w:rPr>
          <w:rStyle w:val="BodyTextChar"/>
          <w:b w:val="0"/>
          <w:i/>
          <w:u w:val="single"/>
        </w:rPr>
        <w:t>Duração</w:t>
      </w:r>
      <w:bookmarkEnd w:id="39"/>
      <w:bookmarkEnd w:id="40"/>
    </w:p>
    <w:p w14:paraId="5124CD85" w14:textId="77777777" w:rsidR="000435C2" w:rsidRPr="00167EE8" w:rsidRDefault="008B332B">
      <w:pPr>
        <w:pStyle w:val="BodyText"/>
        <w:jc w:val="both"/>
      </w:pPr>
      <w:r w:rsidRPr="00167EE8">
        <w:rPr>
          <w:rStyle w:val="BodyTextChar"/>
        </w:rPr>
        <w:t>Normalmente, os projetos devem ter a duração de 48 meses.</w:t>
      </w:r>
    </w:p>
    <w:p w14:paraId="0BED486D" w14:textId="77777777" w:rsidR="000435C2" w:rsidRPr="00167EE8" w:rsidRDefault="008B332B">
      <w:pPr>
        <w:pStyle w:val="BodyText"/>
        <w:jc w:val="both"/>
      </w:pPr>
      <w:r w:rsidRPr="00167EE8">
        <w:rPr>
          <w:rStyle w:val="BodyTextChar"/>
        </w:rPr>
        <w:t>As prorrogações são possíveis, desde que devidamente justificadas e através de uma alteração.</w:t>
      </w:r>
    </w:p>
    <w:p w14:paraId="290040A9" w14:textId="77777777" w:rsidR="000435C2" w:rsidRPr="00167EE8" w:rsidRDefault="008B332B" w:rsidP="00F96019">
      <w:pPr>
        <w:pStyle w:val="Heading2"/>
        <w:rPr>
          <w:b w:val="0"/>
          <w:bCs w:val="0"/>
        </w:rPr>
      </w:pPr>
      <w:bookmarkStart w:id="41" w:name="bookmark45"/>
      <w:bookmarkStart w:id="42" w:name="_Toc185511146"/>
      <w:r w:rsidRPr="00167EE8">
        <w:rPr>
          <w:rStyle w:val="BodyTextChar"/>
          <w:b w:val="0"/>
          <w:i/>
          <w:u w:val="single"/>
        </w:rPr>
        <w:t>Ética e valores</w:t>
      </w:r>
      <w:bookmarkEnd w:id="41"/>
      <w:bookmarkEnd w:id="42"/>
    </w:p>
    <w:p w14:paraId="09BD5CAE" w14:textId="77777777" w:rsidR="000435C2" w:rsidRPr="00167EE8" w:rsidRDefault="008B332B">
      <w:pPr>
        <w:pStyle w:val="BodyText"/>
        <w:jc w:val="both"/>
      </w:pPr>
      <w:r w:rsidRPr="00167EE8">
        <w:rPr>
          <w:rStyle w:val="BodyTextChar"/>
        </w:rPr>
        <w:t>Os projetos devem respeitar:</w:t>
      </w:r>
    </w:p>
    <w:p w14:paraId="4099250D" w14:textId="77777777" w:rsidR="000435C2" w:rsidRPr="00167EE8" w:rsidRDefault="008B332B" w:rsidP="006008C4">
      <w:pPr>
        <w:pStyle w:val="BodyText"/>
        <w:numPr>
          <w:ilvl w:val="0"/>
          <w:numId w:val="19"/>
        </w:numPr>
        <w:tabs>
          <w:tab w:val="left" w:pos="741"/>
        </w:tabs>
        <w:spacing w:line="218" w:lineRule="auto"/>
        <w:ind w:firstLine="360"/>
        <w:jc w:val="both"/>
      </w:pPr>
      <w:r w:rsidRPr="00167EE8">
        <w:rPr>
          <w:rStyle w:val="BodyTextChar"/>
        </w:rPr>
        <w:t>os mais elevados padrões éticos e integridade</w:t>
      </w:r>
    </w:p>
    <w:p w14:paraId="4E2F3325" w14:textId="77777777" w:rsidR="000435C2" w:rsidRPr="00167EE8" w:rsidRDefault="008B332B" w:rsidP="006008C4">
      <w:pPr>
        <w:pStyle w:val="BodyText"/>
        <w:numPr>
          <w:ilvl w:val="0"/>
          <w:numId w:val="19"/>
        </w:numPr>
        <w:tabs>
          <w:tab w:val="left" w:pos="741"/>
        </w:tabs>
        <w:spacing w:line="218" w:lineRule="auto"/>
        <w:ind w:firstLine="360"/>
        <w:jc w:val="both"/>
      </w:pPr>
      <w:r w:rsidRPr="00167EE8">
        <w:rPr>
          <w:rStyle w:val="BodyTextChar"/>
        </w:rPr>
        <w:t>a legislação comunitária, internacional e nacional aplicável.</w:t>
      </w:r>
    </w:p>
    <w:p w14:paraId="03CA00F7" w14:textId="77777777" w:rsidR="000435C2" w:rsidRPr="00167EE8" w:rsidRDefault="008B332B">
      <w:pPr>
        <w:pStyle w:val="BodyText"/>
        <w:jc w:val="both"/>
      </w:pPr>
      <w:r w:rsidRPr="00167EE8">
        <w:rPr>
          <w:rStyle w:val="BodyTextChar"/>
        </w:rPr>
        <w:t>Os beneficiários devem prestar especial atenção ao princípio da proporcionalidade, ao direito à privacidade, ao direito à proteção dos dados pessoais, ao direito à não discriminação, à necessidade de assegurar a proteção do ambiente e a elevados níveis de proteção da saúde humana.</w:t>
      </w:r>
    </w:p>
    <w:p w14:paraId="7793B422" w14:textId="77777777" w:rsidR="000435C2" w:rsidRPr="00167EE8" w:rsidRDefault="008B332B">
      <w:pPr>
        <w:pStyle w:val="BodyText"/>
        <w:jc w:val="both"/>
      </w:pPr>
      <w:r w:rsidRPr="00167EE8">
        <w:rPr>
          <w:rStyle w:val="BodyTextChar"/>
        </w:rPr>
        <w:t>Devem respeitar os direitos humanos, a legislação ambiental aplicável nos países em que a ação está em curso e as normas laborais fundamentais acordadas a nível internacional (por exemplo, as normas laborais fundamentais da OIT, as convenções sobre a liberdade de associação e a negociação coletiva, a eliminação do trabalho forçado e obrigatório, a eliminação da discriminação em matéria de emprego e profissão e a abolição do trabalho infantil).</w:t>
      </w:r>
    </w:p>
    <w:p w14:paraId="7872633A" w14:textId="77777777" w:rsidR="000435C2" w:rsidRPr="00167EE8" w:rsidRDefault="008B332B">
      <w:pPr>
        <w:pStyle w:val="BodyText"/>
        <w:jc w:val="both"/>
      </w:pPr>
      <w:r w:rsidRPr="00167EE8">
        <w:rPr>
          <w:rStyle w:val="BodyTextChar"/>
        </w:rPr>
        <w:t>Devem respeitar o direito à integridade física e mental de uma pessoa (incluindo a ausência de abuso ou punição física, ameaças de abuso físico, abuso ou exploração sexual, assédio e abuso verbal, bem como outras formas de intimidação). Tais incidentes (se os houver) devem ser comunicados à autoridade que concede a subvenção no prazo de 30 dias a contar da data em que o beneficiário tomou conhecimento dos mesmos.</w:t>
      </w:r>
    </w:p>
    <w:p w14:paraId="5755910B" w14:textId="77777777" w:rsidR="000435C2" w:rsidRPr="00167EE8" w:rsidRDefault="008B332B">
      <w:pPr>
        <w:pStyle w:val="BodyText"/>
        <w:spacing w:after="640"/>
        <w:jc w:val="both"/>
      </w:pPr>
      <w:r w:rsidRPr="00167EE8">
        <w:rPr>
          <w:rStyle w:val="BodyTextChar"/>
        </w:rPr>
        <w:t xml:space="preserve">Ao abrigo do presente Acordo, é proibida qualquer forma de conflito de interesses, suborno ou corrupção. As tarefas do projeto devem ser executadas de forma transparente e objetiva, no interesse exclusivo do projeto e evitando quaisquer conflitos de interesses. Os participantes não devem oferecer nem receber (nem prometer ou aceitar) qualquer presente, gratificação, comissão ou retribuição de qualquer tipo como incentivo ou recompensa pela realização ou não realização de qualquer ato relacionado com o projeto ou por mostrarem preferência ou desfavorecimento a qualquer pessoa em relação ao projeto. Devem cumprir todas as </w:t>
      </w:r>
      <w:r w:rsidRPr="00167EE8">
        <w:rPr>
          <w:rStyle w:val="BodyTextChar"/>
        </w:rPr>
        <w:lastRenderedPageBreak/>
        <w:t>disposições legislativas e regulamentares e códigos aplicáveis em matéria de luta contra o suborno e a corrupção.</w:t>
      </w:r>
    </w:p>
    <w:p w14:paraId="08AA3F45" w14:textId="36AE4D91" w:rsidR="000435C2" w:rsidRPr="00167EE8" w:rsidRDefault="008B332B" w:rsidP="00A45543">
      <w:pPr>
        <w:pStyle w:val="Heading1"/>
      </w:pPr>
      <w:bookmarkStart w:id="43" w:name="bookmark46"/>
      <w:bookmarkStart w:id="44" w:name="_Toc185511147"/>
      <w:r w:rsidRPr="00167EE8">
        <w:rPr>
          <w:rStyle w:val="Heading3"/>
          <w:b/>
        </w:rPr>
        <w:t>Capacidade financeira e operacional e exclusão</w:t>
      </w:r>
      <w:bookmarkEnd w:id="43"/>
      <w:bookmarkEnd w:id="44"/>
    </w:p>
    <w:p w14:paraId="0649FF9B" w14:textId="77777777" w:rsidR="000435C2" w:rsidRPr="00167EE8" w:rsidRDefault="008B332B" w:rsidP="00BF0FEB">
      <w:pPr>
        <w:pStyle w:val="Heading2"/>
        <w:rPr>
          <w:b w:val="0"/>
          <w:bCs w:val="0"/>
        </w:rPr>
      </w:pPr>
      <w:bookmarkStart w:id="45" w:name="bookmark49"/>
      <w:bookmarkStart w:id="46" w:name="_Toc185511148"/>
      <w:r w:rsidRPr="00167EE8">
        <w:rPr>
          <w:rStyle w:val="BodyTextChar"/>
          <w:b w:val="0"/>
          <w:i/>
          <w:u w:val="single"/>
        </w:rPr>
        <w:t>Capacidade financeira</w:t>
      </w:r>
      <w:bookmarkEnd w:id="45"/>
      <w:bookmarkEnd w:id="46"/>
    </w:p>
    <w:p w14:paraId="5FDF8000" w14:textId="77777777" w:rsidR="000435C2" w:rsidRPr="00167EE8" w:rsidRDefault="008B332B">
      <w:pPr>
        <w:pStyle w:val="BodyText"/>
        <w:jc w:val="both"/>
      </w:pPr>
      <w:r w:rsidRPr="00167EE8">
        <w:rPr>
          <w:rStyle w:val="BodyTextChar"/>
        </w:rPr>
        <w:t xml:space="preserve">Os candidatos devem dispor de </w:t>
      </w:r>
      <w:r w:rsidRPr="00167EE8">
        <w:rPr>
          <w:rStyle w:val="BodyTextChar"/>
          <w:b/>
        </w:rPr>
        <w:t>recursos estáveis e suficientes</w:t>
      </w:r>
      <w:r w:rsidRPr="00167EE8">
        <w:rPr>
          <w:rStyle w:val="BodyTextChar"/>
        </w:rPr>
        <w:t xml:space="preserve"> para executar com êxito os projetos e contribuir com a sua quota-parte. As organizações que participam em vários projetos devem ter capacidade suficiente para executar todos os projetos.</w:t>
      </w:r>
    </w:p>
    <w:p w14:paraId="1C3E5DAA" w14:textId="77777777" w:rsidR="000435C2" w:rsidRPr="00167EE8" w:rsidRDefault="008B332B">
      <w:pPr>
        <w:pStyle w:val="BodyText"/>
        <w:jc w:val="both"/>
      </w:pPr>
      <w:r w:rsidRPr="00167EE8">
        <w:rPr>
          <w:rStyle w:val="BodyTextChar"/>
        </w:rPr>
        <w:t xml:space="preserve">A verificação da capacidade financeira será efetuada com base nos documentos a carregar no </w:t>
      </w:r>
      <w:hyperlink r:id="rId30" w:history="1">
        <w:r w:rsidRPr="00167EE8">
          <w:rPr>
            <w:rStyle w:val="BodyTextChar"/>
          </w:rPr>
          <w:t xml:space="preserve"> </w:t>
        </w:r>
        <w:r w:rsidRPr="00167EE8">
          <w:rPr>
            <w:rStyle w:val="BodyTextChar"/>
            <w:u w:val="single"/>
          </w:rPr>
          <w:t>Registo de Participantes</w:t>
        </w:r>
        <w:r w:rsidRPr="00167EE8">
          <w:rPr>
            <w:rStyle w:val="BodyTextChar"/>
            <w:color w:val="0088CC"/>
          </w:rPr>
          <w:t xml:space="preserve"> </w:t>
        </w:r>
      </w:hyperlink>
      <w:r w:rsidRPr="00167EE8">
        <w:rPr>
          <w:rStyle w:val="BodyTextChar"/>
        </w:rPr>
        <w:t xml:space="preserve"> durante a preparação da subvenção</w:t>
      </w:r>
      <w:r w:rsidRPr="00167EE8">
        <w:rPr>
          <w:rStyle w:val="BodyTextChar"/>
          <w:color w:val="0088CC"/>
        </w:rPr>
        <w:t xml:space="preserve"> </w:t>
      </w:r>
      <w:r w:rsidRPr="00167EE8">
        <w:rPr>
          <w:rStyle w:val="BodyTextChar"/>
          <w:i/>
        </w:rPr>
        <w:t>(por exemplo, conta de ganhos e perdas e balanço, plano de negócios, relatório de auditoria elaborado por um auditor externo aprovado, certificação das contas do último exercício encerrado, etc.)</w:t>
      </w:r>
      <w:r w:rsidRPr="00167EE8">
        <w:rPr>
          <w:rStyle w:val="BodyTextChar"/>
        </w:rPr>
        <w:t>. A análise basear-se-á em indicadores financeiros neutros, mas terá igualmente em conta outros aspetos, como a dependência do financiamento da UE e o défice e as receitas dos anos anteriores.</w:t>
      </w:r>
    </w:p>
    <w:p w14:paraId="1F9BF82F" w14:textId="77777777" w:rsidR="000435C2" w:rsidRPr="00167EE8" w:rsidRDefault="008B332B">
      <w:pPr>
        <w:pStyle w:val="BodyText"/>
        <w:jc w:val="both"/>
      </w:pPr>
      <w:r w:rsidRPr="00167EE8">
        <w:rPr>
          <w:rStyle w:val="BodyTextChar"/>
        </w:rPr>
        <w:t>O controlo será normalmente efetuado para todos os coordenadores, exceto:</w:t>
      </w:r>
    </w:p>
    <w:p w14:paraId="3D8CEA1B" w14:textId="77777777" w:rsidR="000435C2" w:rsidRPr="00167EE8" w:rsidRDefault="008B332B" w:rsidP="006008C4">
      <w:pPr>
        <w:pStyle w:val="BodyText"/>
        <w:numPr>
          <w:ilvl w:val="0"/>
          <w:numId w:val="20"/>
        </w:numPr>
        <w:tabs>
          <w:tab w:val="left" w:pos="754"/>
        </w:tabs>
        <w:spacing w:line="226" w:lineRule="auto"/>
        <w:ind w:left="720" w:hanging="340"/>
        <w:jc w:val="both"/>
      </w:pPr>
      <w:r w:rsidRPr="00167EE8">
        <w:rPr>
          <w:rStyle w:val="BodyTextChar"/>
        </w:rPr>
        <w:t>organismos públicos (entidades estabelecidas como organismos de direito público ao abrigo da legislação nacional, incluindo autoridades locais, regionais ou nacionais) ou organizações internacionais,</w:t>
      </w:r>
    </w:p>
    <w:p w14:paraId="61FDEF24" w14:textId="77777777" w:rsidR="000435C2" w:rsidRPr="00167EE8" w:rsidRDefault="008B332B" w:rsidP="006008C4">
      <w:pPr>
        <w:pStyle w:val="BodyText"/>
        <w:numPr>
          <w:ilvl w:val="0"/>
          <w:numId w:val="20"/>
        </w:numPr>
        <w:tabs>
          <w:tab w:val="left" w:pos="741"/>
        </w:tabs>
        <w:spacing w:line="218" w:lineRule="auto"/>
        <w:ind w:firstLine="360"/>
        <w:jc w:val="both"/>
      </w:pPr>
      <w:r w:rsidRPr="00167EE8">
        <w:rPr>
          <w:rStyle w:val="BodyTextChar"/>
        </w:rPr>
        <w:t>se o montante da subvenção individual solicitada não for superior a 60 000 EUR.</w:t>
      </w:r>
    </w:p>
    <w:p w14:paraId="65CC100B" w14:textId="77777777" w:rsidR="000435C2" w:rsidRPr="00167EE8" w:rsidRDefault="008B332B">
      <w:pPr>
        <w:pStyle w:val="BodyText"/>
        <w:jc w:val="both"/>
      </w:pPr>
      <w:r w:rsidRPr="00167EE8">
        <w:rPr>
          <w:rStyle w:val="BodyTextChar"/>
        </w:rPr>
        <w:t>Se necessário, poderá também ser efetuado para entidades afiliadas.</w:t>
      </w:r>
    </w:p>
    <w:p w14:paraId="60905946" w14:textId="77777777" w:rsidR="000435C2" w:rsidRPr="00167EE8" w:rsidRDefault="008B332B">
      <w:pPr>
        <w:pStyle w:val="BodyText"/>
        <w:spacing w:after="140"/>
        <w:jc w:val="both"/>
      </w:pPr>
      <w:r w:rsidRPr="00167EE8">
        <w:rPr>
          <w:rStyle w:val="BodyTextChar"/>
        </w:rPr>
        <w:t>Se considerarmos que a sua capacidade financeira não é satisfatória, poderemos solicitar-lhe:</w:t>
      </w:r>
    </w:p>
    <w:p w14:paraId="1CBDC61F" w14:textId="77777777" w:rsidR="000435C2" w:rsidRPr="00167EE8" w:rsidRDefault="008B332B" w:rsidP="006008C4">
      <w:pPr>
        <w:pStyle w:val="BodyText"/>
        <w:numPr>
          <w:ilvl w:val="0"/>
          <w:numId w:val="20"/>
        </w:numPr>
        <w:tabs>
          <w:tab w:val="left" w:pos="743"/>
        </w:tabs>
        <w:spacing w:after="140" w:line="218" w:lineRule="auto"/>
        <w:ind w:firstLine="360"/>
        <w:jc w:val="both"/>
      </w:pPr>
      <w:r w:rsidRPr="00167EE8">
        <w:rPr>
          <w:rStyle w:val="BodyTextChar"/>
        </w:rPr>
        <w:t>informações adicionais;</w:t>
      </w:r>
    </w:p>
    <w:p w14:paraId="3766581F" w14:textId="77777777" w:rsidR="000435C2" w:rsidRPr="00167EE8" w:rsidRDefault="008B332B" w:rsidP="006008C4">
      <w:pPr>
        <w:pStyle w:val="BodyText"/>
        <w:numPr>
          <w:ilvl w:val="0"/>
          <w:numId w:val="20"/>
        </w:numPr>
        <w:tabs>
          <w:tab w:val="left" w:pos="749"/>
        </w:tabs>
        <w:spacing w:after="140" w:line="233" w:lineRule="auto"/>
        <w:ind w:left="720" w:hanging="340"/>
        <w:jc w:val="both"/>
      </w:pPr>
      <w:r w:rsidRPr="00167EE8">
        <w:rPr>
          <w:rStyle w:val="BodyTextChar"/>
        </w:rPr>
        <w:t xml:space="preserve">um regime de responsabilidade financeira reforçada, ou seja, a responsabilidade conjunta e solidária de todos os beneficiários ou das entidades afiliadas </w:t>
      </w:r>
      <w:r w:rsidRPr="00167EE8">
        <w:rPr>
          <w:rStyle w:val="BodyTextChar"/>
          <w:i/>
        </w:rPr>
        <w:t>(ver a secção 10 infra)</w:t>
      </w:r>
      <w:r w:rsidRPr="00167EE8">
        <w:rPr>
          <w:rStyle w:val="BodyTextChar"/>
        </w:rPr>
        <w:t>;</w:t>
      </w:r>
    </w:p>
    <w:p w14:paraId="6C4F7453" w14:textId="77777777" w:rsidR="000435C2" w:rsidRPr="00167EE8" w:rsidRDefault="008B332B" w:rsidP="006008C4">
      <w:pPr>
        <w:pStyle w:val="BodyText"/>
        <w:numPr>
          <w:ilvl w:val="0"/>
          <w:numId w:val="20"/>
        </w:numPr>
        <w:tabs>
          <w:tab w:val="left" w:pos="743"/>
        </w:tabs>
        <w:spacing w:after="140" w:line="218" w:lineRule="auto"/>
        <w:ind w:firstLine="360"/>
        <w:jc w:val="both"/>
      </w:pPr>
      <w:r w:rsidRPr="00167EE8">
        <w:rPr>
          <w:rStyle w:val="BodyTextChar"/>
        </w:rPr>
        <w:t>pré-financiamento pago em prestações;</w:t>
      </w:r>
    </w:p>
    <w:p w14:paraId="3F2E96E7" w14:textId="77777777" w:rsidR="000435C2" w:rsidRPr="00167EE8" w:rsidRDefault="008B332B" w:rsidP="006008C4">
      <w:pPr>
        <w:pStyle w:val="BodyText"/>
        <w:numPr>
          <w:ilvl w:val="0"/>
          <w:numId w:val="20"/>
        </w:numPr>
        <w:tabs>
          <w:tab w:val="left" w:pos="749"/>
        </w:tabs>
        <w:spacing w:after="40" w:line="343" w:lineRule="auto"/>
        <w:ind w:left="360" w:firstLine="20"/>
        <w:jc w:val="both"/>
      </w:pPr>
      <w:r w:rsidRPr="00167EE8">
        <w:rPr>
          <w:rStyle w:val="BodyTextChar"/>
        </w:rPr>
        <w:t xml:space="preserve">(uma ou mais) garantias de pré-financiamento </w:t>
      </w:r>
      <w:r w:rsidRPr="00167EE8">
        <w:rPr>
          <w:rStyle w:val="BodyTextChar"/>
          <w:i/>
        </w:rPr>
        <w:t xml:space="preserve">(ver secção 10 abaixo) </w:t>
      </w:r>
      <w:r w:rsidRPr="00167EE8">
        <w:rPr>
          <w:rStyle w:val="BodyTextChar"/>
        </w:rPr>
        <w:t>ou</w:t>
      </w:r>
    </w:p>
    <w:p w14:paraId="795FF468" w14:textId="77777777" w:rsidR="000435C2" w:rsidRPr="00167EE8" w:rsidRDefault="008B332B" w:rsidP="006008C4">
      <w:pPr>
        <w:pStyle w:val="BodyText"/>
        <w:numPr>
          <w:ilvl w:val="0"/>
          <w:numId w:val="20"/>
        </w:numPr>
        <w:tabs>
          <w:tab w:val="left" w:pos="723"/>
        </w:tabs>
        <w:spacing w:after="140" w:line="218" w:lineRule="auto"/>
        <w:ind w:firstLine="380"/>
        <w:jc w:val="both"/>
      </w:pPr>
      <w:r w:rsidRPr="00167EE8">
        <w:rPr>
          <w:rStyle w:val="BodyTextChar"/>
        </w:rPr>
        <w:t>não propor pré-financiamento;</w:t>
      </w:r>
    </w:p>
    <w:p w14:paraId="71302779" w14:textId="77777777" w:rsidR="000435C2" w:rsidRPr="00167EE8" w:rsidRDefault="008B332B" w:rsidP="006008C4">
      <w:pPr>
        <w:pStyle w:val="BodyText"/>
        <w:numPr>
          <w:ilvl w:val="0"/>
          <w:numId w:val="20"/>
        </w:numPr>
        <w:tabs>
          <w:tab w:val="left" w:pos="723"/>
        </w:tabs>
        <w:spacing w:after="280" w:line="218" w:lineRule="auto"/>
        <w:ind w:firstLine="380"/>
        <w:jc w:val="both"/>
      </w:pPr>
      <w:r w:rsidRPr="00167EE8">
        <w:rPr>
          <w:rStyle w:val="BodyTextChar"/>
        </w:rPr>
        <w:t>que o candidato seja substituído ou, se necessário, que seja rejeitada toda a proposta.</w:t>
      </w:r>
    </w:p>
    <w:p w14:paraId="5F674A29" w14:textId="6C804B33" w:rsidR="000435C2" w:rsidRPr="00167EE8" w:rsidRDefault="000F6913" w:rsidP="00BF0FEB">
      <w:pPr>
        <w:pStyle w:val="BodyText"/>
        <w:jc w:val="both"/>
      </w:pPr>
      <w:r>
        <w:pict w14:anchorId="368A237D">
          <v:shape id="_x0000_i1027" type="#_x0000_t75" alt="https://lh5.googleusercontent.com/-n5VVWXljoCs/T8X1egaB-BI/AAAAAAAAC1I/fLBP4VIzxQM/s16/infoIcon_blue.png" style="width:12.75pt;height:12.75pt;visibility:visible;mso-wrap-style:square">
            <v:imagedata r:id="rId27" o:title="infoIcon_blue"/>
          </v:shape>
        </w:pict>
      </w:r>
      <w:r w:rsidR="004A65E7" w:rsidRPr="00167EE8">
        <w:rPr>
          <w:rStyle w:val="BodyTextChar"/>
        </w:rPr>
        <w:t xml:space="preserve"> </w:t>
      </w:r>
      <w:r w:rsidR="004A65E7" w:rsidRPr="00167EE8">
        <w:t>Para mais informações, consultar asRegras relativas à validação da entidade jurídica, à designação do LEAR e à avaliação da capacidade financeira</w:t>
      </w:r>
    </w:p>
    <w:p w14:paraId="1894F4D1" w14:textId="77777777" w:rsidR="000435C2" w:rsidRPr="00167EE8" w:rsidRDefault="008B332B" w:rsidP="00BF0FEB">
      <w:pPr>
        <w:pStyle w:val="Heading2"/>
        <w:keepNext/>
        <w:keepLines/>
        <w:rPr>
          <w:b w:val="0"/>
          <w:bCs w:val="0"/>
        </w:rPr>
      </w:pPr>
      <w:bookmarkStart w:id="47" w:name="bookmark50"/>
      <w:bookmarkStart w:id="48" w:name="_Toc185511149"/>
      <w:r w:rsidRPr="00167EE8">
        <w:rPr>
          <w:rStyle w:val="BodyTextChar"/>
          <w:b w:val="0"/>
          <w:i/>
          <w:u w:val="single"/>
        </w:rPr>
        <w:t>Capacidade operacional</w:t>
      </w:r>
      <w:bookmarkEnd w:id="47"/>
      <w:bookmarkEnd w:id="48"/>
    </w:p>
    <w:p w14:paraId="2580BB50" w14:textId="77777777" w:rsidR="000435C2" w:rsidRPr="00167EE8" w:rsidRDefault="008B332B">
      <w:pPr>
        <w:pStyle w:val="BodyText"/>
        <w:jc w:val="both"/>
      </w:pPr>
      <w:r w:rsidRPr="00167EE8">
        <w:rPr>
          <w:rStyle w:val="BodyTextChar"/>
        </w:rPr>
        <w:t xml:space="preserve">Os candidatos devem possuir </w:t>
      </w:r>
      <w:r w:rsidRPr="00167EE8">
        <w:rPr>
          <w:rStyle w:val="BodyTextChar"/>
          <w:b/>
        </w:rPr>
        <w:t>o saber-fazer, as qualificações</w:t>
      </w:r>
      <w:r w:rsidRPr="00167EE8">
        <w:rPr>
          <w:rStyle w:val="BodyTextChar"/>
        </w:rPr>
        <w:t xml:space="preserve"> e </w:t>
      </w:r>
      <w:r w:rsidRPr="00167EE8">
        <w:rPr>
          <w:rStyle w:val="BodyTextChar"/>
          <w:b/>
        </w:rPr>
        <w:t>os recursos</w:t>
      </w:r>
      <w:r w:rsidRPr="00167EE8">
        <w:rPr>
          <w:rStyle w:val="BodyTextChar"/>
        </w:rPr>
        <w:t xml:space="preserve"> necessários para executar com êxito os projetos e contribuir com a sua quota-parte (incluindo experiência suficiente em projetos de dimensão e natureza comparáveis).</w:t>
      </w:r>
    </w:p>
    <w:p w14:paraId="569EA72E" w14:textId="77777777" w:rsidR="000435C2" w:rsidRPr="00167EE8" w:rsidRDefault="008B332B">
      <w:pPr>
        <w:pStyle w:val="BodyText"/>
        <w:jc w:val="both"/>
      </w:pPr>
      <w:r w:rsidRPr="00167EE8">
        <w:rPr>
          <w:rStyle w:val="BodyTextChar"/>
        </w:rPr>
        <w:t xml:space="preserve">Tal capacidade será avaliada juntamente com o critério de atribuição «Execução», tendo por base a competência e a experiência dos candidatos e das suas equipas de </w:t>
      </w:r>
      <w:r w:rsidRPr="00167EE8">
        <w:rPr>
          <w:rStyle w:val="BodyTextChar"/>
        </w:rPr>
        <w:lastRenderedPageBreak/>
        <w:t>projeto, incluindo os recursos operacionais (humanos, técnicos e outros), ou, excecionalmente, as medidas propostas para a sua obtenção até ao início da execução das tarefas.</w:t>
      </w:r>
    </w:p>
    <w:p w14:paraId="1F80759E" w14:textId="77777777" w:rsidR="000435C2" w:rsidRPr="00167EE8" w:rsidRDefault="008B332B">
      <w:pPr>
        <w:pStyle w:val="BodyText"/>
        <w:jc w:val="both"/>
      </w:pPr>
      <w:r w:rsidRPr="00167EE8">
        <w:rPr>
          <w:rStyle w:val="BodyTextChar"/>
        </w:rPr>
        <w:t>Se a avaliação do critério de atribuição for positiva, considera-se que os candidatos têm capacidade operacional suficiente.</w:t>
      </w:r>
    </w:p>
    <w:p w14:paraId="1E2CE313" w14:textId="77777777" w:rsidR="000435C2" w:rsidRPr="00167EE8" w:rsidRDefault="008B332B">
      <w:pPr>
        <w:pStyle w:val="BodyText"/>
        <w:spacing w:after="140"/>
        <w:jc w:val="both"/>
      </w:pPr>
      <w:r w:rsidRPr="00167EE8">
        <w:rPr>
          <w:rStyle w:val="BodyTextChar"/>
        </w:rPr>
        <w:t>Os candidatos terão de demonstrar a sua capacidade através das seguintes informações:</w:t>
      </w:r>
    </w:p>
    <w:p w14:paraId="3B101DFA" w14:textId="77777777" w:rsidR="000435C2" w:rsidRPr="00167EE8" w:rsidRDefault="008B332B" w:rsidP="006008C4">
      <w:pPr>
        <w:pStyle w:val="BodyText"/>
        <w:numPr>
          <w:ilvl w:val="0"/>
          <w:numId w:val="20"/>
        </w:numPr>
        <w:tabs>
          <w:tab w:val="left" w:pos="749"/>
        </w:tabs>
        <w:spacing w:after="140" w:line="226" w:lineRule="auto"/>
        <w:ind w:left="720" w:hanging="340"/>
        <w:jc w:val="both"/>
      </w:pPr>
      <w:r w:rsidRPr="00167EE8">
        <w:rPr>
          <w:rStyle w:val="BodyTextChar"/>
        </w:rPr>
        <w:t>Perfis gerais (qualificações e experiência) do pessoal responsável pela gestão e execução do projeto</w:t>
      </w:r>
    </w:p>
    <w:p w14:paraId="745AE3FF" w14:textId="77777777" w:rsidR="000435C2" w:rsidRPr="00167EE8" w:rsidRDefault="008B332B" w:rsidP="006008C4">
      <w:pPr>
        <w:pStyle w:val="BodyText"/>
        <w:numPr>
          <w:ilvl w:val="0"/>
          <w:numId w:val="20"/>
        </w:numPr>
        <w:tabs>
          <w:tab w:val="left" w:pos="743"/>
        </w:tabs>
        <w:spacing w:after="140" w:line="218" w:lineRule="auto"/>
        <w:ind w:firstLine="360"/>
        <w:jc w:val="both"/>
      </w:pPr>
      <w:r w:rsidRPr="00167EE8">
        <w:rPr>
          <w:rStyle w:val="BodyTextChar"/>
        </w:rPr>
        <w:t>descrição dos participantes no consórcio</w:t>
      </w:r>
    </w:p>
    <w:p w14:paraId="5DE9A838" w14:textId="77777777" w:rsidR="000435C2" w:rsidRPr="00167EE8" w:rsidRDefault="008B332B" w:rsidP="006008C4">
      <w:pPr>
        <w:pStyle w:val="BodyText"/>
        <w:numPr>
          <w:ilvl w:val="0"/>
          <w:numId w:val="20"/>
        </w:numPr>
        <w:tabs>
          <w:tab w:val="left" w:pos="749"/>
        </w:tabs>
        <w:spacing w:line="230" w:lineRule="auto"/>
        <w:ind w:left="720" w:hanging="340"/>
        <w:jc w:val="both"/>
      </w:pPr>
      <w:r w:rsidRPr="00167EE8">
        <w:rPr>
          <w:rStyle w:val="BodyTextChar"/>
        </w:rPr>
        <w:t xml:space="preserve">lista de projetos anteriores (projetos-chave dos últimos quatro anos; </w:t>
      </w:r>
      <w:r w:rsidRPr="00167EE8">
        <w:rPr>
          <w:rStyle w:val="BodyTextChar"/>
          <w:i/>
          <w:color w:val="808080"/>
        </w:rPr>
        <w:t>modelo disponível na Parte B</w:t>
      </w:r>
      <w:r w:rsidRPr="00167EE8">
        <w:rPr>
          <w:rStyle w:val="BodyTextChar"/>
        </w:rPr>
        <w:t>).</w:t>
      </w:r>
    </w:p>
    <w:p w14:paraId="67E74C7A" w14:textId="77777777" w:rsidR="000435C2" w:rsidRPr="00167EE8" w:rsidRDefault="008B332B">
      <w:pPr>
        <w:pStyle w:val="BodyText"/>
        <w:jc w:val="both"/>
      </w:pPr>
      <w:r w:rsidRPr="00167EE8">
        <w:rPr>
          <w:rStyle w:val="BodyTextChar"/>
        </w:rPr>
        <w:t>Se necessário para confirmar a capacidade operacional do candidato, podem ser solicitados documentos comprovativos adicionais.</w:t>
      </w:r>
    </w:p>
    <w:p w14:paraId="2F6DBFE2" w14:textId="77777777" w:rsidR="000435C2" w:rsidRPr="00167EE8" w:rsidRDefault="008B332B" w:rsidP="00BF0FEB">
      <w:pPr>
        <w:pStyle w:val="Heading2"/>
        <w:keepNext/>
        <w:keepLines/>
        <w:rPr>
          <w:rStyle w:val="BodyTextChar"/>
          <w:b w:val="0"/>
          <w:bCs w:val="0"/>
          <w:i/>
          <w:iCs/>
          <w:u w:val="single"/>
        </w:rPr>
      </w:pPr>
      <w:bookmarkStart w:id="49" w:name="bookmark51"/>
      <w:bookmarkStart w:id="50" w:name="_Toc185511150"/>
      <w:r w:rsidRPr="00167EE8">
        <w:rPr>
          <w:rStyle w:val="BodyTextChar"/>
          <w:b w:val="0"/>
          <w:i/>
          <w:u w:val="single"/>
        </w:rPr>
        <w:t>Exclusão</w:t>
      </w:r>
      <w:bookmarkEnd w:id="49"/>
      <w:bookmarkEnd w:id="50"/>
    </w:p>
    <w:p w14:paraId="20671998" w14:textId="77777777" w:rsidR="000435C2" w:rsidRPr="00167EE8" w:rsidRDefault="008B332B">
      <w:pPr>
        <w:pStyle w:val="BodyText"/>
        <w:spacing w:after="140"/>
        <w:jc w:val="both"/>
      </w:pPr>
      <w:r w:rsidRPr="00167EE8">
        <w:rPr>
          <w:rStyle w:val="BodyTextChar"/>
        </w:rPr>
        <w:t xml:space="preserve">NÃO podem participar os candidatos objeto de </w:t>
      </w:r>
      <w:r w:rsidRPr="00167EE8">
        <w:rPr>
          <w:rStyle w:val="BodyTextChar"/>
          <w:b/>
        </w:rPr>
        <w:t>sanções administrativas da UE</w:t>
      </w:r>
      <w:r w:rsidRPr="00167EE8">
        <w:rPr>
          <w:rStyle w:val="BodyTextChar"/>
        </w:rPr>
        <w:t xml:space="preserve"> ou que se encontrem numa das seguintes </w:t>
      </w:r>
      <w:r w:rsidRPr="00167EE8">
        <w:rPr>
          <w:rStyle w:val="BodyTextChar"/>
          <w:b/>
        </w:rPr>
        <w:t>situações de exclusão</w:t>
      </w:r>
      <w:r w:rsidRPr="00167EE8">
        <w:rPr>
          <w:rStyle w:val="BodyTextChar"/>
        </w:rPr>
        <w:t xml:space="preserve"> que os impeça de receber financiamento da UE</w:t>
      </w:r>
      <w:r w:rsidRPr="00167EE8">
        <w:rPr>
          <w:rStyle w:val="BodyTextChar"/>
          <w:vertAlign w:val="superscript"/>
        </w:rPr>
        <w:footnoteReference w:id="14"/>
      </w:r>
      <w:r w:rsidRPr="00167EE8">
        <w:rPr>
          <w:rStyle w:val="BodyTextChar"/>
        </w:rPr>
        <w:t>:</w:t>
      </w:r>
    </w:p>
    <w:p w14:paraId="2E4DA38D" w14:textId="77777777" w:rsidR="000435C2" w:rsidRPr="00167EE8" w:rsidRDefault="008B332B" w:rsidP="006008C4">
      <w:pPr>
        <w:pStyle w:val="BodyText"/>
        <w:numPr>
          <w:ilvl w:val="0"/>
          <w:numId w:val="20"/>
        </w:numPr>
        <w:tabs>
          <w:tab w:val="left" w:pos="743"/>
        </w:tabs>
        <w:spacing w:after="0" w:line="264" w:lineRule="auto"/>
        <w:ind w:firstLine="360"/>
        <w:jc w:val="both"/>
      </w:pPr>
      <w:r w:rsidRPr="00167EE8">
        <w:rPr>
          <w:rStyle w:val="BodyTextChar"/>
        </w:rPr>
        <w:t>falência, liquidação, bens sob administração judicial, acordo com</w:t>
      </w:r>
    </w:p>
    <w:p w14:paraId="73882F10" w14:textId="77777777" w:rsidR="000435C2" w:rsidRPr="00167EE8" w:rsidRDefault="008B332B">
      <w:pPr>
        <w:pStyle w:val="BodyText"/>
        <w:spacing w:after="160"/>
        <w:ind w:left="720" w:firstLine="20"/>
        <w:jc w:val="both"/>
      </w:pPr>
      <w:r w:rsidRPr="00167EE8">
        <w:rPr>
          <w:rStyle w:val="BodyTextChar"/>
        </w:rPr>
        <w:t>credores, atividades comerciais suspensas ou outros procedimentos análogos (incluindo procedimentos relativos a pessoas com responsabilidade ilimitada pelas dívidas do candidato)</w:t>
      </w:r>
    </w:p>
    <w:p w14:paraId="4A8266A8" w14:textId="77777777" w:rsidR="000435C2" w:rsidRPr="00167EE8" w:rsidRDefault="008B332B" w:rsidP="006008C4">
      <w:pPr>
        <w:pStyle w:val="BodyText"/>
        <w:numPr>
          <w:ilvl w:val="0"/>
          <w:numId w:val="20"/>
        </w:numPr>
        <w:tabs>
          <w:tab w:val="left" w:pos="754"/>
        </w:tabs>
        <w:spacing w:after="100"/>
        <w:ind w:left="720" w:hanging="340"/>
        <w:jc w:val="both"/>
      </w:pPr>
      <w:r w:rsidRPr="00167EE8">
        <w:rPr>
          <w:rStyle w:val="BodyTextChar"/>
        </w:rPr>
        <w:t>violação de obrigações fiscais ou da segurança social (incluindo incorrida por pessoas com responsabilidade ilimitada pelas dívidas do candidato)</w:t>
      </w:r>
    </w:p>
    <w:p w14:paraId="07A91FF7" w14:textId="77777777" w:rsidR="000435C2" w:rsidRPr="00167EE8" w:rsidRDefault="008B332B" w:rsidP="006008C4">
      <w:pPr>
        <w:pStyle w:val="BodyText"/>
        <w:numPr>
          <w:ilvl w:val="0"/>
          <w:numId w:val="20"/>
        </w:numPr>
        <w:tabs>
          <w:tab w:val="left" w:pos="754"/>
        </w:tabs>
        <w:spacing w:after="100"/>
        <w:ind w:left="720" w:hanging="340"/>
        <w:jc w:val="both"/>
      </w:pPr>
      <w:r w:rsidRPr="00167EE8">
        <w:rPr>
          <w:rStyle w:val="BodyTextChar"/>
        </w:rPr>
        <w:t xml:space="preserve">Confirmação de falta grave em matéria profissional </w:t>
      </w:r>
      <w:r w:rsidRPr="00167EE8">
        <w:rPr>
          <w:rStyle w:val="BodyTextChar"/>
          <w:vertAlign w:val="superscript"/>
        </w:rPr>
        <w:footnoteReference w:id="15"/>
      </w:r>
      <w:r w:rsidRPr="00167EE8">
        <w:rPr>
          <w:rStyle w:val="BodyTextChar"/>
        </w:rPr>
        <w:t xml:space="preserve"> (incluindo cometida por pessoas com poderes de representação, de decisão ou de controlo, beneficiários efetivos ou pessoas essenciais para a concessão/execução da subvenção)</w:t>
      </w:r>
    </w:p>
    <w:p w14:paraId="7E3BED8A" w14:textId="77777777" w:rsidR="000435C2" w:rsidRPr="00167EE8" w:rsidRDefault="008B332B" w:rsidP="006008C4">
      <w:pPr>
        <w:pStyle w:val="BodyText"/>
        <w:numPr>
          <w:ilvl w:val="0"/>
          <w:numId w:val="20"/>
        </w:numPr>
        <w:tabs>
          <w:tab w:val="left" w:pos="754"/>
        </w:tabs>
        <w:spacing w:after="100"/>
        <w:ind w:left="720" w:hanging="340"/>
        <w:jc w:val="both"/>
      </w:pPr>
      <w:r w:rsidRPr="00167EE8">
        <w:rPr>
          <w:rStyle w:val="BodyTextChar"/>
        </w:rPr>
        <w:t>fraude, corrupção, ligações a organização criminosa, branqueamento de capitais, crimes relacionados com o terrorismo (incluindo o financiamento do terrorismo), trabalho infantil ou tráfico de seres humanos (incluindo se cometidos por pessoas com poderes de representação, de decisão ou de controlo, beneficiários efetivos ou pessoas essenciais para a concessão/execução da subvenção),</w:t>
      </w:r>
    </w:p>
    <w:p w14:paraId="5C14CAC8" w14:textId="77777777" w:rsidR="000435C2" w:rsidRPr="00167EE8" w:rsidRDefault="008B332B" w:rsidP="006008C4">
      <w:pPr>
        <w:pStyle w:val="BodyText"/>
        <w:numPr>
          <w:ilvl w:val="0"/>
          <w:numId w:val="20"/>
        </w:numPr>
        <w:tabs>
          <w:tab w:val="left" w:pos="754"/>
        </w:tabs>
        <w:spacing w:after="100"/>
        <w:ind w:left="720" w:hanging="340"/>
        <w:jc w:val="both"/>
      </w:pPr>
      <w:r w:rsidRPr="00167EE8">
        <w:rPr>
          <w:rStyle w:val="BodyTextChar"/>
        </w:rPr>
        <w:t>revelação de deficiências significativas no cumprimento das principais obrigações decorrentes de um contrato público, convenção de subvenção, prémio, contrato de perito ou similares da UE (incluindo por pessoas com poderes de representação, de decisão ou de controlo, beneficiários efetivos ou pessoas que sejam essenciais para a concessão/execução da subvenção),</w:t>
      </w:r>
    </w:p>
    <w:p w14:paraId="24B43A0B" w14:textId="77777777" w:rsidR="000435C2" w:rsidRPr="00167EE8" w:rsidRDefault="008B332B" w:rsidP="006008C4">
      <w:pPr>
        <w:pStyle w:val="BodyText"/>
        <w:numPr>
          <w:ilvl w:val="0"/>
          <w:numId w:val="20"/>
        </w:numPr>
        <w:tabs>
          <w:tab w:val="left" w:pos="754"/>
        </w:tabs>
        <w:spacing w:after="100"/>
        <w:ind w:left="720" w:hanging="340"/>
        <w:jc w:val="both"/>
      </w:pPr>
      <w:r w:rsidRPr="00167EE8">
        <w:rPr>
          <w:rStyle w:val="BodyTextChar"/>
        </w:rPr>
        <w:t>culpado de irregularidades, na aceção do artigo 1.º, n.º 2, do Regulamento n.º </w:t>
      </w:r>
      <w:hyperlink r:id="rId31" w:history="1">
        <w:r w:rsidRPr="00167EE8">
          <w:rPr>
            <w:rStyle w:val="BodyTextChar"/>
            <w:color w:val="0088CC"/>
          </w:rPr>
          <w:t>2988/95</w:t>
        </w:r>
      </w:hyperlink>
      <w:r w:rsidRPr="00167EE8">
        <w:rPr>
          <w:rStyle w:val="BodyTextChar"/>
        </w:rPr>
        <w:t xml:space="preserve"> (incluindo cometidas por pessoas com poderes de representação, </w:t>
      </w:r>
      <w:r w:rsidRPr="00167EE8">
        <w:rPr>
          <w:rStyle w:val="BodyTextChar"/>
        </w:rPr>
        <w:lastRenderedPageBreak/>
        <w:t>de decisão ou de controlo, beneficiários efetivos ou pessoas essenciais para a concessão/execução da convenção),</w:t>
      </w:r>
    </w:p>
    <w:p w14:paraId="3123743D" w14:textId="77777777" w:rsidR="000435C2" w:rsidRPr="00167EE8" w:rsidRDefault="008B332B" w:rsidP="006008C4">
      <w:pPr>
        <w:pStyle w:val="BodyText"/>
        <w:numPr>
          <w:ilvl w:val="0"/>
          <w:numId w:val="20"/>
        </w:numPr>
        <w:tabs>
          <w:tab w:val="left" w:pos="754"/>
        </w:tabs>
        <w:spacing w:after="200"/>
        <w:ind w:left="720" w:hanging="340"/>
        <w:jc w:val="both"/>
      </w:pPr>
      <w:r w:rsidRPr="00167EE8">
        <w:rPr>
          <w:rStyle w:val="BodyTextChar"/>
        </w:rPr>
        <w:t>criado sob uma jurisdição diferente com a intenção de contornar obrigações fiscais, sociais ou outras obrigações legais no país de origem ou criado outra entidade para esse efeito (incluindo por pessoas com poderes de representação, de decisão ou de controlo, beneficiários efetivos ou pessoas que sejam essenciais para a concessão/execução da subvenção).</w:t>
      </w:r>
    </w:p>
    <w:p w14:paraId="382F2380" w14:textId="77777777" w:rsidR="000435C2" w:rsidRPr="00167EE8" w:rsidRDefault="008B332B">
      <w:pPr>
        <w:pStyle w:val="BodyText"/>
        <w:spacing w:after="200"/>
        <w:jc w:val="both"/>
      </w:pPr>
      <w:r w:rsidRPr="00167EE8">
        <w:rPr>
          <w:rStyle w:val="BodyTextChar"/>
        </w:rPr>
        <w:t>Os candidatos serão igualmente rejeitados se se verificar que</w:t>
      </w:r>
      <w:r w:rsidRPr="00167EE8">
        <w:rPr>
          <w:rStyle w:val="BodyTextChar"/>
          <w:vertAlign w:val="superscript"/>
        </w:rPr>
        <w:footnoteReference w:id="16"/>
      </w:r>
      <w:r w:rsidRPr="00167EE8">
        <w:rPr>
          <w:rStyle w:val="BodyTextChar"/>
        </w:rPr>
        <w:t>:</w:t>
      </w:r>
    </w:p>
    <w:p w14:paraId="0371A917" w14:textId="77777777" w:rsidR="000435C2" w:rsidRPr="00167EE8" w:rsidRDefault="008B332B" w:rsidP="006008C4">
      <w:pPr>
        <w:pStyle w:val="BodyText"/>
        <w:numPr>
          <w:ilvl w:val="0"/>
          <w:numId w:val="20"/>
        </w:numPr>
        <w:tabs>
          <w:tab w:val="left" w:pos="754"/>
        </w:tabs>
        <w:spacing w:after="200"/>
        <w:ind w:left="720" w:hanging="340"/>
        <w:jc w:val="both"/>
      </w:pPr>
      <w:r w:rsidRPr="00167EE8">
        <w:rPr>
          <w:rStyle w:val="BodyTextChar"/>
        </w:rPr>
        <w:t>durante o processo de atribuição, tenham deturpado as informações exigidas como condição de participação ou não tenham fornecido essas informações,</w:t>
      </w:r>
    </w:p>
    <w:p w14:paraId="3A7084B0" w14:textId="77777777" w:rsidR="000435C2" w:rsidRPr="00167EE8" w:rsidRDefault="008B332B" w:rsidP="006008C4">
      <w:pPr>
        <w:pStyle w:val="BodyText"/>
        <w:numPr>
          <w:ilvl w:val="0"/>
          <w:numId w:val="20"/>
        </w:numPr>
        <w:tabs>
          <w:tab w:val="left" w:pos="754"/>
        </w:tabs>
        <w:spacing w:after="200"/>
        <w:ind w:left="720" w:hanging="340"/>
        <w:jc w:val="both"/>
      </w:pPr>
      <w:r w:rsidRPr="00167EE8">
        <w:rPr>
          <w:rStyle w:val="BodyTextChar"/>
        </w:rPr>
        <w:t>tenham anteriormente estado envolvidos na preparação do convite à apresentação de propostas, sempre que tal implique a distorção da concorrência que não possa ser sanada de outro modo (conflito de interesses).</w:t>
      </w:r>
    </w:p>
    <w:p w14:paraId="099F29A9" w14:textId="6F72DE28" w:rsidR="000435C2" w:rsidRPr="00167EE8" w:rsidRDefault="008B332B" w:rsidP="00BF35B3">
      <w:pPr>
        <w:pStyle w:val="Heading1"/>
      </w:pPr>
      <w:bookmarkStart w:id="51" w:name="bookmark52"/>
      <w:bookmarkStart w:id="52" w:name="_Toc185511151"/>
      <w:r w:rsidRPr="00167EE8">
        <w:rPr>
          <w:rStyle w:val="Heading3"/>
          <w:b/>
        </w:rPr>
        <w:t>Procedimento de avaliação e atribuição</w:t>
      </w:r>
      <w:bookmarkEnd w:id="51"/>
      <w:bookmarkEnd w:id="52"/>
    </w:p>
    <w:p w14:paraId="3A0DE414" w14:textId="77777777" w:rsidR="000435C2" w:rsidRPr="00167EE8" w:rsidRDefault="008B332B">
      <w:pPr>
        <w:pStyle w:val="BodyText"/>
        <w:spacing w:after="200"/>
        <w:jc w:val="both"/>
      </w:pPr>
      <w:r w:rsidRPr="00167EE8">
        <w:rPr>
          <w:rStyle w:val="BodyTextChar"/>
        </w:rPr>
        <w:t xml:space="preserve">As propostas têm de seguir o </w:t>
      </w:r>
      <w:r w:rsidRPr="00167EE8">
        <w:rPr>
          <w:rStyle w:val="BodyTextChar"/>
          <w:b/>
        </w:rPr>
        <w:t>procedimento normal de apresentação e avaliação</w:t>
      </w:r>
      <w:r w:rsidRPr="00167EE8">
        <w:rPr>
          <w:rStyle w:val="BodyTextChar"/>
        </w:rPr>
        <w:t xml:space="preserve"> (uma fase de apresentação + uma fase de avaliação).</w:t>
      </w:r>
    </w:p>
    <w:p w14:paraId="41F3A922" w14:textId="77777777" w:rsidR="000435C2" w:rsidRPr="00167EE8" w:rsidRDefault="008B332B">
      <w:pPr>
        <w:pStyle w:val="BodyText"/>
        <w:spacing w:after="200"/>
        <w:jc w:val="both"/>
      </w:pPr>
      <w:r w:rsidRPr="00167EE8">
        <w:rPr>
          <w:rStyle w:val="BodyTextChar"/>
        </w:rPr>
        <w:t xml:space="preserve">Um </w:t>
      </w:r>
      <w:r w:rsidRPr="00167EE8">
        <w:rPr>
          <w:rStyle w:val="BodyTextChar"/>
          <w:b/>
        </w:rPr>
        <w:t>comité de avaliação</w:t>
      </w:r>
      <w:r w:rsidRPr="00167EE8">
        <w:rPr>
          <w:rStyle w:val="BodyTextChar"/>
        </w:rPr>
        <w:t xml:space="preserve"> (assistido por peritos externos independentes) avaliará todas as candidaturas. As propostas serão primeiramente verificadas quanto aos requisitos formais (admissibilidade e elegibilidade, </w:t>
      </w:r>
      <w:r w:rsidRPr="00167EE8">
        <w:rPr>
          <w:rStyle w:val="BodyTextChar"/>
          <w:i/>
        </w:rPr>
        <w:t>ver secções 5 e 6</w:t>
      </w:r>
      <w:r w:rsidRPr="00167EE8">
        <w:rPr>
          <w:rStyle w:val="BodyTextChar"/>
        </w:rPr>
        <w:t xml:space="preserve">). As propostas consideradas admissíveis e elegíveis serão avaliadas em função da capacidade operacional e dos critérios de atribuição </w:t>
      </w:r>
      <w:r w:rsidRPr="00167EE8">
        <w:rPr>
          <w:rStyle w:val="BodyTextChar"/>
          <w:i/>
        </w:rPr>
        <w:t>(ver secções 7 e 9)</w:t>
      </w:r>
      <w:r w:rsidRPr="00167EE8">
        <w:rPr>
          <w:rStyle w:val="BodyTextChar"/>
        </w:rPr>
        <w:t xml:space="preserve"> e seguidamente classificadas em função das suas pontuações.</w:t>
      </w:r>
    </w:p>
    <w:p w14:paraId="3BAC5D56" w14:textId="77777777" w:rsidR="000435C2" w:rsidRPr="00167EE8" w:rsidRDefault="008B332B">
      <w:pPr>
        <w:pStyle w:val="BodyText"/>
        <w:jc w:val="both"/>
      </w:pPr>
      <w:r w:rsidRPr="00167EE8">
        <w:rPr>
          <w:rStyle w:val="BodyTextChar"/>
        </w:rPr>
        <w:t xml:space="preserve">Para as propostas com a mesma pontuação, será determinada uma </w:t>
      </w:r>
      <w:r w:rsidRPr="00167EE8">
        <w:rPr>
          <w:rStyle w:val="BodyTextChar"/>
          <w:b/>
        </w:rPr>
        <w:t>ordem de prioridade</w:t>
      </w:r>
      <w:r w:rsidRPr="00167EE8">
        <w:rPr>
          <w:rStyle w:val="BodyTextChar"/>
        </w:rPr>
        <w:t xml:space="preserve"> de acordo com a seguinte abordagem:</w:t>
      </w:r>
    </w:p>
    <w:p w14:paraId="5E8579DE" w14:textId="77777777" w:rsidR="000435C2" w:rsidRPr="00167EE8" w:rsidRDefault="008B332B">
      <w:pPr>
        <w:pStyle w:val="BodyText"/>
        <w:ind w:left="300"/>
        <w:jc w:val="both"/>
      </w:pPr>
      <w:r w:rsidRPr="00167EE8">
        <w:rPr>
          <w:rStyle w:val="BodyTextChar"/>
        </w:rPr>
        <w:t xml:space="preserve">Sucessivamente para cada grupo de propostas </w:t>
      </w:r>
      <w:r w:rsidRPr="00167EE8">
        <w:rPr>
          <w:rStyle w:val="BodyTextChar"/>
          <w:i/>
        </w:rPr>
        <w:t>ex aequo</w:t>
      </w:r>
      <w:r w:rsidRPr="00167EE8">
        <w:rPr>
          <w:rStyle w:val="BodyTextChar"/>
        </w:rPr>
        <w:t>, começando pelo grupo com a classificação mais elevada e prosseguindo por ordem decrescente:</w:t>
      </w:r>
    </w:p>
    <w:p w14:paraId="41A11A62" w14:textId="77777777" w:rsidR="000435C2" w:rsidRPr="00167EE8" w:rsidRDefault="008B332B" w:rsidP="006008C4">
      <w:pPr>
        <w:pStyle w:val="BodyText"/>
        <w:numPr>
          <w:ilvl w:val="0"/>
          <w:numId w:val="21"/>
        </w:numPr>
        <w:tabs>
          <w:tab w:val="left" w:pos="730"/>
        </w:tabs>
        <w:ind w:left="740" w:hanging="360"/>
        <w:jc w:val="both"/>
      </w:pPr>
      <w:r w:rsidRPr="00167EE8">
        <w:rPr>
          <w:rStyle w:val="BodyTextChar"/>
        </w:rPr>
        <w:t>Os projetos centrados num tema que, de outro modo, não é abrangido por projetos com classificação mais elevada serão considerados como tendo a máxima prioridade.</w:t>
      </w:r>
    </w:p>
    <w:p w14:paraId="5C7DE82F" w14:textId="77777777" w:rsidR="000435C2" w:rsidRPr="00167EE8" w:rsidRDefault="008B332B" w:rsidP="006008C4">
      <w:pPr>
        <w:pStyle w:val="BodyText"/>
        <w:numPr>
          <w:ilvl w:val="0"/>
          <w:numId w:val="21"/>
        </w:numPr>
        <w:tabs>
          <w:tab w:val="left" w:pos="730"/>
        </w:tabs>
        <w:ind w:left="740" w:hanging="360"/>
        <w:jc w:val="both"/>
      </w:pPr>
      <w:r w:rsidRPr="00167EE8">
        <w:rPr>
          <w:rStyle w:val="BodyTextChar"/>
        </w:rPr>
        <w:t xml:space="preserve">As propostas </w:t>
      </w:r>
      <w:r w:rsidRPr="00167EE8">
        <w:rPr>
          <w:rStyle w:val="BodyTextChar"/>
          <w:i/>
          <w:iCs/>
        </w:rPr>
        <w:t>ex aequo</w:t>
      </w:r>
      <w:r w:rsidRPr="00167EE8">
        <w:rPr>
          <w:rStyle w:val="BodyTextChar"/>
        </w:rPr>
        <w:t xml:space="preserve"> dentro do mesmo tema serão priorizadas de acordo com as pontuações que lhes forem atribuídas no critério de atribuição «Execução». Quando estas pontuações forem iguais, a prioridade basear-se-á nas pontuações no critério «Relevância». Quando estas pontuações forem iguais, a prioridade basear-se-á nas pontuações no critério «Sustentabilidade».</w:t>
      </w:r>
    </w:p>
    <w:p w14:paraId="654130F5" w14:textId="77777777" w:rsidR="000435C2" w:rsidRPr="00167EE8" w:rsidRDefault="008B332B" w:rsidP="006008C4">
      <w:pPr>
        <w:pStyle w:val="BodyText"/>
        <w:numPr>
          <w:ilvl w:val="0"/>
          <w:numId w:val="21"/>
        </w:numPr>
        <w:tabs>
          <w:tab w:val="left" w:pos="730"/>
        </w:tabs>
        <w:ind w:left="740" w:hanging="360"/>
        <w:jc w:val="both"/>
      </w:pPr>
      <w:r w:rsidRPr="00167EE8">
        <w:rPr>
          <w:rStyle w:val="BodyTextChar"/>
        </w:rPr>
        <w:t>Se tal não permitir determinar a prioridade, poderá ser efetuada uma nova priorização, considerando a carteira global de projetos e a criação de sinergias positivas entre os projetos, ou outros fatores relacionados com os objetivos do convite. Estes fatores serão documentados no relatório do painel.</w:t>
      </w:r>
    </w:p>
    <w:p w14:paraId="110017B3" w14:textId="77777777" w:rsidR="000435C2" w:rsidRPr="00167EE8" w:rsidRDefault="008B332B" w:rsidP="006008C4">
      <w:pPr>
        <w:pStyle w:val="BodyText"/>
        <w:numPr>
          <w:ilvl w:val="0"/>
          <w:numId w:val="21"/>
        </w:numPr>
        <w:tabs>
          <w:tab w:val="left" w:pos="730"/>
        </w:tabs>
        <w:ind w:left="740" w:hanging="360"/>
        <w:jc w:val="both"/>
      </w:pPr>
      <w:r w:rsidRPr="00167EE8">
        <w:rPr>
          <w:rStyle w:val="BodyTextChar"/>
        </w:rPr>
        <w:t xml:space="preserve">Depois disso, o remanescente do orçamento disponível para o convite à apresentação de propostas será utilizado para financiar projetos nos diferentes temas, a fim de assegurar uma repartição equilibrada da cobertura geográfica e temática e respeitando ao máximo a ordem de mérito baseada </w:t>
      </w:r>
      <w:r w:rsidRPr="00167EE8">
        <w:rPr>
          <w:rStyle w:val="BodyTextChar"/>
        </w:rPr>
        <w:lastRenderedPageBreak/>
        <w:t>na avaliação dos critérios de atribuição.</w:t>
      </w:r>
    </w:p>
    <w:p w14:paraId="4B99E8B2" w14:textId="77777777" w:rsidR="000435C2" w:rsidRPr="00167EE8" w:rsidRDefault="008B332B">
      <w:pPr>
        <w:pStyle w:val="BodyText"/>
        <w:spacing w:after="260"/>
        <w:jc w:val="both"/>
      </w:pPr>
      <w:r w:rsidRPr="00167EE8">
        <w:rPr>
          <w:rStyle w:val="BodyTextChar"/>
        </w:rPr>
        <w:t>Todos os candidatos serão informados do resultado da avaliação (</w:t>
      </w:r>
      <w:r w:rsidRPr="00167EE8">
        <w:rPr>
          <w:rStyle w:val="BodyTextChar"/>
          <w:b/>
        </w:rPr>
        <w:t>carta de resultados da avaliação</w:t>
      </w:r>
      <w:r w:rsidRPr="00167EE8">
        <w:rPr>
          <w:rStyle w:val="BodyTextChar"/>
        </w:rPr>
        <w:t>). As propostas selecionadas serão convidadas a preparar-se para a subvenção; as demais serão inscritas na lista de reserva ou rejeitadas.</w:t>
      </w:r>
    </w:p>
    <w:p w14:paraId="6A80D71E" w14:textId="75CE117D" w:rsidR="000435C2" w:rsidRPr="00167EE8" w:rsidRDefault="00B219F9">
      <w:pPr>
        <w:pStyle w:val="BodyText"/>
        <w:jc w:val="both"/>
      </w:pPr>
      <w:r w:rsidRPr="00167EE8">
        <w:rPr>
          <w:noProof/>
        </w:rPr>
        <w:drawing>
          <wp:inline distT="0" distB="0" distL="0" distR="0" wp14:anchorId="3BD308D5" wp14:editId="2A069CE3">
            <wp:extent cx="151130" cy="151130"/>
            <wp:effectExtent l="0" t="0" r="1270" b="127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1130" cy="151130"/>
                    </a:xfrm>
                    <a:prstGeom prst="rect">
                      <a:avLst/>
                    </a:prstGeom>
                    <a:noFill/>
                    <a:ln>
                      <a:noFill/>
                    </a:ln>
                  </pic:spPr>
                </pic:pic>
              </a:graphicData>
            </a:graphic>
          </wp:inline>
        </w:drawing>
      </w:r>
      <w:r w:rsidRPr="00167EE8">
        <w:t xml:space="preserve"> </w:t>
      </w:r>
      <w:r w:rsidRPr="00167EE8">
        <w:rPr>
          <w:rStyle w:val="BodyTextChar"/>
        </w:rPr>
        <w:t xml:space="preserve">Ausência de compromisso de financiamento — o convite para a preparação para a subvenção NÃO constitui um compromisso formal de financiamento. Ainda precisaremos de efetuar várias verificações legais antes da concessão da subvenção: </w:t>
      </w:r>
      <w:r w:rsidRPr="00167EE8">
        <w:rPr>
          <w:rStyle w:val="BodyTextChar"/>
          <w:i/>
        </w:rPr>
        <w:t>validação de entidade jurídica, capacidade financeira, verificação de exclusão, etc.</w:t>
      </w:r>
    </w:p>
    <w:p w14:paraId="6BC98DA9" w14:textId="77777777" w:rsidR="000435C2" w:rsidRPr="00167EE8" w:rsidRDefault="008B332B">
      <w:pPr>
        <w:pStyle w:val="BodyText"/>
        <w:jc w:val="both"/>
      </w:pPr>
      <w:r w:rsidRPr="00167EE8">
        <w:rPr>
          <w:rStyle w:val="BodyTextChar"/>
        </w:rPr>
        <w:t xml:space="preserve">A </w:t>
      </w:r>
      <w:r w:rsidRPr="00167EE8">
        <w:rPr>
          <w:rStyle w:val="BodyTextChar"/>
          <w:b/>
        </w:rPr>
        <w:t>preparação para a subvenção</w:t>
      </w:r>
      <w:r w:rsidRPr="00167EE8">
        <w:rPr>
          <w:rStyle w:val="BodyTextChar"/>
        </w:rPr>
        <w:t xml:space="preserve"> consiste num diálogo para aperfeiçoamento de aspetos técnicos ou financeiros do projeto e pode exigir informações complementares da parte do candidato. Pode incluir igualmente ajustamentos da proposta, no seguimento de recomendações do comité de avaliação ou por outras razões. A conformidade constitui uma condição prévia para a assinatura da subvenção.</w:t>
      </w:r>
    </w:p>
    <w:p w14:paraId="2E4C7E96" w14:textId="77777777" w:rsidR="000435C2" w:rsidRPr="00167EE8" w:rsidRDefault="008B332B" w:rsidP="004A65E7">
      <w:pPr>
        <w:pStyle w:val="Style9"/>
      </w:pPr>
      <w:r w:rsidRPr="00167EE8">
        <w:rPr>
          <w:rStyle w:val="BodyTextChar"/>
        </w:rPr>
        <w:t xml:space="preserve">Os candidatos que considerarem que o procedimento de avaliação foi incorreto podem apresentar uma </w:t>
      </w:r>
      <w:r w:rsidRPr="00167EE8">
        <w:rPr>
          <w:rStyle w:val="BodyTextChar"/>
          <w:b/>
        </w:rPr>
        <w:t>reclamação</w:t>
      </w:r>
      <w:r w:rsidRPr="00167EE8">
        <w:rPr>
          <w:rStyle w:val="BodyTextChar"/>
        </w:rPr>
        <w:t xml:space="preserve"> (respeitando os prazos e os procedimentos estabelecidos na carta de resultados da avaliação). Importa notar que as notificações que não tenham sido abertas no prazo de 10 dias a contar da data de envio serão consideradas como tendo sido acedidas e que os prazos serão contados a partir da abertura/acesso </w:t>
      </w:r>
      <w:r w:rsidRPr="00167EE8">
        <w:rPr>
          <w:rStyle w:val="BodyTextChar"/>
          <w:i/>
        </w:rPr>
        <w:t xml:space="preserve">(ver igualmente </w:t>
      </w:r>
      <w:hyperlink r:id="rId32" w:history="1">
        <w:r w:rsidRPr="00167EE8">
          <w:rPr>
            <w:rStyle w:val="BodyTextChar"/>
            <w:i/>
            <w:color w:val="0088CC"/>
          </w:rPr>
          <w:t>«Termos e condições» do Portal de Financiamento e Concursos</w:t>
        </w:r>
        <w:r w:rsidRPr="00167EE8">
          <w:rPr>
            <w:rStyle w:val="BodyTextChar"/>
            <w:i/>
            <w:u w:val="single"/>
          </w:rPr>
          <w:t>)</w:t>
        </w:r>
      </w:hyperlink>
      <w:r w:rsidRPr="00167EE8">
        <w:rPr>
          <w:rStyle w:val="BodyTextChar"/>
        </w:rPr>
        <w:t>. Convém ainda ter em conta que, para as reclamações apresentadas eletronicamente, podem existir limitações de carateres.</w:t>
      </w:r>
    </w:p>
    <w:p w14:paraId="47A11370" w14:textId="28DEFB80" w:rsidR="000435C2" w:rsidRPr="00167EE8" w:rsidRDefault="008B332B" w:rsidP="00BF35B3">
      <w:pPr>
        <w:pStyle w:val="Heading1"/>
      </w:pPr>
      <w:bookmarkStart w:id="53" w:name="bookmark55"/>
      <w:bookmarkStart w:id="54" w:name="_Toc185511152"/>
      <w:r w:rsidRPr="00167EE8">
        <w:rPr>
          <w:rStyle w:val="Heading3"/>
          <w:b/>
        </w:rPr>
        <w:t>Critérios de atribuição</w:t>
      </w:r>
      <w:bookmarkEnd w:id="53"/>
      <w:bookmarkEnd w:id="54"/>
    </w:p>
    <w:p w14:paraId="09738C74" w14:textId="77777777" w:rsidR="000435C2" w:rsidRPr="00167EE8" w:rsidRDefault="008B332B">
      <w:pPr>
        <w:pStyle w:val="BodyText"/>
        <w:jc w:val="both"/>
      </w:pPr>
      <w:r w:rsidRPr="00167EE8">
        <w:rPr>
          <w:rStyle w:val="BodyTextChar"/>
        </w:rPr>
        <w:t xml:space="preserve">Os </w:t>
      </w:r>
      <w:r w:rsidRPr="00167EE8">
        <w:rPr>
          <w:rStyle w:val="BodyTextChar"/>
          <w:b/>
        </w:rPr>
        <w:t>critérios de atribuição</w:t>
      </w:r>
      <w:r w:rsidRPr="00167EE8">
        <w:rPr>
          <w:rStyle w:val="BodyTextChar"/>
        </w:rPr>
        <w:t xml:space="preserve"> do presente convite são os seguintes:</w:t>
      </w:r>
    </w:p>
    <w:p w14:paraId="30DFECAC" w14:textId="77777777" w:rsidR="000435C2" w:rsidRPr="00167EE8" w:rsidRDefault="008B332B" w:rsidP="006008C4">
      <w:pPr>
        <w:keepNext/>
        <w:keepLines/>
        <w:numPr>
          <w:ilvl w:val="0"/>
          <w:numId w:val="22"/>
        </w:numPr>
        <w:tabs>
          <w:tab w:val="left" w:pos="668"/>
        </w:tabs>
        <w:spacing w:after="120"/>
        <w:ind w:firstLine="360"/>
        <w:jc w:val="both"/>
        <w:rPr>
          <w:b/>
          <w:bCs/>
        </w:rPr>
      </w:pPr>
      <w:bookmarkStart w:id="55" w:name="bookmark58"/>
      <w:r w:rsidRPr="00167EE8">
        <w:rPr>
          <w:b/>
          <w:color w:val="A50021"/>
        </w:rPr>
        <w:t>Relevância (20 pontos)</w:t>
      </w:r>
      <w:bookmarkEnd w:id="55"/>
    </w:p>
    <w:p w14:paraId="1987549C" w14:textId="5A2EF96F" w:rsidR="000435C2" w:rsidRPr="00167EE8" w:rsidRDefault="008B332B" w:rsidP="006008C4">
      <w:pPr>
        <w:pStyle w:val="BodyText"/>
        <w:numPr>
          <w:ilvl w:val="0"/>
          <w:numId w:val="20"/>
        </w:numPr>
        <w:spacing w:after="200"/>
        <w:ind w:left="1020" w:hanging="360"/>
        <w:jc w:val="both"/>
      </w:pPr>
      <w:r w:rsidRPr="00167EE8">
        <w:rPr>
          <w:rStyle w:val="BodyTextChar"/>
        </w:rPr>
        <w:t>Em que medida é a proposta pertinente para os objetivos e prioridades do convite à apresentação de propostas e para os temas/setores/áreas específicos ou quaisquer outros requisitos específicos indicados no convite? Os resultados esperados da ação estão alinhados com as prioridades definidas na secção 2?</w:t>
      </w:r>
    </w:p>
    <w:p w14:paraId="77C59B24" w14:textId="5723FFB3" w:rsidR="000435C2" w:rsidRPr="00167EE8" w:rsidRDefault="008B332B" w:rsidP="006008C4">
      <w:pPr>
        <w:pStyle w:val="BodyText"/>
        <w:numPr>
          <w:ilvl w:val="0"/>
          <w:numId w:val="20"/>
        </w:numPr>
        <w:spacing w:after="200"/>
        <w:ind w:left="1020" w:hanging="360"/>
        <w:jc w:val="both"/>
      </w:pPr>
      <w:r w:rsidRPr="00167EE8">
        <w:rPr>
          <w:rStyle w:val="BodyTextChar"/>
        </w:rPr>
        <w:t>Em que medida é a proposta pertinente para as necessidades e condicionalismos específicos do(s) país(es), região(ões) e/ou setores pertinentes alvo (incluindo sinergias com outras iniciativas de desenvolvimento e prevenção de duplicações)?</w:t>
      </w:r>
    </w:p>
    <w:p w14:paraId="72DDB64D" w14:textId="1B1550D8" w:rsidR="000435C2" w:rsidRPr="00167EE8" w:rsidRDefault="008B332B" w:rsidP="006008C4">
      <w:pPr>
        <w:pStyle w:val="BodyText"/>
        <w:numPr>
          <w:ilvl w:val="0"/>
          <w:numId w:val="20"/>
        </w:numPr>
        <w:spacing w:after="200"/>
        <w:ind w:left="1020" w:hanging="360"/>
        <w:jc w:val="both"/>
      </w:pPr>
      <w:r w:rsidRPr="00167EE8">
        <w:rPr>
          <w:rStyle w:val="BodyTextChar"/>
        </w:rPr>
        <w:t>Quão claramente definidos e estrategicamente escolhidos são os envolvidos (destinatários finais, grupos-alvo)? As suas necessidades (como titulares de direitos e/ou responsáveis) e limitações estão claramente definidas e a proposta contempla-as de forma adequada?</w:t>
      </w:r>
    </w:p>
    <w:p w14:paraId="3EA79C7D" w14:textId="1BCB27A4" w:rsidR="000435C2" w:rsidRPr="00167EE8" w:rsidRDefault="008B332B" w:rsidP="006008C4">
      <w:pPr>
        <w:pStyle w:val="BodyText"/>
        <w:numPr>
          <w:ilvl w:val="0"/>
          <w:numId w:val="20"/>
        </w:numPr>
        <w:spacing w:after="200" w:line="254" w:lineRule="auto"/>
        <w:ind w:left="1020" w:hanging="360"/>
        <w:jc w:val="both"/>
      </w:pPr>
      <w:r w:rsidRPr="00167EE8">
        <w:rPr>
          <w:rStyle w:val="BodyTextChar"/>
        </w:rPr>
        <w:t>A proposta contém elementos de valor acrescentado específicos (por exemplo, inovação, melhores práticas)?</w:t>
      </w:r>
    </w:p>
    <w:p w14:paraId="3F2B2C45" w14:textId="77777777" w:rsidR="000435C2" w:rsidRPr="00167EE8" w:rsidRDefault="008B332B" w:rsidP="006008C4">
      <w:pPr>
        <w:keepNext/>
        <w:keepLines/>
        <w:numPr>
          <w:ilvl w:val="0"/>
          <w:numId w:val="22"/>
        </w:numPr>
        <w:tabs>
          <w:tab w:val="left" w:pos="678"/>
        </w:tabs>
        <w:spacing w:after="120"/>
        <w:ind w:firstLine="360"/>
        <w:jc w:val="both"/>
        <w:rPr>
          <w:b/>
          <w:bCs/>
          <w:color w:val="A50021"/>
        </w:rPr>
      </w:pPr>
      <w:bookmarkStart w:id="56" w:name="bookmark60"/>
      <w:r w:rsidRPr="00167EE8">
        <w:rPr>
          <w:b/>
          <w:color w:val="A50021"/>
        </w:rPr>
        <w:t>Conceção (30 pontos):</w:t>
      </w:r>
      <w:bookmarkEnd w:id="56"/>
    </w:p>
    <w:p w14:paraId="764E2A21" w14:textId="30B09CB3" w:rsidR="000435C2" w:rsidRPr="00167EE8" w:rsidRDefault="008B332B" w:rsidP="006008C4">
      <w:pPr>
        <w:pStyle w:val="BodyText"/>
        <w:numPr>
          <w:ilvl w:val="0"/>
          <w:numId w:val="20"/>
        </w:numPr>
        <w:spacing w:after="200"/>
        <w:ind w:left="1020" w:hanging="360"/>
        <w:jc w:val="both"/>
      </w:pPr>
      <w:r w:rsidRPr="00167EE8">
        <w:rPr>
          <w:rStyle w:val="BodyTextChar"/>
        </w:rPr>
        <w:t>Quão coerente é a conceção da ação? A proposta indica os resultados esperados que devem ser alcançados pela ação? Os resultados (realização, produto e impacto) são realistas?</w:t>
      </w:r>
    </w:p>
    <w:p w14:paraId="2FB336BD" w14:textId="0278574C" w:rsidR="000435C2" w:rsidRPr="00167EE8" w:rsidRDefault="008B332B" w:rsidP="006008C4">
      <w:pPr>
        <w:pStyle w:val="BodyText"/>
        <w:numPr>
          <w:ilvl w:val="0"/>
          <w:numId w:val="20"/>
        </w:numPr>
        <w:spacing w:after="200"/>
        <w:ind w:left="1020" w:hanging="360"/>
        <w:jc w:val="both"/>
      </w:pPr>
      <w:r w:rsidRPr="00167EE8">
        <w:rPr>
          <w:rStyle w:val="BodyTextChar"/>
        </w:rPr>
        <w:t xml:space="preserve">A lógica de intervenção explica a lógica subjacente à obtenção dos </w:t>
      </w:r>
      <w:r w:rsidRPr="00167EE8">
        <w:rPr>
          <w:rStyle w:val="BodyTextChar"/>
        </w:rPr>
        <w:lastRenderedPageBreak/>
        <w:t>resultados esperados? As atividades propostas são adequadas, práticas e coerentes com as realizações e os resultados previstos e em conformidade com a secção 2?</w:t>
      </w:r>
    </w:p>
    <w:p w14:paraId="0947C927" w14:textId="5DB9B109" w:rsidR="000435C2" w:rsidRPr="00167EE8" w:rsidRDefault="008B332B" w:rsidP="006008C4">
      <w:pPr>
        <w:pStyle w:val="BodyText"/>
        <w:numPr>
          <w:ilvl w:val="0"/>
          <w:numId w:val="20"/>
        </w:numPr>
        <w:spacing w:after="200" w:line="259" w:lineRule="auto"/>
        <w:ind w:left="1020" w:hanging="360"/>
        <w:jc w:val="both"/>
      </w:pPr>
      <w:r w:rsidRPr="00167EE8">
        <w:rPr>
          <w:rStyle w:val="BodyTextChar"/>
        </w:rPr>
        <w:t>A conceção reflete uma análise sólida dos problemas envolvidos e das capacidades das partes interessadas pertinentes?</w:t>
      </w:r>
    </w:p>
    <w:p w14:paraId="21FCA480" w14:textId="37C9897A" w:rsidR="000435C2" w:rsidRPr="00167EE8" w:rsidRDefault="008B332B" w:rsidP="006008C4">
      <w:pPr>
        <w:pStyle w:val="BodyText"/>
        <w:numPr>
          <w:ilvl w:val="0"/>
          <w:numId w:val="20"/>
        </w:numPr>
        <w:spacing w:after="200"/>
        <w:ind w:firstLine="660"/>
        <w:jc w:val="both"/>
      </w:pPr>
      <w:r w:rsidRPr="00167EE8">
        <w:rPr>
          <w:rStyle w:val="BodyTextChar"/>
        </w:rPr>
        <w:t>A conceção tem em conta fatores externos (riscos e pressupostos)?</w:t>
      </w:r>
    </w:p>
    <w:p w14:paraId="743F9957" w14:textId="49ABEAAE" w:rsidR="000435C2" w:rsidRPr="00167EE8" w:rsidRDefault="008B332B" w:rsidP="006008C4">
      <w:pPr>
        <w:pStyle w:val="BodyText"/>
        <w:numPr>
          <w:ilvl w:val="0"/>
          <w:numId w:val="20"/>
        </w:numPr>
        <w:spacing w:after="200"/>
        <w:ind w:left="1020" w:hanging="360"/>
        <w:jc w:val="both"/>
      </w:pPr>
      <w:r w:rsidRPr="00167EE8">
        <w:rPr>
          <w:rStyle w:val="BodyTextChar"/>
        </w:rPr>
        <w:t>Os programas académicos propostos para a mobilidade dos estudantes e as atividades de mobilidade dos estagiários e do pessoal são adequados para alcançar os objetivos do projeto?</w:t>
      </w:r>
    </w:p>
    <w:p w14:paraId="46EA8C73" w14:textId="6356FB7C" w:rsidR="000435C2" w:rsidRPr="00167EE8" w:rsidRDefault="008B332B" w:rsidP="006008C4">
      <w:pPr>
        <w:pStyle w:val="BodyText"/>
        <w:numPr>
          <w:ilvl w:val="0"/>
          <w:numId w:val="20"/>
        </w:numPr>
        <w:spacing w:after="200"/>
        <w:ind w:left="1020" w:hanging="360"/>
        <w:jc w:val="both"/>
      </w:pPr>
      <w:r w:rsidRPr="00167EE8">
        <w:rPr>
          <w:rStyle w:val="BodyTextChar"/>
        </w:rPr>
        <w:t>Em que medida a proposta integra elementos transversais relevantes, como as questões ambientais/climáticas, a promoção da igualdade de género e da igualdade de oportunidades, as necessidades das pessoas vulneráveis?</w:t>
      </w:r>
    </w:p>
    <w:p w14:paraId="2F1AFCB5" w14:textId="1AFAC1EE" w:rsidR="000435C2" w:rsidRPr="00167EE8" w:rsidRDefault="008B332B" w:rsidP="006008C4">
      <w:pPr>
        <w:pStyle w:val="BodyText"/>
        <w:numPr>
          <w:ilvl w:val="0"/>
          <w:numId w:val="20"/>
        </w:numPr>
        <w:spacing w:after="200"/>
        <w:ind w:left="1020" w:hanging="360"/>
        <w:jc w:val="both"/>
      </w:pPr>
      <w:r w:rsidRPr="00167EE8">
        <w:rPr>
          <w:rStyle w:val="BodyTextChar"/>
        </w:rPr>
        <w:t>Em que medida a proposta inclui países e candidatos com diferentes níveis de experiência no programa (ou seja, um equilíbrio entre universidades com diferentes capacidades e experiências) e um plano para envolver e reforçar as capacidades dos candidatos menos experientes?</w:t>
      </w:r>
    </w:p>
    <w:p w14:paraId="395D78EE" w14:textId="77777777" w:rsidR="000435C2" w:rsidRPr="00167EE8" w:rsidRDefault="008B332B" w:rsidP="006008C4">
      <w:pPr>
        <w:keepNext/>
        <w:keepLines/>
        <w:numPr>
          <w:ilvl w:val="0"/>
          <w:numId w:val="22"/>
        </w:numPr>
        <w:tabs>
          <w:tab w:val="left" w:pos="678"/>
        </w:tabs>
        <w:spacing w:after="120"/>
        <w:jc w:val="both"/>
        <w:rPr>
          <w:b/>
          <w:bCs/>
          <w:color w:val="A50021"/>
        </w:rPr>
      </w:pPr>
      <w:bookmarkStart w:id="57" w:name="bookmark62"/>
      <w:r w:rsidRPr="00167EE8">
        <w:rPr>
          <w:b/>
          <w:color w:val="A50021"/>
        </w:rPr>
        <w:t>Execução (35 pontos):</w:t>
      </w:r>
      <w:bookmarkEnd w:id="57"/>
    </w:p>
    <w:p w14:paraId="51F51FBF" w14:textId="046C993C" w:rsidR="000435C2" w:rsidRPr="00167EE8" w:rsidRDefault="008B332B" w:rsidP="006008C4">
      <w:pPr>
        <w:pStyle w:val="BodyText"/>
        <w:numPr>
          <w:ilvl w:val="0"/>
          <w:numId w:val="20"/>
        </w:numPr>
        <w:spacing w:after="200" w:line="254" w:lineRule="auto"/>
        <w:ind w:left="1020" w:hanging="360"/>
        <w:jc w:val="both"/>
        <w:rPr>
          <w:rStyle w:val="BodyTextChar"/>
        </w:rPr>
      </w:pPr>
      <w:r w:rsidRPr="00167EE8">
        <w:rPr>
          <w:rStyle w:val="BodyTextChar"/>
        </w:rPr>
        <w:t>O plano de trabalho para a execução da ação é claro e viável? A cronologia é realista?</w:t>
      </w:r>
    </w:p>
    <w:p w14:paraId="43CFC1B2" w14:textId="553F3D0E" w:rsidR="000435C2" w:rsidRPr="00167EE8" w:rsidRDefault="008B332B" w:rsidP="006008C4">
      <w:pPr>
        <w:pStyle w:val="BodyText"/>
        <w:numPr>
          <w:ilvl w:val="0"/>
          <w:numId w:val="20"/>
        </w:numPr>
        <w:spacing w:after="200" w:line="254" w:lineRule="auto"/>
        <w:ind w:left="1020" w:hanging="360"/>
        <w:jc w:val="both"/>
        <w:rPr>
          <w:rStyle w:val="BodyTextChar"/>
        </w:rPr>
      </w:pPr>
      <w:r w:rsidRPr="00167EE8">
        <w:rPr>
          <w:rStyle w:val="BodyTextChar"/>
        </w:rPr>
        <w:t>Os acordos de cooperação, órgãos de direção e instrumentos de gestão propostos são adequados para assegurar uma gestão de projetos eficiente e a aplicação do programa de mobilidade?</w:t>
      </w:r>
    </w:p>
    <w:p w14:paraId="1446A54E" w14:textId="76162D01" w:rsidR="000435C2" w:rsidRPr="00167EE8" w:rsidRDefault="008B332B" w:rsidP="006008C4">
      <w:pPr>
        <w:pStyle w:val="BodyText"/>
        <w:numPr>
          <w:ilvl w:val="0"/>
          <w:numId w:val="20"/>
        </w:numPr>
        <w:spacing w:after="200" w:line="254" w:lineRule="auto"/>
        <w:ind w:left="1020" w:hanging="360"/>
        <w:jc w:val="both"/>
        <w:rPr>
          <w:rStyle w:val="BodyTextChar"/>
        </w:rPr>
      </w:pPr>
      <w:r w:rsidRPr="00167EE8">
        <w:rPr>
          <w:rStyle w:val="BodyTextChar"/>
        </w:rPr>
        <w:t>A proposta inclui um sistema de acompanhamento eficaz e eficiente? Está prevista uma avaliação (interna ou externa, durante e/ou no final da execução)? Inclui ferramentas/indicadores para medir o impacto do projeto a nível individual, institucional e nacional/regional?</w:t>
      </w:r>
    </w:p>
    <w:p w14:paraId="75405A6E" w14:textId="4BC98748" w:rsidR="000435C2" w:rsidRPr="00167EE8" w:rsidRDefault="008B332B" w:rsidP="006008C4">
      <w:pPr>
        <w:pStyle w:val="BodyText"/>
        <w:numPr>
          <w:ilvl w:val="0"/>
          <w:numId w:val="20"/>
        </w:numPr>
        <w:spacing w:after="200" w:line="254" w:lineRule="auto"/>
        <w:ind w:left="720" w:hanging="360"/>
        <w:jc w:val="both"/>
        <w:rPr>
          <w:rStyle w:val="BodyTextChar"/>
        </w:rPr>
      </w:pPr>
      <w:r w:rsidRPr="00167EE8">
        <w:rPr>
          <w:rStyle w:val="BodyTextChar"/>
        </w:rPr>
        <w:t>A proposta inclui medidas adequadas para avaliar a oferta académica e de estágio e para acompanhar as atividades dos bolseiros?</w:t>
      </w:r>
    </w:p>
    <w:p w14:paraId="09C5BA11" w14:textId="0C5D002C" w:rsidR="000435C2" w:rsidRPr="00167EE8" w:rsidRDefault="008B332B" w:rsidP="006008C4">
      <w:pPr>
        <w:pStyle w:val="BodyText"/>
        <w:numPr>
          <w:ilvl w:val="0"/>
          <w:numId w:val="20"/>
        </w:numPr>
        <w:spacing w:after="200" w:line="254" w:lineRule="auto"/>
        <w:ind w:firstLine="720"/>
        <w:jc w:val="both"/>
        <w:rPr>
          <w:rStyle w:val="BodyTextChar"/>
        </w:rPr>
      </w:pPr>
      <w:r w:rsidRPr="00167EE8">
        <w:rPr>
          <w:rStyle w:val="BodyTextChar"/>
        </w:rPr>
        <w:t>O nível de envolvimento e participação dos candidatos na ação é satisfatório?</w:t>
      </w:r>
    </w:p>
    <w:p w14:paraId="1D5EBF14" w14:textId="7C492A24" w:rsidR="000435C2" w:rsidRPr="00167EE8" w:rsidRDefault="008B332B" w:rsidP="006008C4">
      <w:pPr>
        <w:pStyle w:val="BodyText"/>
        <w:numPr>
          <w:ilvl w:val="0"/>
          <w:numId w:val="20"/>
        </w:numPr>
        <w:spacing w:after="200" w:line="254" w:lineRule="auto"/>
        <w:ind w:left="720"/>
        <w:jc w:val="both"/>
        <w:rPr>
          <w:rStyle w:val="BodyTextChar"/>
        </w:rPr>
      </w:pPr>
      <w:r w:rsidRPr="00167EE8">
        <w:rPr>
          <w:rStyle w:val="BodyTextChar"/>
        </w:rPr>
        <w:t>Existem planos adequados para integrar no projeto as organizações que acolhem mobilidade para estágios, bem como outras organizações pertinentes que possam contribuir para a obtenção dos resultados do projeto?</w:t>
      </w:r>
    </w:p>
    <w:p w14:paraId="56D523C1" w14:textId="7AC11D33" w:rsidR="000435C2" w:rsidRPr="00167EE8" w:rsidRDefault="008B332B" w:rsidP="006008C4">
      <w:pPr>
        <w:pStyle w:val="BodyText"/>
        <w:numPr>
          <w:ilvl w:val="0"/>
          <w:numId w:val="20"/>
        </w:numPr>
        <w:spacing w:after="200" w:line="254" w:lineRule="auto"/>
        <w:ind w:left="720" w:hanging="360"/>
        <w:jc w:val="both"/>
        <w:rPr>
          <w:rStyle w:val="BodyTextChar"/>
        </w:rPr>
      </w:pPr>
      <w:r w:rsidRPr="00167EE8">
        <w:rPr>
          <w:rStyle w:val="BodyTextChar"/>
        </w:rPr>
        <w:t>A proposta inclui uma estratégia de comunicação e divulgação adequada?</w:t>
      </w:r>
    </w:p>
    <w:p w14:paraId="49C97F03" w14:textId="77777777" w:rsidR="000435C2" w:rsidRPr="00167EE8" w:rsidRDefault="008B332B" w:rsidP="006008C4">
      <w:pPr>
        <w:keepNext/>
        <w:keepLines/>
        <w:numPr>
          <w:ilvl w:val="0"/>
          <w:numId w:val="22"/>
        </w:numPr>
        <w:tabs>
          <w:tab w:val="left" w:pos="678"/>
        </w:tabs>
        <w:spacing w:after="120"/>
        <w:jc w:val="both"/>
        <w:rPr>
          <w:b/>
          <w:bCs/>
          <w:color w:val="A50021"/>
        </w:rPr>
      </w:pPr>
      <w:bookmarkStart w:id="58" w:name="bookmark64"/>
      <w:r w:rsidRPr="00167EE8">
        <w:rPr>
          <w:b/>
          <w:color w:val="A50021"/>
        </w:rPr>
        <w:t>Sustentabilidade (15 pontos):</w:t>
      </w:r>
      <w:bookmarkEnd w:id="58"/>
    </w:p>
    <w:p w14:paraId="521A7ACB" w14:textId="77777777" w:rsidR="000435C2" w:rsidRPr="00167EE8" w:rsidRDefault="008B332B" w:rsidP="006008C4">
      <w:pPr>
        <w:pStyle w:val="BodyText"/>
        <w:numPr>
          <w:ilvl w:val="0"/>
          <w:numId w:val="23"/>
        </w:numPr>
        <w:tabs>
          <w:tab w:val="left" w:pos="728"/>
        </w:tabs>
        <w:spacing w:after="200"/>
        <w:ind w:firstLine="360"/>
        <w:jc w:val="both"/>
      </w:pPr>
      <w:r w:rsidRPr="00167EE8">
        <w:rPr>
          <w:rStyle w:val="BodyTextChar"/>
        </w:rPr>
        <w:t>A ação é suscetível de assegurar benefícios duradouros para os grupos-alvo?</w:t>
      </w:r>
    </w:p>
    <w:p w14:paraId="5CE59C61" w14:textId="77777777" w:rsidR="000435C2" w:rsidRPr="00167EE8" w:rsidRDefault="008B332B">
      <w:pPr>
        <w:pStyle w:val="BodyText"/>
        <w:tabs>
          <w:tab w:val="left" w:pos="728"/>
        </w:tabs>
        <w:spacing w:after="0"/>
        <w:ind w:firstLine="360"/>
        <w:jc w:val="both"/>
      </w:pPr>
      <w:r w:rsidRPr="00167EE8">
        <w:rPr>
          <w:rStyle w:val="BodyTextChar"/>
        </w:rPr>
        <w:t>— A ação é suscetível de ter efeitos multiplicadores, incluindo a possibilidade de replicação,</w:t>
      </w:r>
    </w:p>
    <w:p w14:paraId="6FAD1EE2" w14:textId="77777777" w:rsidR="000435C2" w:rsidRPr="00167EE8" w:rsidRDefault="008B332B">
      <w:pPr>
        <w:pStyle w:val="BodyText"/>
        <w:spacing w:after="200"/>
        <w:ind w:firstLine="720"/>
      </w:pPr>
      <w:r w:rsidRPr="00167EE8">
        <w:rPr>
          <w:rStyle w:val="BodyTextChar"/>
        </w:rPr>
        <w:t>capitalização da experiência e partilha de conhecimentos?</w:t>
      </w:r>
    </w:p>
    <w:p w14:paraId="5F86C8A6" w14:textId="77777777" w:rsidR="000435C2" w:rsidRPr="00167EE8" w:rsidRDefault="008B332B" w:rsidP="006008C4">
      <w:pPr>
        <w:pStyle w:val="BodyText"/>
        <w:numPr>
          <w:ilvl w:val="0"/>
          <w:numId w:val="23"/>
        </w:numPr>
        <w:tabs>
          <w:tab w:val="left" w:pos="728"/>
        </w:tabs>
        <w:spacing w:after="200"/>
        <w:ind w:firstLine="360"/>
      </w:pPr>
      <w:r w:rsidRPr="00167EE8">
        <w:rPr>
          <w:rStyle w:val="BodyTextChar"/>
        </w:rPr>
        <w:t>Os resultados esperados da ação proposta são sustentáveis?</w:t>
      </w:r>
    </w:p>
    <w:p w14:paraId="50CC6E95" w14:textId="77777777" w:rsidR="000435C2" w:rsidRPr="00167EE8" w:rsidRDefault="008B332B" w:rsidP="006008C4">
      <w:pPr>
        <w:pStyle w:val="BodyText"/>
        <w:numPr>
          <w:ilvl w:val="0"/>
          <w:numId w:val="24"/>
        </w:numPr>
        <w:tabs>
          <w:tab w:val="left" w:pos="1095"/>
        </w:tabs>
        <w:spacing w:after="200"/>
        <w:ind w:left="1140" w:hanging="360"/>
        <w:jc w:val="both"/>
      </w:pPr>
      <w:r w:rsidRPr="00167EE8">
        <w:rPr>
          <w:rStyle w:val="BodyTextChar"/>
        </w:rPr>
        <w:lastRenderedPageBreak/>
        <w:t>financeiramente (por exemplo, o financiamento de atividades de acompanhamento, fontes de receitas para cobrir todos os custos futuros de exploração e manutenção);</w:t>
      </w:r>
    </w:p>
    <w:p w14:paraId="4DBB21A5" w14:textId="77777777" w:rsidR="000435C2" w:rsidRPr="00167EE8" w:rsidRDefault="008B332B" w:rsidP="006008C4">
      <w:pPr>
        <w:pStyle w:val="BodyText"/>
        <w:numPr>
          <w:ilvl w:val="0"/>
          <w:numId w:val="24"/>
        </w:numPr>
        <w:tabs>
          <w:tab w:val="left" w:pos="1095"/>
        </w:tabs>
        <w:spacing w:after="200"/>
        <w:ind w:left="1140" w:hanging="360"/>
        <w:jc w:val="both"/>
      </w:pPr>
      <w:r w:rsidRPr="00167EE8">
        <w:rPr>
          <w:rStyle w:val="BodyTextChar"/>
        </w:rPr>
        <w:t>institucionalmente (as estruturas permitirão que os resultados da ação sejam sustentados no final da ação? haverá uma «apropriação» local dos resultados da ação?)</w:t>
      </w:r>
    </w:p>
    <w:p w14:paraId="5AD30FFB" w14:textId="40903C65" w:rsidR="000435C2" w:rsidRPr="00167EE8" w:rsidRDefault="008B332B" w:rsidP="006008C4">
      <w:pPr>
        <w:pStyle w:val="BodyText"/>
        <w:numPr>
          <w:ilvl w:val="0"/>
          <w:numId w:val="24"/>
        </w:numPr>
        <w:tabs>
          <w:tab w:val="left" w:pos="1106"/>
        </w:tabs>
        <w:spacing w:after="200"/>
        <w:ind w:left="1140"/>
        <w:jc w:val="both"/>
      </w:pPr>
      <w:r w:rsidRPr="00167EE8">
        <w:rPr>
          <w:rStyle w:val="BodyTextChar"/>
        </w:rPr>
        <w:t>a nível político (quando aplicável; qual será o impacto estrutural da ação, por exemplo, melhoria da legislação, códigos de conduta, métodos)</w:t>
      </w:r>
    </w:p>
    <w:p w14:paraId="4F1B5FBA" w14:textId="28857646" w:rsidR="000435C2" w:rsidRPr="00167EE8" w:rsidRDefault="008B332B" w:rsidP="006008C4">
      <w:pPr>
        <w:pStyle w:val="BodyText"/>
        <w:numPr>
          <w:ilvl w:val="0"/>
          <w:numId w:val="24"/>
        </w:numPr>
        <w:tabs>
          <w:tab w:val="left" w:pos="1106"/>
        </w:tabs>
        <w:spacing w:after="660"/>
        <w:ind w:left="1140"/>
        <w:jc w:val="both"/>
      </w:pPr>
      <w:r w:rsidRPr="00167EE8">
        <w:rPr>
          <w:rStyle w:val="BodyTextChar"/>
        </w:rPr>
        <w:t>ambientalmente (se aplicável; a ação terá um impacto ambiental negativo/positivo?)</w:t>
      </w:r>
    </w:p>
    <w:tbl>
      <w:tblPr>
        <w:tblOverlap w:val="never"/>
        <w:tblW w:w="4841" w:type="pct"/>
        <w:jc w:val="right"/>
        <w:tblBorders>
          <w:top w:val="single" w:sz="24" w:space="0" w:color="D0CECE" w:themeColor="background2" w:themeShade="E6"/>
          <w:left w:val="single" w:sz="24" w:space="0" w:color="D0CECE" w:themeColor="background2" w:themeShade="E6"/>
          <w:bottom w:val="single" w:sz="24" w:space="0" w:color="D0CECE" w:themeColor="background2" w:themeShade="E6"/>
          <w:right w:val="single" w:sz="24" w:space="0" w:color="D0CECE" w:themeColor="background2" w:themeShade="E6"/>
          <w:insideH w:val="single" w:sz="24" w:space="0" w:color="D0CECE" w:themeColor="background2" w:themeShade="E6"/>
          <w:insideV w:val="single" w:sz="24" w:space="0" w:color="D0CECE" w:themeColor="background2" w:themeShade="E6"/>
        </w:tblBorders>
        <w:tblCellMar>
          <w:top w:w="28" w:type="dxa"/>
          <w:left w:w="57" w:type="dxa"/>
          <w:bottom w:w="28" w:type="dxa"/>
          <w:right w:w="57" w:type="dxa"/>
        </w:tblCellMar>
        <w:tblLook w:val="0000" w:firstRow="0" w:lastRow="0" w:firstColumn="0" w:lastColumn="0" w:noHBand="0" w:noVBand="0"/>
      </w:tblPr>
      <w:tblGrid>
        <w:gridCol w:w="5660"/>
        <w:gridCol w:w="1240"/>
        <w:gridCol w:w="1314"/>
      </w:tblGrid>
      <w:tr w:rsidR="000435C2" w:rsidRPr="00167EE8" w14:paraId="4D0DCFA9" w14:textId="77777777" w:rsidTr="00BF0FEB">
        <w:trPr>
          <w:trHeight w:val="20"/>
          <w:jc w:val="right"/>
        </w:trPr>
        <w:tc>
          <w:tcPr>
            <w:tcW w:w="3445" w:type="pct"/>
            <w:shd w:val="clear" w:color="auto" w:fill="D9D9D9"/>
            <w:vAlign w:val="center"/>
          </w:tcPr>
          <w:p w14:paraId="6834477F" w14:textId="77777777" w:rsidR="000435C2" w:rsidRPr="00167EE8" w:rsidRDefault="008B332B" w:rsidP="00BF0FEB">
            <w:pPr>
              <w:pStyle w:val="Other0"/>
              <w:spacing w:before="120" w:after="120"/>
              <w:rPr>
                <w:sz w:val="16"/>
                <w:szCs w:val="16"/>
              </w:rPr>
            </w:pPr>
            <w:r w:rsidRPr="00167EE8">
              <w:rPr>
                <w:rStyle w:val="Other"/>
                <w:b/>
                <w:color w:val="595959"/>
                <w:sz w:val="16"/>
              </w:rPr>
              <w:t>Critérios de atribuição</w:t>
            </w:r>
          </w:p>
        </w:tc>
        <w:tc>
          <w:tcPr>
            <w:tcW w:w="755" w:type="pct"/>
            <w:shd w:val="clear" w:color="auto" w:fill="D9D9D9"/>
            <w:vAlign w:val="center"/>
          </w:tcPr>
          <w:p w14:paraId="38A7C6AD" w14:textId="77777777" w:rsidR="000435C2" w:rsidRPr="00167EE8" w:rsidRDefault="008B332B" w:rsidP="00BF0FEB">
            <w:pPr>
              <w:pStyle w:val="Other0"/>
              <w:spacing w:before="120" w:after="120"/>
              <w:jc w:val="center"/>
              <w:rPr>
                <w:sz w:val="16"/>
                <w:szCs w:val="16"/>
              </w:rPr>
            </w:pPr>
            <w:r w:rsidRPr="00167EE8">
              <w:rPr>
                <w:rStyle w:val="Other"/>
                <w:b/>
                <w:color w:val="595959"/>
                <w:sz w:val="16"/>
              </w:rPr>
              <w:t>Pontuação mínima de aprovação</w:t>
            </w:r>
          </w:p>
        </w:tc>
        <w:tc>
          <w:tcPr>
            <w:tcW w:w="800" w:type="pct"/>
            <w:shd w:val="clear" w:color="auto" w:fill="D9D9D9"/>
            <w:vAlign w:val="center"/>
          </w:tcPr>
          <w:p w14:paraId="177DB823" w14:textId="77777777" w:rsidR="000435C2" w:rsidRPr="00167EE8" w:rsidRDefault="008B332B" w:rsidP="00BF0FEB">
            <w:pPr>
              <w:pStyle w:val="Other0"/>
              <w:spacing w:before="120" w:after="120"/>
              <w:jc w:val="center"/>
              <w:rPr>
                <w:sz w:val="16"/>
                <w:szCs w:val="16"/>
              </w:rPr>
            </w:pPr>
            <w:r w:rsidRPr="00167EE8">
              <w:rPr>
                <w:rStyle w:val="Other"/>
                <w:b/>
                <w:color w:val="595959"/>
                <w:sz w:val="16"/>
              </w:rPr>
              <w:t>Pontuação máxima</w:t>
            </w:r>
          </w:p>
        </w:tc>
      </w:tr>
      <w:tr w:rsidR="000435C2" w:rsidRPr="00167EE8" w14:paraId="6F6D81A3" w14:textId="77777777" w:rsidTr="00BF0FEB">
        <w:trPr>
          <w:trHeight w:val="20"/>
          <w:jc w:val="right"/>
        </w:trPr>
        <w:tc>
          <w:tcPr>
            <w:tcW w:w="3445" w:type="pct"/>
            <w:tcBorders>
              <w:bottom w:val="single" w:sz="18" w:space="0" w:color="D0CECE" w:themeColor="background2" w:themeShade="E6"/>
            </w:tcBorders>
            <w:shd w:val="clear" w:color="auto" w:fill="F2F2F2" w:themeFill="background1" w:themeFillShade="F2"/>
            <w:vAlign w:val="center"/>
          </w:tcPr>
          <w:p w14:paraId="25E46209" w14:textId="77777777" w:rsidR="000435C2" w:rsidRPr="00167EE8" w:rsidRDefault="008B332B" w:rsidP="00BF0FEB">
            <w:pPr>
              <w:pStyle w:val="Other0"/>
              <w:spacing w:before="120" w:after="120"/>
              <w:rPr>
                <w:sz w:val="16"/>
                <w:szCs w:val="16"/>
              </w:rPr>
            </w:pPr>
            <w:r w:rsidRPr="00167EE8">
              <w:rPr>
                <w:rStyle w:val="Other"/>
                <w:color w:val="595959"/>
                <w:sz w:val="16"/>
              </w:rPr>
              <w:t>Relevância</w:t>
            </w:r>
          </w:p>
        </w:tc>
        <w:tc>
          <w:tcPr>
            <w:tcW w:w="755" w:type="pct"/>
            <w:tcBorders>
              <w:bottom w:val="single" w:sz="18" w:space="0" w:color="D0CECE" w:themeColor="background2" w:themeShade="E6"/>
            </w:tcBorders>
            <w:shd w:val="clear" w:color="auto" w:fill="F2F2F2" w:themeFill="background1" w:themeFillShade="F2"/>
            <w:vAlign w:val="center"/>
          </w:tcPr>
          <w:p w14:paraId="4591AC5D" w14:textId="77777777" w:rsidR="000435C2" w:rsidRPr="00167EE8" w:rsidRDefault="008B332B" w:rsidP="00BF0FEB">
            <w:pPr>
              <w:pStyle w:val="Other0"/>
              <w:spacing w:before="120" w:after="120"/>
              <w:jc w:val="center"/>
              <w:rPr>
                <w:sz w:val="16"/>
                <w:szCs w:val="16"/>
              </w:rPr>
            </w:pPr>
            <w:r w:rsidRPr="00167EE8">
              <w:rPr>
                <w:rStyle w:val="Other"/>
                <w:color w:val="595959"/>
                <w:sz w:val="16"/>
              </w:rPr>
              <w:t>Não aplicável</w:t>
            </w:r>
          </w:p>
        </w:tc>
        <w:tc>
          <w:tcPr>
            <w:tcW w:w="800" w:type="pct"/>
            <w:tcBorders>
              <w:bottom w:val="single" w:sz="18" w:space="0" w:color="D0CECE" w:themeColor="background2" w:themeShade="E6"/>
            </w:tcBorders>
            <w:shd w:val="clear" w:color="auto" w:fill="F2F2F2" w:themeFill="background1" w:themeFillShade="F2"/>
            <w:vAlign w:val="center"/>
          </w:tcPr>
          <w:p w14:paraId="008E555D" w14:textId="77777777" w:rsidR="000435C2" w:rsidRPr="00167EE8" w:rsidRDefault="008B332B" w:rsidP="00BF0FEB">
            <w:pPr>
              <w:pStyle w:val="Other0"/>
              <w:spacing w:before="120" w:after="120"/>
              <w:ind w:firstLine="540"/>
              <w:rPr>
                <w:sz w:val="16"/>
                <w:szCs w:val="16"/>
              </w:rPr>
            </w:pPr>
            <w:r w:rsidRPr="00167EE8">
              <w:rPr>
                <w:rStyle w:val="Other"/>
                <w:sz w:val="16"/>
              </w:rPr>
              <w:t>2</w:t>
            </w:r>
            <w:r w:rsidRPr="00167EE8">
              <w:rPr>
                <w:rStyle w:val="Other"/>
                <w:color w:val="595959"/>
                <w:sz w:val="16"/>
              </w:rPr>
              <w:t>0</w:t>
            </w:r>
          </w:p>
        </w:tc>
      </w:tr>
      <w:tr w:rsidR="000435C2" w:rsidRPr="00167EE8" w14:paraId="7778E988" w14:textId="77777777" w:rsidTr="00BF0FEB">
        <w:trPr>
          <w:trHeight w:val="20"/>
          <w:jc w:val="right"/>
        </w:trPr>
        <w:tc>
          <w:tcPr>
            <w:tcW w:w="3445" w:type="pct"/>
            <w:tcBorders>
              <w:top w:val="single" w:sz="18" w:space="0" w:color="D0CECE" w:themeColor="background2" w:themeShade="E6"/>
              <w:bottom w:val="single" w:sz="18" w:space="0" w:color="D0CECE" w:themeColor="background2" w:themeShade="E6"/>
            </w:tcBorders>
            <w:shd w:val="clear" w:color="auto" w:fill="F2F2F2" w:themeFill="background1" w:themeFillShade="F2"/>
            <w:vAlign w:val="center"/>
          </w:tcPr>
          <w:p w14:paraId="5713348A" w14:textId="77777777" w:rsidR="000435C2" w:rsidRPr="00167EE8" w:rsidRDefault="008B332B" w:rsidP="00BF0FEB">
            <w:pPr>
              <w:pStyle w:val="Other0"/>
              <w:spacing w:before="120" w:after="120"/>
              <w:rPr>
                <w:sz w:val="16"/>
                <w:szCs w:val="16"/>
              </w:rPr>
            </w:pPr>
            <w:r w:rsidRPr="00167EE8">
              <w:rPr>
                <w:rStyle w:val="Other"/>
                <w:color w:val="595959"/>
                <w:sz w:val="16"/>
              </w:rPr>
              <w:t>Conseção</w:t>
            </w:r>
          </w:p>
        </w:tc>
        <w:tc>
          <w:tcPr>
            <w:tcW w:w="755" w:type="pct"/>
            <w:tcBorders>
              <w:top w:val="single" w:sz="18" w:space="0" w:color="D0CECE" w:themeColor="background2" w:themeShade="E6"/>
              <w:bottom w:val="single" w:sz="18" w:space="0" w:color="D0CECE" w:themeColor="background2" w:themeShade="E6"/>
            </w:tcBorders>
            <w:shd w:val="clear" w:color="auto" w:fill="F2F2F2" w:themeFill="background1" w:themeFillShade="F2"/>
            <w:vAlign w:val="center"/>
          </w:tcPr>
          <w:p w14:paraId="16D36DEC" w14:textId="77777777" w:rsidR="000435C2" w:rsidRPr="00167EE8" w:rsidRDefault="008B332B" w:rsidP="00BF0FEB">
            <w:pPr>
              <w:pStyle w:val="Other0"/>
              <w:spacing w:before="120" w:after="120"/>
              <w:jc w:val="center"/>
              <w:rPr>
                <w:sz w:val="16"/>
                <w:szCs w:val="16"/>
              </w:rPr>
            </w:pPr>
            <w:r w:rsidRPr="00167EE8">
              <w:rPr>
                <w:rStyle w:val="Other"/>
                <w:sz w:val="16"/>
              </w:rPr>
              <w:t>Não aplicável</w:t>
            </w:r>
          </w:p>
        </w:tc>
        <w:tc>
          <w:tcPr>
            <w:tcW w:w="800" w:type="pct"/>
            <w:tcBorders>
              <w:top w:val="single" w:sz="18" w:space="0" w:color="D0CECE" w:themeColor="background2" w:themeShade="E6"/>
              <w:bottom w:val="single" w:sz="18" w:space="0" w:color="D0CECE" w:themeColor="background2" w:themeShade="E6"/>
            </w:tcBorders>
            <w:shd w:val="clear" w:color="auto" w:fill="F2F2F2" w:themeFill="background1" w:themeFillShade="F2"/>
            <w:vAlign w:val="center"/>
          </w:tcPr>
          <w:p w14:paraId="482CBDC4" w14:textId="77777777" w:rsidR="000435C2" w:rsidRPr="00167EE8" w:rsidRDefault="008B332B" w:rsidP="00BF0FEB">
            <w:pPr>
              <w:pStyle w:val="Other0"/>
              <w:spacing w:before="120" w:after="120"/>
              <w:ind w:firstLine="540"/>
              <w:rPr>
                <w:sz w:val="16"/>
                <w:szCs w:val="16"/>
              </w:rPr>
            </w:pPr>
            <w:r w:rsidRPr="00167EE8">
              <w:rPr>
                <w:rStyle w:val="Other"/>
                <w:color w:val="595959"/>
                <w:sz w:val="16"/>
              </w:rPr>
              <w:t>30</w:t>
            </w:r>
          </w:p>
        </w:tc>
      </w:tr>
      <w:tr w:rsidR="000435C2" w:rsidRPr="00167EE8" w14:paraId="0F3B1B3C" w14:textId="77777777" w:rsidTr="00BF0FEB">
        <w:trPr>
          <w:trHeight w:val="20"/>
          <w:jc w:val="right"/>
        </w:trPr>
        <w:tc>
          <w:tcPr>
            <w:tcW w:w="3445" w:type="pct"/>
            <w:tcBorders>
              <w:top w:val="single" w:sz="18" w:space="0" w:color="D0CECE" w:themeColor="background2" w:themeShade="E6"/>
              <w:bottom w:val="single" w:sz="12" w:space="0" w:color="D0CECE" w:themeColor="background2" w:themeShade="E6"/>
            </w:tcBorders>
            <w:shd w:val="clear" w:color="auto" w:fill="F2F2F2" w:themeFill="background1" w:themeFillShade="F2"/>
            <w:vAlign w:val="center"/>
          </w:tcPr>
          <w:p w14:paraId="74A404BC" w14:textId="77777777" w:rsidR="000435C2" w:rsidRPr="00167EE8" w:rsidRDefault="008B332B" w:rsidP="00BF0FEB">
            <w:pPr>
              <w:pStyle w:val="Other0"/>
              <w:spacing w:before="120" w:after="120"/>
              <w:rPr>
                <w:sz w:val="16"/>
                <w:szCs w:val="16"/>
              </w:rPr>
            </w:pPr>
            <w:r w:rsidRPr="00167EE8">
              <w:rPr>
                <w:rStyle w:val="Other"/>
                <w:color w:val="595959"/>
                <w:sz w:val="16"/>
              </w:rPr>
              <w:t>Execução</w:t>
            </w:r>
          </w:p>
        </w:tc>
        <w:tc>
          <w:tcPr>
            <w:tcW w:w="755" w:type="pct"/>
            <w:tcBorders>
              <w:top w:val="single" w:sz="18" w:space="0" w:color="D0CECE" w:themeColor="background2" w:themeShade="E6"/>
              <w:bottom w:val="single" w:sz="12" w:space="0" w:color="D0CECE" w:themeColor="background2" w:themeShade="E6"/>
            </w:tcBorders>
            <w:shd w:val="clear" w:color="auto" w:fill="F2F2F2" w:themeFill="background1" w:themeFillShade="F2"/>
            <w:vAlign w:val="center"/>
          </w:tcPr>
          <w:p w14:paraId="535683BA" w14:textId="77777777" w:rsidR="000435C2" w:rsidRPr="00167EE8" w:rsidRDefault="008B332B" w:rsidP="00BF0FEB">
            <w:pPr>
              <w:pStyle w:val="Other0"/>
              <w:spacing w:before="120" w:after="120"/>
              <w:jc w:val="center"/>
              <w:rPr>
                <w:sz w:val="16"/>
                <w:szCs w:val="16"/>
              </w:rPr>
            </w:pPr>
            <w:r w:rsidRPr="00167EE8">
              <w:rPr>
                <w:rStyle w:val="Other"/>
                <w:sz w:val="16"/>
              </w:rPr>
              <w:t>Não aplicável</w:t>
            </w:r>
          </w:p>
        </w:tc>
        <w:tc>
          <w:tcPr>
            <w:tcW w:w="800" w:type="pct"/>
            <w:tcBorders>
              <w:top w:val="single" w:sz="18" w:space="0" w:color="D0CECE" w:themeColor="background2" w:themeShade="E6"/>
              <w:bottom w:val="single" w:sz="12" w:space="0" w:color="D0CECE" w:themeColor="background2" w:themeShade="E6"/>
            </w:tcBorders>
            <w:shd w:val="clear" w:color="auto" w:fill="F2F2F2" w:themeFill="background1" w:themeFillShade="F2"/>
            <w:vAlign w:val="center"/>
          </w:tcPr>
          <w:p w14:paraId="390851E9" w14:textId="77777777" w:rsidR="000435C2" w:rsidRPr="00167EE8" w:rsidRDefault="008B332B" w:rsidP="00BF0FEB">
            <w:pPr>
              <w:pStyle w:val="Other0"/>
              <w:spacing w:before="120" w:after="120"/>
              <w:ind w:firstLine="540"/>
              <w:rPr>
                <w:sz w:val="16"/>
                <w:szCs w:val="16"/>
              </w:rPr>
            </w:pPr>
            <w:r w:rsidRPr="00167EE8">
              <w:rPr>
                <w:rStyle w:val="Other"/>
                <w:sz w:val="16"/>
              </w:rPr>
              <w:t>35</w:t>
            </w:r>
          </w:p>
        </w:tc>
      </w:tr>
      <w:tr w:rsidR="000435C2" w:rsidRPr="00167EE8" w14:paraId="3D76BC57" w14:textId="77777777" w:rsidTr="00BF0FEB">
        <w:trPr>
          <w:trHeight w:val="20"/>
          <w:jc w:val="right"/>
        </w:trPr>
        <w:tc>
          <w:tcPr>
            <w:tcW w:w="3445" w:type="pct"/>
            <w:tcBorders>
              <w:top w:val="single" w:sz="12" w:space="0" w:color="D0CECE" w:themeColor="background2" w:themeShade="E6"/>
            </w:tcBorders>
            <w:shd w:val="clear" w:color="auto" w:fill="F2F2F2" w:themeFill="background1" w:themeFillShade="F2"/>
            <w:vAlign w:val="center"/>
          </w:tcPr>
          <w:p w14:paraId="69907A20" w14:textId="77777777" w:rsidR="000435C2" w:rsidRPr="00167EE8" w:rsidRDefault="008B332B" w:rsidP="00BF0FEB">
            <w:pPr>
              <w:pStyle w:val="Other0"/>
              <w:spacing w:before="120" w:after="120"/>
              <w:rPr>
                <w:sz w:val="16"/>
                <w:szCs w:val="16"/>
              </w:rPr>
            </w:pPr>
            <w:r w:rsidRPr="00167EE8">
              <w:rPr>
                <w:rStyle w:val="Other"/>
                <w:color w:val="595959"/>
                <w:sz w:val="16"/>
              </w:rPr>
              <w:t>Sustentabilidade</w:t>
            </w:r>
          </w:p>
        </w:tc>
        <w:tc>
          <w:tcPr>
            <w:tcW w:w="755" w:type="pct"/>
            <w:tcBorders>
              <w:top w:val="single" w:sz="12" w:space="0" w:color="D0CECE" w:themeColor="background2" w:themeShade="E6"/>
            </w:tcBorders>
            <w:shd w:val="clear" w:color="auto" w:fill="F2F2F2" w:themeFill="background1" w:themeFillShade="F2"/>
            <w:vAlign w:val="center"/>
          </w:tcPr>
          <w:p w14:paraId="66AA19B4" w14:textId="77777777" w:rsidR="000435C2" w:rsidRPr="00167EE8" w:rsidRDefault="008B332B" w:rsidP="00BF0FEB">
            <w:pPr>
              <w:pStyle w:val="Other0"/>
              <w:spacing w:before="120" w:after="120"/>
              <w:jc w:val="center"/>
              <w:rPr>
                <w:sz w:val="16"/>
                <w:szCs w:val="16"/>
              </w:rPr>
            </w:pPr>
            <w:r w:rsidRPr="00167EE8">
              <w:rPr>
                <w:rStyle w:val="Other"/>
                <w:color w:val="595959"/>
                <w:sz w:val="16"/>
              </w:rPr>
              <w:t>Não aplicável</w:t>
            </w:r>
          </w:p>
        </w:tc>
        <w:tc>
          <w:tcPr>
            <w:tcW w:w="800" w:type="pct"/>
            <w:tcBorders>
              <w:top w:val="single" w:sz="12" w:space="0" w:color="D0CECE" w:themeColor="background2" w:themeShade="E6"/>
            </w:tcBorders>
            <w:shd w:val="clear" w:color="auto" w:fill="F2F2F2" w:themeFill="background1" w:themeFillShade="F2"/>
            <w:vAlign w:val="center"/>
          </w:tcPr>
          <w:p w14:paraId="26A906CD" w14:textId="77777777" w:rsidR="000435C2" w:rsidRPr="00167EE8" w:rsidRDefault="008B332B" w:rsidP="00BF0FEB">
            <w:pPr>
              <w:pStyle w:val="Other0"/>
              <w:spacing w:before="120" w:after="120"/>
              <w:ind w:firstLine="540"/>
              <w:rPr>
                <w:sz w:val="16"/>
                <w:szCs w:val="16"/>
              </w:rPr>
            </w:pPr>
            <w:r w:rsidRPr="00167EE8">
              <w:rPr>
                <w:rStyle w:val="Other"/>
                <w:color w:val="595959"/>
                <w:sz w:val="16"/>
              </w:rPr>
              <w:t>15</w:t>
            </w:r>
          </w:p>
        </w:tc>
      </w:tr>
      <w:tr w:rsidR="000435C2" w:rsidRPr="00167EE8" w14:paraId="685AE987" w14:textId="77777777" w:rsidTr="00BF0FEB">
        <w:trPr>
          <w:trHeight w:val="20"/>
          <w:jc w:val="right"/>
        </w:trPr>
        <w:tc>
          <w:tcPr>
            <w:tcW w:w="3445" w:type="pct"/>
            <w:shd w:val="clear" w:color="auto" w:fill="D9D9D9"/>
            <w:vAlign w:val="center"/>
          </w:tcPr>
          <w:p w14:paraId="0F243598" w14:textId="77777777" w:rsidR="000435C2" w:rsidRPr="00167EE8" w:rsidRDefault="008B332B" w:rsidP="00BF0FEB">
            <w:pPr>
              <w:pStyle w:val="Other0"/>
              <w:spacing w:before="120" w:after="120"/>
              <w:rPr>
                <w:sz w:val="16"/>
                <w:szCs w:val="16"/>
              </w:rPr>
            </w:pPr>
            <w:r w:rsidRPr="00167EE8">
              <w:rPr>
                <w:rStyle w:val="Other"/>
                <w:b/>
                <w:color w:val="595959"/>
                <w:sz w:val="16"/>
              </w:rPr>
              <w:t>Pontuações (de aprovação) globais</w:t>
            </w:r>
          </w:p>
        </w:tc>
        <w:tc>
          <w:tcPr>
            <w:tcW w:w="755" w:type="pct"/>
            <w:shd w:val="clear" w:color="auto" w:fill="D9D9D9"/>
            <w:vAlign w:val="center"/>
          </w:tcPr>
          <w:p w14:paraId="7B28AF7A" w14:textId="77777777" w:rsidR="000435C2" w:rsidRPr="00167EE8" w:rsidRDefault="008B332B" w:rsidP="00BF0FEB">
            <w:pPr>
              <w:pStyle w:val="Other0"/>
              <w:spacing w:before="120" w:after="120"/>
              <w:jc w:val="center"/>
              <w:rPr>
                <w:sz w:val="16"/>
                <w:szCs w:val="16"/>
              </w:rPr>
            </w:pPr>
            <w:r w:rsidRPr="00167EE8">
              <w:rPr>
                <w:rStyle w:val="Other"/>
                <w:b/>
                <w:color w:val="595959"/>
                <w:sz w:val="16"/>
              </w:rPr>
              <w:t>50</w:t>
            </w:r>
          </w:p>
        </w:tc>
        <w:tc>
          <w:tcPr>
            <w:tcW w:w="800" w:type="pct"/>
            <w:shd w:val="clear" w:color="auto" w:fill="D9D9D9"/>
            <w:vAlign w:val="center"/>
          </w:tcPr>
          <w:p w14:paraId="62E0E26A" w14:textId="77777777" w:rsidR="000435C2" w:rsidRPr="00167EE8" w:rsidRDefault="008B332B" w:rsidP="00BF0FEB">
            <w:pPr>
              <w:pStyle w:val="Other0"/>
              <w:spacing w:before="120" w:after="120"/>
              <w:ind w:firstLine="460"/>
              <w:rPr>
                <w:sz w:val="16"/>
                <w:szCs w:val="16"/>
              </w:rPr>
            </w:pPr>
            <w:r w:rsidRPr="00167EE8">
              <w:rPr>
                <w:rStyle w:val="Other"/>
                <w:b/>
                <w:color w:val="595959"/>
                <w:sz w:val="16"/>
              </w:rPr>
              <w:t>100</w:t>
            </w:r>
          </w:p>
        </w:tc>
      </w:tr>
    </w:tbl>
    <w:p w14:paraId="02BDC4E7" w14:textId="77777777" w:rsidR="000435C2" w:rsidRPr="00167EE8" w:rsidRDefault="000435C2">
      <w:pPr>
        <w:spacing w:after="439" w:line="1" w:lineRule="exact"/>
      </w:pPr>
    </w:p>
    <w:p w14:paraId="453771C3" w14:textId="77777777" w:rsidR="000435C2" w:rsidRPr="00167EE8" w:rsidRDefault="008B332B" w:rsidP="00BF0FEB">
      <w:pPr>
        <w:pStyle w:val="BodyText"/>
        <w:spacing w:after="200"/>
      </w:pPr>
      <w:r w:rsidRPr="00167EE8">
        <w:rPr>
          <w:rStyle w:val="BodyTextChar"/>
        </w:rPr>
        <w:t>Pontuação máxima: 100 pontos.</w:t>
      </w:r>
    </w:p>
    <w:p w14:paraId="7B14273F" w14:textId="77777777" w:rsidR="000435C2" w:rsidRPr="00167EE8" w:rsidRDefault="008B332B" w:rsidP="00BF0FEB">
      <w:pPr>
        <w:pStyle w:val="BodyText"/>
        <w:spacing w:after="200"/>
      </w:pPr>
      <w:r w:rsidRPr="00167EE8">
        <w:rPr>
          <w:rStyle w:val="BodyTextChar"/>
        </w:rPr>
        <w:t>Limiares individuais por critério: não aplicável.</w:t>
      </w:r>
    </w:p>
    <w:p w14:paraId="494471D7" w14:textId="3C4540BC" w:rsidR="00BF0FEB" w:rsidRPr="00167EE8" w:rsidRDefault="008B332B" w:rsidP="00BF0FEB">
      <w:pPr>
        <w:pStyle w:val="BodyText"/>
        <w:spacing w:after="200"/>
      </w:pPr>
      <w:r w:rsidRPr="00167EE8">
        <w:rPr>
          <w:rStyle w:val="BodyTextChar"/>
        </w:rPr>
        <w:t>Limiar global: 50</w:t>
      </w:r>
    </w:p>
    <w:p w14:paraId="621121E5" w14:textId="26D80BAB" w:rsidR="000435C2" w:rsidRPr="00167EE8" w:rsidRDefault="008B332B" w:rsidP="00BF0FEB">
      <w:pPr>
        <w:pStyle w:val="BodyText"/>
        <w:spacing w:after="200"/>
      </w:pPr>
      <w:r w:rsidRPr="00167EE8">
        <w:rPr>
          <w:rStyle w:val="BodyTextChar"/>
        </w:rPr>
        <w:t>As propostas que atinjam o limiar global serão consideradas para financiamento — dentro dos limites do orçamento disponível (ou seja, até ao limite máximo orçamental). As demais propostas serão rejeitadas.</w:t>
      </w:r>
    </w:p>
    <w:p w14:paraId="464E2AA7" w14:textId="452BADE0" w:rsidR="000435C2" w:rsidRPr="00167EE8" w:rsidRDefault="008B332B" w:rsidP="00BF35B3">
      <w:pPr>
        <w:pStyle w:val="Heading1"/>
      </w:pPr>
      <w:bookmarkStart w:id="59" w:name="bookmark66"/>
      <w:bookmarkStart w:id="60" w:name="_Toc185511153"/>
      <w:r w:rsidRPr="00167EE8">
        <w:rPr>
          <w:rStyle w:val="Heading3"/>
          <w:b/>
        </w:rPr>
        <w:t>Estrutura jurídica e financeira das convenções de subvenção</w:t>
      </w:r>
      <w:bookmarkEnd w:id="59"/>
      <w:bookmarkEnd w:id="60"/>
    </w:p>
    <w:p w14:paraId="3FC7280D" w14:textId="77777777" w:rsidR="000435C2" w:rsidRPr="00167EE8" w:rsidRDefault="008B332B">
      <w:pPr>
        <w:pStyle w:val="BodyText"/>
        <w:spacing w:after="200"/>
        <w:jc w:val="both"/>
      </w:pPr>
      <w:r w:rsidRPr="00167EE8">
        <w:rPr>
          <w:rStyle w:val="BodyTextChar"/>
        </w:rPr>
        <w:t>Os projetos que passem a avaliação, serão convidados a preparar a subvenção e ser-lhes-á solicitado que preparem a convenção de subvenção em colaboração com o responsável de projeto da UE.</w:t>
      </w:r>
    </w:p>
    <w:p w14:paraId="56585D54" w14:textId="77777777" w:rsidR="000435C2" w:rsidRPr="00167EE8" w:rsidRDefault="008B332B">
      <w:pPr>
        <w:pStyle w:val="BodyText"/>
        <w:spacing w:after="200"/>
        <w:jc w:val="both"/>
      </w:pPr>
      <w:r w:rsidRPr="00167EE8">
        <w:rPr>
          <w:rStyle w:val="BodyTextChar"/>
        </w:rPr>
        <w:t>A convenção de subvenção estabelecerá o quadro da subvenção e os respetivos termos e condições, em especial no que diz respeito às prestações concretas, à apresentação de relatórios e aos pagamentos.</w:t>
      </w:r>
    </w:p>
    <w:p w14:paraId="17013ADB" w14:textId="77777777" w:rsidR="000435C2" w:rsidRPr="00167EE8" w:rsidRDefault="008B332B" w:rsidP="004A65E7">
      <w:pPr>
        <w:pStyle w:val="Style10"/>
      </w:pPr>
      <w:r w:rsidRPr="00167EE8">
        <w:rPr>
          <w:rStyle w:val="BodyTextChar"/>
        </w:rPr>
        <w:t>O modelo de convenção de subvenção que será utilizado (e todos os outros modelos e documentos de orientação pertinentes) pode ser consultado nos</w:t>
      </w:r>
      <w:hyperlink r:id="rId33" w:history="1">
        <w:r w:rsidRPr="00167EE8">
          <w:rPr>
            <w:rStyle w:val="BodyTextChar"/>
          </w:rPr>
          <w:t xml:space="preserve"> </w:t>
        </w:r>
        <w:r w:rsidRPr="00167EE8">
          <w:rPr>
            <w:rStyle w:val="BodyTextChar"/>
            <w:color w:val="0088CC"/>
            <w:u w:val="single"/>
          </w:rPr>
          <w:t>«Documentos de Referência» do Portal</w:t>
        </w:r>
        <w:r w:rsidRPr="00167EE8">
          <w:rPr>
            <w:rStyle w:val="BodyTextChar"/>
          </w:rPr>
          <w:t>.</w:t>
        </w:r>
      </w:hyperlink>
    </w:p>
    <w:p w14:paraId="253BA725" w14:textId="77777777" w:rsidR="000435C2" w:rsidRPr="00167EE8" w:rsidRDefault="008B332B" w:rsidP="00167EE8">
      <w:pPr>
        <w:pStyle w:val="Heading2"/>
        <w:pageBreakBefore/>
        <w:rPr>
          <w:b w:val="0"/>
          <w:bCs w:val="0"/>
        </w:rPr>
      </w:pPr>
      <w:bookmarkStart w:id="61" w:name="bookmark69"/>
      <w:bookmarkStart w:id="62" w:name="_Toc185511154"/>
      <w:r w:rsidRPr="00167EE8">
        <w:rPr>
          <w:rStyle w:val="BodyTextChar"/>
          <w:b w:val="0"/>
          <w:i/>
          <w:u w:val="single"/>
        </w:rPr>
        <w:lastRenderedPageBreak/>
        <w:t>Data de início e duração do projeto</w:t>
      </w:r>
      <w:bookmarkEnd w:id="61"/>
      <w:bookmarkEnd w:id="62"/>
    </w:p>
    <w:p w14:paraId="7C880A22" w14:textId="77777777" w:rsidR="000435C2" w:rsidRPr="00167EE8" w:rsidRDefault="008B332B">
      <w:pPr>
        <w:pStyle w:val="BodyText"/>
        <w:spacing w:after="200"/>
        <w:jc w:val="both"/>
      </w:pPr>
      <w:r w:rsidRPr="00167EE8">
        <w:rPr>
          <w:rStyle w:val="BodyTextChar"/>
        </w:rPr>
        <w:t xml:space="preserve">A data de início e a duração do projeto serão fixadas na convenção de subvenção </w:t>
      </w:r>
      <w:r w:rsidRPr="00167EE8">
        <w:rPr>
          <w:rStyle w:val="BodyTextChar"/>
          <w:i/>
        </w:rPr>
        <w:t>(ficha de dados, ponto 1)</w:t>
      </w:r>
      <w:r w:rsidRPr="00167EE8">
        <w:rPr>
          <w:rStyle w:val="BodyTextChar"/>
        </w:rPr>
        <w:t>. Por norma, a data de início é posterior à assinatura da subvenção. Excecionalmente, por razões devidamente justificadas, pode ser definida uma data de início retroativa, mas nunca anterior à de apresentação da proposta.</w:t>
      </w:r>
    </w:p>
    <w:p w14:paraId="09F9B670" w14:textId="77777777" w:rsidR="000435C2" w:rsidRPr="00167EE8" w:rsidRDefault="008B332B">
      <w:pPr>
        <w:pStyle w:val="BodyText"/>
        <w:spacing w:after="200"/>
        <w:jc w:val="both"/>
      </w:pPr>
      <w:r w:rsidRPr="00167EE8">
        <w:rPr>
          <w:rStyle w:val="BodyTextChar"/>
        </w:rPr>
        <w:t xml:space="preserve">Duração do projeto: </w:t>
      </w:r>
      <w:r w:rsidRPr="00167EE8">
        <w:rPr>
          <w:rStyle w:val="BodyTextChar"/>
          <w:i/>
        </w:rPr>
        <w:t>ver secção 6 acima</w:t>
      </w:r>
      <w:r w:rsidRPr="00167EE8">
        <w:rPr>
          <w:rStyle w:val="BodyTextChar"/>
        </w:rPr>
        <w:t>.</w:t>
      </w:r>
    </w:p>
    <w:p w14:paraId="4BD8925F" w14:textId="77777777" w:rsidR="000435C2" w:rsidRPr="00167EE8" w:rsidRDefault="008B332B">
      <w:pPr>
        <w:pStyle w:val="BodyText"/>
        <w:spacing w:after="200"/>
        <w:jc w:val="both"/>
      </w:pPr>
      <w:r w:rsidRPr="00167EE8">
        <w:rPr>
          <w:rStyle w:val="BodyTextChar"/>
        </w:rPr>
        <w:t>Em casos devidamente justificados, podem ser aceites projetos de maior duração. As prorrogações são possíveis, desde que devidamente justificadas e através de uma alteração.</w:t>
      </w:r>
    </w:p>
    <w:p w14:paraId="4E741C61" w14:textId="77777777" w:rsidR="000435C2" w:rsidRPr="00167EE8" w:rsidRDefault="008B332B" w:rsidP="00BF0FEB">
      <w:pPr>
        <w:pStyle w:val="Heading2"/>
        <w:rPr>
          <w:b w:val="0"/>
          <w:bCs w:val="0"/>
        </w:rPr>
      </w:pPr>
      <w:bookmarkStart w:id="63" w:name="bookmark70"/>
      <w:bookmarkStart w:id="64" w:name="_Toc185511155"/>
      <w:r w:rsidRPr="00167EE8">
        <w:rPr>
          <w:rStyle w:val="BodyTextChar"/>
          <w:b w:val="0"/>
          <w:i/>
          <w:u w:val="single"/>
        </w:rPr>
        <w:t>Etapas e prestações concretas</w:t>
      </w:r>
      <w:bookmarkEnd w:id="63"/>
      <w:bookmarkEnd w:id="64"/>
    </w:p>
    <w:p w14:paraId="57719538" w14:textId="77777777" w:rsidR="000435C2" w:rsidRPr="00167EE8" w:rsidRDefault="008B332B">
      <w:pPr>
        <w:pStyle w:val="BodyText"/>
        <w:spacing w:after="200"/>
        <w:jc w:val="both"/>
      </w:pPr>
      <w:r w:rsidRPr="00167EE8">
        <w:rPr>
          <w:rStyle w:val="BodyTextChar"/>
        </w:rPr>
        <w:t>As etapas e prestações concretas de cada projeto serão geridas através do sistema de gestão das subvenções do portal e refletidas no anexo 1 da convenção de subvenção.</w:t>
      </w:r>
    </w:p>
    <w:p w14:paraId="3B767955" w14:textId="77777777" w:rsidR="000435C2" w:rsidRPr="00167EE8" w:rsidRDefault="008B332B">
      <w:pPr>
        <w:pStyle w:val="BodyText"/>
        <w:spacing w:after="200"/>
        <w:jc w:val="both"/>
      </w:pPr>
      <w:r w:rsidRPr="00167EE8">
        <w:rPr>
          <w:rStyle w:val="BodyTextChar"/>
        </w:rPr>
        <w:t xml:space="preserve">Os seguintes elementos devem ser incluídos na candidatura como </w:t>
      </w:r>
      <w:r w:rsidRPr="00167EE8">
        <w:rPr>
          <w:rStyle w:val="BodyTextChar"/>
          <w:b/>
        </w:rPr>
        <w:t xml:space="preserve">principais prestações esperadas durante a </w:t>
      </w:r>
      <w:r w:rsidRPr="00167EE8">
        <w:rPr>
          <w:rStyle w:val="BodyTextChar"/>
        </w:rPr>
        <w:t>execução do projeto:</w:t>
      </w:r>
    </w:p>
    <w:p w14:paraId="4B19929C" w14:textId="77777777" w:rsidR="000435C2" w:rsidRPr="00167EE8" w:rsidRDefault="008B332B" w:rsidP="006008C4">
      <w:pPr>
        <w:pStyle w:val="BodyText"/>
        <w:numPr>
          <w:ilvl w:val="0"/>
          <w:numId w:val="25"/>
        </w:numPr>
        <w:spacing w:after="120" w:line="254" w:lineRule="auto"/>
        <w:jc w:val="both"/>
      </w:pPr>
      <w:r w:rsidRPr="00167EE8">
        <w:rPr>
          <w:rStyle w:val="BodyTextChar"/>
        </w:rPr>
        <w:t>Sítio Web do projeto (pronto no momento em que as primeiras oportunidades de bolsas de estudo têm de ser publicitadas aos candidatos)</w:t>
      </w:r>
    </w:p>
    <w:p w14:paraId="2F1A579E" w14:textId="77777777" w:rsidR="000435C2" w:rsidRPr="00167EE8" w:rsidRDefault="008B332B" w:rsidP="006008C4">
      <w:pPr>
        <w:pStyle w:val="BodyText"/>
        <w:numPr>
          <w:ilvl w:val="0"/>
          <w:numId w:val="25"/>
        </w:numPr>
        <w:tabs>
          <w:tab w:val="left" w:pos="733"/>
        </w:tabs>
        <w:spacing w:after="120" w:line="269" w:lineRule="auto"/>
        <w:jc w:val="both"/>
      </w:pPr>
      <w:r w:rsidRPr="00167EE8">
        <w:rPr>
          <w:rStyle w:val="BodyTextChar"/>
        </w:rPr>
        <w:t>Materiais de promoção</w:t>
      </w:r>
    </w:p>
    <w:p w14:paraId="20A02649" w14:textId="77777777" w:rsidR="000435C2" w:rsidRPr="00167EE8" w:rsidRDefault="008B332B" w:rsidP="006008C4">
      <w:pPr>
        <w:pStyle w:val="BodyText"/>
        <w:numPr>
          <w:ilvl w:val="0"/>
          <w:numId w:val="25"/>
        </w:numPr>
        <w:spacing w:after="120"/>
        <w:jc w:val="both"/>
      </w:pPr>
      <w:r w:rsidRPr="00167EE8">
        <w:rPr>
          <w:rStyle w:val="BodyTextChar"/>
        </w:rPr>
        <w:t>Modelos para o acordo de bolsa de estudo, acordo de aprendizagem, acordo de mobilidade, transcrição de registos, suplemento ao diploma e acordo de estágio</w:t>
      </w:r>
    </w:p>
    <w:p w14:paraId="3AE988D9" w14:textId="77777777" w:rsidR="000435C2" w:rsidRPr="00167EE8" w:rsidRDefault="008B332B" w:rsidP="006008C4">
      <w:pPr>
        <w:pStyle w:val="BodyText"/>
        <w:numPr>
          <w:ilvl w:val="0"/>
          <w:numId w:val="25"/>
        </w:numPr>
        <w:spacing w:after="120" w:line="269" w:lineRule="auto"/>
        <w:jc w:val="both"/>
      </w:pPr>
      <w:r w:rsidRPr="00167EE8">
        <w:rPr>
          <w:rStyle w:val="BodyTextChar"/>
        </w:rPr>
        <w:t>Atas assinadas das reuniões de seleção</w:t>
      </w:r>
    </w:p>
    <w:p w14:paraId="5A6D79BD" w14:textId="06867FC5" w:rsidR="000435C2" w:rsidRPr="00167EE8" w:rsidRDefault="008B332B" w:rsidP="006008C4">
      <w:pPr>
        <w:pStyle w:val="BodyText"/>
        <w:numPr>
          <w:ilvl w:val="0"/>
          <w:numId w:val="25"/>
        </w:numPr>
        <w:tabs>
          <w:tab w:val="left" w:pos="733"/>
          <w:tab w:val="left" w:pos="3385"/>
          <w:tab w:val="center" w:pos="4345"/>
          <w:tab w:val="right" w:pos="8737"/>
        </w:tabs>
        <w:spacing w:after="120" w:line="269" w:lineRule="auto"/>
        <w:ind w:firstLine="740"/>
        <w:jc w:val="both"/>
      </w:pPr>
      <w:r w:rsidRPr="00167EE8">
        <w:rPr>
          <w:rStyle w:val="BodyTextChar"/>
        </w:rPr>
        <w:t>Relatórios internos/externos de avaliação da qualidade (periódicos, se for caso disso) sobre a oferta académica e de estágio e para o acompanhamento das atividades dos bolseiros</w:t>
      </w:r>
    </w:p>
    <w:p w14:paraId="34E43B6D" w14:textId="77777777" w:rsidR="000435C2" w:rsidRPr="00167EE8" w:rsidRDefault="008B332B" w:rsidP="006008C4">
      <w:pPr>
        <w:pStyle w:val="BodyText"/>
        <w:numPr>
          <w:ilvl w:val="0"/>
          <w:numId w:val="25"/>
        </w:numPr>
        <w:spacing w:after="120"/>
        <w:jc w:val="both"/>
      </w:pPr>
      <w:r w:rsidRPr="00167EE8">
        <w:rPr>
          <w:rStyle w:val="BodyTextChar"/>
        </w:rPr>
        <w:t>Indicadores de sucesso sobre o impacto do projeto a nível individual, institucional e político</w:t>
      </w:r>
    </w:p>
    <w:p w14:paraId="32C8906D" w14:textId="77777777" w:rsidR="000435C2" w:rsidRPr="00167EE8" w:rsidRDefault="008B332B" w:rsidP="006008C4">
      <w:pPr>
        <w:pStyle w:val="BodyText"/>
        <w:numPr>
          <w:ilvl w:val="0"/>
          <w:numId w:val="25"/>
        </w:numPr>
        <w:tabs>
          <w:tab w:val="left" w:pos="733"/>
        </w:tabs>
        <w:spacing w:after="120" w:line="269" w:lineRule="auto"/>
        <w:jc w:val="both"/>
      </w:pPr>
      <w:r w:rsidRPr="00167EE8">
        <w:rPr>
          <w:rStyle w:val="BodyTextChar"/>
        </w:rPr>
        <w:t>Estratégia de divulgação</w:t>
      </w:r>
    </w:p>
    <w:p w14:paraId="5359788B" w14:textId="34A90A52" w:rsidR="000435C2" w:rsidRPr="00167EE8" w:rsidRDefault="008B332B" w:rsidP="006008C4">
      <w:pPr>
        <w:pStyle w:val="BodyText"/>
        <w:numPr>
          <w:ilvl w:val="0"/>
          <w:numId w:val="25"/>
        </w:numPr>
        <w:tabs>
          <w:tab w:val="left" w:pos="733"/>
          <w:tab w:val="left" w:pos="3399"/>
          <w:tab w:val="center" w:pos="4815"/>
        </w:tabs>
        <w:spacing w:after="200" w:line="269" w:lineRule="auto"/>
        <w:jc w:val="both"/>
      </w:pPr>
      <w:r w:rsidRPr="00167EE8">
        <w:rPr>
          <w:rStyle w:val="BodyTextChar"/>
        </w:rPr>
        <w:t>Plano</w:t>
      </w:r>
      <w:r w:rsidRPr="00167EE8">
        <w:rPr>
          <w:rStyle w:val="BodyTextChar"/>
        </w:rPr>
        <w:tab/>
        <w:t>de sustentabilidade operacional e financeira</w:t>
      </w:r>
    </w:p>
    <w:p w14:paraId="2A724942" w14:textId="77777777" w:rsidR="000435C2" w:rsidRPr="00167EE8" w:rsidRDefault="008B332B">
      <w:pPr>
        <w:pStyle w:val="BodyText"/>
        <w:spacing w:after="200"/>
        <w:jc w:val="both"/>
      </w:pPr>
      <w:r w:rsidRPr="00167EE8">
        <w:rPr>
          <w:rStyle w:val="BodyTextChar"/>
        </w:rPr>
        <w:t>Recomenda-se aos candidatos que limitem o número de categorias de prestações a um máximo de 15 no total.</w:t>
      </w:r>
    </w:p>
    <w:p w14:paraId="7D713DDE" w14:textId="77777777" w:rsidR="000435C2" w:rsidRPr="00167EE8" w:rsidRDefault="008B332B" w:rsidP="00BF0FEB">
      <w:pPr>
        <w:pStyle w:val="Heading2"/>
        <w:rPr>
          <w:b w:val="0"/>
          <w:bCs w:val="0"/>
        </w:rPr>
      </w:pPr>
      <w:bookmarkStart w:id="65" w:name="bookmark71"/>
      <w:bookmarkStart w:id="66" w:name="_Toc185511156"/>
      <w:r w:rsidRPr="00167EE8">
        <w:rPr>
          <w:rStyle w:val="BodyTextChar"/>
          <w:b w:val="0"/>
          <w:i/>
          <w:u w:val="single"/>
        </w:rPr>
        <w:t>Forma de subvenção, taxa de financiamento e montante máximo da subvenção</w:t>
      </w:r>
      <w:bookmarkEnd w:id="65"/>
      <w:bookmarkEnd w:id="66"/>
    </w:p>
    <w:p w14:paraId="7C5F6621" w14:textId="77777777" w:rsidR="000435C2" w:rsidRPr="00167EE8" w:rsidRDefault="008B332B">
      <w:pPr>
        <w:pStyle w:val="BodyText"/>
        <w:jc w:val="both"/>
      </w:pPr>
      <w:r w:rsidRPr="00167EE8">
        <w:rPr>
          <w:rStyle w:val="BodyTextChar"/>
        </w:rPr>
        <w:t xml:space="preserve">Os parâmetros da subvenção </w:t>
      </w:r>
      <w:r w:rsidRPr="00167EE8">
        <w:rPr>
          <w:rStyle w:val="BodyTextChar"/>
          <w:i/>
        </w:rPr>
        <w:t>(montante máximo da subvenção, taxa de financiamento, custos totais elegíveis, etc.)</w:t>
      </w:r>
      <w:r w:rsidRPr="00167EE8">
        <w:rPr>
          <w:rStyle w:val="BodyTextChar"/>
        </w:rPr>
        <w:t xml:space="preserve"> serão fixados na convenção de subvenção </w:t>
      </w:r>
      <w:r w:rsidRPr="00167EE8">
        <w:rPr>
          <w:rStyle w:val="BodyTextChar"/>
          <w:i/>
        </w:rPr>
        <w:t>(ficha de dados, ponto 3 e artigo 5.º)</w:t>
      </w:r>
      <w:r w:rsidRPr="00167EE8">
        <w:rPr>
          <w:rStyle w:val="BodyTextChar"/>
        </w:rPr>
        <w:t>.</w:t>
      </w:r>
    </w:p>
    <w:p w14:paraId="72DE032F" w14:textId="77777777" w:rsidR="000435C2" w:rsidRPr="00167EE8" w:rsidRDefault="008B332B">
      <w:pPr>
        <w:pStyle w:val="BodyText"/>
        <w:jc w:val="both"/>
      </w:pPr>
      <w:r w:rsidRPr="00167EE8">
        <w:rPr>
          <w:rStyle w:val="BodyTextChar"/>
        </w:rPr>
        <w:t>Orçamento do projeto (montante máximo da subvenção): 1 450 000 EUR por projeto.</w:t>
      </w:r>
    </w:p>
    <w:p w14:paraId="4A2D2460" w14:textId="77777777" w:rsidR="000435C2" w:rsidRPr="00167EE8" w:rsidRDefault="008B332B">
      <w:pPr>
        <w:pStyle w:val="BodyText"/>
        <w:jc w:val="both"/>
      </w:pPr>
      <w:r w:rsidRPr="00167EE8">
        <w:rPr>
          <w:rStyle w:val="BodyTextChar"/>
        </w:rPr>
        <w:t>A subvenção concedida pode ser inferior ao montante solicitado.</w:t>
      </w:r>
    </w:p>
    <w:p w14:paraId="40D94BEB" w14:textId="77777777" w:rsidR="000435C2" w:rsidRPr="00167EE8" w:rsidRDefault="008B332B">
      <w:pPr>
        <w:pStyle w:val="BodyText"/>
        <w:jc w:val="both"/>
      </w:pPr>
      <w:r w:rsidRPr="00167EE8">
        <w:rPr>
          <w:rStyle w:val="BodyTextChar"/>
        </w:rPr>
        <w:t>O orçamento dos projetos selecionados será financiado a partir de 3 dotações orçamentais regionais diferentes, proporcionalmente aos montantes disponíveis para cada região.</w:t>
      </w:r>
    </w:p>
    <w:p w14:paraId="6B42566D" w14:textId="77777777" w:rsidR="000435C2" w:rsidRPr="00167EE8" w:rsidRDefault="008B332B">
      <w:pPr>
        <w:pStyle w:val="BodyText"/>
        <w:jc w:val="both"/>
      </w:pPr>
      <w:r w:rsidRPr="00167EE8">
        <w:rPr>
          <w:rStyle w:val="BodyTextChar"/>
        </w:rPr>
        <w:lastRenderedPageBreak/>
        <w:t>A subvenção será uma subvenção unitária. Isto significa que reembolsará um montante fixo por unidade, com base em custos unitários, contribuições unitárias ou financiamento não associado aos custos.</w:t>
      </w:r>
    </w:p>
    <w:p w14:paraId="6AFA8E8D" w14:textId="77777777" w:rsidR="000435C2" w:rsidRPr="00167EE8" w:rsidRDefault="008B332B" w:rsidP="00BF0FEB">
      <w:pPr>
        <w:pStyle w:val="Heading2"/>
        <w:rPr>
          <w:rStyle w:val="BodyTextChar"/>
          <w:i/>
          <w:iCs/>
          <w:u w:val="single"/>
        </w:rPr>
      </w:pPr>
      <w:bookmarkStart w:id="67" w:name="bookmark72"/>
      <w:bookmarkStart w:id="68" w:name="_Toc185511157"/>
      <w:r w:rsidRPr="00167EE8">
        <w:rPr>
          <w:rStyle w:val="BodyTextChar"/>
          <w:b w:val="0"/>
          <w:i/>
          <w:u w:val="single"/>
        </w:rPr>
        <w:t>Categorias orçamentais e regras de elegibilidade dos custos</w:t>
      </w:r>
      <w:bookmarkEnd w:id="67"/>
      <w:bookmarkEnd w:id="68"/>
    </w:p>
    <w:p w14:paraId="293BBA46" w14:textId="77777777" w:rsidR="000435C2" w:rsidRPr="00167EE8" w:rsidRDefault="008B332B">
      <w:pPr>
        <w:pStyle w:val="BodyText"/>
        <w:jc w:val="both"/>
      </w:pPr>
      <w:r w:rsidRPr="00167EE8">
        <w:rPr>
          <w:rStyle w:val="BodyTextChar"/>
        </w:rPr>
        <w:t xml:space="preserve">As categorias orçamentais e as regras de elegibilidade dos custos são estabelecidas na convenção de subvenção </w:t>
      </w:r>
      <w:r w:rsidRPr="00167EE8">
        <w:rPr>
          <w:rStyle w:val="BodyTextChar"/>
          <w:i/>
        </w:rPr>
        <w:t>(ficha de dados, ponto 3, artigo 6.º e anexo 2)</w:t>
      </w:r>
      <w:r w:rsidRPr="00167EE8">
        <w:rPr>
          <w:rStyle w:val="BodyTextChar"/>
        </w:rPr>
        <w:t>.</w:t>
      </w:r>
    </w:p>
    <w:p w14:paraId="7365DD6D" w14:textId="77777777" w:rsidR="000435C2" w:rsidRPr="00167EE8" w:rsidRDefault="008B332B">
      <w:pPr>
        <w:pStyle w:val="BodyText"/>
        <w:spacing w:after="120"/>
        <w:jc w:val="both"/>
      </w:pPr>
      <w:r w:rsidRPr="00167EE8">
        <w:rPr>
          <w:rStyle w:val="BodyTextChar"/>
          <w:i/>
        </w:rPr>
        <w:t>Categorias orçamentais do presente convite:</w:t>
      </w:r>
    </w:p>
    <w:p w14:paraId="25ECA22C" w14:textId="77777777" w:rsidR="000435C2" w:rsidRPr="00167EE8" w:rsidRDefault="008B332B" w:rsidP="006008C4">
      <w:pPr>
        <w:pStyle w:val="BodyText"/>
        <w:numPr>
          <w:ilvl w:val="0"/>
          <w:numId w:val="25"/>
        </w:numPr>
        <w:tabs>
          <w:tab w:val="left" w:pos="702"/>
          <w:tab w:val="left" w:pos="1102"/>
        </w:tabs>
        <w:spacing w:after="120" w:line="221" w:lineRule="auto"/>
        <w:jc w:val="both"/>
      </w:pPr>
      <w:r w:rsidRPr="00167EE8">
        <w:rPr>
          <w:rStyle w:val="BodyTextChar"/>
        </w:rPr>
        <w:t>A. Contribuições para bolsas de estudo</w:t>
      </w:r>
    </w:p>
    <w:p w14:paraId="02164A54" w14:textId="77777777" w:rsidR="000435C2" w:rsidRPr="00167EE8" w:rsidRDefault="008B332B" w:rsidP="006008C4">
      <w:pPr>
        <w:pStyle w:val="BodyText"/>
        <w:numPr>
          <w:ilvl w:val="0"/>
          <w:numId w:val="25"/>
        </w:numPr>
        <w:tabs>
          <w:tab w:val="left" w:pos="702"/>
          <w:tab w:val="left" w:pos="1102"/>
        </w:tabs>
        <w:spacing w:after="120" w:line="221" w:lineRule="auto"/>
        <w:jc w:val="both"/>
      </w:pPr>
      <w:r w:rsidRPr="00167EE8">
        <w:rPr>
          <w:rStyle w:val="BodyTextChar"/>
        </w:rPr>
        <w:t>B. Contribuições institucionais</w:t>
      </w:r>
    </w:p>
    <w:p w14:paraId="2C2E31EA" w14:textId="77777777" w:rsidR="000435C2" w:rsidRPr="00167EE8" w:rsidRDefault="008B332B" w:rsidP="006008C4">
      <w:pPr>
        <w:pStyle w:val="BodyText"/>
        <w:numPr>
          <w:ilvl w:val="0"/>
          <w:numId w:val="25"/>
        </w:numPr>
        <w:tabs>
          <w:tab w:val="left" w:pos="702"/>
          <w:tab w:val="left" w:pos="1107"/>
        </w:tabs>
        <w:spacing w:after="120" w:line="221" w:lineRule="auto"/>
        <w:jc w:val="both"/>
      </w:pPr>
      <w:r w:rsidRPr="00167EE8">
        <w:rPr>
          <w:rStyle w:val="BodyTextChar"/>
        </w:rPr>
        <w:t>C. Contribuições para necessidades especiais</w:t>
      </w:r>
    </w:p>
    <w:p w14:paraId="033D96BC" w14:textId="77777777" w:rsidR="000435C2" w:rsidRPr="00167EE8" w:rsidRDefault="008B332B">
      <w:pPr>
        <w:pStyle w:val="BodyText"/>
        <w:spacing w:after="120"/>
        <w:jc w:val="both"/>
      </w:pPr>
      <w:r w:rsidRPr="00167EE8">
        <w:rPr>
          <w:rStyle w:val="BodyTextChar"/>
          <w:i/>
        </w:rPr>
        <w:t>Regras específicas de elegibilidade de custos para o presente convite:</w:t>
      </w:r>
    </w:p>
    <w:p w14:paraId="6CCC61AB" w14:textId="77777777" w:rsidR="000435C2" w:rsidRPr="00167EE8" w:rsidRDefault="008B332B" w:rsidP="006008C4">
      <w:pPr>
        <w:pStyle w:val="BodyText"/>
        <w:numPr>
          <w:ilvl w:val="0"/>
          <w:numId w:val="25"/>
        </w:numPr>
        <w:tabs>
          <w:tab w:val="left" w:pos="759"/>
        </w:tabs>
        <w:spacing w:after="240" w:line="233" w:lineRule="auto"/>
        <w:jc w:val="both"/>
      </w:pPr>
      <w:r w:rsidRPr="00167EE8">
        <w:rPr>
          <w:rStyle w:val="BodyTextChar"/>
        </w:rPr>
        <w:t>o montante da subvenção unitária deve ser calculado em conformidade com a metodologia estabelecida na decisão que autoriza a utilização de contribuições unitárias e utilizando a calculadora disponibilizada (se existir).</w:t>
      </w:r>
    </w:p>
    <w:p w14:paraId="77CBBFE0" w14:textId="77777777" w:rsidR="000435C2" w:rsidRPr="00167EE8" w:rsidRDefault="008B332B" w:rsidP="006008C4">
      <w:pPr>
        <w:keepNext/>
        <w:keepLines/>
        <w:numPr>
          <w:ilvl w:val="0"/>
          <w:numId w:val="26"/>
        </w:numPr>
        <w:tabs>
          <w:tab w:val="left" w:pos="766"/>
        </w:tabs>
        <w:spacing w:after="120"/>
        <w:ind w:firstLine="360"/>
        <w:jc w:val="both"/>
        <w:rPr>
          <w:b/>
          <w:bCs/>
        </w:rPr>
      </w:pPr>
      <w:bookmarkStart w:id="69" w:name="bookmark73"/>
      <w:r w:rsidRPr="00167EE8">
        <w:rPr>
          <w:b/>
        </w:rPr>
        <w:t>Contribuição para a bolsa de estudo</w:t>
      </w:r>
      <w:bookmarkEnd w:id="69"/>
    </w:p>
    <w:p w14:paraId="5E8CF4BA" w14:textId="77777777" w:rsidR="000435C2" w:rsidRPr="00167EE8" w:rsidRDefault="008B332B">
      <w:pPr>
        <w:pStyle w:val="BodyText"/>
        <w:jc w:val="both"/>
      </w:pPr>
      <w:r w:rsidRPr="00167EE8">
        <w:rPr>
          <w:rStyle w:val="BodyTextChar"/>
        </w:rPr>
        <w:t>A bolsa de estudo para indivíduos (estudantes, estagiários e pessoal) cobre as despesas de deslocação, instalação e subsistência.</w:t>
      </w:r>
    </w:p>
    <w:p w14:paraId="60956341" w14:textId="77777777" w:rsidR="000435C2" w:rsidRPr="00167EE8" w:rsidRDefault="008B332B">
      <w:pPr>
        <w:pStyle w:val="BodyText"/>
        <w:jc w:val="both"/>
      </w:pPr>
      <w:r w:rsidRPr="00167EE8">
        <w:rPr>
          <w:rStyle w:val="BodyTextChar"/>
        </w:rPr>
        <w:t>A bolsa de estudo é calculada com base numa contribuição unitária mensal (pro rata do número efetivo de dias), do seguinte modo:</w:t>
      </w:r>
    </w:p>
    <w:p w14:paraId="5E0D8CBA" w14:textId="77777777" w:rsidR="000435C2" w:rsidRPr="00167EE8" w:rsidRDefault="008B332B" w:rsidP="006008C4">
      <w:pPr>
        <w:pStyle w:val="BodyText"/>
        <w:numPr>
          <w:ilvl w:val="0"/>
          <w:numId w:val="27"/>
        </w:numPr>
        <w:tabs>
          <w:tab w:val="left" w:pos="1058"/>
        </w:tabs>
        <w:spacing w:after="120"/>
        <w:ind w:firstLine="720"/>
        <w:jc w:val="both"/>
      </w:pPr>
      <w:r w:rsidRPr="00167EE8">
        <w:rPr>
          <w:rStyle w:val="BodyTextChar"/>
        </w:rPr>
        <w:t>Estudantes de mestrado: 890 EUR/mês x duração em meses da mobilidade</w:t>
      </w:r>
    </w:p>
    <w:p w14:paraId="48DCACC9" w14:textId="77777777" w:rsidR="000435C2" w:rsidRPr="00167EE8" w:rsidRDefault="008B332B" w:rsidP="006008C4">
      <w:pPr>
        <w:pStyle w:val="BodyText"/>
        <w:numPr>
          <w:ilvl w:val="0"/>
          <w:numId w:val="27"/>
        </w:numPr>
        <w:tabs>
          <w:tab w:val="left" w:pos="1058"/>
        </w:tabs>
        <w:spacing w:after="0"/>
        <w:ind w:firstLine="720"/>
        <w:jc w:val="both"/>
      </w:pPr>
      <w:r w:rsidRPr="00167EE8">
        <w:rPr>
          <w:rStyle w:val="BodyTextChar"/>
        </w:rPr>
        <w:t>Doutorandos/estagiários: EUR 1230/mês x duração em meses de</w:t>
      </w:r>
    </w:p>
    <w:p w14:paraId="54DD8677" w14:textId="77777777" w:rsidR="000435C2" w:rsidRPr="00167EE8" w:rsidRDefault="008B332B">
      <w:pPr>
        <w:pStyle w:val="BodyText"/>
        <w:spacing w:after="120"/>
        <w:ind w:left="1100"/>
        <w:jc w:val="both"/>
      </w:pPr>
      <w:r w:rsidRPr="00167EE8">
        <w:rPr>
          <w:rStyle w:val="BodyTextChar"/>
        </w:rPr>
        <w:t>mobilidade</w:t>
      </w:r>
    </w:p>
    <w:p w14:paraId="517C6F34" w14:textId="77777777" w:rsidR="000435C2" w:rsidRPr="00167EE8" w:rsidRDefault="008B332B" w:rsidP="006008C4">
      <w:pPr>
        <w:pStyle w:val="BodyText"/>
        <w:numPr>
          <w:ilvl w:val="0"/>
          <w:numId w:val="27"/>
        </w:numPr>
        <w:tabs>
          <w:tab w:val="left" w:pos="1058"/>
        </w:tabs>
        <w:spacing w:after="240"/>
        <w:ind w:firstLine="720"/>
        <w:jc w:val="both"/>
      </w:pPr>
      <w:r w:rsidRPr="00167EE8">
        <w:rPr>
          <w:rStyle w:val="BodyTextChar"/>
        </w:rPr>
        <w:t>Membro do pessoal: 2370 EUR/mês x duração em meses da mobilidade</w:t>
      </w:r>
    </w:p>
    <w:p w14:paraId="2DC2EDEA" w14:textId="77777777" w:rsidR="000435C2" w:rsidRPr="00167EE8" w:rsidRDefault="008B332B" w:rsidP="006008C4">
      <w:pPr>
        <w:keepNext/>
        <w:keepLines/>
        <w:numPr>
          <w:ilvl w:val="0"/>
          <w:numId w:val="26"/>
        </w:numPr>
        <w:tabs>
          <w:tab w:val="left" w:pos="747"/>
        </w:tabs>
        <w:spacing w:after="120"/>
        <w:ind w:firstLine="360"/>
        <w:jc w:val="both"/>
        <w:rPr>
          <w:b/>
          <w:bCs/>
        </w:rPr>
      </w:pPr>
      <w:bookmarkStart w:id="70" w:name="bookmark75"/>
      <w:r w:rsidRPr="00167EE8">
        <w:rPr>
          <w:b/>
        </w:rPr>
        <w:t>Contribuição institucional</w:t>
      </w:r>
      <w:bookmarkEnd w:id="70"/>
    </w:p>
    <w:p w14:paraId="2A2E038C" w14:textId="77777777" w:rsidR="000435C2" w:rsidRPr="00167EE8" w:rsidRDefault="008B332B">
      <w:pPr>
        <w:pStyle w:val="BodyText"/>
        <w:jc w:val="both"/>
      </w:pPr>
      <w:r w:rsidRPr="00167EE8">
        <w:rPr>
          <w:rStyle w:val="BodyTextChar"/>
        </w:rPr>
        <w:t>A contribuição unitária institucional visa cobrir parte dos custos relacionados com a aplicação do regime de mobilidade, tais como a gestão do projeto, a coordenação, a comunicação e a divulgação, os serviços prestados aos estudantes, incluindo a cobertura por seguros, os custos de participação, incluindo propinas, atividades de investigação e todos os outros custos necessários para executar com êxito o plano de mobilidade.</w:t>
      </w:r>
    </w:p>
    <w:p w14:paraId="424AEE05" w14:textId="77777777" w:rsidR="000435C2" w:rsidRPr="00167EE8" w:rsidRDefault="008B332B">
      <w:pPr>
        <w:pStyle w:val="BodyText"/>
        <w:jc w:val="both"/>
      </w:pPr>
      <w:r w:rsidRPr="00167EE8">
        <w:rPr>
          <w:rStyle w:val="BodyTextChar"/>
        </w:rPr>
        <w:t>A contribuição máxima para os custos institucionais durante o período de vigência da convenção de subvenção é calculada do seguinte modo:</w:t>
      </w:r>
    </w:p>
    <w:p w14:paraId="4F9A1FB1" w14:textId="77777777" w:rsidR="000435C2" w:rsidRPr="00167EE8" w:rsidRDefault="008B332B">
      <w:pPr>
        <w:pStyle w:val="BodyText"/>
        <w:jc w:val="both"/>
      </w:pPr>
      <w:r w:rsidRPr="00167EE8">
        <w:rPr>
          <w:rStyle w:val="BodyTextChar"/>
        </w:rPr>
        <w:t>900 EUR/mês x duração em meses de toda a mobilidade executada (pro rata do número efetivo de dias)</w:t>
      </w:r>
    </w:p>
    <w:p w14:paraId="66BE9606" w14:textId="77777777" w:rsidR="000435C2" w:rsidRPr="00167EE8" w:rsidRDefault="008B332B" w:rsidP="006008C4">
      <w:pPr>
        <w:keepNext/>
        <w:keepLines/>
        <w:numPr>
          <w:ilvl w:val="0"/>
          <w:numId w:val="26"/>
        </w:numPr>
        <w:tabs>
          <w:tab w:val="left" w:pos="741"/>
        </w:tabs>
        <w:spacing w:after="120"/>
        <w:ind w:firstLine="380"/>
        <w:jc w:val="both"/>
        <w:rPr>
          <w:b/>
          <w:bCs/>
        </w:rPr>
      </w:pPr>
      <w:bookmarkStart w:id="71" w:name="bookmark77"/>
      <w:r w:rsidRPr="00167EE8">
        <w:rPr>
          <w:b/>
        </w:rPr>
        <w:t>Contribuição para necessidades especiais</w:t>
      </w:r>
      <w:bookmarkEnd w:id="71"/>
    </w:p>
    <w:p w14:paraId="388E6462" w14:textId="77777777" w:rsidR="000435C2" w:rsidRPr="00167EE8" w:rsidRDefault="008B332B">
      <w:pPr>
        <w:pStyle w:val="BodyText"/>
        <w:spacing w:after="0"/>
        <w:jc w:val="both"/>
      </w:pPr>
      <w:r w:rsidRPr="00167EE8">
        <w:rPr>
          <w:rStyle w:val="BodyTextChar"/>
          <w:color w:val="0D0D0D"/>
        </w:rPr>
        <w:t xml:space="preserve">A contribuição para necessidades especiais é elegível para a mobilidade de um bolseiro com deficiência cujas deficiências físicas, mentais, intelectuais ou sensoriais a longo prazo sejam certificadas por uma autoridade nacional competente e de natureza tal que a sua participação na ação não seja possível sem os elementos ou serviços de necessidades especiais. Contribuirão para cobrir custos, tais como os relacionados com a aquisição de bens ou serviços especiais (por exemplo, assistência de terceiros, adaptação do ambiente de trabalho, custos adicionais de </w:t>
      </w:r>
      <w:r w:rsidRPr="00167EE8">
        <w:rPr>
          <w:rStyle w:val="BodyTextChar"/>
          <w:color w:val="0D0D0D"/>
        </w:rPr>
        <w:lastRenderedPageBreak/>
        <w:t>deslocação/transporte).</w:t>
      </w:r>
    </w:p>
    <w:p w14:paraId="49ADD546" w14:textId="77777777" w:rsidR="000435C2" w:rsidRPr="00167EE8" w:rsidRDefault="008B332B">
      <w:pPr>
        <w:pStyle w:val="BodyText"/>
        <w:spacing w:after="120"/>
        <w:jc w:val="both"/>
      </w:pPr>
      <w:r w:rsidRPr="00167EE8">
        <w:rPr>
          <w:rStyle w:val="BodyTextChar"/>
          <w:color w:val="0D0D0D"/>
        </w:rPr>
        <w:t>O apoio destinado a cobrir as necessidades individuais dos estudantes inscritos assumirá a forma das seguintes contribuições unitárias para necessidades especiais:</w:t>
      </w:r>
    </w:p>
    <w:p w14:paraId="50E169FF" w14:textId="77777777" w:rsidR="008F31DC" w:rsidRPr="00167EE8" w:rsidRDefault="008B332B" w:rsidP="008F31DC">
      <w:pPr>
        <w:pStyle w:val="BodyText"/>
        <w:numPr>
          <w:ilvl w:val="0"/>
          <w:numId w:val="29"/>
        </w:numPr>
        <w:tabs>
          <w:tab w:val="left" w:pos="835"/>
        </w:tabs>
        <w:spacing w:after="0"/>
        <w:ind w:firstLine="426"/>
        <w:jc w:val="both"/>
        <w:rPr>
          <w:rStyle w:val="BodyTextChar"/>
        </w:rPr>
      </w:pPr>
      <w:r w:rsidRPr="00167EE8">
        <w:rPr>
          <w:rStyle w:val="BodyTextChar"/>
        </w:rPr>
        <w:t>3000 EUR</w:t>
      </w:r>
    </w:p>
    <w:p w14:paraId="6DD71143" w14:textId="77777777" w:rsidR="008F31DC" w:rsidRPr="00167EE8" w:rsidRDefault="008B332B" w:rsidP="008F31DC">
      <w:pPr>
        <w:pStyle w:val="BodyText"/>
        <w:numPr>
          <w:ilvl w:val="0"/>
          <w:numId w:val="29"/>
        </w:numPr>
        <w:tabs>
          <w:tab w:val="left" w:pos="821"/>
        </w:tabs>
        <w:spacing w:after="0"/>
        <w:ind w:firstLine="426"/>
        <w:jc w:val="both"/>
        <w:rPr>
          <w:rStyle w:val="BodyTextChar"/>
        </w:rPr>
      </w:pPr>
      <w:r w:rsidRPr="00167EE8">
        <w:rPr>
          <w:rStyle w:val="BodyTextChar"/>
        </w:rPr>
        <w:t>4500 EUR</w:t>
      </w:r>
    </w:p>
    <w:p w14:paraId="598E5087" w14:textId="77777777" w:rsidR="008F31DC" w:rsidRPr="00167EE8" w:rsidRDefault="008B332B" w:rsidP="008F31DC">
      <w:pPr>
        <w:pStyle w:val="BodyText"/>
        <w:numPr>
          <w:ilvl w:val="0"/>
          <w:numId w:val="29"/>
        </w:numPr>
        <w:tabs>
          <w:tab w:val="left" w:pos="821"/>
        </w:tabs>
        <w:spacing w:after="0"/>
        <w:ind w:firstLine="426"/>
        <w:jc w:val="both"/>
        <w:rPr>
          <w:rStyle w:val="BodyTextChar"/>
        </w:rPr>
      </w:pPr>
      <w:r w:rsidRPr="00167EE8">
        <w:rPr>
          <w:rStyle w:val="BodyTextChar"/>
        </w:rPr>
        <w:t>6000 000 EUR</w:t>
      </w:r>
    </w:p>
    <w:p w14:paraId="016809EC" w14:textId="77777777" w:rsidR="008F31DC" w:rsidRPr="00167EE8" w:rsidRDefault="008B332B" w:rsidP="008F31DC">
      <w:pPr>
        <w:pStyle w:val="BodyText"/>
        <w:numPr>
          <w:ilvl w:val="0"/>
          <w:numId w:val="29"/>
        </w:numPr>
        <w:tabs>
          <w:tab w:val="left" w:pos="835"/>
        </w:tabs>
        <w:spacing w:after="0"/>
        <w:ind w:firstLine="426"/>
        <w:jc w:val="both"/>
        <w:rPr>
          <w:rStyle w:val="BodyTextChar"/>
        </w:rPr>
      </w:pPr>
      <w:r w:rsidRPr="00167EE8">
        <w:rPr>
          <w:rStyle w:val="BodyTextChar"/>
        </w:rPr>
        <w:t>9500 EUR</w:t>
      </w:r>
    </w:p>
    <w:p w14:paraId="223475D1" w14:textId="1B14A0C3" w:rsidR="000435C2" w:rsidRPr="00167EE8" w:rsidRDefault="008B332B" w:rsidP="008F31DC">
      <w:pPr>
        <w:pStyle w:val="BodyText"/>
        <w:numPr>
          <w:ilvl w:val="0"/>
          <w:numId w:val="29"/>
        </w:numPr>
        <w:tabs>
          <w:tab w:val="left" w:pos="835"/>
        </w:tabs>
        <w:spacing w:after="0"/>
        <w:ind w:firstLine="426"/>
        <w:jc w:val="both"/>
        <w:rPr>
          <w:rStyle w:val="BodyTextChar"/>
        </w:rPr>
      </w:pPr>
      <w:r w:rsidRPr="00167EE8">
        <w:rPr>
          <w:rStyle w:val="BodyTextChar"/>
        </w:rPr>
        <w:t>13 000 EUR</w:t>
      </w:r>
    </w:p>
    <w:p w14:paraId="5198A772" w14:textId="2FF2707D" w:rsidR="000435C2" w:rsidRPr="00167EE8" w:rsidRDefault="008B332B" w:rsidP="008F31DC">
      <w:pPr>
        <w:pStyle w:val="BodyText"/>
        <w:numPr>
          <w:ilvl w:val="0"/>
          <w:numId w:val="29"/>
        </w:numPr>
        <w:tabs>
          <w:tab w:val="left" w:pos="821"/>
        </w:tabs>
        <w:spacing w:after="0"/>
        <w:ind w:firstLine="426"/>
        <w:jc w:val="both"/>
        <w:rPr>
          <w:rStyle w:val="BodyTextChar"/>
        </w:rPr>
      </w:pPr>
      <w:r w:rsidRPr="00167EE8">
        <w:rPr>
          <w:rStyle w:val="BodyTextChar"/>
        </w:rPr>
        <w:t>18 500 EUR</w:t>
      </w:r>
    </w:p>
    <w:p w14:paraId="685C960E" w14:textId="77777777" w:rsidR="000435C2" w:rsidRPr="00167EE8" w:rsidRDefault="008B332B" w:rsidP="008F31DC">
      <w:pPr>
        <w:pStyle w:val="BodyText"/>
        <w:numPr>
          <w:ilvl w:val="0"/>
          <w:numId w:val="29"/>
        </w:numPr>
        <w:tabs>
          <w:tab w:val="left" w:pos="821"/>
        </w:tabs>
        <w:spacing w:after="0"/>
        <w:ind w:firstLine="426"/>
        <w:jc w:val="both"/>
        <w:rPr>
          <w:rStyle w:val="BodyTextChar"/>
        </w:rPr>
      </w:pPr>
      <w:r w:rsidRPr="00167EE8">
        <w:rPr>
          <w:rStyle w:val="BodyTextChar"/>
        </w:rPr>
        <w:t>g) 27 500 EUR</w:t>
      </w:r>
    </w:p>
    <w:p w14:paraId="42F58887" w14:textId="77777777" w:rsidR="000435C2" w:rsidRPr="00167EE8" w:rsidRDefault="008B332B" w:rsidP="008F31DC">
      <w:pPr>
        <w:pStyle w:val="BodyText"/>
        <w:numPr>
          <w:ilvl w:val="0"/>
          <w:numId w:val="29"/>
        </w:numPr>
        <w:tabs>
          <w:tab w:val="left" w:pos="821"/>
        </w:tabs>
        <w:spacing w:after="0"/>
        <w:ind w:firstLine="426"/>
        <w:jc w:val="both"/>
        <w:rPr>
          <w:rStyle w:val="BodyTextChar"/>
        </w:rPr>
      </w:pPr>
      <w:r w:rsidRPr="00167EE8">
        <w:rPr>
          <w:rStyle w:val="BodyTextChar"/>
        </w:rPr>
        <w:t>h) 35 500 EUR</w:t>
      </w:r>
    </w:p>
    <w:p w14:paraId="60837D08" w14:textId="77777777" w:rsidR="000435C2" w:rsidRPr="00167EE8" w:rsidRDefault="008B332B" w:rsidP="008F31DC">
      <w:pPr>
        <w:pStyle w:val="BodyText"/>
        <w:numPr>
          <w:ilvl w:val="0"/>
          <w:numId w:val="29"/>
        </w:numPr>
        <w:tabs>
          <w:tab w:val="left" w:pos="821"/>
        </w:tabs>
        <w:spacing w:after="0"/>
        <w:ind w:firstLine="426"/>
        <w:jc w:val="both"/>
        <w:rPr>
          <w:rStyle w:val="BodyTextChar"/>
        </w:rPr>
      </w:pPr>
      <w:r w:rsidRPr="00167EE8">
        <w:rPr>
          <w:rStyle w:val="BodyTextChar"/>
        </w:rPr>
        <w:t>47 500 EUR</w:t>
      </w:r>
    </w:p>
    <w:p w14:paraId="2F607B84" w14:textId="77777777" w:rsidR="000435C2" w:rsidRPr="00167EE8" w:rsidRDefault="008B332B" w:rsidP="008F31DC">
      <w:pPr>
        <w:pStyle w:val="BodyText"/>
        <w:numPr>
          <w:ilvl w:val="0"/>
          <w:numId w:val="29"/>
        </w:numPr>
        <w:tabs>
          <w:tab w:val="left" w:pos="821"/>
        </w:tabs>
        <w:spacing w:after="240"/>
        <w:ind w:firstLine="426"/>
        <w:jc w:val="both"/>
        <w:rPr>
          <w:rStyle w:val="BodyTextChar"/>
        </w:rPr>
      </w:pPr>
      <w:r w:rsidRPr="00167EE8">
        <w:rPr>
          <w:rStyle w:val="BodyTextChar"/>
        </w:rPr>
        <w:t>60 000 EUR</w:t>
      </w:r>
    </w:p>
    <w:p w14:paraId="236F481A" w14:textId="77777777" w:rsidR="000435C2" w:rsidRPr="00167EE8" w:rsidRDefault="008B332B">
      <w:pPr>
        <w:pStyle w:val="BodyText"/>
        <w:spacing w:after="120"/>
        <w:jc w:val="both"/>
      </w:pPr>
      <w:r w:rsidRPr="00167EE8">
        <w:rPr>
          <w:rStyle w:val="BodyTextChar"/>
        </w:rPr>
        <w:t>Cálculo da contribuição unitária por estudante:</w:t>
      </w:r>
    </w:p>
    <w:p w14:paraId="7F2DDC6B" w14:textId="77777777" w:rsidR="000435C2" w:rsidRPr="00167EE8" w:rsidRDefault="008B332B">
      <w:pPr>
        <w:pStyle w:val="BodyText"/>
        <w:spacing w:after="120"/>
        <w:jc w:val="both"/>
      </w:pPr>
      <w:r w:rsidRPr="00167EE8">
        <w:rPr>
          <w:rStyle w:val="BodyTextChar"/>
        </w:rPr>
        <w:t>Os bolseiros declararão o tipo de bens/serviços necessários e o seu custo. Os beneficiários devem reclamar a taxa mais baixa por estudante em comparação com os custos reais estimados das suas necessidades especiais. A contribuição para as necessidades especiais pode ser avaliada caso a caso, a fim de assegurar a conformidade com o princípio da boa gestão financeira. Se esta avaliação demonstrar que as necessidades descritas não correspondem à categoria de subsídio proposta, a Agência pode ajustar que a categoria de necessidade seja alterada para refletir a descrição. Os custos inferiores a 3000 EUR e superiores a 60 000 EUR não serão reembolsados através do subsídio para necessidades especiais.</w:t>
      </w:r>
    </w:p>
    <w:p w14:paraId="1D6DDFF2" w14:textId="77777777" w:rsidR="000435C2" w:rsidRPr="00167EE8" w:rsidRDefault="008B332B">
      <w:pPr>
        <w:pStyle w:val="BodyText"/>
        <w:spacing w:after="120"/>
        <w:jc w:val="both"/>
      </w:pPr>
      <w:r w:rsidRPr="00167EE8">
        <w:rPr>
          <w:rStyle w:val="BodyTextChar"/>
        </w:rPr>
        <w:t>Cálculo da contribuição máxima atribuída ao consórcio para o período de vigência da convenção de subvenção:</w:t>
      </w:r>
    </w:p>
    <w:p w14:paraId="1B35101F" w14:textId="77777777" w:rsidR="000435C2" w:rsidRPr="00167EE8" w:rsidRDefault="008B332B" w:rsidP="006008C4">
      <w:pPr>
        <w:pStyle w:val="BodyText"/>
        <w:numPr>
          <w:ilvl w:val="0"/>
          <w:numId w:val="32"/>
        </w:numPr>
        <w:tabs>
          <w:tab w:val="left" w:pos="735"/>
        </w:tabs>
        <w:spacing w:after="120"/>
        <w:ind w:left="740" w:hanging="360"/>
        <w:jc w:val="both"/>
      </w:pPr>
      <w:r w:rsidRPr="00167EE8">
        <w:rPr>
          <w:rStyle w:val="BodyTextChar"/>
        </w:rPr>
        <w:t>Na fase de candidatura, com base na sua estimativa, os candidatos solicitarão um máximo de dois custos unitários, correspondentes aos custos unitários mais elevados disponíveis, ou seja, um máximo de 2 x 60 000 EUR. Este montante será utilizado para atribuir os custos unitários aos bolseiros em causa.</w:t>
      </w:r>
    </w:p>
    <w:p w14:paraId="5DB83A7E" w14:textId="77777777" w:rsidR="000435C2" w:rsidRPr="00167EE8" w:rsidRDefault="008B332B" w:rsidP="006008C4">
      <w:pPr>
        <w:pStyle w:val="BodyText"/>
        <w:numPr>
          <w:ilvl w:val="0"/>
          <w:numId w:val="32"/>
        </w:numPr>
        <w:tabs>
          <w:tab w:val="left" w:pos="735"/>
        </w:tabs>
        <w:spacing w:after="120"/>
        <w:ind w:left="740" w:hanging="360"/>
        <w:jc w:val="both"/>
      </w:pPr>
      <w:r w:rsidRPr="00167EE8">
        <w:rPr>
          <w:rStyle w:val="BodyTextChar"/>
        </w:rPr>
        <w:t>Na fase de execução, a contribuição unitária mensal é calculada do seguinte modo:</w:t>
      </w:r>
    </w:p>
    <w:p w14:paraId="7FA8EDAE" w14:textId="77777777" w:rsidR="000435C2" w:rsidRPr="00167EE8" w:rsidRDefault="008B332B">
      <w:pPr>
        <w:pStyle w:val="BodyText"/>
        <w:spacing w:after="120"/>
        <w:jc w:val="center"/>
      </w:pPr>
      <w:r w:rsidRPr="00167EE8">
        <w:rPr>
          <w:rStyle w:val="BodyTextChar"/>
        </w:rPr>
        <w:t>{Unidade de necessidades especiais x (1/número de meses)}</w:t>
      </w:r>
    </w:p>
    <w:p w14:paraId="0EB31A5C" w14:textId="77777777" w:rsidR="000435C2" w:rsidRPr="00167EE8" w:rsidRDefault="008B332B">
      <w:pPr>
        <w:pStyle w:val="BodyText"/>
        <w:spacing w:after="120"/>
        <w:jc w:val="both"/>
      </w:pPr>
      <w:r w:rsidRPr="00167EE8">
        <w:rPr>
          <w:rStyle w:val="BodyTextChar"/>
        </w:rPr>
        <w:t>O número de meses na fórmula acima deve corresponder ao número de meses em que os elementos ou serviços com necessidades especiais foram utilizados ou produzidos para a execução da ação, dependendo da natureza dos elementos ou serviços. No caso de custos pontuais, o número de meses deverá corresponder a 1.</w:t>
      </w:r>
    </w:p>
    <w:p w14:paraId="0806EF80" w14:textId="77777777" w:rsidR="000435C2" w:rsidRPr="00167EE8" w:rsidRDefault="008B332B" w:rsidP="008F31DC">
      <w:pPr>
        <w:pStyle w:val="Heading2"/>
        <w:rPr>
          <w:b w:val="0"/>
          <w:bCs w:val="0"/>
        </w:rPr>
      </w:pPr>
      <w:bookmarkStart w:id="72" w:name="bookmark79"/>
      <w:bookmarkStart w:id="73" w:name="_Toc185511158"/>
      <w:r w:rsidRPr="00167EE8">
        <w:rPr>
          <w:rStyle w:val="BodyTextChar"/>
          <w:b w:val="0"/>
          <w:i/>
          <w:u w:val="single"/>
        </w:rPr>
        <w:t>Modalidades de apresentação de relatórios e de pagamento</w:t>
      </w:r>
      <w:bookmarkEnd w:id="72"/>
      <w:bookmarkEnd w:id="73"/>
    </w:p>
    <w:p w14:paraId="0D1EBE32" w14:textId="77777777" w:rsidR="000435C2" w:rsidRPr="00167EE8" w:rsidRDefault="008B332B">
      <w:pPr>
        <w:pStyle w:val="BodyText"/>
        <w:jc w:val="both"/>
      </w:pPr>
      <w:r w:rsidRPr="00167EE8">
        <w:rPr>
          <w:rStyle w:val="BodyTextChar"/>
        </w:rPr>
        <w:t xml:space="preserve">As modalidades de apresentação de relatórios e de pagamento são fixadas na convenção de subvenção </w:t>
      </w:r>
      <w:r w:rsidRPr="00167EE8">
        <w:rPr>
          <w:rStyle w:val="BodyTextChar"/>
          <w:i/>
        </w:rPr>
        <w:t>(ficha de dados, ponto 4, e artigos 21.º e 22.º)</w:t>
      </w:r>
      <w:r w:rsidRPr="00167EE8">
        <w:rPr>
          <w:rStyle w:val="BodyTextChar"/>
        </w:rPr>
        <w:t>.</w:t>
      </w:r>
    </w:p>
    <w:p w14:paraId="32E817B7" w14:textId="5321721E" w:rsidR="000435C2" w:rsidRPr="00167EE8" w:rsidRDefault="008B332B" w:rsidP="008F31DC">
      <w:pPr>
        <w:pStyle w:val="BodyText"/>
        <w:jc w:val="both"/>
        <w:rPr>
          <w:rStyle w:val="BodyTextChar"/>
        </w:rPr>
      </w:pPr>
      <w:r w:rsidRPr="00167EE8">
        <w:rPr>
          <w:rStyle w:val="BodyTextChar"/>
        </w:rPr>
        <w:t xml:space="preserve">Após a assinatura da subvenção, o candidato receberá, em princípio, um </w:t>
      </w:r>
      <w:r w:rsidRPr="00167EE8">
        <w:rPr>
          <w:rStyle w:val="BodyTextChar"/>
          <w:b/>
        </w:rPr>
        <w:t>pré-financiamento</w:t>
      </w:r>
      <w:r w:rsidRPr="00167EE8">
        <w:rPr>
          <w:rStyle w:val="BodyTextChar"/>
        </w:rPr>
        <w:t xml:space="preserve"> para começar a trabalhar no projeto (fundo de tesouraria normalmente correspondente a </w:t>
      </w:r>
      <w:r w:rsidRPr="00167EE8">
        <w:rPr>
          <w:rStyle w:val="BodyTextChar"/>
          <w:b/>
        </w:rPr>
        <w:t>50 %</w:t>
      </w:r>
      <w:r w:rsidRPr="00167EE8">
        <w:rPr>
          <w:rStyle w:val="BodyTextChar"/>
        </w:rPr>
        <w:t xml:space="preserve"> do montante máximo da subvenção; excecionalmente menos, ou nenhum pré-financiamento). O pré-financiamento será pago no prazo de 30 dias a contar da data de entrada em vigor/garantia financeira (se exigida), consoante a data que for posterior.</w:t>
      </w:r>
    </w:p>
    <w:p w14:paraId="6CBE1F2F" w14:textId="0524470E" w:rsidR="000435C2" w:rsidRPr="00167EE8" w:rsidRDefault="008B332B" w:rsidP="008F31DC">
      <w:pPr>
        <w:pStyle w:val="BodyText"/>
        <w:jc w:val="both"/>
      </w:pPr>
      <w:r w:rsidRPr="00167EE8">
        <w:rPr>
          <w:rStyle w:val="BodyTextChar"/>
        </w:rPr>
        <w:t>Não haverá pagamentos intermédios. Haverá um ou mais pagamentos</w:t>
      </w:r>
      <w:r w:rsidRPr="00167EE8">
        <w:rPr>
          <w:rStyle w:val="BodyTextChar"/>
          <w:b/>
        </w:rPr>
        <w:t xml:space="preserve"> adicionais de pré-financiamento</w:t>
      </w:r>
      <w:r w:rsidRPr="00167EE8">
        <w:rPr>
          <w:rStyle w:val="BodyTextChar"/>
        </w:rPr>
        <w:t xml:space="preserve"> associados a um relatório de pré-financiamento.</w:t>
      </w:r>
    </w:p>
    <w:p w14:paraId="54BF3DF1" w14:textId="77777777" w:rsidR="000435C2" w:rsidRPr="00167EE8" w:rsidRDefault="008B332B">
      <w:pPr>
        <w:pStyle w:val="BodyText"/>
        <w:jc w:val="both"/>
      </w:pPr>
      <w:r w:rsidRPr="00167EE8">
        <w:rPr>
          <w:rStyle w:val="BodyTextChar"/>
        </w:rPr>
        <w:lastRenderedPageBreak/>
        <w:t>Além disso, o candidato deverá apresentar um ou mais relatórios de progresso não relacionados com os pagamentos.</w:t>
      </w:r>
    </w:p>
    <w:p w14:paraId="47B827BC" w14:textId="77777777" w:rsidR="000435C2" w:rsidRPr="00167EE8" w:rsidRDefault="008B332B">
      <w:pPr>
        <w:pStyle w:val="BodyText"/>
        <w:jc w:val="both"/>
      </w:pPr>
      <w:r w:rsidRPr="00167EE8">
        <w:rPr>
          <w:rStyle w:val="BodyTextChar"/>
          <w:b/>
        </w:rPr>
        <w:t>Pagamento do saldo:</w:t>
      </w:r>
      <w:r w:rsidRPr="00167EE8">
        <w:rPr>
          <w:rStyle w:val="BodyTextChar"/>
        </w:rPr>
        <w:t xml:space="preserve"> no final do projeto, será calculado o montante final da subvenção. Se o total dos pagamentos anteriores for superior ao montante final da subvenção, ser-lhe-á solicitado (ao seu coordenador) o reembolso da diferença (recuperação).</w:t>
      </w:r>
    </w:p>
    <w:p w14:paraId="7ED92153" w14:textId="77777777" w:rsidR="000435C2" w:rsidRPr="00167EE8" w:rsidRDefault="008B332B">
      <w:pPr>
        <w:pStyle w:val="BodyText"/>
        <w:spacing w:after="280"/>
        <w:jc w:val="both"/>
      </w:pPr>
      <w:r w:rsidRPr="00167EE8">
        <w:rPr>
          <w:rStyle w:val="BodyTextChar"/>
        </w:rPr>
        <w:t>Todos os pagamentos serão feitos ao coordenador.</w:t>
      </w:r>
    </w:p>
    <w:p w14:paraId="6AE058AC" w14:textId="0B470DA3" w:rsidR="000435C2" w:rsidRPr="00167EE8" w:rsidRDefault="00DA7766">
      <w:pPr>
        <w:pStyle w:val="BodyText"/>
        <w:jc w:val="both"/>
      </w:pPr>
      <w:r w:rsidRPr="00167EE8">
        <w:rPr>
          <w:noProof/>
        </w:rPr>
        <w:drawing>
          <wp:inline distT="0" distB="0" distL="0" distR="0" wp14:anchorId="001B61AF" wp14:editId="357F2A47">
            <wp:extent cx="151130" cy="151130"/>
            <wp:effectExtent l="0" t="0" r="1270" b="127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1130" cy="151130"/>
                    </a:xfrm>
                    <a:prstGeom prst="rect">
                      <a:avLst/>
                    </a:prstGeom>
                    <a:noFill/>
                    <a:ln>
                      <a:noFill/>
                    </a:ln>
                  </pic:spPr>
                </pic:pic>
              </a:graphicData>
            </a:graphic>
          </wp:inline>
        </w:drawing>
      </w:r>
      <w:r w:rsidRPr="00167EE8">
        <w:rPr>
          <w:rStyle w:val="BodyTextChar"/>
          <w:color w:val="5E586D"/>
        </w:rPr>
        <w:t xml:space="preserve"> </w:t>
      </w:r>
      <w:r w:rsidRPr="00167EE8">
        <w:rPr>
          <w:rStyle w:val="BodyTextChar"/>
        </w:rPr>
        <w:t xml:space="preserve">Deverá ter em atenção que os pagamentos serão automaticamente reduzidos se um dos membros do seu consórcio tiver dívidas pendentes para com a UE (autoridade que concede a subvenção ou outros organismos da UE). Essas dívidas serão compensadas pela nossa Agência — em conformidade com as condições estabelecidas na convenção de subvenção </w:t>
      </w:r>
      <w:r w:rsidRPr="00167EE8">
        <w:rPr>
          <w:rStyle w:val="BodyTextChar"/>
          <w:i/>
        </w:rPr>
        <w:t>(ver artigo 22.º)</w:t>
      </w:r>
      <w:r w:rsidRPr="00167EE8">
        <w:rPr>
          <w:rStyle w:val="BodyTextChar"/>
        </w:rPr>
        <w:t>.</w:t>
      </w:r>
    </w:p>
    <w:p w14:paraId="3BB6B180" w14:textId="77777777" w:rsidR="000435C2" w:rsidRPr="00167EE8" w:rsidRDefault="008B332B">
      <w:pPr>
        <w:pStyle w:val="BodyText"/>
        <w:jc w:val="both"/>
      </w:pPr>
      <w:r w:rsidRPr="00167EE8">
        <w:rPr>
          <w:rStyle w:val="BodyTextChar"/>
        </w:rPr>
        <w:t>Note também que é responsável por manter registos de todo o trabalho realizado e das unidades declaradas.</w:t>
      </w:r>
    </w:p>
    <w:p w14:paraId="6AC44E71" w14:textId="77777777" w:rsidR="000435C2" w:rsidRPr="00167EE8" w:rsidRDefault="008B332B" w:rsidP="008F31DC">
      <w:pPr>
        <w:pStyle w:val="Heading2"/>
        <w:rPr>
          <w:rStyle w:val="BodyTextChar"/>
          <w:b w:val="0"/>
          <w:bCs w:val="0"/>
          <w:i/>
          <w:iCs/>
          <w:u w:val="single"/>
        </w:rPr>
      </w:pPr>
      <w:bookmarkStart w:id="74" w:name="bookmark80"/>
      <w:bookmarkStart w:id="75" w:name="_Toc185511159"/>
      <w:r w:rsidRPr="00167EE8">
        <w:rPr>
          <w:rStyle w:val="BodyTextChar"/>
          <w:b w:val="0"/>
          <w:i/>
          <w:u w:val="single"/>
        </w:rPr>
        <w:t>Garantias de pré-financiamento</w:t>
      </w:r>
      <w:bookmarkEnd w:id="74"/>
      <w:bookmarkEnd w:id="75"/>
    </w:p>
    <w:p w14:paraId="0802482E" w14:textId="77777777" w:rsidR="000435C2" w:rsidRPr="00167EE8" w:rsidRDefault="008B332B">
      <w:pPr>
        <w:pStyle w:val="BodyText"/>
        <w:jc w:val="both"/>
      </w:pPr>
      <w:r w:rsidRPr="00167EE8">
        <w:rPr>
          <w:rStyle w:val="BodyTextChar"/>
        </w:rPr>
        <w:t xml:space="preserve">Se for exigida uma garantia de pré-financiamento, esta será fixada na convenção de subvenção </w:t>
      </w:r>
      <w:r w:rsidRPr="00167EE8">
        <w:rPr>
          <w:rStyle w:val="BodyTextChar"/>
          <w:i/>
        </w:rPr>
        <w:t>(ficha de dados, ponto 4)</w:t>
      </w:r>
      <w:r w:rsidRPr="00167EE8">
        <w:rPr>
          <w:rStyle w:val="BodyTextChar"/>
        </w:rPr>
        <w:t>. O montante será fixado durante a preparação da subvenção e, em princípio, será igual ou inferior ao pré-financiamento da subvenção.</w:t>
      </w:r>
    </w:p>
    <w:p w14:paraId="5A97BB3D" w14:textId="77777777" w:rsidR="000435C2" w:rsidRPr="00167EE8" w:rsidRDefault="008B332B">
      <w:pPr>
        <w:pStyle w:val="BodyText"/>
        <w:jc w:val="both"/>
      </w:pPr>
      <w:r w:rsidRPr="00167EE8">
        <w:rPr>
          <w:rStyle w:val="BodyTextChar"/>
        </w:rPr>
        <w:t>A garantia deve ser expressa em euros e emitida por um banco/instituição financeira aprovado estabelecido num Estado-Membro da UE. Se estiver estabelecido num país não pertencente à UE e quiser prestar uma garantia de um banco/instituição financeira no seu país, por favor, contacte-nos (este procedimento poderá ser excecionalmente aceite, se oferecer uma segurança equivalente).</w:t>
      </w:r>
    </w:p>
    <w:p w14:paraId="09F70BA6" w14:textId="77777777" w:rsidR="000435C2" w:rsidRPr="00167EE8" w:rsidRDefault="008B332B">
      <w:pPr>
        <w:pStyle w:val="BodyText"/>
        <w:jc w:val="both"/>
      </w:pPr>
      <w:r w:rsidRPr="00167EE8">
        <w:rPr>
          <w:rStyle w:val="BodyTextChar"/>
        </w:rPr>
        <w:t>Os montantes bloqueados em contas bancárias NÃO serão aceites como garantias financeiras.</w:t>
      </w:r>
    </w:p>
    <w:p w14:paraId="658695C7" w14:textId="77777777" w:rsidR="000435C2" w:rsidRPr="00167EE8" w:rsidRDefault="008B332B">
      <w:pPr>
        <w:pStyle w:val="BodyText"/>
        <w:jc w:val="both"/>
      </w:pPr>
      <w:r w:rsidRPr="00167EE8">
        <w:rPr>
          <w:rStyle w:val="BodyTextChar"/>
        </w:rPr>
        <w:t>As garantias de pré-financiamento são normalmente solicitadas ao coordenador, para o consórcio. Devem ser fornecidas durante a preparação da subvenção, a tempo de efetuar o pré-financiamento (cópia digitalizada através do portal E original por correio).</w:t>
      </w:r>
    </w:p>
    <w:p w14:paraId="772CCF27" w14:textId="77777777" w:rsidR="000435C2" w:rsidRPr="00167EE8" w:rsidRDefault="008B332B">
      <w:pPr>
        <w:pStyle w:val="BodyText"/>
        <w:jc w:val="both"/>
      </w:pPr>
      <w:r w:rsidRPr="00167EE8">
        <w:rPr>
          <w:rStyle w:val="BodyTextChar"/>
        </w:rPr>
        <w:t>Se tal for acordado, a garantia bancária pode ser substituída por uma garantia de um terceiro.</w:t>
      </w:r>
    </w:p>
    <w:p w14:paraId="0D13FF89" w14:textId="77777777" w:rsidR="000435C2" w:rsidRPr="00167EE8" w:rsidRDefault="008B332B">
      <w:pPr>
        <w:pStyle w:val="BodyText"/>
        <w:jc w:val="both"/>
      </w:pPr>
      <w:r w:rsidRPr="00167EE8">
        <w:rPr>
          <w:rStyle w:val="BodyTextChar"/>
        </w:rPr>
        <w:t xml:space="preserve">A garantia será liberada no termo da subvenção, em conformidade com as condições estabelecidas na convenção de subvenção </w:t>
      </w:r>
      <w:r w:rsidRPr="00167EE8">
        <w:rPr>
          <w:rStyle w:val="BodyTextChar"/>
          <w:i/>
        </w:rPr>
        <w:t>(artigo 23.º)</w:t>
      </w:r>
      <w:r w:rsidRPr="00167EE8">
        <w:rPr>
          <w:rStyle w:val="BodyTextChar"/>
        </w:rPr>
        <w:t>.</w:t>
      </w:r>
    </w:p>
    <w:p w14:paraId="533EE1B1" w14:textId="77777777" w:rsidR="000435C2" w:rsidRPr="00167EE8" w:rsidRDefault="008B332B" w:rsidP="008F31DC">
      <w:pPr>
        <w:pStyle w:val="Heading2"/>
        <w:rPr>
          <w:rStyle w:val="BodyTextChar"/>
          <w:b w:val="0"/>
          <w:bCs w:val="0"/>
          <w:i/>
          <w:iCs/>
          <w:u w:val="single"/>
        </w:rPr>
      </w:pPr>
      <w:bookmarkStart w:id="76" w:name="bookmark81"/>
      <w:bookmarkStart w:id="77" w:name="_Toc185511160"/>
      <w:r w:rsidRPr="00167EE8">
        <w:rPr>
          <w:rStyle w:val="BodyTextChar"/>
          <w:b w:val="0"/>
          <w:i/>
          <w:u w:val="single"/>
        </w:rPr>
        <w:t>Certificados</w:t>
      </w:r>
      <w:bookmarkEnd w:id="76"/>
      <w:bookmarkEnd w:id="77"/>
    </w:p>
    <w:p w14:paraId="2E65229C" w14:textId="77777777" w:rsidR="000435C2" w:rsidRPr="00167EE8" w:rsidRDefault="008B332B">
      <w:pPr>
        <w:pStyle w:val="BodyText"/>
        <w:spacing w:after="120"/>
        <w:jc w:val="both"/>
      </w:pPr>
      <w:r w:rsidRPr="00167EE8">
        <w:rPr>
          <w:rStyle w:val="BodyTextChar"/>
        </w:rPr>
        <w:t xml:space="preserve">Consoante o tipo de ação, o nível do montante da subvenção e o tipo de beneficiários, pode ser-lhe solicitada a apresentação de diferentes certificados. Os tipos, calendários e limiares de cada certificado são estabelecidos na convenção de subvenção </w:t>
      </w:r>
      <w:r w:rsidRPr="00167EE8">
        <w:rPr>
          <w:rStyle w:val="BodyTextChar"/>
          <w:i/>
        </w:rPr>
        <w:t>(ficha de dados, ponto 4 e artigo 24.º)</w:t>
      </w:r>
      <w:r w:rsidRPr="00167EE8">
        <w:rPr>
          <w:rStyle w:val="BodyTextChar"/>
        </w:rPr>
        <w:t>.</w:t>
      </w:r>
    </w:p>
    <w:p w14:paraId="78ED964E" w14:textId="77777777" w:rsidR="000435C2" w:rsidRPr="00167EE8" w:rsidRDefault="008B332B" w:rsidP="008F31DC">
      <w:pPr>
        <w:pStyle w:val="Heading2"/>
        <w:rPr>
          <w:rStyle w:val="BodyTextChar"/>
          <w:b w:val="0"/>
          <w:bCs w:val="0"/>
          <w:i/>
          <w:iCs/>
          <w:u w:val="single"/>
        </w:rPr>
      </w:pPr>
      <w:bookmarkStart w:id="78" w:name="bookmark82"/>
      <w:bookmarkStart w:id="79" w:name="_Toc185511161"/>
      <w:r w:rsidRPr="00167EE8">
        <w:rPr>
          <w:rStyle w:val="BodyTextChar"/>
          <w:b w:val="0"/>
          <w:i/>
          <w:u w:val="single"/>
        </w:rPr>
        <w:t>Regime de responsabilidade relativo às recuperações</w:t>
      </w:r>
      <w:bookmarkEnd w:id="78"/>
      <w:bookmarkEnd w:id="79"/>
    </w:p>
    <w:p w14:paraId="4DAC3428" w14:textId="77777777" w:rsidR="000435C2" w:rsidRPr="00167EE8" w:rsidRDefault="008B332B">
      <w:pPr>
        <w:pStyle w:val="BodyText"/>
        <w:spacing w:after="120"/>
      </w:pPr>
      <w:r w:rsidRPr="00167EE8">
        <w:rPr>
          <w:rStyle w:val="BodyTextChar"/>
        </w:rPr>
        <w:t xml:space="preserve">O regime de responsabilidade relativo às recuperações será fixado na convenção de subvenção </w:t>
      </w:r>
      <w:r w:rsidRPr="00167EE8">
        <w:rPr>
          <w:rStyle w:val="BodyTextChar"/>
          <w:i/>
        </w:rPr>
        <w:t>(ficha de dados, ponto 4.4, e artigo 22.º).</w:t>
      </w:r>
    </w:p>
    <w:p w14:paraId="6259CC41" w14:textId="77777777" w:rsidR="000435C2" w:rsidRPr="00167EE8" w:rsidRDefault="008B332B">
      <w:pPr>
        <w:pStyle w:val="BodyText"/>
        <w:spacing w:after="120"/>
      </w:pPr>
      <w:r w:rsidRPr="00167EE8">
        <w:rPr>
          <w:rStyle w:val="BodyTextChar"/>
        </w:rPr>
        <w:t>Para os beneficiários, é um dos seguintes:</w:t>
      </w:r>
    </w:p>
    <w:p w14:paraId="29FDBEC5" w14:textId="77777777" w:rsidR="000435C2" w:rsidRPr="00167EE8" w:rsidRDefault="008B332B" w:rsidP="008F31DC">
      <w:pPr>
        <w:pStyle w:val="BodyText"/>
        <w:numPr>
          <w:ilvl w:val="0"/>
          <w:numId w:val="33"/>
        </w:numPr>
        <w:spacing w:after="120" w:line="230" w:lineRule="auto"/>
        <w:ind w:left="709" w:hanging="329"/>
        <w:jc w:val="both"/>
      </w:pPr>
      <w:r w:rsidRPr="00167EE8">
        <w:rPr>
          <w:rStyle w:val="BodyTextChar"/>
        </w:rPr>
        <w:lastRenderedPageBreak/>
        <w:t xml:space="preserve">responsabilidade solidária limitada com limites máximos individuais — </w:t>
      </w:r>
      <w:r w:rsidRPr="00167EE8">
        <w:rPr>
          <w:rStyle w:val="BodyTextChar"/>
          <w:i/>
        </w:rPr>
        <w:t xml:space="preserve">cada beneficiário até </w:t>
      </w:r>
      <w:r w:rsidRPr="00167EE8">
        <w:rPr>
          <w:rStyle w:val="BodyTextChar"/>
        </w:rPr>
        <w:t>ao respetivo montante máximo da subvenção,</w:t>
      </w:r>
    </w:p>
    <w:p w14:paraId="068C474A" w14:textId="77777777" w:rsidR="000435C2" w:rsidRPr="00167EE8" w:rsidRDefault="008B332B" w:rsidP="008F31DC">
      <w:pPr>
        <w:pStyle w:val="BodyText"/>
        <w:numPr>
          <w:ilvl w:val="0"/>
          <w:numId w:val="33"/>
        </w:numPr>
        <w:spacing w:after="120" w:line="230" w:lineRule="auto"/>
        <w:ind w:left="709" w:hanging="329"/>
        <w:jc w:val="both"/>
      </w:pPr>
      <w:r w:rsidRPr="00167EE8">
        <w:rPr>
          <w:rStyle w:val="BodyTextChar"/>
        </w:rPr>
        <w:t xml:space="preserve">responsabilidade solidária incondicional — </w:t>
      </w:r>
      <w:r w:rsidRPr="00167EE8">
        <w:rPr>
          <w:rStyle w:val="BodyTextChar"/>
          <w:i/>
        </w:rPr>
        <w:t>cada beneficiário até ao montante máximo da subvenção da ação</w:t>
      </w:r>
    </w:p>
    <w:p w14:paraId="4E978C71" w14:textId="77777777" w:rsidR="000435C2" w:rsidRPr="00167EE8" w:rsidRDefault="008B332B">
      <w:pPr>
        <w:pStyle w:val="BodyText"/>
        <w:spacing w:after="120"/>
        <w:ind w:firstLine="460"/>
        <w:jc w:val="both"/>
      </w:pPr>
      <w:r w:rsidRPr="00167EE8">
        <w:rPr>
          <w:rStyle w:val="BodyTextChar"/>
        </w:rPr>
        <w:t>ou</w:t>
      </w:r>
    </w:p>
    <w:p w14:paraId="26F3AB7C" w14:textId="77777777" w:rsidR="000435C2" w:rsidRPr="00167EE8" w:rsidRDefault="008B332B" w:rsidP="008F31DC">
      <w:pPr>
        <w:pStyle w:val="BodyText"/>
        <w:numPr>
          <w:ilvl w:val="0"/>
          <w:numId w:val="33"/>
        </w:numPr>
        <w:spacing w:line="230" w:lineRule="auto"/>
        <w:ind w:left="709" w:hanging="329"/>
        <w:jc w:val="both"/>
      </w:pPr>
      <w:r w:rsidRPr="00167EE8">
        <w:rPr>
          <w:rStyle w:val="BodyTextChar"/>
        </w:rPr>
        <w:t xml:space="preserve">responsabilidade financeira individual — </w:t>
      </w:r>
      <w:r w:rsidRPr="00167EE8">
        <w:rPr>
          <w:rStyle w:val="BodyTextChar"/>
          <w:i/>
        </w:rPr>
        <w:t>cada beneficiário é responsável unicamente pelas suas próprias dívidas</w:t>
      </w:r>
      <w:r w:rsidRPr="00167EE8">
        <w:rPr>
          <w:rStyle w:val="BodyTextChar"/>
        </w:rPr>
        <w:t>.</w:t>
      </w:r>
    </w:p>
    <w:p w14:paraId="6D06851E" w14:textId="77777777" w:rsidR="000435C2" w:rsidRPr="00167EE8" w:rsidRDefault="008B332B">
      <w:pPr>
        <w:pStyle w:val="BodyText"/>
        <w:spacing w:after="200"/>
        <w:jc w:val="both"/>
      </w:pPr>
      <w:r w:rsidRPr="00167EE8">
        <w:rPr>
          <w:rStyle w:val="BodyTextChar"/>
        </w:rPr>
        <w:t>Além disso, a autoridade que concede a subvenção pode exigir a responsabilidade solidária das entidades afiliadas (com o seu beneficiário).</w:t>
      </w:r>
    </w:p>
    <w:p w14:paraId="2E2DBE45" w14:textId="77777777" w:rsidR="000435C2" w:rsidRPr="00167EE8" w:rsidRDefault="008B332B" w:rsidP="008F31DC">
      <w:pPr>
        <w:pStyle w:val="Heading2"/>
        <w:rPr>
          <w:b w:val="0"/>
          <w:bCs w:val="0"/>
        </w:rPr>
      </w:pPr>
      <w:bookmarkStart w:id="80" w:name="bookmark83"/>
      <w:bookmarkStart w:id="81" w:name="_Toc185511162"/>
      <w:r w:rsidRPr="00167EE8">
        <w:rPr>
          <w:rStyle w:val="BodyTextChar"/>
          <w:b w:val="0"/>
          <w:i/>
          <w:u w:val="single"/>
        </w:rPr>
        <w:t>Disposições relativas à execução do projeto</w:t>
      </w:r>
      <w:bookmarkEnd w:id="80"/>
      <w:bookmarkEnd w:id="81"/>
    </w:p>
    <w:p w14:paraId="2BE925F9" w14:textId="77777777" w:rsidR="000435C2" w:rsidRPr="00167EE8" w:rsidRDefault="008B332B">
      <w:pPr>
        <w:pStyle w:val="BodyText"/>
        <w:spacing w:after="200"/>
        <w:jc w:val="both"/>
      </w:pPr>
      <w:r w:rsidRPr="00167EE8">
        <w:rPr>
          <w:rStyle w:val="BodyTextChar"/>
        </w:rPr>
        <w:t xml:space="preserve">Regras deontológicas: </w:t>
      </w:r>
      <w:r w:rsidRPr="00167EE8">
        <w:rPr>
          <w:rStyle w:val="BodyTextChar"/>
          <w:i/>
        </w:rPr>
        <w:t>ver modelo de convenção de subvenção (artigo 14.º e anexo 5)</w:t>
      </w:r>
    </w:p>
    <w:p w14:paraId="2A62912F" w14:textId="77777777" w:rsidR="000435C2" w:rsidRPr="00167EE8" w:rsidRDefault="008B332B">
      <w:pPr>
        <w:pStyle w:val="BodyText"/>
        <w:spacing w:after="200"/>
        <w:jc w:val="both"/>
      </w:pPr>
      <w:r w:rsidRPr="00167EE8">
        <w:rPr>
          <w:rStyle w:val="BodyTextChar"/>
        </w:rPr>
        <w:t xml:space="preserve">Regras em matéria de DPI: </w:t>
      </w:r>
      <w:r w:rsidRPr="00167EE8">
        <w:rPr>
          <w:rStyle w:val="BodyTextChar"/>
          <w:i/>
        </w:rPr>
        <w:t>ver modelo de convenção de subvenção (artigo 16.º e anexo 5):</w:t>
      </w:r>
    </w:p>
    <w:p w14:paraId="226875BE" w14:textId="77777777" w:rsidR="000435C2" w:rsidRPr="00167EE8" w:rsidRDefault="008B332B" w:rsidP="008F31DC">
      <w:pPr>
        <w:pStyle w:val="BodyText"/>
        <w:numPr>
          <w:ilvl w:val="0"/>
          <w:numId w:val="33"/>
        </w:numPr>
        <w:tabs>
          <w:tab w:val="left" w:pos="750"/>
        </w:tabs>
        <w:spacing w:after="200" w:line="221" w:lineRule="auto"/>
        <w:ind w:left="851" w:hanging="471"/>
        <w:jc w:val="both"/>
      </w:pPr>
      <w:r w:rsidRPr="00167EE8">
        <w:rPr>
          <w:rStyle w:val="BodyTextChar"/>
        </w:rPr>
        <w:t>direitos de utilização dos resultados: Sim</w:t>
      </w:r>
    </w:p>
    <w:p w14:paraId="1C79C04F" w14:textId="77777777" w:rsidR="000435C2" w:rsidRPr="00167EE8" w:rsidRDefault="008B332B" w:rsidP="008F31DC">
      <w:pPr>
        <w:pStyle w:val="BodyText"/>
        <w:numPr>
          <w:ilvl w:val="0"/>
          <w:numId w:val="33"/>
        </w:numPr>
        <w:tabs>
          <w:tab w:val="left" w:pos="750"/>
        </w:tabs>
        <w:spacing w:after="200" w:line="221" w:lineRule="auto"/>
        <w:ind w:left="851" w:hanging="471"/>
        <w:jc w:val="both"/>
      </w:pPr>
      <w:r w:rsidRPr="00167EE8">
        <w:rPr>
          <w:rStyle w:val="BodyTextChar"/>
        </w:rPr>
        <w:t>acesso aos resultados para fins políticos: Sim</w:t>
      </w:r>
    </w:p>
    <w:p w14:paraId="05D358B7" w14:textId="77777777" w:rsidR="000435C2" w:rsidRPr="00167EE8" w:rsidRDefault="008B332B" w:rsidP="008F31DC">
      <w:pPr>
        <w:pStyle w:val="BodyText"/>
        <w:numPr>
          <w:ilvl w:val="0"/>
          <w:numId w:val="33"/>
        </w:numPr>
        <w:tabs>
          <w:tab w:val="left" w:pos="750"/>
        </w:tabs>
        <w:spacing w:after="200" w:line="221" w:lineRule="auto"/>
        <w:ind w:left="851" w:hanging="471"/>
        <w:jc w:val="both"/>
      </w:pPr>
      <w:r w:rsidRPr="00167EE8">
        <w:rPr>
          <w:rStyle w:val="BodyTextChar"/>
        </w:rPr>
        <w:t>direitos adicionais para países parceiros e organizações regionais: Sim</w:t>
      </w:r>
    </w:p>
    <w:p w14:paraId="17FF18EF" w14:textId="77777777" w:rsidR="000435C2" w:rsidRPr="00167EE8" w:rsidRDefault="008B332B">
      <w:pPr>
        <w:pStyle w:val="BodyText"/>
        <w:spacing w:after="200"/>
        <w:jc w:val="both"/>
      </w:pPr>
      <w:r w:rsidRPr="00167EE8">
        <w:rPr>
          <w:rStyle w:val="BodyTextChar"/>
        </w:rPr>
        <w:t xml:space="preserve">Comunicação, divulgação e visibilidade do financiamento: </w:t>
      </w:r>
      <w:r w:rsidRPr="00167EE8">
        <w:rPr>
          <w:rStyle w:val="BodyTextChar"/>
          <w:i/>
        </w:rPr>
        <w:t>ver modelo de convenção de subvenção (artigo 17.º e anexo 5):</w:t>
      </w:r>
    </w:p>
    <w:p w14:paraId="306C41FF" w14:textId="77777777" w:rsidR="000435C2" w:rsidRPr="00167EE8" w:rsidRDefault="008B332B" w:rsidP="008F31DC">
      <w:pPr>
        <w:pStyle w:val="BodyText"/>
        <w:numPr>
          <w:ilvl w:val="0"/>
          <w:numId w:val="33"/>
        </w:numPr>
        <w:tabs>
          <w:tab w:val="left" w:pos="750"/>
        </w:tabs>
        <w:spacing w:after="200" w:line="221" w:lineRule="auto"/>
        <w:ind w:left="709" w:hanging="329"/>
        <w:jc w:val="both"/>
      </w:pPr>
      <w:r w:rsidRPr="00167EE8">
        <w:rPr>
          <w:rStyle w:val="BodyTextChar"/>
        </w:rPr>
        <w:t>plano de comunicação e divulgação: não</w:t>
      </w:r>
    </w:p>
    <w:p w14:paraId="442C9DD1" w14:textId="77777777" w:rsidR="000435C2" w:rsidRPr="00167EE8" w:rsidRDefault="008B332B" w:rsidP="008F31DC">
      <w:pPr>
        <w:pStyle w:val="BodyText"/>
        <w:numPr>
          <w:ilvl w:val="0"/>
          <w:numId w:val="33"/>
        </w:numPr>
        <w:tabs>
          <w:tab w:val="left" w:pos="750"/>
        </w:tabs>
        <w:spacing w:after="200" w:line="221" w:lineRule="auto"/>
        <w:ind w:left="709" w:hanging="329"/>
        <w:jc w:val="both"/>
      </w:pPr>
      <w:r w:rsidRPr="00167EE8">
        <w:rPr>
          <w:rStyle w:val="BodyTextChar"/>
        </w:rPr>
        <w:t>atividades adicionais de comunicação e divulgação: Sim</w:t>
      </w:r>
    </w:p>
    <w:p w14:paraId="7EAF2E05" w14:textId="77777777" w:rsidR="000435C2" w:rsidRPr="00167EE8" w:rsidRDefault="008B332B" w:rsidP="008F31DC">
      <w:pPr>
        <w:pStyle w:val="BodyText"/>
        <w:numPr>
          <w:ilvl w:val="0"/>
          <w:numId w:val="33"/>
        </w:numPr>
        <w:tabs>
          <w:tab w:val="left" w:pos="750"/>
        </w:tabs>
        <w:spacing w:after="200" w:line="221" w:lineRule="auto"/>
        <w:ind w:left="709" w:hanging="329"/>
        <w:jc w:val="both"/>
      </w:pPr>
      <w:r w:rsidRPr="00167EE8">
        <w:rPr>
          <w:rStyle w:val="BodyTextChar"/>
        </w:rPr>
        <w:t>logótipos especiais: Sim</w:t>
      </w:r>
    </w:p>
    <w:p w14:paraId="21856084" w14:textId="77777777" w:rsidR="000435C2" w:rsidRPr="00167EE8" w:rsidRDefault="008B332B">
      <w:pPr>
        <w:pStyle w:val="BodyText"/>
        <w:spacing w:after="200"/>
      </w:pPr>
      <w:r w:rsidRPr="00167EE8">
        <w:rPr>
          <w:rStyle w:val="BodyTextChar"/>
        </w:rPr>
        <w:t xml:space="preserve">Regras específicas para a execução da ação: </w:t>
      </w:r>
      <w:r w:rsidRPr="00167EE8">
        <w:rPr>
          <w:rStyle w:val="BodyTextChar"/>
          <w:i/>
        </w:rPr>
        <w:t>ver modelo de convenção de subvenção (artigo 18.º e anexo 5)</w:t>
      </w:r>
    </w:p>
    <w:p w14:paraId="14D4749C" w14:textId="77777777" w:rsidR="000435C2" w:rsidRPr="00167EE8" w:rsidRDefault="008B332B" w:rsidP="006008C4">
      <w:pPr>
        <w:pStyle w:val="BodyText"/>
        <w:numPr>
          <w:ilvl w:val="0"/>
          <w:numId w:val="33"/>
        </w:numPr>
        <w:tabs>
          <w:tab w:val="left" w:pos="750"/>
        </w:tabs>
        <w:spacing w:after="200" w:line="221" w:lineRule="auto"/>
        <w:ind w:firstLine="380"/>
        <w:jc w:val="both"/>
      </w:pPr>
      <w:r w:rsidRPr="00167EE8">
        <w:rPr>
          <w:rStyle w:val="BodyTextChar"/>
        </w:rPr>
        <w:t>regras específicas para as ações de mobilidade do MOBAF: Sim</w:t>
      </w:r>
    </w:p>
    <w:p w14:paraId="358A312E" w14:textId="77777777" w:rsidR="000435C2" w:rsidRPr="00167EE8" w:rsidRDefault="008B332B" w:rsidP="006008C4">
      <w:pPr>
        <w:pStyle w:val="BodyText"/>
        <w:numPr>
          <w:ilvl w:val="0"/>
          <w:numId w:val="33"/>
        </w:numPr>
        <w:tabs>
          <w:tab w:val="left" w:pos="750"/>
        </w:tabs>
        <w:spacing w:after="280" w:line="221" w:lineRule="auto"/>
        <w:ind w:firstLine="380"/>
        <w:jc w:val="both"/>
      </w:pPr>
      <w:r w:rsidRPr="00167EE8">
        <w:rPr>
          <w:rStyle w:val="BodyTextChar"/>
        </w:rPr>
        <w:t>Medidas restritivas da UE: Sim</w:t>
      </w:r>
    </w:p>
    <w:p w14:paraId="118D8782" w14:textId="502728D5" w:rsidR="000435C2" w:rsidRPr="00167EE8" w:rsidRDefault="00EF0639">
      <w:pPr>
        <w:pStyle w:val="BodyText"/>
        <w:spacing w:after="200"/>
        <w:jc w:val="both"/>
      </w:pPr>
      <w:bookmarkStart w:id="82" w:name="bookmark84"/>
      <w:r w:rsidRPr="00167EE8">
        <w:rPr>
          <w:noProof/>
        </w:rPr>
        <w:drawing>
          <wp:inline distT="0" distB="0" distL="0" distR="0" wp14:anchorId="0956552A" wp14:editId="500DE14E">
            <wp:extent cx="151130" cy="151130"/>
            <wp:effectExtent l="0" t="0" r="127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1130" cy="151130"/>
                    </a:xfrm>
                    <a:prstGeom prst="rect">
                      <a:avLst/>
                    </a:prstGeom>
                    <a:noFill/>
                    <a:ln>
                      <a:noFill/>
                    </a:ln>
                  </pic:spPr>
                </pic:pic>
              </a:graphicData>
            </a:graphic>
          </wp:inline>
        </w:drawing>
      </w:r>
      <w:r w:rsidRPr="00167EE8">
        <w:rPr>
          <w:rStyle w:val="BodyTextChar"/>
          <w:color w:val="5E586D"/>
        </w:rPr>
        <w:t xml:space="preserve"> </w:t>
      </w:r>
      <w:r w:rsidRPr="00167EE8">
        <w:rPr>
          <w:rStyle w:val="BodyTextChar"/>
        </w:rPr>
        <w:t>As atividades de comunicação e divulgação estabelecidas no artigo 17.º, n.º 1, e no anexo 5 da Convenção de Subvenção são permitidas APENAS se forem explicitamente acordadas com a autoridade que concede a subvenção; a visibilidade do financiamento da UE nos termos do artigo 17.º, n.º 2, e do anexo 5 da Convenção de Subvenção é SEMPRE obrigatória.</w:t>
      </w:r>
      <w:bookmarkEnd w:id="82"/>
    </w:p>
    <w:p w14:paraId="7D9438E0" w14:textId="77777777" w:rsidR="000435C2" w:rsidRPr="00167EE8" w:rsidRDefault="008B332B" w:rsidP="008F31DC">
      <w:pPr>
        <w:pStyle w:val="Heading2"/>
        <w:rPr>
          <w:rStyle w:val="BodyTextChar"/>
          <w:b w:val="0"/>
          <w:bCs w:val="0"/>
          <w:i/>
          <w:iCs/>
          <w:u w:val="single"/>
        </w:rPr>
      </w:pPr>
      <w:bookmarkStart w:id="83" w:name="_Toc185511163"/>
      <w:r w:rsidRPr="00167EE8">
        <w:rPr>
          <w:rStyle w:val="BodyTextChar"/>
          <w:b w:val="0"/>
          <w:i/>
          <w:u w:val="single"/>
        </w:rPr>
        <w:t>Outras especificidades</w:t>
      </w:r>
      <w:bookmarkEnd w:id="83"/>
    </w:p>
    <w:p w14:paraId="3A56E17C" w14:textId="77777777" w:rsidR="000435C2" w:rsidRPr="00167EE8" w:rsidRDefault="008B332B">
      <w:pPr>
        <w:pStyle w:val="BodyText"/>
        <w:jc w:val="both"/>
      </w:pPr>
      <w:r w:rsidRPr="00167EE8">
        <w:rPr>
          <w:rStyle w:val="BodyTextChar"/>
        </w:rPr>
        <w:t>N/A</w:t>
      </w:r>
    </w:p>
    <w:p w14:paraId="3215327B" w14:textId="77777777" w:rsidR="000435C2" w:rsidRPr="00167EE8" w:rsidRDefault="008B332B" w:rsidP="008F31DC">
      <w:pPr>
        <w:pStyle w:val="Heading2"/>
        <w:rPr>
          <w:rStyle w:val="BodyTextChar"/>
          <w:b w:val="0"/>
          <w:bCs w:val="0"/>
          <w:i/>
          <w:iCs/>
          <w:u w:val="single"/>
        </w:rPr>
      </w:pPr>
      <w:bookmarkStart w:id="84" w:name="bookmark85"/>
      <w:bookmarkStart w:id="85" w:name="_Toc185511164"/>
      <w:r w:rsidRPr="00167EE8">
        <w:rPr>
          <w:rStyle w:val="BodyTextChar"/>
          <w:b w:val="0"/>
          <w:i/>
          <w:u w:val="single"/>
        </w:rPr>
        <w:t>Incumprimento e violação do contrato</w:t>
      </w:r>
      <w:bookmarkEnd w:id="84"/>
      <w:bookmarkEnd w:id="85"/>
    </w:p>
    <w:p w14:paraId="723E69C1" w14:textId="77777777" w:rsidR="000435C2" w:rsidRPr="00167EE8" w:rsidRDefault="008B332B">
      <w:pPr>
        <w:pStyle w:val="BodyText"/>
        <w:spacing w:after="260"/>
        <w:jc w:val="both"/>
      </w:pPr>
      <w:r w:rsidRPr="00167EE8">
        <w:rPr>
          <w:rStyle w:val="BodyTextChar"/>
        </w:rPr>
        <w:t>A convenção de subvenção (capítulo 5) estipula as medidas que podem ser tomadas em caso de violação do contrato (e de outros problemas de incumprimento).</w:t>
      </w:r>
    </w:p>
    <w:p w14:paraId="5F6BFF7B" w14:textId="77777777" w:rsidR="000435C2" w:rsidRPr="00167EE8" w:rsidRDefault="008B332B">
      <w:pPr>
        <w:pStyle w:val="BodyText"/>
        <w:ind w:firstLine="380"/>
        <w:jc w:val="both"/>
      </w:pPr>
      <w:r w:rsidRPr="00167EE8">
        <w:rPr>
          <w:rStyle w:val="BodyTextChar"/>
        </w:rPr>
        <w:t>Para mais informações,</w:t>
      </w:r>
      <w:r w:rsidRPr="00167EE8">
        <w:rPr>
          <w:rStyle w:val="BodyTextChar"/>
          <w:i/>
        </w:rPr>
        <w:t xml:space="preserve"> consulte </w:t>
      </w:r>
      <w:hyperlink r:id="rId34" w:history="1">
        <w:r w:rsidRPr="00167EE8">
          <w:rPr>
            <w:rStyle w:val="BodyTextChar"/>
            <w:i/>
          </w:rPr>
          <w:t xml:space="preserve"> </w:t>
        </w:r>
        <w:r w:rsidRPr="00167EE8">
          <w:rPr>
            <w:rStyle w:val="BodyTextChar"/>
            <w:i/>
            <w:color w:val="0088CC"/>
            <w:u w:val="single"/>
          </w:rPr>
          <w:t>AGA — Convenção de Subvenção Anotada</w:t>
        </w:r>
        <w:r w:rsidRPr="00167EE8">
          <w:rPr>
            <w:rStyle w:val="BodyTextChar"/>
            <w:i/>
          </w:rPr>
          <w:t>.</w:t>
        </w:r>
      </w:hyperlink>
    </w:p>
    <w:p w14:paraId="4D3500F4" w14:textId="2800E8B7" w:rsidR="000435C2" w:rsidRPr="00167EE8" w:rsidRDefault="008B332B" w:rsidP="00BF35B3">
      <w:pPr>
        <w:pStyle w:val="Heading1"/>
      </w:pPr>
      <w:bookmarkStart w:id="86" w:name="bookmark86"/>
      <w:bookmarkStart w:id="87" w:name="_Toc185511165"/>
      <w:r w:rsidRPr="00167EE8">
        <w:rPr>
          <w:rStyle w:val="Heading3"/>
          <w:b/>
        </w:rPr>
        <w:lastRenderedPageBreak/>
        <w:t>Como apresentar a candidatura</w:t>
      </w:r>
      <w:bookmarkEnd w:id="86"/>
      <w:bookmarkEnd w:id="87"/>
    </w:p>
    <w:p w14:paraId="0572605E" w14:textId="77777777" w:rsidR="000435C2" w:rsidRPr="00167EE8" w:rsidRDefault="008B332B">
      <w:pPr>
        <w:pStyle w:val="BodyText"/>
        <w:jc w:val="both"/>
      </w:pPr>
      <w:r w:rsidRPr="00167EE8">
        <w:rPr>
          <w:rStyle w:val="BodyTextChar"/>
        </w:rPr>
        <w:t>Todas as propostas devem ser apresentadas diretamente em linha através do sistema de apresentação eletrónica do Portal de Financiamento e Concursos. As candidaturas em papel NÃO são aceites.</w:t>
      </w:r>
    </w:p>
    <w:p w14:paraId="0FE7B3D1" w14:textId="77777777" w:rsidR="000435C2" w:rsidRPr="00167EE8" w:rsidRDefault="008B332B">
      <w:pPr>
        <w:pStyle w:val="BodyText"/>
        <w:jc w:val="both"/>
      </w:pPr>
      <w:r w:rsidRPr="00167EE8">
        <w:rPr>
          <w:rStyle w:val="BodyTextChar"/>
        </w:rPr>
        <w:t xml:space="preserve">A apresentação é um </w:t>
      </w:r>
      <w:r w:rsidRPr="00167EE8">
        <w:rPr>
          <w:rStyle w:val="BodyTextChar"/>
          <w:b/>
        </w:rPr>
        <w:t>processo de duas etapas</w:t>
      </w:r>
      <w:r w:rsidRPr="00167EE8">
        <w:rPr>
          <w:rStyle w:val="BodyTextChar"/>
        </w:rPr>
        <w:t>:</w:t>
      </w:r>
    </w:p>
    <w:p w14:paraId="46EA1F35" w14:textId="77777777" w:rsidR="000435C2" w:rsidRPr="00167EE8" w:rsidRDefault="008B332B" w:rsidP="00BA0CA3">
      <w:pPr>
        <w:keepNext/>
        <w:keepLines/>
        <w:numPr>
          <w:ilvl w:val="0"/>
          <w:numId w:val="34"/>
        </w:numPr>
        <w:tabs>
          <w:tab w:val="left" w:pos="358"/>
        </w:tabs>
        <w:spacing w:after="180"/>
        <w:jc w:val="both"/>
        <w:rPr>
          <w:b/>
          <w:bCs/>
        </w:rPr>
      </w:pPr>
      <w:bookmarkStart w:id="88" w:name="bookmark89"/>
      <w:r w:rsidRPr="00167EE8">
        <w:rPr>
          <w:b/>
        </w:rPr>
        <w:t>Criação de uma conta de utilizador e registo da organização</w:t>
      </w:r>
      <w:bookmarkEnd w:id="88"/>
    </w:p>
    <w:p w14:paraId="1EBC1CA2" w14:textId="4907C4DA" w:rsidR="000435C2" w:rsidRPr="00167EE8" w:rsidRDefault="008B332B" w:rsidP="008538D7">
      <w:pPr>
        <w:pStyle w:val="Style12"/>
      </w:pPr>
      <w:r w:rsidRPr="00167EE8">
        <w:rPr>
          <w:rStyle w:val="BodyTextChar"/>
        </w:rPr>
        <w:t xml:space="preserve">Para usar o sistema de apresentação de propostas (a única forma de se candidatar), todos os participantes devem </w:t>
      </w:r>
      <w:hyperlink r:id="rId35" w:history="1">
        <w:r w:rsidRPr="00167EE8">
          <w:rPr>
            <w:rStyle w:val="BodyTextChar"/>
            <w:color w:val="0088CC"/>
            <w:u w:val="single"/>
          </w:rPr>
          <w:t>criar uma conta de utilizador EULogin</w:t>
        </w:r>
      </w:hyperlink>
      <w:r w:rsidRPr="00167EE8">
        <w:rPr>
          <w:rStyle w:val="BodyTextChar"/>
        </w:rPr>
        <w:t>.</w:t>
      </w:r>
    </w:p>
    <w:p w14:paraId="31A3274D" w14:textId="5D3B93A0" w:rsidR="000435C2" w:rsidRPr="00167EE8" w:rsidRDefault="008B332B" w:rsidP="008538D7">
      <w:pPr>
        <w:pStyle w:val="Style12"/>
      </w:pPr>
      <w:r w:rsidRPr="00167EE8">
        <w:rPr>
          <w:rStyle w:val="BodyTextChar"/>
        </w:rPr>
        <w:t xml:space="preserve">Depois de ter uma conta EULogin, o participante pode </w:t>
      </w:r>
      <w:hyperlink r:id="rId36" w:history="1">
        <w:r w:rsidRPr="00167EE8">
          <w:rPr>
            <w:rStyle w:val="BodyTextChar"/>
            <w:color w:val="0088CC"/>
          </w:rPr>
          <w:t>registar a sua organização</w:t>
        </w:r>
      </w:hyperlink>
      <w:r w:rsidRPr="00167EE8">
        <w:rPr>
          <w:rStyle w:val="BodyTextChar"/>
        </w:rPr>
        <w:t xml:space="preserve"> no Registo de Participantes. Concluído o registo, receberá um código de identificação do participante constituído por nove dígitos (número PIC).</w:t>
      </w:r>
    </w:p>
    <w:p w14:paraId="5B279481" w14:textId="77777777" w:rsidR="000435C2" w:rsidRPr="00167EE8" w:rsidRDefault="008B332B" w:rsidP="00BA0CA3">
      <w:pPr>
        <w:keepNext/>
        <w:keepLines/>
        <w:numPr>
          <w:ilvl w:val="0"/>
          <w:numId w:val="34"/>
        </w:numPr>
        <w:tabs>
          <w:tab w:val="left" w:pos="358"/>
        </w:tabs>
        <w:spacing w:after="180"/>
        <w:jc w:val="both"/>
        <w:rPr>
          <w:b/>
          <w:bCs/>
        </w:rPr>
      </w:pPr>
      <w:bookmarkStart w:id="89" w:name="bookmark91"/>
      <w:r w:rsidRPr="00167EE8">
        <w:rPr>
          <w:b/>
        </w:rPr>
        <w:t>apresentação da proposta</w:t>
      </w:r>
      <w:bookmarkEnd w:id="89"/>
    </w:p>
    <w:p w14:paraId="18790969" w14:textId="71FB1593" w:rsidR="000435C2" w:rsidRPr="00167EE8" w:rsidRDefault="008B332B" w:rsidP="008538D7">
      <w:pPr>
        <w:pStyle w:val="Style13"/>
      </w:pPr>
      <w:r w:rsidRPr="00167EE8">
        <w:rPr>
          <w:rStyle w:val="BodyTextChar"/>
        </w:rPr>
        <w:t xml:space="preserve">Aceda ao sistema de apresentação eletrónica através da página do tema na secção </w:t>
      </w:r>
      <w:r w:rsidRPr="00167EE8">
        <w:rPr>
          <w:rStyle w:val="BodyTextChar"/>
          <w:color w:val="0088CC"/>
          <w:u w:val="single"/>
        </w:rPr>
        <w:t>Search Funding &amp; Tenders</w:t>
      </w:r>
      <w:r w:rsidRPr="00167EE8">
        <w:rPr>
          <w:rStyle w:val="BodyTextChar"/>
        </w:rPr>
        <w:t xml:space="preserve"> (ou, no caso de convites para apresentação de propostas, através da ligação fornecida na carta de convite).</w:t>
      </w:r>
    </w:p>
    <w:p w14:paraId="766AADE0" w14:textId="77777777" w:rsidR="000435C2" w:rsidRPr="00167EE8" w:rsidRDefault="008B332B">
      <w:pPr>
        <w:pStyle w:val="BodyText"/>
        <w:jc w:val="both"/>
      </w:pPr>
      <w:r w:rsidRPr="00167EE8">
        <w:rPr>
          <w:rStyle w:val="BodyTextChar"/>
        </w:rPr>
        <w:t>Envie a sua proposta em três partes, como segue:</w:t>
      </w:r>
    </w:p>
    <w:p w14:paraId="759D5512" w14:textId="77777777" w:rsidR="000435C2" w:rsidRPr="00167EE8" w:rsidRDefault="008B332B" w:rsidP="008F31DC">
      <w:pPr>
        <w:pStyle w:val="BodyText"/>
        <w:numPr>
          <w:ilvl w:val="0"/>
          <w:numId w:val="35"/>
        </w:numPr>
        <w:ind w:left="851" w:hanging="431"/>
        <w:jc w:val="both"/>
      </w:pPr>
      <w:r w:rsidRPr="00167EE8">
        <w:rPr>
          <w:rStyle w:val="BodyTextChar"/>
        </w:rPr>
        <w:t>Parte A, que inclui informações administrativas sobre as organizações candidatas (</w:t>
      </w:r>
      <w:proofErr w:type="gramStart"/>
      <w:r w:rsidRPr="00167EE8">
        <w:rPr>
          <w:rStyle w:val="BodyTextChar"/>
        </w:rPr>
        <w:t>futuros coordenador</w:t>
      </w:r>
      <w:proofErr w:type="gramEnd"/>
      <w:r w:rsidRPr="00167EE8">
        <w:rPr>
          <w:rStyle w:val="BodyTextChar"/>
        </w:rPr>
        <w:t>, beneficiários, entidades afiliadas e parceiros associados) e uma síntese do orçamento do projeto. Preencha-a diretamente em linha,</w:t>
      </w:r>
    </w:p>
    <w:p w14:paraId="2FD5868E" w14:textId="77777777" w:rsidR="000435C2" w:rsidRPr="00167EE8" w:rsidRDefault="008B332B" w:rsidP="008F31DC">
      <w:pPr>
        <w:pStyle w:val="BodyText"/>
        <w:numPr>
          <w:ilvl w:val="0"/>
          <w:numId w:val="35"/>
        </w:numPr>
        <w:ind w:left="851" w:hanging="431"/>
        <w:jc w:val="both"/>
      </w:pPr>
      <w:r w:rsidRPr="00167EE8">
        <w:rPr>
          <w:rStyle w:val="BodyTextChar"/>
        </w:rPr>
        <w:t>Parte B (descrição da ação), que contém a descrição técnica da proposta. Descarregue o formulário obrigatório em formato Word do sistema de apresentação, preencha-o e volte a carregá-lo no sistema em formato PDF,</w:t>
      </w:r>
    </w:p>
    <w:p w14:paraId="32F4E62B" w14:textId="006FB0F2" w:rsidR="000435C2" w:rsidRPr="00167EE8" w:rsidRDefault="008B332B" w:rsidP="008F31DC">
      <w:pPr>
        <w:pStyle w:val="BodyText"/>
        <w:numPr>
          <w:ilvl w:val="0"/>
          <w:numId w:val="35"/>
        </w:numPr>
        <w:ind w:left="780" w:hanging="431"/>
        <w:jc w:val="both"/>
      </w:pPr>
      <w:r w:rsidRPr="00167EE8">
        <w:rPr>
          <w:rStyle w:val="BodyTextChar"/>
        </w:rPr>
        <w:t>Anexos (</w:t>
      </w:r>
      <w:r w:rsidRPr="00167EE8">
        <w:rPr>
          <w:rStyle w:val="BodyTextChar"/>
          <w:i/>
        </w:rPr>
        <w:t>ver secção 5</w:t>
      </w:r>
      <w:r w:rsidRPr="00167EE8">
        <w:rPr>
          <w:rStyle w:val="BodyTextChar"/>
        </w:rPr>
        <w:t>). Carregue-os como ficheiro PDF (um ou vários, dependendo dos leitores). O carregamento em formato Excel é, por vezes, possível, dependendo do tipo de arquivo.</w:t>
      </w:r>
    </w:p>
    <w:p w14:paraId="782ED483" w14:textId="77777777" w:rsidR="000435C2" w:rsidRPr="00167EE8" w:rsidRDefault="008B332B">
      <w:pPr>
        <w:pStyle w:val="BodyText"/>
        <w:jc w:val="both"/>
      </w:pPr>
      <w:r w:rsidRPr="00167EE8">
        <w:rPr>
          <w:rStyle w:val="BodyTextChar"/>
        </w:rPr>
        <w:t xml:space="preserve">A proposta deve respeitar os </w:t>
      </w:r>
      <w:r w:rsidRPr="00167EE8">
        <w:rPr>
          <w:rStyle w:val="BodyTextChar"/>
          <w:b/>
        </w:rPr>
        <w:t>limites de páginas</w:t>
      </w:r>
      <w:r w:rsidRPr="00167EE8">
        <w:rPr>
          <w:rStyle w:val="BodyTextChar"/>
        </w:rPr>
        <w:t xml:space="preserve"> </w:t>
      </w:r>
      <w:r w:rsidRPr="00167EE8">
        <w:rPr>
          <w:rStyle w:val="BodyTextChar"/>
          <w:i/>
        </w:rPr>
        <w:t>(ver secção 5)</w:t>
      </w:r>
      <w:r w:rsidRPr="00167EE8">
        <w:rPr>
          <w:rStyle w:val="BodyTextChar"/>
        </w:rPr>
        <w:t>; as páginas em excesso serão ignoradas.</w:t>
      </w:r>
    </w:p>
    <w:p w14:paraId="379B9E13" w14:textId="77777777" w:rsidR="000435C2" w:rsidRPr="00167EE8" w:rsidRDefault="008B332B">
      <w:pPr>
        <w:pStyle w:val="BodyText"/>
        <w:jc w:val="both"/>
      </w:pPr>
      <w:r w:rsidRPr="00167EE8">
        <w:rPr>
          <w:rStyle w:val="BodyTextChar"/>
        </w:rPr>
        <w:t xml:space="preserve">Os documentos devem ser enviados para a </w:t>
      </w:r>
      <w:r w:rsidRPr="00167EE8">
        <w:rPr>
          <w:rStyle w:val="BodyTextChar"/>
          <w:b/>
        </w:rPr>
        <w:t>categoria certa</w:t>
      </w:r>
      <w:r w:rsidRPr="00167EE8">
        <w:rPr>
          <w:rStyle w:val="BodyTextChar"/>
        </w:rPr>
        <w:t xml:space="preserve"> no sistema de apresentação; caso contrário, a proposta poderá ser considerada incompleta e, por conseguinte, inadmissível.</w:t>
      </w:r>
    </w:p>
    <w:p w14:paraId="680C1BBD" w14:textId="77777777" w:rsidR="000435C2" w:rsidRPr="00167EE8" w:rsidRDefault="008B332B">
      <w:pPr>
        <w:pStyle w:val="BodyText"/>
        <w:jc w:val="both"/>
      </w:pPr>
      <w:r w:rsidRPr="00167EE8">
        <w:rPr>
          <w:rStyle w:val="BodyTextChar"/>
        </w:rPr>
        <w:t xml:space="preserve">As propostas devem ser apresentadas </w:t>
      </w:r>
      <w:r w:rsidRPr="00167EE8">
        <w:rPr>
          <w:rStyle w:val="BodyTextChar"/>
          <w:b/>
        </w:rPr>
        <w:t>antes da data-limite para a apresentação de propostas</w:t>
      </w:r>
      <w:r w:rsidRPr="00167EE8">
        <w:rPr>
          <w:rStyle w:val="BodyTextChar"/>
        </w:rPr>
        <w:t xml:space="preserve"> (</w:t>
      </w:r>
      <w:r w:rsidRPr="00167EE8">
        <w:rPr>
          <w:rStyle w:val="BodyTextChar"/>
          <w:i/>
        </w:rPr>
        <w:t>ver secção 4</w:t>
      </w:r>
      <w:r w:rsidRPr="00167EE8">
        <w:rPr>
          <w:rStyle w:val="BodyTextChar"/>
        </w:rPr>
        <w:t>). Após este prazo, o sistema é encerrado e as propostas já não podem ser apresentadas.</w:t>
      </w:r>
    </w:p>
    <w:p w14:paraId="3390FD86" w14:textId="5F0B6432" w:rsidR="000435C2" w:rsidRPr="00167EE8" w:rsidRDefault="008B332B" w:rsidP="00141542">
      <w:pPr>
        <w:pStyle w:val="Style14"/>
      </w:pPr>
      <w:r w:rsidRPr="00167EE8">
        <w:rPr>
          <w:rStyle w:val="BodyTextChar"/>
        </w:rPr>
        <w:t xml:space="preserve">Uma vez apresentada a proposta, receberá uma </w:t>
      </w:r>
      <w:r w:rsidRPr="00167EE8">
        <w:rPr>
          <w:rStyle w:val="BodyTextChar"/>
          <w:b/>
        </w:rPr>
        <w:t>mensagem de correio eletrónico de confirmação</w:t>
      </w:r>
      <w:r w:rsidRPr="00167EE8">
        <w:rPr>
          <w:rStyle w:val="BodyTextChar"/>
        </w:rPr>
        <w:t xml:space="preserve"> (com a data e a hora da sua candidatura). Se não receber essa confirmação, tal significa que a sua proposta NÃO foi submetida. Se entender que tal se deve a uma falha no sistema de apresentação, deverá enviar imediatamente uma reclamação por meio do </w:t>
      </w:r>
      <w:hyperlink r:id="rId37" w:history="1">
        <w:r w:rsidRPr="00167EE8">
          <w:rPr>
            <w:rStyle w:val="BodyTextChar"/>
            <w:color w:val="0088CC"/>
            <w:u w:val="single"/>
          </w:rPr>
          <w:t>formulário eletrónico de apoio técnico de TI</w:t>
        </w:r>
      </w:hyperlink>
      <w:r w:rsidRPr="00167EE8">
        <w:t>, explicando as circunstâncias e anexando uma cópia da proposta (e, se possível, capturas de ecrã para mostrar o que aconteceu).</w:t>
      </w:r>
    </w:p>
    <w:p w14:paraId="5C5ACBAE" w14:textId="77777777" w:rsidR="000435C2" w:rsidRPr="00167EE8" w:rsidRDefault="008B332B" w:rsidP="00141542">
      <w:pPr>
        <w:pStyle w:val="Style14"/>
      </w:pPr>
      <w:r w:rsidRPr="00167EE8">
        <w:rPr>
          <w:rStyle w:val="BodyTextChar"/>
        </w:rPr>
        <w:t xml:space="preserve">As informações sobre processos e procedimentos estão descritas no </w:t>
      </w:r>
      <w:hyperlink r:id="rId38" w:history="1">
        <w:r w:rsidRPr="00167EE8">
          <w:rPr>
            <w:rStyle w:val="BodyTextChar"/>
          </w:rPr>
          <w:t xml:space="preserve"> </w:t>
        </w:r>
        <w:r w:rsidRPr="00167EE8">
          <w:rPr>
            <w:rStyle w:val="BodyTextChar"/>
            <w:color w:val="0088CC"/>
            <w:u w:val="single"/>
          </w:rPr>
          <w:t>manual em linha</w:t>
        </w:r>
        <w:r w:rsidRPr="00167EE8">
          <w:rPr>
            <w:rStyle w:val="BodyTextChar"/>
          </w:rPr>
          <w:t>.</w:t>
        </w:r>
      </w:hyperlink>
      <w:r w:rsidRPr="00167EE8">
        <w:rPr>
          <w:rStyle w:val="BodyTextChar"/>
        </w:rPr>
        <w:t xml:space="preserve"> O manual em linha também contém as ligações para perguntas frequentes e </w:t>
      </w:r>
      <w:r w:rsidRPr="00167EE8">
        <w:rPr>
          <w:rStyle w:val="BodyTextChar"/>
        </w:rPr>
        <w:lastRenderedPageBreak/>
        <w:t>instruções detalhadas sobre o sistema eletrónico de intercâmbio do Portal.</w:t>
      </w:r>
    </w:p>
    <w:p w14:paraId="400A9A93" w14:textId="357AD1B0" w:rsidR="000435C2" w:rsidRPr="00167EE8" w:rsidRDefault="008B332B" w:rsidP="008F31DC">
      <w:pPr>
        <w:keepNext/>
        <w:keepLines/>
        <w:tabs>
          <w:tab w:val="left" w:pos="7950"/>
        </w:tabs>
        <w:jc w:val="both"/>
        <w:rPr>
          <w:b/>
          <w:bCs/>
        </w:rPr>
      </w:pPr>
      <w:bookmarkStart w:id="90" w:name="bookmark93"/>
      <w:r w:rsidRPr="00167EE8">
        <w:rPr>
          <w:b/>
        </w:rPr>
        <w:t>Orientações sobre a utilização de ferramentas de IA generativas para a preparação da</w:t>
      </w:r>
      <w:bookmarkEnd w:id="90"/>
      <w:r w:rsidRPr="00167EE8">
        <w:rPr>
          <w:b/>
        </w:rPr>
        <w:t xml:space="preserve"> proposta</w:t>
      </w:r>
    </w:p>
    <w:p w14:paraId="71D8D928" w14:textId="77777777" w:rsidR="000435C2" w:rsidRPr="00167EE8" w:rsidRDefault="008B332B">
      <w:pPr>
        <w:pStyle w:val="BodyText"/>
        <w:jc w:val="both"/>
      </w:pPr>
      <w:r w:rsidRPr="00167EE8">
        <w:rPr>
          <w:rStyle w:val="BodyTextChar"/>
        </w:rPr>
        <w:t>Ao considerar a utilização de ferramentas de inteligência artificial (IA) generativa para a preparação da proposta, é imperativo exercer cautela e cuidadosa ponderação. Os conteúdos gerados em IA devem ser exaustivamente revistos e validados pelos candidatos, a fim de garantir a sua adequação e exatidão, bem como a sua conformidade com a regulamentação em matéria de propriedade intelectual. Os candidatos são plenamente responsáveis pelo conteúdo da proposta (mesmo as partes produzidas pela ferramenta de IA) e devem ser transparentes na divulgação das ferramentas de IA utilizadas e da forma como foram utilizadas.</w:t>
      </w:r>
    </w:p>
    <w:p w14:paraId="270FD8FB" w14:textId="77777777" w:rsidR="000435C2" w:rsidRPr="00167EE8" w:rsidRDefault="008B332B">
      <w:pPr>
        <w:pStyle w:val="BodyText"/>
        <w:jc w:val="both"/>
      </w:pPr>
      <w:r w:rsidRPr="00167EE8">
        <w:rPr>
          <w:rStyle w:val="BodyTextChar"/>
        </w:rPr>
        <w:t>Mais especificamente, os candidatos são obrigados a:</w:t>
      </w:r>
    </w:p>
    <w:p w14:paraId="2603DBFE" w14:textId="77777777" w:rsidR="000435C2" w:rsidRPr="00167EE8" w:rsidRDefault="008B332B" w:rsidP="006008C4">
      <w:pPr>
        <w:pStyle w:val="BodyText"/>
        <w:numPr>
          <w:ilvl w:val="0"/>
          <w:numId w:val="36"/>
        </w:numPr>
        <w:tabs>
          <w:tab w:val="left" w:pos="217"/>
        </w:tabs>
        <w:jc w:val="both"/>
      </w:pPr>
      <w:r w:rsidRPr="00167EE8">
        <w:rPr>
          <w:rStyle w:val="BodyTextChar"/>
        </w:rPr>
        <w:t>Verificar a exatidão, a validade e a adequação do conteúdo e quaisquer citações geradas pela ferramenta de IA e corrigir eventuais erros ou incoerências.</w:t>
      </w:r>
    </w:p>
    <w:p w14:paraId="7D1B6BB2" w14:textId="77777777" w:rsidR="000435C2" w:rsidRPr="00167EE8" w:rsidRDefault="008B332B" w:rsidP="006008C4">
      <w:pPr>
        <w:pStyle w:val="BodyText"/>
        <w:numPr>
          <w:ilvl w:val="0"/>
          <w:numId w:val="36"/>
        </w:numPr>
        <w:tabs>
          <w:tab w:val="left" w:pos="217"/>
        </w:tabs>
        <w:jc w:val="both"/>
      </w:pPr>
      <w:r w:rsidRPr="00167EE8">
        <w:rPr>
          <w:rStyle w:val="BodyTextChar"/>
        </w:rPr>
        <w:t>Fornecer uma lista das fontes utilizadas para gerar conteúdos e citações, incluindo os gerados pela ferramenta de IA. Verificar as citações para garantir que são precisas e devidamente referenciadas.</w:t>
      </w:r>
    </w:p>
    <w:p w14:paraId="1FFF965C" w14:textId="77777777" w:rsidR="000435C2" w:rsidRPr="00167EE8" w:rsidRDefault="008B332B" w:rsidP="006008C4">
      <w:pPr>
        <w:pStyle w:val="BodyText"/>
        <w:numPr>
          <w:ilvl w:val="0"/>
          <w:numId w:val="36"/>
        </w:numPr>
        <w:tabs>
          <w:tab w:val="left" w:pos="222"/>
        </w:tabs>
        <w:jc w:val="both"/>
      </w:pPr>
      <w:r w:rsidRPr="00167EE8">
        <w:rPr>
          <w:rStyle w:val="BodyTextChar"/>
        </w:rPr>
        <w:t>Estar ciente do plágio potencial em que a ferramenta de IA pode ter reproduzido texto substancial a partir de outras fontes. Verificar as fontes originais para ter a certeza de que não está a plagiar o trabalho de outra pessoa.</w:t>
      </w:r>
    </w:p>
    <w:p w14:paraId="2B38034B" w14:textId="77777777" w:rsidR="000435C2" w:rsidRPr="00167EE8" w:rsidRDefault="008B332B" w:rsidP="006008C4">
      <w:pPr>
        <w:pStyle w:val="BodyText"/>
        <w:numPr>
          <w:ilvl w:val="0"/>
          <w:numId w:val="36"/>
        </w:numPr>
        <w:tabs>
          <w:tab w:val="left" w:pos="212"/>
        </w:tabs>
        <w:jc w:val="both"/>
      </w:pPr>
      <w:r w:rsidRPr="00167EE8">
        <w:rPr>
          <w:rStyle w:val="BodyTextChar"/>
        </w:rPr>
        <w:t>Reconhecer as limitações da ferramenta de IA na preparação das propostas, incluindo o potencial de enviesamento, erros e lacunas de conhecimento.</w:t>
      </w:r>
    </w:p>
    <w:p w14:paraId="1EE30CBF" w14:textId="77777777" w:rsidR="000435C2" w:rsidRPr="00167EE8" w:rsidRDefault="008B332B" w:rsidP="00BA0CA3">
      <w:pPr>
        <w:pStyle w:val="Heading1"/>
        <w:rPr>
          <w:rStyle w:val="Heading3"/>
          <w:b/>
          <w:bCs/>
        </w:rPr>
      </w:pPr>
      <w:bookmarkStart w:id="91" w:name="bookmark96"/>
      <w:bookmarkStart w:id="92" w:name="_Toc185511166"/>
      <w:r w:rsidRPr="00167EE8">
        <w:rPr>
          <w:rStyle w:val="Heading3"/>
          <w:b/>
        </w:rPr>
        <w:t>Ajuda</w:t>
      </w:r>
      <w:bookmarkEnd w:id="91"/>
      <w:bookmarkEnd w:id="92"/>
    </w:p>
    <w:p w14:paraId="076CAD38" w14:textId="77777777" w:rsidR="000435C2" w:rsidRPr="00167EE8" w:rsidRDefault="008B332B">
      <w:pPr>
        <w:pStyle w:val="BodyText"/>
        <w:jc w:val="both"/>
      </w:pPr>
      <w:r w:rsidRPr="00167EE8">
        <w:rPr>
          <w:rStyle w:val="BodyTextChar"/>
        </w:rPr>
        <w:t xml:space="preserve">Solicitamos que, na medida do possível, </w:t>
      </w:r>
      <w:r w:rsidRPr="00167EE8">
        <w:rPr>
          <w:rStyle w:val="BodyTextChar"/>
          <w:b/>
          <w:i/>
        </w:rPr>
        <w:t>procure encontrar as respostas de que necessita</w:t>
      </w:r>
      <w:r w:rsidRPr="00167EE8">
        <w:rPr>
          <w:rStyle w:val="BodyTextChar"/>
        </w:rPr>
        <w:t xml:space="preserve"> nesta e noutra documentação (dispomos de recursos limitados para responder a perguntas diretas):</w:t>
      </w:r>
    </w:p>
    <w:p w14:paraId="6F3DE8CD" w14:textId="77777777" w:rsidR="000435C2" w:rsidRPr="00167EE8" w:rsidRDefault="000F6913" w:rsidP="006008C4">
      <w:pPr>
        <w:pStyle w:val="BodyText"/>
        <w:numPr>
          <w:ilvl w:val="0"/>
          <w:numId w:val="38"/>
        </w:numPr>
        <w:tabs>
          <w:tab w:val="left" w:pos="730"/>
        </w:tabs>
        <w:spacing w:line="218" w:lineRule="auto"/>
        <w:ind w:firstLine="360"/>
        <w:jc w:val="both"/>
      </w:pPr>
      <w:hyperlink r:id="rId39" w:history="1">
        <w:r w:rsidR="008049F0" w:rsidRPr="00167EE8">
          <w:rPr>
            <w:rStyle w:val="BodyTextChar"/>
            <w:color w:val="0088CC"/>
            <w:u w:val="single"/>
          </w:rPr>
          <w:t>Manual em linha</w:t>
        </w:r>
      </w:hyperlink>
    </w:p>
    <w:p w14:paraId="3518E7CD" w14:textId="77777777" w:rsidR="000435C2" w:rsidRPr="00167EE8" w:rsidRDefault="008B332B" w:rsidP="006008C4">
      <w:pPr>
        <w:pStyle w:val="BodyText"/>
        <w:numPr>
          <w:ilvl w:val="0"/>
          <w:numId w:val="38"/>
        </w:numPr>
        <w:tabs>
          <w:tab w:val="left" w:pos="750"/>
        </w:tabs>
        <w:spacing w:line="226" w:lineRule="auto"/>
        <w:ind w:left="720" w:hanging="340"/>
        <w:jc w:val="both"/>
      </w:pPr>
      <w:r w:rsidRPr="00167EE8">
        <w:rPr>
          <w:rStyle w:val="BodyTextChar"/>
        </w:rPr>
        <w:t>Perguntas frequentes (FAQ) temáticas na página do tema do concurso (para perguntas especificamente relativas ao convite em convites abertos; não aplicável a ações por convite)</w:t>
      </w:r>
    </w:p>
    <w:p w14:paraId="17816989" w14:textId="77777777" w:rsidR="000435C2" w:rsidRPr="00167EE8" w:rsidRDefault="008B332B" w:rsidP="006008C4">
      <w:pPr>
        <w:pStyle w:val="BodyText"/>
        <w:numPr>
          <w:ilvl w:val="0"/>
          <w:numId w:val="38"/>
        </w:numPr>
        <w:tabs>
          <w:tab w:val="left" w:pos="730"/>
        </w:tabs>
        <w:spacing w:line="218" w:lineRule="auto"/>
        <w:ind w:firstLine="360"/>
        <w:jc w:val="both"/>
      </w:pPr>
      <w:r w:rsidRPr="00167EE8">
        <w:rPr>
          <w:rStyle w:val="BodyTextChar"/>
          <w:color w:val="0088CC"/>
          <w:u w:val="single"/>
        </w:rPr>
        <w:t>Perguntas frequentes (FAQ) do Portal</w:t>
      </w:r>
      <w:r w:rsidRPr="00167EE8">
        <w:rPr>
          <w:rStyle w:val="BodyTextChar"/>
        </w:rPr>
        <w:t xml:space="preserve"> (para perguntas de caráter geral).</w:t>
      </w:r>
    </w:p>
    <w:p w14:paraId="5ABA59E0" w14:textId="77777777" w:rsidR="000435C2" w:rsidRPr="00167EE8" w:rsidRDefault="008B332B">
      <w:pPr>
        <w:pStyle w:val="BodyText"/>
        <w:jc w:val="both"/>
      </w:pPr>
      <w:r w:rsidRPr="00167EE8">
        <w:rPr>
          <w:rStyle w:val="BodyTextChar"/>
        </w:rPr>
        <w:t>Consulte também regularmente a página do tema do concurso, uma vez que nela serão publicadas atualizações sobre o convite. (Relativamente aos convites, será diretamente contactado por nós em caso de atualização de convite).</w:t>
      </w:r>
    </w:p>
    <w:p w14:paraId="3A16CD8D" w14:textId="77777777" w:rsidR="000435C2" w:rsidRPr="00167EE8" w:rsidRDefault="008B332B">
      <w:pPr>
        <w:pStyle w:val="BodyText"/>
        <w:jc w:val="both"/>
      </w:pPr>
      <w:r w:rsidRPr="00167EE8">
        <w:rPr>
          <w:rStyle w:val="BodyTextChar"/>
          <w:i/>
        </w:rPr>
        <w:t>Contacto</w:t>
      </w:r>
    </w:p>
    <w:p w14:paraId="17D878A3" w14:textId="2C9E0E42" w:rsidR="000435C2" w:rsidRPr="00167EE8" w:rsidRDefault="008B332B">
      <w:pPr>
        <w:pStyle w:val="BodyText"/>
        <w:jc w:val="both"/>
      </w:pPr>
      <w:r w:rsidRPr="00167EE8">
        <w:rPr>
          <w:rStyle w:val="BodyTextChar"/>
        </w:rPr>
        <w:t xml:space="preserve">Para perguntas individuais sobre o sistema de apresentação do Portal, queira contactar o </w:t>
      </w:r>
      <w:hyperlink r:id="rId40" w:history="1">
        <w:r w:rsidRPr="00167EE8">
          <w:rPr>
            <w:rStyle w:val="BodyTextChar"/>
            <w:color w:val="0088CC"/>
          </w:rPr>
          <w:t>Apoio Técnico de TI</w:t>
        </w:r>
      </w:hyperlink>
      <w:r w:rsidRPr="00167EE8">
        <w:rPr>
          <w:rStyle w:val="BodyTextChar"/>
        </w:rPr>
        <w:t>.</w:t>
      </w:r>
    </w:p>
    <w:p w14:paraId="6698B398" w14:textId="67D57CFA" w:rsidR="000435C2" w:rsidRPr="00167EE8" w:rsidRDefault="008B332B">
      <w:pPr>
        <w:pStyle w:val="BodyText"/>
        <w:spacing w:after="100"/>
        <w:jc w:val="both"/>
      </w:pPr>
      <w:r w:rsidRPr="00167EE8">
        <w:rPr>
          <w:rStyle w:val="BodyTextChar"/>
        </w:rPr>
        <w:t>As perguntas não relacionadas com TI devem ser enviadas para o seguinte endereço de correio eletrónico:</w:t>
      </w:r>
      <w:r w:rsidRPr="00167EE8">
        <w:rPr>
          <w:rStyle w:val="BodyTextChar"/>
        </w:rPr>
        <w:br/>
        <w:t xml:space="preserve"> </w:t>
      </w:r>
      <w:hyperlink r:id="rId41" w:history="1">
        <w:r w:rsidRPr="00167EE8">
          <w:rPr>
            <w:rStyle w:val="Hyperlink"/>
          </w:rPr>
          <w:t>EACEA-IntraAfrica-IntraACP@ec.europa.eu</w:t>
        </w:r>
      </w:hyperlink>
      <w:hyperlink r:id="rId42" w:history="1">
        <w:r w:rsidRPr="00167EE8">
          <w:rPr>
            <w:rStyle w:val="BodyTextChar"/>
          </w:rPr>
          <w:t>.</w:t>
        </w:r>
      </w:hyperlink>
    </w:p>
    <w:p w14:paraId="2E8ED556" w14:textId="77777777" w:rsidR="000435C2" w:rsidRPr="00167EE8" w:rsidRDefault="008B332B">
      <w:pPr>
        <w:pStyle w:val="BodyText"/>
        <w:spacing w:after="0"/>
        <w:jc w:val="both"/>
        <w:rPr>
          <w:rStyle w:val="BodyTextChar"/>
        </w:rPr>
      </w:pPr>
      <w:r w:rsidRPr="00167EE8">
        <w:rPr>
          <w:rStyle w:val="BodyTextChar"/>
        </w:rPr>
        <w:t xml:space="preserve">Indique claramente a referência do convite à apresentação de propostas e o tema a que se refere a sua pergunta </w:t>
      </w:r>
      <w:r w:rsidRPr="00167EE8">
        <w:rPr>
          <w:rStyle w:val="BodyTextChar"/>
          <w:i/>
        </w:rPr>
        <w:t>(ver página de rosto)</w:t>
      </w:r>
      <w:r w:rsidRPr="00167EE8">
        <w:rPr>
          <w:rStyle w:val="BodyTextChar"/>
        </w:rPr>
        <w:t>.</w:t>
      </w:r>
    </w:p>
    <w:p w14:paraId="21A1BD4A" w14:textId="77777777" w:rsidR="000E41C6" w:rsidRPr="00167EE8" w:rsidRDefault="000E41C6">
      <w:pPr>
        <w:pStyle w:val="BodyText"/>
        <w:spacing w:after="0"/>
        <w:jc w:val="both"/>
        <w:rPr>
          <w:rStyle w:val="BodyTextChar"/>
        </w:rPr>
      </w:pPr>
    </w:p>
    <w:p w14:paraId="1A731C49" w14:textId="7C5D0D5D" w:rsidR="000435C2" w:rsidRPr="00167EE8" w:rsidRDefault="008B332B" w:rsidP="008F31DC">
      <w:pPr>
        <w:pStyle w:val="BodyText"/>
        <w:pageBreakBefore/>
        <w:numPr>
          <w:ilvl w:val="0"/>
          <w:numId w:val="37"/>
        </w:numPr>
        <w:tabs>
          <w:tab w:val="left" w:pos="452"/>
        </w:tabs>
        <w:spacing w:after="127" w:line="216" w:lineRule="auto"/>
        <w:jc w:val="both"/>
        <w:rPr>
          <w:rStyle w:val="BodyTextChar"/>
        </w:rPr>
      </w:pPr>
      <w:bookmarkStart w:id="93" w:name="bookmark99"/>
      <w:r w:rsidRPr="00167EE8">
        <w:rPr>
          <w:rStyle w:val="BodyTextChar"/>
          <w:b/>
          <w:color w:val="A50021"/>
        </w:rPr>
        <w:lastRenderedPageBreak/>
        <w:t>Importante</w:t>
      </w:r>
      <w:bookmarkEnd w:id="93"/>
    </w:p>
    <w:tbl>
      <w:tblPr>
        <w:tblStyle w:val="TableGrid"/>
        <w:tblW w:w="5000" w:type="pct"/>
        <w:tblCellMar>
          <w:top w:w="113" w:type="dxa"/>
          <w:bottom w:w="113" w:type="dxa"/>
        </w:tblCellMar>
        <w:tblLook w:val="04A0" w:firstRow="1" w:lastRow="0" w:firstColumn="1" w:lastColumn="0" w:noHBand="0" w:noVBand="1"/>
      </w:tblPr>
      <w:tblGrid>
        <w:gridCol w:w="8498"/>
      </w:tblGrid>
      <w:tr w:rsidR="008F31DC" w:rsidRPr="00167EE8" w14:paraId="1A357EFC" w14:textId="77777777" w:rsidTr="0032042B">
        <w:tc>
          <w:tcPr>
            <w:tcW w:w="5000" w:type="pct"/>
            <w:tcBorders>
              <w:top w:val="single" w:sz="18" w:space="0" w:color="D0CECE" w:themeColor="background2" w:themeShade="E6"/>
              <w:left w:val="single" w:sz="18" w:space="0" w:color="D0CECE" w:themeColor="background2" w:themeShade="E6"/>
              <w:bottom w:val="single" w:sz="18" w:space="0" w:color="D0CECE" w:themeColor="background2" w:themeShade="E6"/>
              <w:right w:val="single" w:sz="18" w:space="0" w:color="D0CECE" w:themeColor="background2" w:themeShade="E6"/>
            </w:tcBorders>
            <w:shd w:val="clear" w:color="auto" w:fill="E7E6E6" w:themeFill="background2"/>
          </w:tcPr>
          <w:p w14:paraId="1AAA68C3" w14:textId="2D67B051" w:rsidR="00D229E3" w:rsidRPr="00167EE8" w:rsidRDefault="00D229E3" w:rsidP="00D229E3">
            <w:r w:rsidRPr="00167EE8">
              <w:rPr>
                <w:b/>
                <w:noProof/>
                <w:color w:val="7F7F7F"/>
                <w:sz w:val="18"/>
                <w:lang w:eastAsia="en-GB"/>
              </w:rPr>
              <w:drawing>
                <wp:inline distT="0" distB="0" distL="0" distR="0" wp14:anchorId="702D7DBE" wp14:editId="1C3DE573">
                  <wp:extent cx="198782" cy="198782"/>
                  <wp:effectExtent l="0" t="0" r="0" b="0"/>
                  <wp:docPr id="20" name="Picture 20" descr="w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warning"/>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98809" cy="198809"/>
                          </a:xfrm>
                          <a:prstGeom prst="rect">
                            <a:avLst/>
                          </a:prstGeom>
                          <a:noFill/>
                          <a:ln>
                            <a:noFill/>
                          </a:ln>
                        </pic:spPr>
                      </pic:pic>
                    </a:graphicData>
                  </a:graphic>
                </wp:inline>
              </w:drawing>
            </w:r>
            <w:r w:rsidRPr="00167EE8">
              <w:rPr>
                <w:rStyle w:val="Bodytext5"/>
                <w:b/>
                <w:color w:val="595959"/>
              </w:rPr>
              <w:t xml:space="preserve"> IMPORTANTE</w:t>
            </w:r>
          </w:p>
          <w:p w14:paraId="1681BBBD" w14:textId="77777777" w:rsidR="00D229E3" w:rsidRPr="00167EE8" w:rsidRDefault="00D229E3" w:rsidP="00D229E3">
            <w:pPr>
              <w:pStyle w:val="Bodytext50"/>
              <w:numPr>
                <w:ilvl w:val="0"/>
                <w:numId w:val="44"/>
              </w:numPr>
              <w:tabs>
                <w:tab w:val="left" w:pos="778"/>
              </w:tabs>
              <w:spacing w:after="100" w:line="240" w:lineRule="auto"/>
              <w:jc w:val="both"/>
              <w:rPr>
                <w:color w:val="595959"/>
              </w:rPr>
            </w:pPr>
            <w:r w:rsidRPr="00167EE8">
              <w:rPr>
                <w:rStyle w:val="Bodytext5"/>
                <w:b/>
                <w:color w:val="595959"/>
              </w:rPr>
              <w:t>Não espere até ao fim</w:t>
            </w:r>
            <w:r w:rsidRPr="00167EE8">
              <w:rPr>
                <w:rStyle w:val="Bodytext5"/>
                <w:color w:val="595959"/>
              </w:rPr>
              <w:t xml:space="preserve"> — complete a sua candidatura com antecedência suficiente em relação ao termo do prazo para evitar </w:t>
            </w:r>
            <w:r w:rsidRPr="00167EE8">
              <w:rPr>
                <w:rStyle w:val="Bodytext5"/>
                <w:b/>
                <w:color w:val="595959"/>
              </w:rPr>
              <w:t>problemas técnicos</w:t>
            </w:r>
            <w:r w:rsidRPr="00167EE8">
              <w:rPr>
                <w:rStyle w:val="Bodytext5"/>
                <w:color w:val="595959"/>
              </w:rPr>
              <w:t xml:space="preserve"> de última hora. Os problemas decorrentes da apresentação de propostas em cima do termo do prazo </w:t>
            </w:r>
            <w:r w:rsidRPr="00167EE8">
              <w:rPr>
                <w:rStyle w:val="Bodytext5"/>
                <w:i/>
                <w:color w:val="595959"/>
              </w:rPr>
              <w:t>(por exemplo, congestionamentos, etc.)</w:t>
            </w:r>
            <w:r w:rsidRPr="00167EE8">
              <w:rPr>
                <w:rStyle w:val="Bodytext5"/>
                <w:color w:val="595959"/>
              </w:rPr>
              <w:t xml:space="preserve"> são da sua exclusiva responsabilidade. Os prazos do convite NÃO podem ser prorrogados.</w:t>
            </w:r>
          </w:p>
          <w:p w14:paraId="0A0BEC4C" w14:textId="77777777" w:rsidR="00D229E3" w:rsidRPr="00167EE8" w:rsidRDefault="00D229E3" w:rsidP="00D229E3">
            <w:pPr>
              <w:pStyle w:val="Bodytext50"/>
              <w:numPr>
                <w:ilvl w:val="0"/>
                <w:numId w:val="44"/>
              </w:numPr>
              <w:tabs>
                <w:tab w:val="left" w:pos="778"/>
              </w:tabs>
              <w:spacing w:after="100" w:line="240" w:lineRule="auto"/>
              <w:jc w:val="both"/>
              <w:rPr>
                <w:color w:val="595959"/>
              </w:rPr>
            </w:pPr>
            <w:r w:rsidRPr="00167EE8">
              <w:rPr>
                <w:rStyle w:val="Bodytext5"/>
                <w:b/>
                <w:color w:val="595959"/>
              </w:rPr>
              <w:t>Consulte</w:t>
            </w:r>
            <w:r w:rsidRPr="00167EE8">
              <w:rPr>
                <w:rStyle w:val="Bodytext5"/>
                <w:color w:val="595959"/>
              </w:rPr>
              <w:t xml:space="preserve"> regularmente a página temática do Portal. Utilizá-la-emos para publicar atualizações </w:t>
            </w:r>
            <w:proofErr w:type="gramStart"/>
            <w:r w:rsidRPr="00167EE8">
              <w:rPr>
                <w:rStyle w:val="Bodytext5"/>
                <w:color w:val="595959"/>
              </w:rPr>
              <w:t>e</w:t>
            </w:r>
            <w:r w:rsidRPr="00167EE8">
              <w:rPr>
                <w:color w:val="595959"/>
              </w:rPr>
              <w:t xml:space="preserve"> </w:t>
            </w:r>
            <w:r w:rsidRPr="00167EE8">
              <w:rPr>
                <w:rStyle w:val="Bodytext5"/>
                <w:color w:val="595959"/>
              </w:rPr>
              <w:t xml:space="preserve"> informações</w:t>
            </w:r>
            <w:proofErr w:type="gramEnd"/>
            <w:r w:rsidRPr="00167EE8">
              <w:rPr>
                <w:rStyle w:val="Bodytext5"/>
                <w:color w:val="595959"/>
              </w:rPr>
              <w:t xml:space="preserve"> adicionais sobre o convite à apresentação de propostas (atualizações do convite e dos temas).</w:t>
            </w:r>
          </w:p>
          <w:p w14:paraId="0674E0A7" w14:textId="75274058" w:rsidR="00D229E3" w:rsidRPr="00167EE8" w:rsidRDefault="00D229E3" w:rsidP="00D229E3">
            <w:pPr>
              <w:pStyle w:val="Bodytext50"/>
              <w:numPr>
                <w:ilvl w:val="0"/>
                <w:numId w:val="44"/>
              </w:numPr>
              <w:tabs>
                <w:tab w:val="left" w:pos="778"/>
              </w:tabs>
              <w:spacing w:after="100" w:line="240" w:lineRule="auto"/>
              <w:jc w:val="both"/>
            </w:pPr>
            <w:r w:rsidRPr="00167EE8">
              <w:rPr>
                <w:rStyle w:val="Bodytext5"/>
                <w:b/>
                <w:color w:val="595959"/>
              </w:rPr>
              <w:t>Sistema eletrónico de intercâmbio do Portal de Financiamento e Concursos</w:t>
            </w:r>
            <w:r w:rsidRPr="00167EE8">
              <w:rPr>
                <w:rStyle w:val="Bodytext5"/>
                <w:color w:val="595959"/>
              </w:rPr>
              <w:t xml:space="preserve"> </w:t>
            </w:r>
            <w:hyperlink r:id="rId44" w:history="1">
              <w:r w:rsidRPr="00167EE8">
                <w:rPr>
                  <w:rStyle w:val="Bodytext5"/>
                </w:rPr>
                <w:t xml:space="preserve">— </w:t>
              </w:r>
            </w:hyperlink>
            <w:r w:rsidRPr="00167EE8">
              <w:rPr>
                <w:rStyle w:val="Bodytext5"/>
                <w:color w:val="595959"/>
              </w:rPr>
              <w:t xml:space="preserve">ao apresentar a candidatura, todos os participantes </w:t>
            </w:r>
            <w:r w:rsidRPr="00167EE8">
              <w:rPr>
                <w:rStyle w:val="Bodytext5"/>
                <w:b/>
                <w:color w:val="595959"/>
              </w:rPr>
              <w:t>aceitam</w:t>
            </w:r>
            <w:r w:rsidRPr="00167EE8">
              <w:rPr>
                <w:rStyle w:val="Bodytext5"/>
                <w:color w:val="595959"/>
              </w:rPr>
              <w:t xml:space="preserve"> utilizar o sistema de intercâmbio eletrónico de dados em conformidade com os </w:t>
            </w:r>
            <w:hyperlink r:id="rId45" w:history="1">
              <w:r w:rsidRPr="00167EE8">
                <w:rPr>
                  <w:rStyle w:val="Bodytext5"/>
                  <w:color w:val="0088CC"/>
                  <w:u w:val="single"/>
                </w:rPr>
                <w:t>termos e condições do Portal</w:t>
              </w:r>
              <w:r w:rsidRPr="00167EE8">
                <w:rPr>
                  <w:rStyle w:val="Bodytext5"/>
                  <w:color w:val="7F7F7F"/>
                </w:rPr>
                <w:t>.</w:t>
              </w:r>
            </w:hyperlink>
          </w:p>
          <w:p w14:paraId="4CDB0D41" w14:textId="17E2B456" w:rsidR="00D229E3" w:rsidRPr="00167EE8" w:rsidRDefault="00D229E3" w:rsidP="00D229E3">
            <w:pPr>
              <w:pStyle w:val="Bodytext50"/>
              <w:numPr>
                <w:ilvl w:val="0"/>
                <w:numId w:val="44"/>
              </w:numPr>
              <w:tabs>
                <w:tab w:val="left" w:pos="778"/>
              </w:tabs>
              <w:spacing w:after="100" w:line="240" w:lineRule="auto"/>
              <w:jc w:val="both"/>
            </w:pPr>
            <w:r w:rsidRPr="00167EE8">
              <w:rPr>
                <w:rStyle w:val="Bodytext5"/>
                <w:b/>
                <w:color w:val="595959"/>
              </w:rPr>
              <w:t>Registo</w:t>
            </w:r>
            <w:r w:rsidRPr="00167EE8">
              <w:rPr>
                <w:rStyle w:val="Bodytext5"/>
                <w:color w:val="595959"/>
              </w:rPr>
              <w:t xml:space="preserve"> — antes de apresentar a candidatura, todos os beneficiários, entidades afiliadas e parceiros associados devem estar inscritos no </w:t>
            </w:r>
            <w:hyperlink r:id="rId46" w:history="1">
              <w:r w:rsidRPr="00167EE8">
                <w:rPr>
                  <w:rStyle w:val="Bodytext5"/>
                  <w:color w:val="0088CC"/>
                  <w:u w:val="single"/>
                </w:rPr>
                <w:t>Registo de Participantes</w:t>
              </w:r>
              <w:r w:rsidRPr="00167EE8">
                <w:rPr>
                  <w:rStyle w:val="Bodytext5"/>
                  <w:color w:val="595959"/>
                </w:rPr>
                <w:t>.</w:t>
              </w:r>
            </w:hyperlink>
            <w:r w:rsidRPr="00167EE8">
              <w:rPr>
                <w:rStyle w:val="Bodytext5"/>
                <w:color w:val="595959"/>
              </w:rPr>
              <w:t xml:space="preserve"> O código de identificação do participante (PIC) (um por participante) é obrigatório para o formulário de candidatura.</w:t>
            </w:r>
          </w:p>
          <w:p w14:paraId="0A98655C" w14:textId="77777777" w:rsidR="00D229E3" w:rsidRPr="00167EE8" w:rsidRDefault="00D229E3" w:rsidP="00D229E3">
            <w:pPr>
              <w:pStyle w:val="Bodytext50"/>
              <w:numPr>
                <w:ilvl w:val="0"/>
                <w:numId w:val="44"/>
              </w:numPr>
              <w:tabs>
                <w:tab w:val="left" w:pos="778"/>
              </w:tabs>
              <w:spacing w:after="100" w:line="240" w:lineRule="auto"/>
              <w:jc w:val="both"/>
              <w:rPr>
                <w:rStyle w:val="Bodytext5"/>
                <w:color w:val="595959"/>
              </w:rPr>
            </w:pPr>
            <w:r w:rsidRPr="00167EE8">
              <w:rPr>
                <w:rStyle w:val="Bodytext5"/>
                <w:b/>
                <w:color w:val="595959"/>
              </w:rPr>
              <w:t>Funções de consórcio —</w:t>
            </w:r>
            <w:r w:rsidRPr="00167EE8">
              <w:rPr>
                <w:rStyle w:val="Bodytext5"/>
                <w:color w:val="595959"/>
              </w:rPr>
              <w:t xml:space="preserve"> ao criar o seu consórcio, deve pensar em organizações que o ajudam a realizar os objetivos e a resolver problemas.</w:t>
            </w:r>
          </w:p>
          <w:p w14:paraId="13753FBC" w14:textId="77777777" w:rsidR="00D229E3" w:rsidRPr="00167EE8" w:rsidRDefault="00D229E3" w:rsidP="00D229E3">
            <w:pPr>
              <w:pStyle w:val="Bodytext50"/>
              <w:spacing w:after="100" w:line="240" w:lineRule="auto"/>
              <w:ind w:left="340"/>
              <w:jc w:val="both"/>
            </w:pPr>
            <w:r w:rsidRPr="00167EE8">
              <w:rPr>
                <w:rStyle w:val="Bodytext5"/>
                <w:color w:val="595959"/>
              </w:rPr>
              <w:t xml:space="preserve">As funções devem ser atribuídas de acordo com o nível de participação no projeto. Os principais participantes devem participar como </w:t>
            </w:r>
            <w:r w:rsidRPr="00167EE8">
              <w:rPr>
                <w:rStyle w:val="Bodytext5"/>
                <w:b/>
                <w:color w:val="595959"/>
              </w:rPr>
              <w:t>beneficiários</w:t>
            </w:r>
            <w:r w:rsidRPr="00167EE8">
              <w:rPr>
                <w:rStyle w:val="Bodytext5"/>
                <w:color w:val="595959"/>
              </w:rPr>
              <w:t xml:space="preserve"> ou </w:t>
            </w:r>
            <w:r w:rsidRPr="00167EE8">
              <w:rPr>
                <w:rStyle w:val="Bodytext5"/>
                <w:b/>
                <w:color w:val="595959"/>
              </w:rPr>
              <w:t>entidades afiliadas</w:t>
            </w:r>
            <w:r w:rsidRPr="00167EE8">
              <w:rPr>
                <w:rStyle w:val="Bodytext5"/>
                <w:color w:val="595959"/>
              </w:rPr>
              <w:t xml:space="preserve">; outras entidades podem participar como parceiros associados, subcontratantes ou terceiros que prestam contribuições em espécie. Os </w:t>
            </w:r>
            <w:r w:rsidRPr="00167EE8">
              <w:rPr>
                <w:rStyle w:val="Bodytext5"/>
                <w:b/>
                <w:color w:val="595959"/>
              </w:rPr>
              <w:t>parceiros associados</w:t>
            </w:r>
            <w:r w:rsidRPr="00167EE8">
              <w:rPr>
                <w:rStyle w:val="Bodytext5"/>
                <w:color w:val="595959"/>
              </w:rPr>
              <w:t xml:space="preserve"> e os terceiros que prestam contribuições em espécie devem suportar os seus próprios custos (não serão beneficiários formais do financiamento da UE). A </w:t>
            </w:r>
            <w:r w:rsidRPr="00167EE8">
              <w:rPr>
                <w:rStyle w:val="Bodytext5"/>
                <w:b/>
                <w:color w:val="595959"/>
              </w:rPr>
              <w:t>subcontratação</w:t>
            </w:r>
            <w:r w:rsidRPr="00167EE8">
              <w:rPr>
                <w:rStyle w:val="Bodytext5"/>
                <w:color w:val="595959"/>
              </w:rPr>
              <w:t xml:space="preserve"> deve constituir habitualmente uma parte limitada e deve ser efetuada por terceiros (e não por um dos beneficiários/entidades afiliadas). A subcontratação que ultrapasse 30 % dos custos elegíveis totais deve ser justificada na candidatura.</w:t>
            </w:r>
          </w:p>
          <w:p w14:paraId="141AC373" w14:textId="77777777" w:rsidR="00D229E3" w:rsidRPr="00167EE8" w:rsidRDefault="00D229E3" w:rsidP="00D229E3">
            <w:pPr>
              <w:pStyle w:val="Bodytext50"/>
              <w:numPr>
                <w:ilvl w:val="0"/>
                <w:numId w:val="44"/>
              </w:numPr>
              <w:tabs>
                <w:tab w:val="left" w:pos="778"/>
              </w:tabs>
              <w:spacing w:after="100" w:line="240" w:lineRule="auto"/>
              <w:jc w:val="both"/>
            </w:pPr>
            <w:r w:rsidRPr="00167EE8">
              <w:rPr>
                <w:rStyle w:val="Bodytext5"/>
                <w:b/>
                <w:color w:val="595959"/>
              </w:rPr>
              <w:t>Coordenador —</w:t>
            </w:r>
            <w:r w:rsidRPr="00167EE8">
              <w:rPr>
                <w:rStyle w:val="Bodytext5"/>
                <w:color w:val="595959"/>
              </w:rPr>
              <w:t xml:space="preserve"> em subvenções multibeneficiários, os beneficiários participam como consórcio (grupo de beneficiários). Terão de escolher um coordenador, que assumirá a gestão e a coordenação do projeto e representará o consórcio perante a autoridade que concede a subvenção. Nas subvenções com um único beneficiário, esse beneficiário único será automaticamente o coordenador.</w:t>
            </w:r>
          </w:p>
          <w:p w14:paraId="61C8D670" w14:textId="77777777" w:rsidR="00D229E3" w:rsidRPr="00167EE8" w:rsidRDefault="00D229E3" w:rsidP="00D229E3">
            <w:pPr>
              <w:pStyle w:val="Bodytext50"/>
              <w:numPr>
                <w:ilvl w:val="0"/>
                <w:numId w:val="44"/>
              </w:numPr>
              <w:tabs>
                <w:tab w:val="left" w:pos="778"/>
              </w:tabs>
              <w:spacing w:after="100" w:line="240" w:lineRule="auto"/>
              <w:jc w:val="both"/>
            </w:pPr>
            <w:r w:rsidRPr="00167EE8">
              <w:rPr>
                <w:rStyle w:val="Bodytext5"/>
                <w:b/>
                <w:color w:val="595959"/>
              </w:rPr>
              <w:t xml:space="preserve">Entidades afiliadas </w:t>
            </w:r>
            <w:r w:rsidRPr="00167EE8">
              <w:rPr>
                <w:rStyle w:val="Bodytext5"/>
                <w:color w:val="595959"/>
              </w:rPr>
              <w:t>— os candidatos podem participar com entidades afiliadas (ou seja, entidades ligadas a um beneficiário que participem na ação com direitos e obrigações semelhantes aos dos beneficiários, mas que não assinem a subvenção e, por conseguinte, não se tornem elas próprias beneficiárias). Receberão uma parte do montante da subvenção e devem, por conseguinte, cumprir todas as condições do convite e ser validadas (tal como os beneficiários); mas não contam para os critérios mínimos de elegibilidade para a composição do consórcio (caso existam).</w:t>
            </w:r>
          </w:p>
          <w:p w14:paraId="70D76159" w14:textId="77777777" w:rsidR="00D229E3" w:rsidRPr="00167EE8" w:rsidRDefault="00D229E3" w:rsidP="00D229E3">
            <w:pPr>
              <w:pStyle w:val="Bodytext50"/>
              <w:numPr>
                <w:ilvl w:val="0"/>
                <w:numId w:val="44"/>
              </w:numPr>
              <w:tabs>
                <w:tab w:val="left" w:pos="778"/>
              </w:tabs>
              <w:spacing w:after="100" w:line="240" w:lineRule="auto"/>
              <w:jc w:val="both"/>
              <w:rPr>
                <w:rStyle w:val="Bodytext5"/>
                <w:color w:val="595959"/>
              </w:rPr>
            </w:pPr>
            <w:r w:rsidRPr="00167EE8">
              <w:rPr>
                <w:rStyle w:val="Bodytext5"/>
                <w:b/>
                <w:color w:val="595959"/>
              </w:rPr>
              <w:t xml:space="preserve">Parceiros associados </w:t>
            </w:r>
            <w:r w:rsidRPr="00167EE8">
              <w:rPr>
                <w:rStyle w:val="Bodytext5"/>
                <w:color w:val="595959"/>
              </w:rPr>
              <w:t>— os candidatos podem participar com parceiros associados (ou seja, organizações parceiras que participam na ação, mas sem direito a receber dinheiro da subvenção). Participam sem financiamento, pelo que não necessitam de ser validados.</w:t>
            </w:r>
          </w:p>
          <w:p w14:paraId="11BE8B4C" w14:textId="77777777" w:rsidR="00D229E3" w:rsidRPr="00167EE8" w:rsidRDefault="00D229E3" w:rsidP="00D229E3">
            <w:pPr>
              <w:pStyle w:val="Bodytext50"/>
              <w:numPr>
                <w:ilvl w:val="0"/>
                <w:numId w:val="44"/>
              </w:numPr>
              <w:tabs>
                <w:tab w:val="left" w:pos="778"/>
              </w:tabs>
              <w:spacing w:after="100" w:line="240" w:lineRule="auto"/>
              <w:jc w:val="both"/>
              <w:rPr>
                <w:rStyle w:val="Bodytext5"/>
                <w:color w:val="595959"/>
              </w:rPr>
            </w:pPr>
            <w:r w:rsidRPr="00167EE8">
              <w:rPr>
                <w:rStyle w:val="Bodytext5"/>
                <w:b/>
                <w:color w:val="595959"/>
              </w:rPr>
              <w:t xml:space="preserve">Acordo de consórcio </w:t>
            </w:r>
            <w:r w:rsidRPr="00167EE8">
              <w:rPr>
                <w:rStyle w:val="Bodytext5"/>
                <w:color w:val="595959"/>
              </w:rPr>
              <w:t>— por razões de ordem prática e jurídica, recomenda-se o estabelecimento de disposições internas que permitam fazer face a circunstâncias excecionais ou imprevistas (em todos os casos, mesmo que tal não seja obrigatório nos termos da convenção de subvenção). O acordo de consórcio oferece igualmente a possibilidade de redistribuir o montante da subvenção de acordo com os princípios e parâmetros internos do consórcio (por exemplo, um beneficiário pode reatribuir o montante da subvenção que lhe cabe a outro beneficiário). O acordo de consórcio permite, assim, adaptar a subvenção da UE às necessidades do consórcio, podendo igualmente ajudá-lo a proteger-se em caso de litígio.</w:t>
            </w:r>
          </w:p>
          <w:p w14:paraId="55F28EBE" w14:textId="77777777" w:rsidR="00D229E3" w:rsidRPr="00167EE8" w:rsidRDefault="00D229E3" w:rsidP="00D229E3">
            <w:pPr>
              <w:pStyle w:val="Bodytext50"/>
              <w:numPr>
                <w:ilvl w:val="0"/>
                <w:numId w:val="44"/>
              </w:numPr>
              <w:tabs>
                <w:tab w:val="left" w:pos="778"/>
              </w:tabs>
              <w:spacing w:after="100" w:line="240" w:lineRule="auto"/>
              <w:jc w:val="both"/>
            </w:pPr>
            <w:r w:rsidRPr="00167EE8">
              <w:rPr>
                <w:rStyle w:val="Bodytext5"/>
                <w:b/>
                <w:color w:val="595959"/>
              </w:rPr>
              <w:t>Orçamento equilibrado do projeto —</w:t>
            </w:r>
            <w:r w:rsidRPr="00167EE8">
              <w:rPr>
                <w:rStyle w:val="Bodytext5"/>
                <w:color w:val="595959"/>
              </w:rPr>
              <w:t xml:space="preserve"> as candidaturas a subvenções devem assegurar </w:t>
            </w:r>
            <w:r w:rsidRPr="00167EE8">
              <w:rPr>
                <w:rStyle w:val="Bodytext5"/>
                <w:color w:val="595959"/>
              </w:rPr>
              <w:lastRenderedPageBreak/>
              <w:t>um orçamento equilibrado do projeto e outros recursos suficientes para executar o projeto com êxito (por exemplo, contribuições próprias, receitas geradas pela ação, contribuições financeiras de terceiros, etc.). Poderá ser pedida a redução dos custos estimados, se estes forem inelegíveis (ou excessivos).</w:t>
            </w:r>
          </w:p>
          <w:p w14:paraId="555AE856" w14:textId="77777777" w:rsidR="00D229E3" w:rsidRPr="00167EE8" w:rsidRDefault="00D229E3" w:rsidP="00D229E3">
            <w:pPr>
              <w:pStyle w:val="Bodytext50"/>
              <w:numPr>
                <w:ilvl w:val="0"/>
                <w:numId w:val="44"/>
              </w:numPr>
              <w:tabs>
                <w:tab w:val="left" w:pos="778"/>
              </w:tabs>
              <w:spacing w:after="100" w:line="240" w:lineRule="auto"/>
              <w:jc w:val="both"/>
              <w:rPr>
                <w:rStyle w:val="Bodytext5"/>
                <w:color w:val="595959"/>
              </w:rPr>
            </w:pPr>
            <w:r w:rsidRPr="00167EE8">
              <w:rPr>
                <w:rStyle w:val="Bodytext5"/>
                <w:b/>
                <w:color w:val="595959"/>
              </w:rPr>
              <w:t>Projetos concluídos/em curso</w:t>
            </w:r>
            <w:r w:rsidRPr="00167EE8">
              <w:rPr>
                <w:rStyle w:val="Bodytext5"/>
                <w:color w:val="595959"/>
              </w:rPr>
              <w:t xml:space="preserve"> — as propostas de projetos já concluídos serão rejeitadas; as propostas de projetos já iniciados serão avaliadas caso a caso (neste caso, não podem ser reembolsados quaisquer custos relativos a atividades realizadas antes da data de início do projeto/apresentação da proposta).</w:t>
            </w:r>
          </w:p>
          <w:p w14:paraId="1B9018DD" w14:textId="77777777" w:rsidR="00D229E3" w:rsidRPr="00167EE8" w:rsidRDefault="00D229E3" w:rsidP="00D229E3">
            <w:pPr>
              <w:pStyle w:val="Bodytext50"/>
              <w:numPr>
                <w:ilvl w:val="0"/>
                <w:numId w:val="44"/>
              </w:numPr>
              <w:tabs>
                <w:tab w:val="left" w:pos="778"/>
              </w:tabs>
              <w:spacing w:after="100" w:line="240" w:lineRule="auto"/>
              <w:jc w:val="both"/>
            </w:pPr>
            <w:r w:rsidRPr="00167EE8">
              <w:rPr>
                <w:rStyle w:val="Bodytext5"/>
                <w:b/>
                <w:color w:val="595959"/>
              </w:rPr>
              <w:t>Regra da inexistência de fins lucrativos</w:t>
            </w:r>
            <w:r w:rsidRPr="00167EE8">
              <w:rPr>
                <w:rStyle w:val="Bodytext5"/>
                <w:color w:val="595959"/>
              </w:rPr>
              <w:t xml:space="preserve"> — as subvenções NÃO podem dar lucro (ou seja, excedente de receitas + </w:t>
            </w:r>
            <w:proofErr w:type="gramStart"/>
            <w:r w:rsidRPr="00167EE8">
              <w:rPr>
                <w:rStyle w:val="Bodytext5"/>
                <w:color w:val="595959"/>
              </w:rPr>
              <w:t xml:space="preserve">subvenção </w:t>
            </w:r>
            <w:r w:rsidRPr="00167EE8">
              <w:t xml:space="preserve"> </w:t>
            </w:r>
            <w:r w:rsidRPr="00167EE8">
              <w:rPr>
                <w:rStyle w:val="Bodytext5"/>
                <w:color w:val="595959"/>
              </w:rPr>
              <w:t>da</w:t>
            </w:r>
            <w:proofErr w:type="gramEnd"/>
            <w:r w:rsidRPr="00167EE8">
              <w:rPr>
                <w:rStyle w:val="Bodytext5"/>
                <w:color w:val="595959"/>
              </w:rPr>
              <w:t xml:space="preserve"> UE em relação aos custos). Esta situação será verificada no final do projeto.</w:t>
            </w:r>
          </w:p>
          <w:p w14:paraId="0216A62A" w14:textId="77777777" w:rsidR="00D229E3" w:rsidRPr="00167EE8" w:rsidRDefault="00D229E3" w:rsidP="00D229E3">
            <w:pPr>
              <w:pStyle w:val="Bodytext50"/>
              <w:numPr>
                <w:ilvl w:val="0"/>
                <w:numId w:val="44"/>
              </w:numPr>
              <w:tabs>
                <w:tab w:val="left" w:pos="778"/>
              </w:tabs>
              <w:spacing w:after="100" w:line="240" w:lineRule="auto"/>
              <w:jc w:val="both"/>
            </w:pPr>
            <w:r w:rsidRPr="00167EE8">
              <w:rPr>
                <w:rStyle w:val="Bodytext5"/>
                <w:b/>
                <w:color w:val="595959"/>
              </w:rPr>
              <w:t>Sem financiamento cumulativo/sem duplo financiamento —</w:t>
            </w:r>
            <w:r w:rsidRPr="00167EE8">
              <w:rPr>
                <w:rStyle w:val="Bodytext5"/>
                <w:color w:val="595959"/>
              </w:rPr>
              <w:t xml:space="preserve"> é estritamente proibido cumular financiamento a partir do orçamento da UE (exceto no âmbito das «iniciativas Synergies da UE»). Fora das iniciativas Synergies, cada ação apenas pode beneficiar de UMA subvenção do orçamento da UE e as rubricas de custos NÃO podem, em circunstância alguma, ser declaradas no âmbito de duas subvenções da UE. Se, não obstante, pretender beneficiar de diferentes oportunidades de financiamento da UE, os projetos devem ser concebidos como ações diferentes, claramente delimitadas e separadas para cada subvenção (sem sobreposições).</w:t>
            </w:r>
          </w:p>
          <w:p w14:paraId="39F13E7F" w14:textId="77777777" w:rsidR="00D229E3" w:rsidRPr="00167EE8" w:rsidRDefault="00D229E3" w:rsidP="00141542">
            <w:pPr>
              <w:pStyle w:val="Style15"/>
            </w:pPr>
            <w:r w:rsidRPr="00167EE8">
              <w:rPr>
                <w:b/>
              </w:rPr>
              <w:t>Combinação com subvenções de funcionamento da UE —</w:t>
            </w:r>
            <w:r w:rsidRPr="00167EE8">
              <w:t xml:space="preserve"> a combinação com subvenções de funcionamento da UE é possível se o projeto não se inscrever no programa de trabalho das subvenções de funcionamento e se o candidato assegurar que as rubricas de custos estão claramente separadas na sua contabilidade e NÃO são declaradas duas vezes (ver</w:t>
            </w:r>
            <w:hyperlink r:id="rId47" w:history="1">
              <w:r w:rsidRPr="00167EE8">
                <w:rPr>
                  <w:rStyle w:val="Bodytext5"/>
                  <w:i/>
                </w:rPr>
                <w:t xml:space="preserve"> </w:t>
              </w:r>
              <w:r w:rsidRPr="00167EE8">
                <w:rPr>
                  <w:rStyle w:val="Bodytext5"/>
                  <w:i/>
                  <w:color w:val="0088CC"/>
                  <w:u w:val="single"/>
                </w:rPr>
                <w:t xml:space="preserve"> AGA — Convenção de Subvenção Anotada, artigo 6.2.E</w:t>
              </w:r>
              <w:r w:rsidRPr="00167EE8">
                <w:rPr>
                  <w:rStyle w:val="Bodytext5"/>
                  <w:i/>
                  <w:u w:val="single"/>
                </w:rPr>
                <w:t>)</w:t>
              </w:r>
            </w:hyperlink>
            <w:r w:rsidRPr="00167EE8">
              <w:rPr>
                <w:rStyle w:val="Bodytext5"/>
                <w:i/>
              </w:rPr>
              <w:t>.</w:t>
            </w:r>
          </w:p>
          <w:p w14:paraId="76F7728A" w14:textId="77777777" w:rsidR="00D229E3" w:rsidRPr="00167EE8" w:rsidRDefault="00D229E3" w:rsidP="00D229E3">
            <w:pPr>
              <w:pStyle w:val="Bodytext50"/>
              <w:numPr>
                <w:ilvl w:val="0"/>
                <w:numId w:val="44"/>
              </w:numPr>
              <w:tabs>
                <w:tab w:val="left" w:pos="778"/>
              </w:tabs>
              <w:spacing w:after="100" w:line="240" w:lineRule="auto"/>
              <w:jc w:val="both"/>
            </w:pPr>
            <w:r w:rsidRPr="00167EE8">
              <w:rPr>
                <w:rStyle w:val="Bodytext5"/>
                <w:b/>
                <w:color w:val="595959"/>
              </w:rPr>
              <w:t xml:space="preserve">Propostas múltiplas — </w:t>
            </w:r>
            <w:r w:rsidRPr="00167EE8">
              <w:rPr>
                <w:rStyle w:val="Bodytext5"/>
                <w:color w:val="595959"/>
              </w:rPr>
              <w:t xml:space="preserve">os candidatos podem apresentar mais do que uma proposta para </w:t>
            </w:r>
            <w:r w:rsidRPr="00167EE8">
              <w:rPr>
                <w:rStyle w:val="Bodytext5"/>
                <w:i/>
                <w:color w:val="595959"/>
              </w:rPr>
              <w:t>diferentes</w:t>
            </w:r>
            <w:r w:rsidRPr="00167EE8">
              <w:rPr>
                <w:rStyle w:val="Bodytext5"/>
                <w:color w:val="595959"/>
              </w:rPr>
              <w:t xml:space="preserve"> projetos no âmbito do mesmo convite (e receber financiamento para os mesmos).</w:t>
            </w:r>
          </w:p>
          <w:p w14:paraId="0DF21843" w14:textId="77777777" w:rsidR="00D229E3" w:rsidRPr="00167EE8" w:rsidRDefault="00D229E3" w:rsidP="00D229E3">
            <w:pPr>
              <w:pStyle w:val="Bodytext50"/>
              <w:spacing w:line="240" w:lineRule="auto"/>
              <w:ind w:left="360"/>
              <w:jc w:val="both"/>
            </w:pPr>
            <w:r w:rsidRPr="00167EE8">
              <w:rPr>
                <w:rStyle w:val="Bodytext5"/>
                <w:color w:val="595959"/>
              </w:rPr>
              <w:t>As organizações podem participar em várias propostas.</w:t>
            </w:r>
          </w:p>
          <w:p w14:paraId="1B998D32" w14:textId="77777777" w:rsidR="00D229E3" w:rsidRPr="00167EE8" w:rsidRDefault="00D229E3" w:rsidP="00D229E3">
            <w:pPr>
              <w:pStyle w:val="Bodytext50"/>
              <w:spacing w:after="180" w:line="240" w:lineRule="auto"/>
              <w:ind w:left="320"/>
              <w:jc w:val="both"/>
            </w:pPr>
            <w:r w:rsidRPr="00167EE8">
              <w:rPr>
                <w:rStyle w:val="Bodytext5"/>
                <w:color w:val="595959"/>
              </w:rPr>
              <w:t xml:space="preserve">CONTUDO: se houver várias propostas para projetos </w:t>
            </w:r>
            <w:r w:rsidRPr="00167EE8">
              <w:rPr>
                <w:rStyle w:val="Bodytext5"/>
                <w:i/>
                <w:color w:val="595959"/>
              </w:rPr>
              <w:t>muito similares</w:t>
            </w:r>
            <w:r w:rsidRPr="00167EE8">
              <w:rPr>
                <w:rStyle w:val="Bodytext5"/>
                <w:color w:val="595959"/>
              </w:rPr>
              <w:t>, apenas uma candidatura será aceite e avaliada; os candidatos serão convidados a retirar as outras (ou serão rejeitados).</w:t>
            </w:r>
          </w:p>
          <w:p w14:paraId="6CCA7C3F" w14:textId="77777777" w:rsidR="00D229E3" w:rsidRPr="00167EE8" w:rsidRDefault="00D229E3" w:rsidP="00D229E3">
            <w:pPr>
              <w:pStyle w:val="Bodytext50"/>
              <w:numPr>
                <w:ilvl w:val="0"/>
                <w:numId w:val="44"/>
              </w:numPr>
              <w:tabs>
                <w:tab w:val="left" w:pos="778"/>
              </w:tabs>
              <w:spacing w:after="100" w:line="240" w:lineRule="auto"/>
              <w:jc w:val="both"/>
              <w:rPr>
                <w:rStyle w:val="Bodytext5"/>
                <w:color w:val="595959"/>
              </w:rPr>
            </w:pPr>
            <w:r w:rsidRPr="00167EE8">
              <w:rPr>
                <w:rStyle w:val="Bodytext5"/>
                <w:b/>
                <w:color w:val="595959"/>
              </w:rPr>
              <w:t>Nova apresentação</w:t>
            </w:r>
            <w:r w:rsidRPr="00167EE8">
              <w:rPr>
                <w:rStyle w:val="Bodytext5"/>
                <w:color w:val="595959"/>
              </w:rPr>
              <w:t xml:space="preserve"> — as propostas podem ser alteradas e voltar a ser apresentadas até ao termo do prazo para a sua apresentação.</w:t>
            </w:r>
          </w:p>
          <w:p w14:paraId="2F0D68DC" w14:textId="77777777" w:rsidR="00D229E3" w:rsidRPr="00167EE8" w:rsidRDefault="00D229E3" w:rsidP="00D229E3">
            <w:pPr>
              <w:pStyle w:val="Bodytext50"/>
              <w:numPr>
                <w:ilvl w:val="0"/>
                <w:numId w:val="44"/>
              </w:numPr>
              <w:tabs>
                <w:tab w:val="left" w:pos="778"/>
              </w:tabs>
              <w:spacing w:after="100" w:line="240" w:lineRule="auto"/>
              <w:jc w:val="both"/>
              <w:rPr>
                <w:rStyle w:val="Bodytext5"/>
                <w:color w:val="595959"/>
              </w:rPr>
            </w:pPr>
            <w:r w:rsidRPr="00167EE8">
              <w:rPr>
                <w:rStyle w:val="Bodytext5"/>
                <w:b/>
                <w:color w:val="595959"/>
              </w:rPr>
              <w:t xml:space="preserve">Rejeição — </w:t>
            </w:r>
            <w:r w:rsidRPr="00167EE8">
              <w:rPr>
                <w:rStyle w:val="Bodytext5"/>
                <w:color w:val="595959"/>
              </w:rPr>
              <w:t xml:space="preserve">ao apresentarem a candidatura, todos os candidatos aceitam as condições do convite estabelecidas no presente documento de convite (e os documentos a que se refere). As propostas que não cumpram todas as condições do convite serão </w:t>
            </w:r>
            <w:r w:rsidRPr="00167EE8">
              <w:rPr>
                <w:rStyle w:val="Bodytext5"/>
                <w:b/>
                <w:color w:val="595959"/>
              </w:rPr>
              <w:t>rejeitadas</w:t>
            </w:r>
            <w:r w:rsidRPr="00167EE8">
              <w:rPr>
                <w:rStyle w:val="Bodytext5"/>
                <w:color w:val="595959"/>
              </w:rPr>
              <w:t>. O mesmo se aplica aos candidatos: todos os candidatos têm de cumprir os critérios; se um deles não o fizer, terá de ser substituído ou a proposta será integralmente rejeitada.</w:t>
            </w:r>
          </w:p>
          <w:p w14:paraId="307C9006" w14:textId="77777777" w:rsidR="00D229E3" w:rsidRPr="00167EE8" w:rsidRDefault="00D229E3" w:rsidP="00D229E3">
            <w:pPr>
              <w:pStyle w:val="Bodytext50"/>
              <w:numPr>
                <w:ilvl w:val="0"/>
                <w:numId w:val="44"/>
              </w:numPr>
              <w:tabs>
                <w:tab w:val="left" w:pos="778"/>
              </w:tabs>
              <w:spacing w:after="100" w:line="240" w:lineRule="auto"/>
              <w:jc w:val="both"/>
              <w:rPr>
                <w:rStyle w:val="Bodytext5"/>
                <w:color w:val="595959"/>
              </w:rPr>
            </w:pPr>
            <w:r w:rsidRPr="00167EE8">
              <w:rPr>
                <w:rStyle w:val="Bodytext5"/>
                <w:b/>
                <w:color w:val="595959"/>
              </w:rPr>
              <w:t xml:space="preserve">Cancelamento — </w:t>
            </w:r>
            <w:r w:rsidRPr="00167EE8">
              <w:rPr>
                <w:rStyle w:val="Bodytext5"/>
                <w:color w:val="595959"/>
              </w:rPr>
              <w:t>em determinadas circunstâncias, pode ser necessário cancelar o convite à apresentação de propostas. Nesse caso, os candidatos serão informados através de uma chamada ou de uma atualização na página do tema. Importa notar que os cancelamentos não dão direito a compensação.</w:t>
            </w:r>
          </w:p>
          <w:p w14:paraId="35ADF053" w14:textId="77777777" w:rsidR="00D229E3" w:rsidRPr="00167EE8" w:rsidRDefault="00D229E3" w:rsidP="00D229E3">
            <w:pPr>
              <w:pStyle w:val="Bodytext50"/>
              <w:numPr>
                <w:ilvl w:val="0"/>
                <w:numId w:val="44"/>
              </w:numPr>
              <w:tabs>
                <w:tab w:val="left" w:pos="778"/>
              </w:tabs>
              <w:spacing w:after="100" w:line="240" w:lineRule="auto"/>
              <w:jc w:val="both"/>
              <w:rPr>
                <w:rStyle w:val="Bodytext5"/>
              </w:rPr>
            </w:pPr>
            <w:r w:rsidRPr="00167EE8">
              <w:rPr>
                <w:rStyle w:val="Bodytext5"/>
                <w:b/>
                <w:color w:val="595959"/>
              </w:rPr>
              <w:t xml:space="preserve">Língua — </w:t>
            </w:r>
            <w:r w:rsidRPr="00167EE8">
              <w:rPr>
                <w:rStyle w:val="Bodytext5"/>
                <w:color w:val="595959"/>
              </w:rPr>
              <w:t xml:space="preserve">A língua do presente convite é o inglês. Pode submeter a sua proposta em qualquer língua oficial da UE (o resumo/a síntese do projeto deve, no entanto, ser sempre redigido(a) em inglês). Por razões de eficiência, é vivamente aconselhada a utilização da língua inglesa em toda a candidatura. Se necessitar da documentação do convite noutra língua oficial da UE, queira apresentar um pedido no prazo de 10 dias a contar da publicação do convite (para os dados de contacto, </w:t>
            </w:r>
            <w:r w:rsidRPr="00167EE8">
              <w:rPr>
                <w:rStyle w:val="Bodytext5"/>
                <w:i/>
                <w:color w:val="595959"/>
              </w:rPr>
              <w:t>ver secção 12</w:t>
            </w:r>
            <w:r w:rsidRPr="00167EE8">
              <w:rPr>
                <w:rStyle w:val="Bodytext5"/>
                <w:color w:val="595959"/>
              </w:rPr>
              <w:t>).</w:t>
            </w:r>
          </w:p>
          <w:p w14:paraId="6CE97831" w14:textId="6AD7D3D4" w:rsidR="00D229E3" w:rsidRPr="00167EE8" w:rsidRDefault="00D229E3" w:rsidP="000564A8">
            <w:pPr>
              <w:pStyle w:val="Style16"/>
            </w:pPr>
            <w:r w:rsidRPr="00167EE8">
              <w:rPr>
                <w:rStyle w:val="Bodytext5"/>
                <w:b/>
              </w:rPr>
              <w:t xml:space="preserve">Transparência — </w:t>
            </w:r>
            <w:r w:rsidRPr="00167EE8">
              <w:rPr>
                <w:rStyle w:val="Bodytext5"/>
              </w:rPr>
              <w:t xml:space="preserve">em conformidade com o artigo 38.º do </w:t>
            </w:r>
            <w:hyperlink r:id="rId48" w:history="1">
              <w:r w:rsidRPr="00167EE8">
                <w:rPr>
                  <w:rStyle w:val="Bodytext5"/>
                  <w:color w:val="0088CC"/>
                  <w:u w:val="single"/>
                </w:rPr>
                <w:t>Regulamento Financeiro da UE</w:t>
              </w:r>
            </w:hyperlink>
            <w:r w:rsidRPr="00167EE8">
              <w:rPr>
                <w:rStyle w:val="Bodytext5"/>
              </w:rPr>
              <w:t>, as informações relativas às subvenções da UE concedidas são publicadas anualmente no</w:t>
            </w:r>
            <w:r w:rsidRPr="00167EE8">
              <w:t xml:space="preserve"> </w:t>
            </w:r>
            <w:r w:rsidRPr="00167EE8">
              <w:rPr>
                <w:color w:val="0088CC"/>
                <w:u w:val="single"/>
              </w:rPr>
              <w:t>sítio Europa</w:t>
            </w:r>
            <w:hyperlink r:id="rId49" w:history="1">
              <w:r w:rsidRPr="00167EE8">
                <w:rPr>
                  <w:rStyle w:val="Bodytext5"/>
                </w:rPr>
                <w:t>.</w:t>
              </w:r>
            </w:hyperlink>
          </w:p>
          <w:p w14:paraId="53B4DA0C" w14:textId="77777777" w:rsidR="00D229E3" w:rsidRPr="00167EE8" w:rsidRDefault="00D229E3" w:rsidP="00D229E3">
            <w:pPr>
              <w:pStyle w:val="Bodytext50"/>
              <w:spacing w:after="40" w:line="240" w:lineRule="auto"/>
              <w:ind w:left="360"/>
              <w:jc w:val="both"/>
            </w:pPr>
            <w:r w:rsidRPr="00167EE8">
              <w:rPr>
                <w:rStyle w:val="Bodytext5"/>
                <w:color w:val="595959"/>
              </w:rPr>
              <w:t>Incluem:</w:t>
            </w:r>
          </w:p>
          <w:p w14:paraId="5C1DEE13" w14:textId="77777777" w:rsidR="00D229E3" w:rsidRPr="00167EE8" w:rsidRDefault="00D229E3" w:rsidP="00D229E3">
            <w:pPr>
              <w:pStyle w:val="Bodytext50"/>
              <w:numPr>
                <w:ilvl w:val="0"/>
                <w:numId w:val="45"/>
              </w:numPr>
              <w:tabs>
                <w:tab w:val="left" w:pos="1320"/>
              </w:tabs>
              <w:spacing w:after="40" w:line="240" w:lineRule="auto"/>
              <w:ind w:left="870"/>
              <w:jc w:val="both"/>
            </w:pPr>
            <w:r w:rsidRPr="00167EE8">
              <w:rPr>
                <w:rStyle w:val="Bodytext5"/>
                <w:color w:val="595959"/>
              </w:rPr>
              <w:t>os nomes dos beneficiários</w:t>
            </w:r>
          </w:p>
          <w:p w14:paraId="03434871" w14:textId="77777777" w:rsidR="00D229E3" w:rsidRPr="00167EE8" w:rsidRDefault="00D229E3" w:rsidP="00D229E3">
            <w:pPr>
              <w:pStyle w:val="Bodytext50"/>
              <w:numPr>
                <w:ilvl w:val="0"/>
                <w:numId w:val="45"/>
              </w:numPr>
              <w:tabs>
                <w:tab w:val="left" w:pos="1320"/>
              </w:tabs>
              <w:spacing w:after="40" w:line="240" w:lineRule="auto"/>
              <w:ind w:left="870"/>
              <w:jc w:val="both"/>
            </w:pPr>
            <w:r w:rsidRPr="00167EE8">
              <w:rPr>
                <w:rStyle w:val="Bodytext5"/>
                <w:color w:val="595959"/>
              </w:rPr>
              <w:lastRenderedPageBreak/>
              <w:t>os endereços dos beneficiários</w:t>
            </w:r>
          </w:p>
          <w:p w14:paraId="473EBBFE" w14:textId="77777777" w:rsidR="00D229E3" w:rsidRPr="00167EE8" w:rsidRDefault="00D229E3" w:rsidP="00D229E3">
            <w:pPr>
              <w:pStyle w:val="Bodytext50"/>
              <w:numPr>
                <w:ilvl w:val="0"/>
                <w:numId w:val="45"/>
              </w:numPr>
              <w:tabs>
                <w:tab w:val="left" w:pos="1320"/>
                <w:tab w:val="center" w:pos="3533"/>
                <w:tab w:val="right" w:pos="5443"/>
              </w:tabs>
              <w:spacing w:after="40" w:line="240" w:lineRule="auto"/>
              <w:ind w:left="870"/>
              <w:jc w:val="both"/>
            </w:pPr>
            <w:r w:rsidRPr="00167EE8">
              <w:rPr>
                <w:rStyle w:val="Bodytext5"/>
                <w:color w:val="595959"/>
              </w:rPr>
              <w:t>a finalidade para que a subvenção foi concedida</w:t>
            </w:r>
          </w:p>
          <w:p w14:paraId="4CBEC7CE" w14:textId="77777777" w:rsidR="00D229E3" w:rsidRPr="00167EE8" w:rsidRDefault="00D229E3" w:rsidP="00D229E3">
            <w:pPr>
              <w:pStyle w:val="Bodytext50"/>
              <w:numPr>
                <w:ilvl w:val="0"/>
                <w:numId w:val="45"/>
              </w:numPr>
              <w:tabs>
                <w:tab w:val="left" w:pos="1320"/>
              </w:tabs>
              <w:spacing w:after="10" w:line="240" w:lineRule="auto"/>
              <w:ind w:left="870"/>
              <w:jc w:val="both"/>
            </w:pPr>
            <w:r w:rsidRPr="00167EE8">
              <w:rPr>
                <w:rStyle w:val="Bodytext5"/>
                <w:color w:val="595959"/>
              </w:rPr>
              <w:t>o montante máximo concedido.</w:t>
            </w:r>
          </w:p>
          <w:p w14:paraId="4E041415" w14:textId="77777777" w:rsidR="00D229E3" w:rsidRPr="00167EE8" w:rsidRDefault="00D229E3" w:rsidP="00D229E3">
            <w:pPr>
              <w:pStyle w:val="Bodytext50"/>
              <w:spacing w:after="180" w:line="240" w:lineRule="auto"/>
              <w:ind w:left="320"/>
              <w:jc w:val="both"/>
            </w:pPr>
            <w:r w:rsidRPr="00167EE8">
              <w:rPr>
                <w:rStyle w:val="Bodytext5"/>
                <w:color w:val="595959"/>
              </w:rPr>
              <w:t>Excecionalmente, a publicação pode ser dispensada (mediante pedido fundamentado e devidamente justificado) se existir o risco de a divulgação comprometer os direitos e liberdades dos candidatos consagrados na Carta dos Direitos Fundamentais da UE ou prejudicar os seus interesses comerciais.</w:t>
            </w:r>
          </w:p>
          <w:p w14:paraId="391949EB" w14:textId="648ADF1E" w:rsidR="008F31DC" w:rsidRPr="00167EE8" w:rsidRDefault="00D229E3" w:rsidP="0032042B">
            <w:pPr>
              <w:pStyle w:val="Bodytext50"/>
              <w:numPr>
                <w:ilvl w:val="0"/>
                <w:numId w:val="44"/>
              </w:numPr>
              <w:tabs>
                <w:tab w:val="left" w:pos="778"/>
              </w:tabs>
              <w:spacing w:after="100" w:line="240" w:lineRule="auto"/>
              <w:jc w:val="both"/>
            </w:pPr>
            <w:r w:rsidRPr="00167EE8">
              <w:rPr>
                <w:rStyle w:val="Bodytext5"/>
                <w:b/>
                <w:color w:val="595959"/>
              </w:rPr>
              <w:t>Proteção de dados</w:t>
            </w:r>
            <w:r w:rsidRPr="00167EE8">
              <w:rPr>
                <w:rStyle w:val="Bodytext5"/>
                <w:color w:val="595959"/>
              </w:rPr>
              <w:t xml:space="preserve"> — a apresentação de uma proposta no âmbito do presente convite implica a recolha, utilização e tratamento de dados pessoais. Estes dados serão tratados em conformidade com o quadro jurídico aplicável. Serão tratados exclusivamente para efeitos de avaliação da sua proposta, para a subsequente gestão da subvenção e, se necessário, para o acompanhamento, avaliação e comunicação no âmbito do programa. Mais informações na</w:t>
            </w:r>
            <w:r w:rsidRPr="00167EE8">
              <w:t xml:space="preserve"> </w:t>
            </w:r>
            <w:hyperlink r:id="rId50" w:history="1">
              <w:r w:rsidRPr="00167EE8">
                <w:rPr>
                  <w:rStyle w:val="Bodytext5"/>
                  <w:color w:val="0088CC"/>
                  <w:u w:val="single"/>
                </w:rPr>
                <w:t>Declaração de Privacidade do Portal de Financiamento e Concursos</w:t>
              </w:r>
            </w:hyperlink>
            <w:r w:rsidRPr="00167EE8">
              <w:rPr>
                <w:rStyle w:val="Bodytext5"/>
                <w:color w:val="595959"/>
              </w:rPr>
              <w:t>.</w:t>
            </w:r>
          </w:p>
        </w:tc>
      </w:tr>
    </w:tbl>
    <w:p w14:paraId="24384A52" w14:textId="03E5EE91" w:rsidR="000435C2" w:rsidRPr="00167EE8" w:rsidRDefault="000435C2" w:rsidP="00D229E3">
      <w:pPr>
        <w:rPr>
          <w:sz w:val="6"/>
          <w:szCs w:val="10"/>
        </w:rPr>
      </w:pPr>
    </w:p>
    <w:sectPr w:rsidR="000435C2" w:rsidRPr="00167EE8" w:rsidSect="00D229E3">
      <w:footerReference w:type="default" r:id="rId51"/>
      <w:type w:val="continuous"/>
      <w:pgSz w:w="11900" w:h="16840"/>
      <w:pgMar w:top="2288" w:right="1765" w:bottom="984" w:left="1591" w:header="567" w:footer="3" w:gutter="0"/>
      <w:cols w:space="720"/>
      <w:noEndnote/>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77BE26" w14:textId="77777777" w:rsidR="00180C6F" w:rsidRPr="00167EE8" w:rsidRDefault="008B332B">
      <w:r w:rsidRPr="00167EE8">
        <w:separator/>
      </w:r>
    </w:p>
  </w:endnote>
  <w:endnote w:type="continuationSeparator" w:id="0">
    <w:p w14:paraId="56358872" w14:textId="77777777" w:rsidR="00180C6F" w:rsidRPr="00167EE8" w:rsidRDefault="008B332B">
      <w:r w:rsidRPr="00167EE8">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B192C" w14:textId="77777777" w:rsidR="00A33280" w:rsidRDefault="00A332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BE657" w14:textId="77777777" w:rsidR="00A33280" w:rsidRDefault="00A3328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5070A" w14:textId="77777777" w:rsidR="00A33280" w:rsidRDefault="00A3328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3767359"/>
      <w:docPartObj>
        <w:docPartGallery w:val="Page Numbers (Bottom of Page)"/>
        <w:docPartUnique/>
      </w:docPartObj>
    </w:sdtPr>
    <w:sdtEndPr>
      <w:rPr>
        <w:noProof/>
        <w:sz w:val="16"/>
        <w:szCs w:val="16"/>
      </w:rPr>
    </w:sdtEndPr>
    <w:sdtContent>
      <w:p w14:paraId="625153C5" w14:textId="6E9EFFB9" w:rsidR="00A33280" w:rsidRPr="00A33280" w:rsidRDefault="00A33280">
        <w:pPr>
          <w:pStyle w:val="Footer"/>
          <w:jc w:val="right"/>
          <w:rPr>
            <w:sz w:val="16"/>
            <w:szCs w:val="16"/>
          </w:rPr>
        </w:pPr>
        <w:r w:rsidRPr="00A33280">
          <w:rPr>
            <w:sz w:val="16"/>
            <w:szCs w:val="16"/>
          </w:rPr>
          <w:fldChar w:fldCharType="begin"/>
        </w:r>
        <w:r w:rsidRPr="00A33280">
          <w:rPr>
            <w:sz w:val="16"/>
            <w:szCs w:val="16"/>
          </w:rPr>
          <w:instrText xml:space="preserve"> PAGE   \* MERGEFORMAT </w:instrText>
        </w:r>
        <w:r w:rsidRPr="00A33280">
          <w:rPr>
            <w:sz w:val="16"/>
            <w:szCs w:val="16"/>
          </w:rPr>
          <w:fldChar w:fldCharType="separate"/>
        </w:r>
        <w:r w:rsidRPr="00A33280">
          <w:rPr>
            <w:noProof/>
            <w:sz w:val="16"/>
            <w:szCs w:val="16"/>
          </w:rPr>
          <w:t>2</w:t>
        </w:r>
        <w:r w:rsidRPr="00A33280">
          <w:rPr>
            <w:noProof/>
            <w:sz w:val="16"/>
            <w:szCs w:val="16"/>
          </w:rPr>
          <w:fldChar w:fldCharType="end"/>
        </w:r>
      </w:p>
    </w:sdtContent>
  </w:sdt>
  <w:p w14:paraId="4F537A54" w14:textId="6C06F77C" w:rsidR="000435C2" w:rsidRPr="00167EE8" w:rsidRDefault="000435C2">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ADD84D" w14:textId="77777777" w:rsidR="000435C2" w:rsidRPr="00167EE8" w:rsidRDefault="008B332B">
      <w:r w:rsidRPr="00167EE8">
        <w:separator/>
      </w:r>
    </w:p>
  </w:footnote>
  <w:footnote w:type="continuationSeparator" w:id="0">
    <w:p w14:paraId="0C8D8B69" w14:textId="77777777" w:rsidR="000435C2" w:rsidRPr="00167EE8" w:rsidRDefault="008B332B">
      <w:r w:rsidRPr="00167EE8">
        <w:continuationSeparator/>
      </w:r>
    </w:p>
  </w:footnote>
  <w:footnote w:id="1">
    <w:p w14:paraId="2EA382E3" w14:textId="77777777" w:rsidR="000435C2" w:rsidRPr="00167EE8" w:rsidRDefault="008B332B">
      <w:pPr>
        <w:pStyle w:val="Footnote0"/>
        <w:tabs>
          <w:tab w:val="left" w:pos="355"/>
        </w:tabs>
        <w:ind w:left="0"/>
        <w:jc w:val="both"/>
      </w:pPr>
      <w:r w:rsidRPr="00167EE8">
        <w:rPr>
          <w:rStyle w:val="Footnote"/>
          <w:vertAlign w:val="superscript"/>
        </w:rPr>
        <w:footnoteRef/>
      </w:r>
      <w:r w:rsidRPr="00167EE8">
        <w:rPr>
          <w:rStyle w:val="Footnote"/>
        </w:rPr>
        <w:tab/>
        <w:t>Regulamento (UE) 2021/947 do Parlamento Europeu e do Conselho, de 9 de junho de 2021, que estabelece</w:t>
      </w:r>
    </w:p>
    <w:p w14:paraId="51E11A07" w14:textId="77777777" w:rsidR="000435C2" w:rsidRPr="00167EE8" w:rsidRDefault="008B332B">
      <w:pPr>
        <w:pStyle w:val="Footnote0"/>
        <w:ind w:left="420"/>
        <w:jc w:val="both"/>
      </w:pPr>
      <w:r w:rsidRPr="00167EE8">
        <w:rPr>
          <w:rStyle w:val="Footnote"/>
        </w:rPr>
        <w:t>o Instrumento de Vizinhança, Desenvolvimento e Cooperação Internacional — Europa Global, que altera e revoga a Decisão n.º 466/2014/UE e que revoga o Regulamento (UE) 2017/1601 e o Regulamento (CE, Euratom) n.º 480/2009 do Conselho (JO L 209 de 14.6.2021, p. 1).</w:t>
      </w:r>
    </w:p>
  </w:footnote>
  <w:footnote w:id="2">
    <w:p w14:paraId="43B05709" w14:textId="282E4EB0" w:rsidR="000435C2" w:rsidRPr="00167EE8" w:rsidRDefault="008B332B">
      <w:pPr>
        <w:pStyle w:val="Footnote0"/>
        <w:tabs>
          <w:tab w:val="left" w:pos="4301"/>
        </w:tabs>
        <w:ind w:left="0"/>
        <w:jc w:val="both"/>
      </w:pPr>
      <w:r w:rsidRPr="00167EE8">
        <w:rPr>
          <w:rStyle w:val="Footnote"/>
          <w:vertAlign w:val="superscript"/>
        </w:rPr>
        <w:footnoteRef/>
      </w:r>
      <w:r w:rsidRPr="00167EE8">
        <w:rPr>
          <w:rStyle w:val="Footnote"/>
        </w:rPr>
        <w:tab/>
        <w:t xml:space="preserve">Decisão de Execução </w:t>
      </w:r>
      <w:proofErr w:type="gramStart"/>
      <w:r w:rsidRPr="00167EE8">
        <w:rPr>
          <w:rStyle w:val="Footnote"/>
        </w:rPr>
        <w:t>C(</w:t>
      </w:r>
      <w:proofErr w:type="gramEnd"/>
      <w:r w:rsidRPr="00167EE8">
        <w:rPr>
          <w:rStyle w:val="Footnote"/>
        </w:rPr>
        <w:t>2022) 7113 final da Comissão, de 30 de setembro de 2022, relativa ao</w:t>
      </w:r>
    </w:p>
    <w:p w14:paraId="5F07BB9A" w14:textId="77777777" w:rsidR="000435C2" w:rsidRPr="00167EE8" w:rsidRDefault="008B332B">
      <w:pPr>
        <w:pStyle w:val="Footnote0"/>
        <w:ind w:left="0" w:firstLine="420"/>
      </w:pPr>
      <w:r w:rsidRPr="00167EE8">
        <w:rPr>
          <w:rStyle w:val="Footnote"/>
        </w:rPr>
        <w:t>plano de ação plurianual a favor da África Subsariana para 2022-2024, parte 1.</w:t>
      </w:r>
    </w:p>
  </w:footnote>
  <w:footnote w:id="3">
    <w:p w14:paraId="46B4D9CA" w14:textId="77777777" w:rsidR="000435C2" w:rsidRPr="00167EE8" w:rsidRDefault="008B332B">
      <w:pPr>
        <w:pStyle w:val="Footnote0"/>
        <w:ind w:left="0"/>
        <w:rPr>
          <w:sz w:val="20"/>
          <w:szCs w:val="20"/>
        </w:rPr>
      </w:pPr>
      <w:r w:rsidRPr="00167EE8">
        <w:rPr>
          <w:rStyle w:val="Footnote"/>
          <w:sz w:val="20"/>
          <w:szCs w:val="20"/>
          <w:vertAlign w:val="superscript"/>
        </w:rPr>
        <w:footnoteRef/>
      </w:r>
      <w:hyperlink r:id="rId1" w:history="1">
        <w:r w:rsidRPr="00167EE8">
          <w:rPr>
            <w:rStyle w:val="Footnote"/>
            <w:color w:val="0088CC"/>
            <w:sz w:val="20"/>
            <w:u w:val="single"/>
          </w:rPr>
          <w:t>Global Gateway — Comissão Europeia (europa.eu).</w:t>
        </w:r>
      </w:hyperlink>
    </w:p>
  </w:footnote>
  <w:footnote w:id="4">
    <w:p w14:paraId="2313E1DE" w14:textId="74712F3B" w:rsidR="000435C2" w:rsidRPr="00167EE8" w:rsidRDefault="008B332B" w:rsidP="0056686A">
      <w:pPr>
        <w:pStyle w:val="DNEx1"/>
      </w:pPr>
      <w:r w:rsidRPr="00167EE8">
        <w:rPr>
          <w:rStyle w:val="Footnote"/>
          <w:vertAlign w:val="superscript"/>
        </w:rPr>
        <w:footnoteRef/>
      </w:r>
      <w:hyperlink r:id="rId2" w:history="1">
        <w:r w:rsidR="0056686A" w:rsidRPr="00167EE8">
          <w:rPr>
            <w:rStyle w:val="Hyperlink"/>
            <w:u w:val="none"/>
          </w:rPr>
          <w:tab/>
        </w:r>
        <w:r w:rsidR="0056686A" w:rsidRPr="00167EE8">
          <w:rPr>
            <w:rStyle w:val="Hyperlink"/>
          </w:rPr>
          <w:t>https://haqaa.aau.org/</w:t>
        </w:r>
      </w:hyperlink>
    </w:p>
  </w:footnote>
  <w:footnote w:id="5">
    <w:p w14:paraId="7683D909" w14:textId="50FB9984" w:rsidR="0056686A" w:rsidRPr="00167EE8" w:rsidRDefault="0056686A" w:rsidP="0056686A">
      <w:pPr>
        <w:pStyle w:val="DNEx1"/>
      </w:pPr>
      <w:r w:rsidRPr="00167EE8">
        <w:rPr>
          <w:rStyle w:val="FootnoteReference"/>
        </w:rPr>
        <w:footnoteRef/>
      </w:r>
      <w:r w:rsidRPr="00167EE8">
        <w:tab/>
      </w:r>
      <w:hyperlink r:id="rId3" w:history="1">
        <w:r w:rsidRPr="00167EE8">
          <w:rPr>
            <w:rStyle w:val="Hyperlink"/>
          </w:rPr>
          <w:t>https://international-partnerships.ec.europa.eu/policies/global-gateway/initiatives-region/initiatives-sub-saharan-africa_en</w:t>
        </w:r>
      </w:hyperlink>
    </w:p>
  </w:footnote>
  <w:footnote w:id="6">
    <w:p w14:paraId="65F10B6A" w14:textId="0B27B165" w:rsidR="000435C2" w:rsidRPr="00167EE8" w:rsidRDefault="008B332B" w:rsidP="002C336B">
      <w:pPr>
        <w:pStyle w:val="Footnote0"/>
        <w:ind w:hanging="160"/>
        <w:jc w:val="both"/>
      </w:pPr>
      <w:r w:rsidRPr="00167EE8">
        <w:rPr>
          <w:rStyle w:val="Footnote"/>
          <w:vertAlign w:val="superscript"/>
        </w:rPr>
        <w:footnoteRef/>
      </w:r>
      <w:r w:rsidRPr="00167EE8">
        <w:rPr>
          <w:rStyle w:val="Footnote"/>
        </w:rPr>
        <w:tab/>
        <w:t>A mobilidade deve ser física. Poderá ser autorizado um período limitado de mobilidade virtual, se devidamente justificado, para responder a circunstâncias excecionais, tais como pandemia ou guerra, mediante autorização prévia da Agência.</w:t>
      </w:r>
    </w:p>
  </w:footnote>
  <w:footnote w:id="7">
    <w:p w14:paraId="6B4FC709" w14:textId="3599F0FC" w:rsidR="000435C2" w:rsidRPr="00167EE8" w:rsidRDefault="008B332B" w:rsidP="002C336B">
      <w:pPr>
        <w:pStyle w:val="Footnote0"/>
        <w:ind w:hanging="160"/>
        <w:jc w:val="both"/>
      </w:pPr>
      <w:r w:rsidRPr="00167EE8">
        <w:rPr>
          <w:rStyle w:val="Footnote"/>
          <w:vertAlign w:val="superscript"/>
        </w:rPr>
        <w:footnoteRef/>
      </w:r>
      <w:r w:rsidRPr="00167EE8">
        <w:rPr>
          <w:rStyle w:val="Footnote"/>
        </w:rPr>
        <w:tab/>
        <w:t>Nível 7 da Classificação Internacional Tipo da Educação (CITE 2011)</w:t>
      </w:r>
    </w:p>
  </w:footnote>
  <w:footnote w:id="8">
    <w:p w14:paraId="6E9382D4" w14:textId="4790120A" w:rsidR="000435C2" w:rsidRPr="00167EE8" w:rsidRDefault="008B332B" w:rsidP="002C336B">
      <w:pPr>
        <w:pStyle w:val="Footnote0"/>
        <w:ind w:hanging="160"/>
        <w:jc w:val="both"/>
      </w:pPr>
      <w:r w:rsidRPr="00167EE8">
        <w:rPr>
          <w:rStyle w:val="Footnote"/>
          <w:vertAlign w:val="superscript"/>
        </w:rPr>
        <w:footnoteRef/>
      </w:r>
      <w:r w:rsidRPr="00167EE8">
        <w:rPr>
          <w:rStyle w:val="Footnote"/>
        </w:rPr>
        <w:tab/>
        <w:t>Nível 8 da Classificação Internacional Tipo da Educação (CITE 2011)</w:t>
      </w:r>
    </w:p>
  </w:footnote>
  <w:footnote w:id="9">
    <w:p w14:paraId="51FB0BC9" w14:textId="77777777" w:rsidR="000435C2" w:rsidRPr="00167EE8" w:rsidRDefault="008B332B">
      <w:pPr>
        <w:pStyle w:val="Footnote0"/>
        <w:ind w:left="0"/>
      </w:pPr>
      <w:r w:rsidRPr="00167EE8">
        <w:rPr>
          <w:rStyle w:val="Footnote"/>
          <w:vertAlign w:val="superscript"/>
        </w:rPr>
        <w:footnoteRef/>
      </w:r>
      <w:r w:rsidRPr="00167EE8">
        <w:rPr>
          <w:rStyle w:val="Footnote"/>
        </w:rPr>
        <w:t xml:space="preserve"> </w:t>
      </w:r>
      <w:r w:rsidRPr="00167EE8">
        <w:rPr>
          <w:rStyle w:val="Footnote"/>
          <w:u w:val="single"/>
        </w:rPr>
        <w:t>Não é</w:t>
      </w:r>
      <w:r w:rsidRPr="00167EE8">
        <w:rPr>
          <w:rStyle w:val="Footnote"/>
        </w:rPr>
        <w:t xml:space="preserve"> permitida a mobilidade de pessoal das IES (beneficiárias) africanas para o Parceiro Técnico da UE.</w:t>
      </w:r>
    </w:p>
  </w:footnote>
  <w:footnote w:id="10">
    <w:p w14:paraId="27000293" w14:textId="77777777" w:rsidR="000435C2" w:rsidRPr="00167EE8" w:rsidRDefault="008B332B">
      <w:pPr>
        <w:pStyle w:val="Footnote0"/>
        <w:ind w:left="380" w:hanging="380"/>
      </w:pPr>
      <w:r w:rsidRPr="00167EE8">
        <w:rPr>
          <w:rStyle w:val="Footnote"/>
          <w:vertAlign w:val="superscript"/>
        </w:rPr>
        <w:footnoteRef/>
      </w:r>
      <w:r w:rsidRPr="00167EE8">
        <w:rPr>
          <w:rStyle w:val="Footnote"/>
        </w:rPr>
        <w:t xml:space="preserve"> Para verificar o equivalente do seu fuso horário, consulte</w:t>
      </w:r>
      <w:hyperlink r:id="rId4" w:history="1">
        <w:r w:rsidRPr="00167EE8">
          <w:rPr>
            <w:rStyle w:val="Footnote"/>
            <w:color w:val="0088CC"/>
            <w:u w:val="single"/>
          </w:rPr>
          <w:t>Conversor de fuso horário - Calculadora da diferença temporal</w:t>
        </w:r>
      </w:hyperlink>
      <w:hyperlink r:id="rId5" w:history="1">
        <w:r w:rsidRPr="00167EE8">
          <w:rPr>
            <w:rStyle w:val="Footnote"/>
            <w:color w:val="0088CC"/>
            <w:u w:val="single"/>
          </w:rPr>
          <w:t>(timeanddate.com)</w:t>
        </w:r>
      </w:hyperlink>
    </w:p>
  </w:footnote>
  <w:footnote w:id="11">
    <w:p w14:paraId="466F921A" w14:textId="77777777" w:rsidR="000435C2" w:rsidRPr="00167EE8" w:rsidRDefault="008B332B">
      <w:pPr>
        <w:pStyle w:val="Footnote0"/>
        <w:ind w:left="0"/>
      </w:pPr>
      <w:r w:rsidRPr="00167EE8">
        <w:rPr>
          <w:rStyle w:val="Footnote"/>
          <w:vertAlign w:val="superscript"/>
        </w:rPr>
        <w:footnoteRef/>
      </w:r>
      <w:r w:rsidRPr="00167EE8">
        <w:rPr>
          <w:rStyle w:val="Footnote"/>
        </w:rPr>
        <w:t xml:space="preserve"> Ver artigo 197.º, n.º 2, alínea c), do Regulamento Financeiro da UE</w:t>
      </w:r>
      <w:hyperlink r:id="rId6" w:history="1">
        <w:r w:rsidRPr="00167EE8">
          <w:rPr>
            <w:rStyle w:val="Footnote"/>
          </w:rPr>
          <w:t xml:space="preserve"> </w:t>
        </w:r>
        <w:r w:rsidRPr="00167EE8">
          <w:rPr>
            <w:rStyle w:val="Footnote"/>
            <w:color w:val="0088CC"/>
            <w:u w:val="single"/>
          </w:rPr>
          <w:t>2018/1046.</w:t>
        </w:r>
      </w:hyperlink>
    </w:p>
  </w:footnote>
  <w:footnote w:id="12">
    <w:p w14:paraId="4144BAF9" w14:textId="77777777" w:rsidR="000435C2" w:rsidRPr="00167EE8" w:rsidRDefault="008B332B">
      <w:pPr>
        <w:pStyle w:val="Footnote0"/>
        <w:ind w:left="0"/>
      </w:pPr>
      <w:r w:rsidRPr="00167EE8">
        <w:rPr>
          <w:rStyle w:val="Footnote"/>
          <w:vertAlign w:val="superscript"/>
        </w:rPr>
        <w:footnoteRef/>
      </w:r>
      <w:r w:rsidRPr="00167EE8">
        <w:rPr>
          <w:rStyle w:val="Footnote"/>
        </w:rPr>
        <w:t xml:space="preserve"> Para as definições, ver artigo 187.º, n.º 2, e artigo 197.º, n.º 2, alínea c), do Regulamento Financeiro da UE </w:t>
      </w:r>
      <w:hyperlink r:id="rId7" w:history="1">
        <w:r w:rsidRPr="00167EE8">
          <w:rPr>
            <w:rStyle w:val="Footnote"/>
          </w:rPr>
          <w:t xml:space="preserve"> </w:t>
        </w:r>
        <w:r w:rsidRPr="00167EE8">
          <w:rPr>
            <w:rStyle w:val="Footnote"/>
            <w:color w:val="0088CC"/>
            <w:u w:val="single"/>
          </w:rPr>
          <w:t>2018/1046</w:t>
        </w:r>
        <w:r w:rsidRPr="00167EE8">
          <w:rPr>
            <w:rStyle w:val="Footnote"/>
          </w:rPr>
          <w:t>.</w:t>
        </w:r>
      </w:hyperlink>
    </w:p>
  </w:footnote>
  <w:footnote w:id="13">
    <w:p w14:paraId="04C5BFE6" w14:textId="0B8C3B17" w:rsidR="000435C2" w:rsidRPr="00167EE8" w:rsidRDefault="008B332B">
      <w:pPr>
        <w:pStyle w:val="Footnote0"/>
        <w:ind w:left="380" w:hanging="380"/>
      </w:pPr>
      <w:r w:rsidRPr="00167EE8">
        <w:rPr>
          <w:rStyle w:val="Footnote"/>
          <w:vertAlign w:val="superscript"/>
        </w:rPr>
        <w:footnoteRef/>
      </w:r>
      <w:r w:rsidRPr="00167EE8">
        <w:rPr>
          <w:rStyle w:val="Footnote"/>
        </w:rPr>
        <w:t xml:space="preserve"> </w:t>
      </w:r>
      <w:r w:rsidRPr="00167EE8">
        <w:rPr>
          <w:rStyle w:val="Footnote"/>
        </w:rPr>
        <w:tab/>
        <w:t xml:space="preserve">O Jornal Oficial da UE contém a lista oficial e, em caso de litígio, o seu conteúdo prevalece sobre o do </w:t>
      </w:r>
      <w:r w:rsidRPr="00167EE8">
        <w:rPr>
          <w:color w:val="0088CC"/>
          <w:u w:val="single"/>
        </w:rPr>
        <w:t>mapa das sanções da UE</w:t>
      </w:r>
      <w:hyperlink r:id="rId8" w:history="1">
        <w:r w:rsidRPr="00167EE8">
          <w:rPr>
            <w:rStyle w:val="Footnote"/>
          </w:rPr>
          <w:t>.</w:t>
        </w:r>
      </w:hyperlink>
    </w:p>
  </w:footnote>
  <w:footnote w:id="14">
    <w:p w14:paraId="315F7B13" w14:textId="77777777" w:rsidR="000435C2" w:rsidRPr="00167EE8" w:rsidRDefault="008B332B">
      <w:pPr>
        <w:pStyle w:val="Footnote0"/>
        <w:ind w:left="0"/>
      </w:pPr>
      <w:r w:rsidRPr="00167EE8">
        <w:rPr>
          <w:rStyle w:val="Footnote"/>
          <w:vertAlign w:val="superscript"/>
        </w:rPr>
        <w:footnoteRef/>
      </w:r>
      <w:r w:rsidRPr="00167EE8">
        <w:rPr>
          <w:rStyle w:val="Footnote"/>
        </w:rPr>
        <w:t xml:space="preserve"> Ver artigos 136.º e 141.º do Regulamento Financeiro da UE</w:t>
      </w:r>
      <w:hyperlink r:id="rId9" w:history="1">
        <w:r w:rsidRPr="00167EE8">
          <w:rPr>
            <w:rStyle w:val="Footnote"/>
          </w:rPr>
          <w:t xml:space="preserve"> </w:t>
        </w:r>
        <w:r w:rsidRPr="00167EE8">
          <w:rPr>
            <w:rStyle w:val="Footnote"/>
            <w:color w:val="0088CC"/>
            <w:u w:val="single"/>
          </w:rPr>
          <w:t>2018/1046</w:t>
        </w:r>
        <w:r w:rsidRPr="00167EE8">
          <w:rPr>
            <w:rStyle w:val="Footnote"/>
          </w:rPr>
          <w:t>.</w:t>
        </w:r>
      </w:hyperlink>
    </w:p>
  </w:footnote>
  <w:footnote w:id="15">
    <w:p w14:paraId="37015B4C" w14:textId="77777777" w:rsidR="000435C2" w:rsidRPr="00167EE8" w:rsidRDefault="008B332B">
      <w:pPr>
        <w:pStyle w:val="Footnote0"/>
        <w:ind w:left="380" w:hanging="380"/>
        <w:jc w:val="both"/>
      </w:pPr>
      <w:r w:rsidRPr="00167EE8">
        <w:rPr>
          <w:rStyle w:val="Footnote"/>
          <w:vertAlign w:val="superscript"/>
        </w:rPr>
        <w:footnoteRef/>
      </w:r>
      <w:r w:rsidRPr="00167EE8">
        <w:rPr>
          <w:rStyle w:val="Footnote"/>
        </w:rPr>
        <w:t xml:space="preserve"> A falta grave em matéria profissional inclui: violação de regras deontológicas, comportamento ilícito com impacto na credibilidade profissional, apresentação de forma fraudulenta ou negligente de informações falsas, participação em cartel ou noutro acordo com o objetivo de distorcer a concorrência, violação dos DPI, tentativa de influenciar processos decisórios ou obter informações confidenciais das autoridades públicas para conseguir vantagens.</w:t>
      </w:r>
    </w:p>
  </w:footnote>
  <w:footnote w:id="16">
    <w:p w14:paraId="4A1852D1" w14:textId="77777777" w:rsidR="000435C2" w:rsidRPr="00167EE8" w:rsidRDefault="008B332B">
      <w:pPr>
        <w:pStyle w:val="Footnote0"/>
        <w:ind w:left="0"/>
      </w:pPr>
      <w:r w:rsidRPr="00167EE8">
        <w:rPr>
          <w:rStyle w:val="Footnote"/>
          <w:vertAlign w:val="superscript"/>
        </w:rPr>
        <w:footnoteRef/>
      </w:r>
      <w:r w:rsidRPr="00167EE8">
        <w:rPr>
          <w:rStyle w:val="Footnote"/>
        </w:rPr>
        <w:t xml:space="preserve"> Ver artigo 141.º do Regulamento Financeiro da UE</w:t>
      </w:r>
      <w:hyperlink r:id="rId10" w:history="1">
        <w:r w:rsidRPr="00167EE8">
          <w:rPr>
            <w:rStyle w:val="Footnote"/>
          </w:rPr>
          <w:t xml:space="preserve"> </w:t>
        </w:r>
        <w:r w:rsidRPr="00167EE8">
          <w:rPr>
            <w:rStyle w:val="Footnote"/>
            <w:color w:val="0088CC"/>
            <w:u w:val="single"/>
          </w:rPr>
          <w:t>2018/1046</w:t>
        </w:r>
        <w:r w:rsidRPr="00167EE8">
          <w:rPr>
            <w:rStyle w:val="Footnote"/>
          </w:rPr>
          <w:t>.</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0C3E1" w14:textId="77777777" w:rsidR="00A33280" w:rsidRDefault="00A332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29049" w14:textId="77777777" w:rsidR="000E41C6" w:rsidRPr="00167EE8" w:rsidRDefault="000E41C6" w:rsidP="000E41C6">
    <w:pPr>
      <w:pStyle w:val="Other0"/>
      <w:spacing w:after="220"/>
      <w:rPr>
        <w:rStyle w:val="Other"/>
        <w:sz w:val="16"/>
        <w:szCs w:val="16"/>
      </w:rPr>
    </w:pPr>
    <w:r w:rsidRPr="00167EE8">
      <w:rPr>
        <w:rStyle w:val="Other"/>
        <w:sz w:val="16"/>
      </w:rPr>
      <w:t>Convite: NDICI-2024-MOBAF — Programa de mobilidade académica Intra-África</w:t>
    </w:r>
  </w:p>
  <w:p w14:paraId="4B04075C" w14:textId="17B1065B" w:rsidR="000E41C6" w:rsidRPr="00167EE8" w:rsidRDefault="000E41C6" w:rsidP="000E41C6">
    <w:pPr>
      <w:pStyle w:val="Other0"/>
      <w:spacing w:after="0"/>
      <w:jc w:val="right"/>
      <w:rPr>
        <w:rStyle w:val="Other"/>
        <w:color w:val="7F7F7F"/>
        <w:sz w:val="16"/>
        <w:szCs w:val="16"/>
      </w:rPr>
    </w:pPr>
    <w:r w:rsidRPr="00167EE8">
      <w:rPr>
        <w:rStyle w:val="Other"/>
        <w:color w:val="7F7F7F"/>
        <w:sz w:val="16"/>
      </w:rPr>
      <w:t>Subvenções UE: Documento do convite (NDICI MOBAF): V1.0 - 15.06.2024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7493A" w14:textId="77777777" w:rsidR="00A33280" w:rsidRDefault="00A332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alt="https://lh5.googleusercontent.com/-n5VVWXljoCs/T8X1egaB-BI/AAAAAAAAC1I/fLBP4VIzxQM/s16/infoIcon_blue.png" style="width:12pt;height:12pt;visibility:visible;mso-wrap-style:square" o:bullet="t">
        <v:imagedata r:id="rId1" o:title="infoIcon_blue"/>
      </v:shape>
    </w:pict>
  </w:numPicBullet>
  <w:abstractNum w:abstractNumId="0" w15:restartNumberingAfterBreak="0">
    <w:nsid w:val="01F8369C"/>
    <w:multiLevelType w:val="multilevel"/>
    <w:tmpl w:val="7454238A"/>
    <w:lvl w:ilvl="0">
      <w:start w:val="1"/>
      <w:numFmt w:val="bullet"/>
      <w:lvlText w:val="-"/>
      <w:lvlJc w:val="left"/>
      <w:rPr>
        <w:rFonts w:ascii="Verdana" w:eastAsia="Verdana" w:hAnsi="Verdana" w:cs="Verdana"/>
        <w:b/>
        <w:bCs/>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4223DC"/>
    <w:multiLevelType w:val="multilevel"/>
    <w:tmpl w:val="E448420E"/>
    <w:lvl w:ilvl="0">
      <w:start w:val="1"/>
      <w:numFmt w:val="bullet"/>
      <w:lvlText w:val="-"/>
      <w:lvlJc w:val="left"/>
      <w:rPr>
        <w:rFonts w:ascii="Verdana" w:eastAsia="Verdana" w:hAnsi="Verdana" w:cs="Verdana"/>
        <w:b/>
        <w:bCs/>
        <w:i w:val="0"/>
        <w:iCs w:val="0"/>
        <w:smallCaps w:val="0"/>
        <w:strike w:val="0"/>
        <w:color w:val="000000"/>
        <w:spacing w:val="0"/>
        <w:w w:val="100"/>
        <w:position w:val="0"/>
        <w:sz w:val="18"/>
        <w:szCs w:val="1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3AF0E80"/>
    <w:multiLevelType w:val="multilevel"/>
    <w:tmpl w:val="E4682340"/>
    <w:lvl w:ilvl="0">
      <w:start w:val="9"/>
      <w:numFmt w:val="lowerLetter"/>
      <w:lvlText w:val="(%1)"/>
      <w:lvlJc w:val="left"/>
      <w:rPr>
        <w:rFonts w:ascii="Verdana" w:eastAsia="Verdana" w:hAnsi="Verdana" w:cs="Verdana"/>
        <w:b/>
        <w:bCs/>
        <w:i w:val="0"/>
        <w:iCs w:val="0"/>
        <w:smallCaps w:val="0"/>
        <w:strike w:val="0"/>
        <w:color w:val="4AA55B"/>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3D81400"/>
    <w:multiLevelType w:val="multilevel"/>
    <w:tmpl w:val="F188A862"/>
    <w:lvl w:ilvl="0">
      <w:start w:val="1"/>
      <w:numFmt w:val="bullet"/>
      <w:lvlText w:val="•"/>
      <w:lvlJc w:val="left"/>
      <w:rPr>
        <w:rFonts w:ascii="Verdana" w:eastAsia="Verdana" w:hAnsi="Verdana" w:cs="Verdana"/>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8555E5A"/>
    <w:multiLevelType w:val="multilevel"/>
    <w:tmpl w:val="BC58FD0C"/>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6"/>
        <w:szCs w:val="1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8D74A3C"/>
    <w:multiLevelType w:val="multilevel"/>
    <w:tmpl w:val="69C08370"/>
    <w:lvl w:ilvl="0">
      <w:start w:val="1"/>
      <w:numFmt w:val="bullet"/>
      <w:lvlText w:val="-"/>
      <w:lvlJc w:val="left"/>
      <w:rPr>
        <w:rFonts w:ascii="Verdana" w:eastAsia="Verdana" w:hAnsi="Verdana" w:cs="Verdana"/>
        <w:b w:val="0"/>
        <w:bCs w:val="0"/>
        <w:i w:val="0"/>
        <w:iCs w:val="0"/>
        <w:smallCaps w:val="0"/>
        <w:strike w:val="0"/>
        <w:color w:val="000000"/>
        <w:spacing w:val="0"/>
        <w:w w:val="100"/>
        <w:position w:val="0"/>
        <w:sz w:val="18"/>
        <w:szCs w:val="1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A2F6022"/>
    <w:multiLevelType w:val="multilevel"/>
    <w:tmpl w:val="A0C89D84"/>
    <w:lvl w:ilvl="0">
      <w:start w:val="1"/>
      <w:numFmt w:val="lowerLetter"/>
      <w:lvlText w:val="(%1)"/>
      <w:lvlJc w:val="left"/>
      <w:rPr>
        <w:rFonts w:ascii="Verdana" w:eastAsia="Verdana" w:hAnsi="Verdana" w:cs="Verdana"/>
        <w:b/>
        <w:bCs/>
        <w:i w:val="0"/>
        <w:iCs w:val="0"/>
        <w:smallCaps w:val="0"/>
        <w:strike w:val="0"/>
        <w:color w:val="4AA55B"/>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B6E1D69"/>
    <w:multiLevelType w:val="multilevel"/>
    <w:tmpl w:val="D44AC470"/>
    <w:lvl w:ilvl="0">
      <w:start w:val="1"/>
      <w:numFmt w:val="bullet"/>
      <w:lvlText w:val="•"/>
      <w:lvlJc w:val="left"/>
      <w:rPr>
        <w:rFonts w:ascii="Verdana" w:eastAsia="Verdana" w:hAnsi="Verdana" w:cs="Verdana"/>
        <w:b w:val="0"/>
        <w:bCs w:val="0"/>
        <w:i w:val="0"/>
        <w:iCs w:val="0"/>
        <w:smallCaps w:val="0"/>
        <w:strike w:val="0"/>
        <w:color w:val="000000"/>
        <w:spacing w:val="0"/>
        <w:w w:val="100"/>
        <w:position w:val="0"/>
        <w:sz w:val="18"/>
        <w:szCs w:val="1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0067017"/>
    <w:multiLevelType w:val="multilevel"/>
    <w:tmpl w:val="E8FA434C"/>
    <w:lvl w:ilvl="0">
      <w:start w:val="1"/>
      <w:numFmt w:val="bullet"/>
      <w:lvlText w:val="•"/>
      <w:lvlJc w:val="left"/>
      <w:rPr>
        <w:rFonts w:ascii="Verdana" w:eastAsia="Verdana" w:hAnsi="Verdana" w:cs="Verdana"/>
        <w:b w:val="0"/>
        <w:bCs w:val="0"/>
        <w:i w:val="0"/>
        <w:iCs w:val="0"/>
        <w:smallCaps w:val="0"/>
        <w:strike w:val="0"/>
        <w:color w:val="000000"/>
        <w:spacing w:val="0"/>
        <w:w w:val="100"/>
        <w:position w:val="0"/>
        <w:sz w:val="18"/>
        <w:szCs w:val="1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084476B"/>
    <w:multiLevelType w:val="multilevel"/>
    <w:tmpl w:val="2348E724"/>
    <w:lvl w:ilvl="0">
      <w:start w:val="12"/>
      <w:numFmt w:val="decimal"/>
      <w:lvlText w:val="%1."/>
      <w:lvlJc w:val="left"/>
      <w:rPr>
        <w:rFonts w:ascii="Verdana" w:eastAsia="Verdana" w:hAnsi="Verdana" w:cs="Verdana"/>
        <w:b/>
        <w:bCs/>
        <w:i w:val="0"/>
        <w:iCs w:val="0"/>
        <w:smallCaps w:val="0"/>
        <w:strike w:val="0"/>
        <w:color w:val="A50021"/>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11F183E"/>
    <w:multiLevelType w:val="multilevel"/>
    <w:tmpl w:val="7B86317C"/>
    <w:lvl w:ilvl="0">
      <w:start w:val="1"/>
      <w:numFmt w:val="bullet"/>
      <w:lvlText w:val="-"/>
      <w:lvlJc w:val="left"/>
      <w:rPr>
        <w:rFonts w:ascii="Verdana" w:eastAsia="Verdana" w:hAnsi="Verdana" w:cs="Verdana"/>
        <w:b w:val="0"/>
        <w:bCs w:val="0"/>
        <w:i w:val="0"/>
        <w:iCs w:val="0"/>
        <w:smallCaps w:val="0"/>
        <w:strike w:val="0"/>
        <w:color w:val="000000"/>
        <w:spacing w:val="0"/>
        <w:w w:val="100"/>
        <w:position w:val="0"/>
        <w:sz w:val="19"/>
        <w:szCs w:val="19"/>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54F30F8"/>
    <w:multiLevelType w:val="hybridMultilevel"/>
    <w:tmpl w:val="8C4A7964"/>
    <w:lvl w:ilvl="0" w:tplc="083C0001">
      <w:start w:val="1"/>
      <w:numFmt w:val="bullet"/>
      <w:lvlText w:val=""/>
      <w:lvlJc w:val="left"/>
      <w:pPr>
        <w:ind w:left="720" w:hanging="360"/>
      </w:pPr>
      <w:rPr>
        <w:rFonts w:ascii="Symbol" w:hAnsi="Symbol" w:hint="default"/>
      </w:rPr>
    </w:lvl>
    <w:lvl w:ilvl="1" w:tplc="083C0003" w:tentative="1">
      <w:start w:val="1"/>
      <w:numFmt w:val="bullet"/>
      <w:lvlText w:val="o"/>
      <w:lvlJc w:val="left"/>
      <w:pPr>
        <w:ind w:left="1440" w:hanging="360"/>
      </w:pPr>
      <w:rPr>
        <w:rFonts w:ascii="Courier New" w:hAnsi="Courier New" w:cs="Courier New" w:hint="default"/>
      </w:rPr>
    </w:lvl>
    <w:lvl w:ilvl="2" w:tplc="083C0005" w:tentative="1">
      <w:start w:val="1"/>
      <w:numFmt w:val="bullet"/>
      <w:lvlText w:val=""/>
      <w:lvlJc w:val="left"/>
      <w:pPr>
        <w:ind w:left="2160" w:hanging="360"/>
      </w:pPr>
      <w:rPr>
        <w:rFonts w:ascii="Wingdings" w:hAnsi="Wingdings" w:hint="default"/>
      </w:rPr>
    </w:lvl>
    <w:lvl w:ilvl="3" w:tplc="083C0001" w:tentative="1">
      <w:start w:val="1"/>
      <w:numFmt w:val="bullet"/>
      <w:lvlText w:val=""/>
      <w:lvlJc w:val="left"/>
      <w:pPr>
        <w:ind w:left="2880" w:hanging="360"/>
      </w:pPr>
      <w:rPr>
        <w:rFonts w:ascii="Symbol" w:hAnsi="Symbol" w:hint="default"/>
      </w:rPr>
    </w:lvl>
    <w:lvl w:ilvl="4" w:tplc="083C0003" w:tentative="1">
      <w:start w:val="1"/>
      <w:numFmt w:val="bullet"/>
      <w:lvlText w:val="o"/>
      <w:lvlJc w:val="left"/>
      <w:pPr>
        <w:ind w:left="3600" w:hanging="360"/>
      </w:pPr>
      <w:rPr>
        <w:rFonts w:ascii="Courier New" w:hAnsi="Courier New" w:cs="Courier New" w:hint="default"/>
      </w:rPr>
    </w:lvl>
    <w:lvl w:ilvl="5" w:tplc="083C0005" w:tentative="1">
      <w:start w:val="1"/>
      <w:numFmt w:val="bullet"/>
      <w:lvlText w:val=""/>
      <w:lvlJc w:val="left"/>
      <w:pPr>
        <w:ind w:left="4320" w:hanging="360"/>
      </w:pPr>
      <w:rPr>
        <w:rFonts w:ascii="Wingdings" w:hAnsi="Wingdings" w:hint="default"/>
      </w:rPr>
    </w:lvl>
    <w:lvl w:ilvl="6" w:tplc="083C0001" w:tentative="1">
      <w:start w:val="1"/>
      <w:numFmt w:val="bullet"/>
      <w:lvlText w:val=""/>
      <w:lvlJc w:val="left"/>
      <w:pPr>
        <w:ind w:left="5040" w:hanging="360"/>
      </w:pPr>
      <w:rPr>
        <w:rFonts w:ascii="Symbol" w:hAnsi="Symbol" w:hint="default"/>
      </w:rPr>
    </w:lvl>
    <w:lvl w:ilvl="7" w:tplc="083C0003" w:tentative="1">
      <w:start w:val="1"/>
      <w:numFmt w:val="bullet"/>
      <w:lvlText w:val="o"/>
      <w:lvlJc w:val="left"/>
      <w:pPr>
        <w:ind w:left="5760" w:hanging="360"/>
      </w:pPr>
      <w:rPr>
        <w:rFonts w:ascii="Courier New" w:hAnsi="Courier New" w:cs="Courier New" w:hint="default"/>
      </w:rPr>
    </w:lvl>
    <w:lvl w:ilvl="8" w:tplc="083C0005" w:tentative="1">
      <w:start w:val="1"/>
      <w:numFmt w:val="bullet"/>
      <w:lvlText w:val=""/>
      <w:lvlJc w:val="left"/>
      <w:pPr>
        <w:ind w:left="6480" w:hanging="360"/>
      </w:pPr>
      <w:rPr>
        <w:rFonts w:ascii="Wingdings" w:hAnsi="Wingdings" w:hint="default"/>
      </w:rPr>
    </w:lvl>
  </w:abstractNum>
  <w:abstractNum w:abstractNumId="12" w15:restartNumberingAfterBreak="0">
    <w:nsid w:val="15C14474"/>
    <w:multiLevelType w:val="multilevel"/>
    <w:tmpl w:val="D2800954"/>
    <w:lvl w:ilvl="0">
      <w:start w:val="1"/>
      <w:numFmt w:val="upperLetter"/>
      <w:lvlText w:val="%1."/>
      <w:lvlJc w:val="left"/>
      <w:rPr>
        <w:rFonts w:ascii="Verdana" w:eastAsia="Verdana" w:hAnsi="Verdana" w:cs="Verdana"/>
        <w:b/>
        <w:bCs/>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6543DF2"/>
    <w:multiLevelType w:val="hybridMultilevel"/>
    <w:tmpl w:val="347E35EC"/>
    <w:lvl w:ilvl="0" w:tplc="69B23806">
      <w:start w:val="1"/>
      <w:numFmt w:val="bullet"/>
      <w:lvlText w:val=""/>
      <w:lvlJc w:val="left"/>
      <w:pPr>
        <w:ind w:left="720" w:hanging="360"/>
      </w:pPr>
      <w:rPr>
        <w:rFonts w:ascii="Symbol" w:hAnsi="Symbol" w:hint="default"/>
        <w:color w:val="auto"/>
      </w:rPr>
    </w:lvl>
    <w:lvl w:ilvl="1" w:tplc="083C0003" w:tentative="1">
      <w:start w:val="1"/>
      <w:numFmt w:val="bullet"/>
      <w:lvlText w:val="o"/>
      <w:lvlJc w:val="left"/>
      <w:pPr>
        <w:ind w:left="1440" w:hanging="360"/>
      </w:pPr>
      <w:rPr>
        <w:rFonts w:ascii="Courier New" w:hAnsi="Courier New" w:cs="Courier New" w:hint="default"/>
      </w:rPr>
    </w:lvl>
    <w:lvl w:ilvl="2" w:tplc="083C0005" w:tentative="1">
      <w:start w:val="1"/>
      <w:numFmt w:val="bullet"/>
      <w:lvlText w:val=""/>
      <w:lvlJc w:val="left"/>
      <w:pPr>
        <w:ind w:left="2160" w:hanging="360"/>
      </w:pPr>
      <w:rPr>
        <w:rFonts w:ascii="Wingdings" w:hAnsi="Wingdings" w:hint="default"/>
      </w:rPr>
    </w:lvl>
    <w:lvl w:ilvl="3" w:tplc="083C0001" w:tentative="1">
      <w:start w:val="1"/>
      <w:numFmt w:val="bullet"/>
      <w:lvlText w:val=""/>
      <w:lvlJc w:val="left"/>
      <w:pPr>
        <w:ind w:left="2880" w:hanging="360"/>
      </w:pPr>
      <w:rPr>
        <w:rFonts w:ascii="Symbol" w:hAnsi="Symbol" w:hint="default"/>
      </w:rPr>
    </w:lvl>
    <w:lvl w:ilvl="4" w:tplc="083C0003" w:tentative="1">
      <w:start w:val="1"/>
      <w:numFmt w:val="bullet"/>
      <w:lvlText w:val="o"/>
      <w:lvlJc w:val="left"/>
      <w:pPr>
        <w:ind w:left="3600" w:hanging="360"/>
      </w:pPr>
      <w:rPr>
        <w:rFonts w:ascii="Courier New" w:hAnsi="Courier New" w:cs="Courier New" w:hint="default"/>
      </w:rPr>
    </w:lvl>
    <w:lvl w:ilvl="5" w:tplc="083C0005" w:tentative="1">
      <w:start w:val="1"/>
      <w:numFmt w:val="bullet"/>
      <w:lvlText w:val=""/>
      <w:lvlJc w:val="left"/>
      <w:pPr>
        <w:ind w:left="4320" w:hanging="360"/>
      </w:pPr>
      <w:rPr>
        <w:rFonts w:ascii="Wingdings" w:hAnsi="Wingdings" w:hint="default"/>
      </w:rPr>
    </w:lvl>
    <w:lvl w:ilvl="6" w:tplc="083C0001" w:tentative="1">
      <w:start w:val="1"/>
      <w:numFmt w:val="bullet"/>
      <w:lvlText w:val=""/>
      <w:lvlJc w:val="left"/>
      <w:pPr>
        <w:ind w:left="5040" w:hanging="360"/>
      </w:pPr>
      <w:rPr>
        <w:rFonts w:ascii="Symbol" w:hAnsi="Symbol" w:hint="default"/>
      </w:rPr>
    </w:lvl>
    <w:lvl w:ilvl="7" w:tplc="083C0003" w:tentative="1">
      <w:start w:val="1"/>
      <w:numFmt w:val="bullet"/>
      <w:lvlText w:val="o"/>
      <w:lvlJc w:val="left"/>
      <w:pPr>
        <w:ind w:left="5760" w:hanging="360"/>
      </w:pPr>
      <w:rPr>
        <w:rFonts w:ascii="Courier New" w:hAnsi="Courier New" w:cs="Courier New" w:hint="default"/>
      </w:rPr>
    </w:lvl>
    <w:lvl w:ilvl="8" w:tplc="083C0005" w:tentative="1">
      <w:start w:val="1"/>
      <w:numFmt w:val="bullet"/>
      <w:lvlText w:val=""/>
      <w:lvlJc w:val="left"/>
      <w:pPr>
        <w:ind w:left="6480" w:hanging="360"/>
      </w:pPr>
      <w:rPr>
        <w:rFonts w:ascii="Wingdings" w:hAnsi="Wingdings" w:hint="default"/>
      </w:rPr>
    </w:lvl>
  </w:abstractNum>
  <w:abstractNum w:abstractNumId="14" w15:restartNumberingAfterBreak="0">
    <w:nsid w:val="174B5C87"/>
    <w:multiLevelType w:val="multilevel"/>
    <w:tmpl w:val="FB847D72"/>
    <w:lvl w:ilvl="0">
      <w:start w:val="1"/>
      <w:numFmt w:val="bullet"/>
      <w:lvlText w:val="-"/>
      <w:lvlJc w:val="left"/>
      <w:rPr>
        <w:rFonts w:ascii="Verdana" w:eastAsia="Verdana" w:hAnsi="Verdana" w:cs="Verdana"/>
        <w:b w:val="0"/>
        <w:bCs w:val="0"/>
        <w:i w:val="0"/>
        <w:iCs w:val="0"/>
        <w:smallCaps w:val="0"/>
        <w:strike w:val="0"/>
        <w:color w:val="000000"/>
        <w:spacing w:val="0"/>
        <w:w w:val="100"/>
        <w:position w:val="0"/>
        <w:sz w:val="18"/>
        <w:szCs w:val="1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AF7257E"/>
    <w:multiLevelType w:val="multilevel"/>
    <w:tmpl w:val="F5627AE4"/>
    <w:lvl w:ilvl="0">
      <w:start w:val="5"/>
      <w:numFmt w:val="lowerLetter"/>
      <w:lvlText w:val="(%1)"/>
      <w:lvlJc w:val="left"/>
      <w:rPr>
        <w:rFonts w:ascii="Verdana" w:eastAsia="Verdana" w:hAnsi="Verdana" w:cs="Verdana"/>
        <w:b/>
        <w:bCs/>
        <w:i w:val="0"/>
        <w:iCs w:val="0"/>
        <w:smallCaps w:val="0"/>
        <w:strike w:val="0"/>
        <w:color w:val="4AA55B"/>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3687368"/>
    <w:multiLevelType w:val="multilevel"/>
    <w:tmpl w:val="6AC43B52"/>
    <w:lvl w:ilvl="0">
      <w:start w:val="1"/>
      <w:numFmt w:val="bullet"/>
      <w:lvlText w:val="-"/>
      <w:lvlJc w:val="left"/>
      <w:rPr>
        <w:rFonts w:ascii="Verdana" w:eastAsia="Verdana" w:hAnsi="Verdana" w:cs="Verdana"/>
        <w:b w:val="0"/>
        <w:bCs w:val="0"/>
        <w:i w:val="0"/>
        <w:iCs w:val="0"/>
        <w:smallCaps w:val="0"/>
        <w:strike w:val="0"/>
        <w:color w:val="000000"/>
        <w:spacing w:val="0"/>
        <w:w w:val="100"/>
        <w:position w:val="0"/>
        <w:sz w:val="19"/>
        <w:szCs w:val="19"/>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B755A4B"/>
    <w:multiLevelType w:val="multilevel"/>
    <w:tmpl w:val="5038E5BE"/>
    <w:lvl w:ilvl="0">
      <w:start w:val="1"/>
      <w:numFmt w:val="bullet"/>
      <w:lvlText w:val="-"/>
      <w:lvlJc w:val="left"/>
      <w:rPr>
        <w:rFonts w:ascii="Verdana" w:eastAsia="Verdana" w:hAnsi="Verdana" w:cs="Verdana"/>
        <w:b/>
        <w:bCs/>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BF63031"/>
    <w:multiLevelType w:val="hybridMultilevel"/>
    <w:tmpl w:val="CAAA77D4"/>
    <w:lvl w:ilvl="0" w:tplc="3C3E72C6">
      <w:start w:val="1"/>
      <w:numFmt w:val="bullet"/>
      <w:lvlText w:val="-"/>
      <w:lvlJc w:val="left"/>
      <w:pPr>
        <w:ind w:left="360" w:hanging="360"/>
      </w:pPr>
      <w:rPr>
        <w:rFonts w:ascii="Cambria" w:eastAsiaTheme="minorHAnsi" w:hAnsi="Cambria" w:cstheme="minorBidi" w:hint="default"/>
      </w:rPr>
    </w:lvl>
    <w:lvl w:ilvl="1" w:tplc="083C0003" w:tentative="1">
      <w:start w:val="1"/>
      <w:numFmt w:val="bullet"/>
      <w:lvlText w:val="o"/>
      <w:lvlJc w:val="left"/>
      <w:pPr>
        <w:ind w:left="1080" w:hanging="360"/>
      </w:pPr>
      <w:rPr>
        <w:rFonts w:ascii="Courier New" w:hAnsi="Courier New" w:cs="Courier New" w:hint="default"/>
      </w:rPr>
    </w:lvl>
    <w:lvl w:ilvl="2" w:tplc="083C0005" w:tentative="1">
      <w:start w:val="1"/>
      <w:numFmt w:val="bullet"/>
      <w:lvlText w:val=""/>
      <w:lvlJc w:val="left"/>
      <w:pPr>
        <w:ind w:left="1800" w:hanging="360"/>
      </w:pPr>
      <w:rPr>
        <w:rFonts w:ascii="Wingdings" w:hAnsi="Wingdings" w:hint="default"/>
      </w:rPr>
    </w:lvl>
    <w:lvl w:ilvl="3" w:tplc="083C0001" w:tentative="1">
      <w:start w:val="1"/>
      <w:numFmt w:val="bullet"/>
      <w:lvlText w:val=""/>
      <w:lvlJc w:val="left"/>
      <w:pPr>
        <w:ind w:left="2520" w:hanging="360"/>
      </w:pPr>
      <w:rPr>
        <w:rFonts w:ascii="Symbol" w:hAnsi="Symbol" w:hint="default"/>
      </w:rPr>
    </w:lvl>
    <w:lvl w:ilvl="4" w:tplc="083C0003" w:tentative="1">
      <w:start w:val="1"/>
      <w:numFmt w:val="bullet"/>
      <w:lvlText w:val="o"/>
      <w:lvlJc w:val="left"/>
      <w:pPr>
        <w:ind w:left="3240" w:hanging="360"/>
      </w:pPr>
      <w:rPr>
        <w:rFonts w:ascii="Courier New" w:hAnsi="Courier New" w:cs="Courier New" w:hint="default"/>
      </w:rPr>
    </w:lvl>
    <w:lvl w:ilvl="5" w:tplc="083C0005" w:tentative="1">
      <w:start w:val="1"/>
      <w:numFmt w:val="bullet"/>
      <w:lvlText w:val=""/>
      <w:lvlJc w:val="left"/>
      <w:pPr>
        <w:ind w:left="3960" w:hanging="360"/>
      </w:pPr>
      <w:rPr>
        <w:rFonts w:ascii="Wingdings" w:hAnsi="Wingdings" w:hint="default"/>
      </w:rPr>
    </w:lvl>
    <w:lvl w:ilvl="6" w:tplc="083C0001" w:tentative="1">
      <w:start w:val="1"/>
      <w:numFmt w:val="bullet"/>
      <w:lvlText w:val=""/>
      <w:lvlJc w:val="left"/>
      <w:pPr>
        <w:ind w:left="4680" w:hanging="360"/>
      </w:pPr>
      <w:rPr>
        <w:rFonts w:ascii="Symbol" w:hAnsi="Symbol" w:hint="default"/>
      </w:rPr>
    </w:lvl>
    <w:lvl w:ilvl="7" w:tplc="083C0003" w:tentative="1">
      <w:start w:val="1"/>
      <w:numFmt w:val="bullet"/>
      <w:lvlText w:val="o"/>
      <w:lvlJc w:val="left"/>
      <w:pPr>
        <w:ind w:left="5400" w:hanging="360"/>
      </w:pPr>
      <w:rPr>
        <w:rFonts w:ascii="Courier New" w:hAnsi="Courier New" w:cs="Courier New" w:hint="default"/>
      </w:rPr>
    </w:lvl>
    <w:lvl w:ilvl="8" w:tplc="083C0005" w:tentative="1">
      <w:start w:val="1"/>
      <w:numFmt w:val="bullet"/>
      <w:lvlText w:val=""/>
      <w:lvlJc w:val="left"/>
      <w:pPr>
        <w:ind w:left="6120" w:hanging="360"/>
      </w:pPr>
      <w:rPr>
        <w:rFonts w:ascii="Wingdings" w:hAnsi="Wingdings" w:hint="default"/>
      </w:rPr>
    </w:lvl>
  </w:abstractNum>
  <w:abstractNum w:abstractNumId="19" w15:restartNumberingAfterBreak="0">
    <w:nsid w:val="2CEE4FFC"/>
    <w:multiLevelType w:val="multilevel"/>
    <w:tmpl w:val="EFD2E41A"/>
    <w:lvl w:ilvl="0">
      <w:start w:val="1"/>
      <w:numFmt w:val="bullet"/>
      <w:pStyle w:val="Style1"/>
      <w:lvlText w:val="-"/>
      <w:lvlJc w:val="left"/>
      <w:rPr>
        <w:rFonts w:ascii="Verdana" w:eastAsia="Verdana" w:hAnsi="Verdana" w:cs="Verdana"/>
        <w:b w:val="0"/>
        <w:bCs w:val="0"/>
        <w:i w:val="0"/>
        <w:iCs w:val="0"/>
        <w:smallCaps w:val="0"/>
        <w:strike w:val="0"/>
        <w:color w:val="000000"/>
        <w:spacing w:val="0"/>
        <w:w w:val="100"/>
        <w:position w:val="0"/>
        <w:sz w:val="18"/>
        <w:szCs w:val="1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EBA4EBF"/>
    <w:multiLevelType w:val="multilevel"/>
    <w:tmpl w:val="5B74E026"/>
    <w:lvl w:ilvl="0">
      <w:start w:val="1"/>
      <w:numFmt w:val="lowerLetter"/>
      <w:lvlText w:val="(%1)"/>
      <w:lvlJc w:val="left"/>
      <w:pPr>
        <w:ind w:left="0" w:firstLine="0"/>
      </w:pPr>
      <w:rPr>
        <w:rFonts w:ascii="Verdana" w:eastAsia="Verdana" w:hAnsi="Verdana" w:cs="Verdana" w:hint="default"/>
        <w:b/>
        <w:bCs/>
        <w:i w:val="0"/>
        <w:iCs w:val="0"/>
        <w:smallCaps w:val="0"/>
        <w:strike w:val="0"/>
        <w:color w:val="4AA55B"/>
        <w:spacing w:val="0"/>
        <w:w w:val="100"/>
        <w:position w:val="0"/>
        <w:sz w:val="20"/>
        <w:szCs w:val="20"/>
        <w:u w:val="none"/>
        <w:shd w:val="clear" w:color="auto" w:fill="auto"/>
        <w:lang w:val="en-US" w:eastAsia="en-US" w:bidi="en-US"/>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1" w15:restartNumberingAfterBreak="0">
    <w:nsid w:val="30FB41D8"/>
    <w:multiLevelType w:val="multilevel"/>
    <w:tmpl w:val="597EAF0A"/>
    <w:lvl w:ilvl="0">
      <w:start w:val="1"/>
      <w:numFmt w:val="bullet"/>
      <w:lvlText w:val="-"/>
      <w:lvlJc w:val="left"/>
      <w:rPr>
        <w:rFonts w:ascii="Verdana" w:eastAsia="Verdana" w:hAnsi="Verdana" w:cs="Verdana"/>
        <w:b/>
        <w:bCs/>
        <w:i w:val="0"/>
        <w:iCs w:val="0"/>
        <w:smallCaps w:val="0"/>
        <w:strike w:val="0"/>
        <w:color w:val="000000"/>
        <w:spacing w:val="0"/>
        <w:w w:val="100"/>
        <w:position w:val="0"/>
        <w:sz w:val="18"/>
        <w:szCs w:val="1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32C58D2"/>
    <w:multiLevelType w:val="multilevel"/>
    <w:tmpl w:val="5898205A"/>
    <w:lvl w:ilvl="0">
      <w:start w:val="1"/>
      <w:numFmt w:val="bullet"/>
      <w:lvlText w:val="-"/>
      <w:lvlJc w:val="left"/>
      <w:rPr>
        <w:rFonts w:ascii="Verdana" w:eastAsia="Verdana" w:hAnsi="Verdana" w:cs="Verdana"/>
        <w:b w:val="0"/>
        <w:bCs w:val="0"/>
        <w:i w:val="0"/>
        <w:iCs w:val="0"/>
        <w:smallCaps w:val="0"/>
        <w:strike w:val="0"/>
        <w:color w:val="000000"/>
        <w:spacing w:val="0"/>
        <w:w w:val="100"/>
        <w:position w:val="0"/>
        <w:sz w:val="16"/>
        <w:szCs w:val="1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A324D50"/>
    <w:multiLevelType w:val="multilevel"/>
    <w:tmpl w:val="96C0E582"/>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1325FB7"/>
    <w:multiLevelType w:val="multilevel"/>
    <w:tmpl w:val="8110CC12"/>
    <w:lvl w:ilvl="0">
      <w:start w:val="1"/>
      <w:numFmt w:val="bullet"/>
      <w:lvlText w:val="•"/>
      <w:lvlJc w:val="left"/>
      <w:rPr>
        <w:rFonts w:ascii="Verdana" w:eastAsia="Verdana" w:hAnsi="Verdana" w:cs="Verdana"/>
        <w:b w:val="0"/>
        <w:bCs w:val="0"/>
        <w:i w:val="0"/>
        <w:iCs w:val="0"/>
        <w:smallCaps w:val="0"/>
        <w:strike w:val="0"/>
        <w:color w:val="000000"/>
        <w:spacing w:val="0"/>
        <w:w w:val="100"/>
        <w:position w:val="0"/>
        <w:sz w:val="18"/>
        <w:szCs w:val="1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5214F28"/>
    <w:multiLevelType w:val="hybridMultilevel"/>
    <w:tmpl w:val="0B50443A"/>
    <w:lvl w:ilvl="0" w:tplc="EF24E8BE">
      <w:start w:val="1"/>
      <w:numFmt w:val="decimal"/>
      <w:pStyle w:val="Heading1"/>
      <w:lvlText w:val="%1."/>
      <w:lvlJc w:val="left"/>
      <w:pPr>
        <w:ind w:left="0" w:firstLine="0"/>
      </w:pPr>
      <w:rPr>
        <w:rFonts w:hint="default"/>
      </w:rPr>
    </w:lvl>
    <w:lvl w:ilvl="1" w:tplc="083C0019" w:tentative="1">
      <w:start w:val="1"/>
      <w:numFmt w:val="lowerLetter"/>
      <w:lvlText w:val="%2."/>
      <w:lvlJc w:val="left"/>
      <w:pPr>
        <w:ind w:left="1440" w:hanging="360"/>
      </w:pPr>
    </w:lvl>
    <w:lvl w:ilvl="2" w:tplc="083C001B" w:tentative="1">
      <w:start w:val="1"/>
      <w:numFmt w:val="lowerRoman"/>
      <w:lvlText w:val="%3."/>
      <w:lvlJc w:val="right"/>
      <w:pPr>
        <w:ind w:left="2160" w:hanging="180"/>
      </w:pPr>
    </w:lvl>
    <w:lvl w:ilvl="3" w:tplc="083C000F" w:tentative="1">
      <w:start w:val="1"/>
      <w:numFmt w:val="decimal"/>
      <w:lvlText w:val="%4."/>
      <w:lvlJc w:val="left"/>
      <w:pPr>
        <w:ind w:left="2880" w:hanging="360"/>
      </w:pPr>
    </w:lvl>
    <w:lvl w:ilvl="4" w:tplc="083C0019" w:tentative="1">
      <w:start w:val="1"/>
      <w:numFmt w:val="lowerLetter"/>
      <w:lvlText w:val="%5."/>
      <w:lvlJc w:val="left"/>
      <w:pPr>
        <w:ind w:left="3600" w:hanging="360"/>
      </w:pPr>
    </w:lvl>
    <w:lvl w:ilvl="5" w:tplc="083C001B" w:tentative="1">
      <w:start w:val="1"/>
      <w:numFmt w:val="lowerRoman"/>
      <w:lvlText w:val="%6."/>
      <w:lvlJc w:val="right"/>
      <w:pPr>
        <w:ind w:left="4320" w:hanging="180"/>
      </w:pPr>
    </w:lvl>
    <w:lvl w:ilvl="6" w:tplc="083C000F" w:tentative="1">
      <w:start w:val="1"/>
      <w:numFmt w:val="decimal"/>
      <w:lvlText w:val="%7."/>
      <w:lvlJc w:val="left"/>
      <w:pPr>
        <w:ind w:left="5040" w:hanging="360"/>
      </w:pPr>
    </w:lvl>
    <w:lvl w:ilvl="7" w:tplc="083C0019" w:tentative="1">
      <w:start w:val="1"/>
      <w:numFmt w:val="lowerLetter"/>
      <w:lvlText w:val="%8."/>
      <w:lvlJc w:val="left"/>
      <w:pPr>
        <w:ind w:left="5760" w:hanging="360"/>
      </w:pPr>
    </w:lvl>
    <w:lvl w:ilvl="8" w:tplc="083C001B" w:tentative="1">
      <w:start w:val="1"/>
      <w:numFmt w:val="lowerRoman"/>
      <w:lvlText w:val="%9."/>
      <w:lvlJc w:val="right"/>
      <w:pPr>
        <w:ind w:left="6480" w:hanging="180"/>
      </w:pPr>
    </w:lvl>
  </w:abstractNum>
  <w:abstractNum w:abstractNumId="26" w15:restartNumberingAfterBreak="0">
    <w:nsid w:val="4646341F"/>
    <w:multiLevelType w:val="multilevel"/>
    <w:tmpl w:val="82CADDC4"/>
    <w:lvl w:ilvl="0">
      <w:start w:val="1"/>
      <w:numFmt w:val="bullet"/>
      <w:lvlText w:val="-"/>
      <w:lvlJc w:val="left"/>
      <w:rPr>
        <w:rFonts w:ascii="Verdana" w:eastAsia="Verdana" w:hAnsi="Verdana" w:cs="Verdana"/>
        <w:b w:val="0"/>
        <w:bCs w:val="0"/>
        <w:i w:val="0"/>
        <w:iCs w:val="0"/>
        <w:smallCaps w:val="0"/>
        <w:strike w:val="0"/>
        <w:color w:val="000000"/>
        <w:spacing w:val="0"/>
        <w:w w:val="100"/>
        <w:position w:val="0"/>
        <w:sz w:val="18"/>
        <w:szCs w:val="1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8A23419"/>
    <w:multiLevelType w:val="multilevel"/>
    <w:tmpl w:val="DB82C806"/>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BB516BB"/>
    <w:multiLevelType w:val="hybridMultilevel"/>
    <w:tmpl w:val="F1D625EC"/>
    <w:lvl w:ilvl="0" w:tplc="183E4F6C">
      <w:start w:val="1"/>
      <w:numFmt w:val="bullet"/>
      <w:pStyle w:val="Style16"/>
      <w:lvlText w:val=""/>
      <w:lvlJc w:val="left"/>
      <w:pPr>
        <w:ind w:left="360" w:hanging="360"/>
      </w:pPr>
      <w:rPr>
        <w:rFonts w:ascii="Symbol" w:hAnsi="Symbol" w:hint="default"/>
      </w:rPr>
    </w:lvl>
    <w:lvl w:ilvl="1" w:tplc="083C0003" w:tentative="1">
      <w:start w:val="1"/>
      <w:numFmt w:val="bullet"/>
      <w:lvlText w:val="o"/>
      <w:lvlJc w:val="left"/>
      <w:pPr>
        <w:ind w:left="1080" w:hanging="360"/>
      </w:pPr>
      <w:rPr>
        <w:rFonts w:ascii="Courier New" w:hAnsi="Courier New" w:cs="Courier New" w:hint="default"/>
      </w:rPr>
    </w:lvl>
    <w:lvl w:ilvl="2" w:tplc="083C0005" w:tentative="1">
      <w:start w:val="1"/>
      <w:numFmt w:val="bullet"/>
      <w:lvlText w:val=""/>
      <w:lvlJc w:val="left"/>
      <w:pPr>
        <w:ind w:left="1800" w:hanging="360"/>
      </w:pPr>
      <w:rPr>
        <w:rFonts w:ascii="Wingdings" w:hAnsi="Wingdings" w:hint="default"/>
      </w:rPr>
    </w:lvl>
    <w:lvl w:ilvl="3" w:tplc="083C0001" w:tentative="1">
      <w:start w:val="1"/>
      <w:numFmt w:val="bullet"/>
      <w:lvlText w:val=""/>
      <w:lvlJc w:val="left"/>
      <w:pPr>
        <w:ind w:left="2520" w:hanging="360"/>
      </w:pPr>
      <w:rPr>
        <w:rFonts w:ascii="Symbol" w:hAnsi="Symbol" w:hint="default"/>
      </w:rPr>
    </w:lvl>
    <w:lvl w:ilvl="4" w:tplc="083C0003" w:tentative="1">
      <w:start w:val="1"/>
      <w:numFmt w:val="bullet"/>
      <w:lvlText w:val="o"/>
      <w:lvlJc w:val="left"/>
      <w:pPr>
        <w:ind w:left="3240" w:hanging="360"/>
      </w:pPr>
      <w:rPr>
        <w:rFonts w:ascii="Courier New" w:hAnsi="Courier New" w:cs="Courier New" w:hint="default"/>
      </w:rPr>
    </w:lvl>
    <w:lvl w:ilvl="5" w:tplc="083C0005" w:tentative="1">
      <w:start w:val="1"/>
      <w:numFmt w:val="bullet"/>
      <w:lvlText w:val=""/>
      <w:lvlJc w:val="left"/>
      <w:pPr>
        <w:ind w:left="3960" w:hanging="360"/>
      </w:pPr>
      <w:rPr>
        <w:rFonts w:ascii="Wingdings" w:hAnsi="Wingdings" w:hint="default"/>
      </w:rPr>
    </w:lvl>
    <w:lvl w:ilvl="6" w:tplc="083C0001" w:tentative="1">
      <w:start w:val="1"/>
      <w:numFmt w:val="bullet"/>
      <w:lvlText w:val=""/>
      <w:lvlJc w:val="left"/>
      <w:pPr>
        <w:ind w:left="4680" w:hanging="360"/>
      </w:pPr>
      <w:rPr>
        <w:rFonts w:ascii="Symbol" w:hAnsi="Symbol" w:hint="default"/>
      </w:rPr>
    </w:lvl>
    <w:lvl w:ilvl="7" w:tplc="083C0003" w:tentative="1">
      <w:start w:val="1"/>
      <w:numFmt w:val="bullet"/>
      <w:lvlText w:val="o"/>
      <w:lvlJc w:val="left"/>
      <w:pPr>
        <w:ind w:left="5400" w:hanging="360"/>
      </w:pPr>
      <w:rPr>
        <w:rFonts w:ascii="Courier New" w:hAnsi="Courier New" w:cs="Courier New" w:hint="default"/>
      </w:rPr>
    </w:lvl>
    <w:lvl w:ilvl="8" w:tplc="083C0005" w:tentative="1">
      <w:start w:val="1"/>
      <w:numFmt w:val="bullet"/>
      <w:lvlText w:val=""/>
      <w:lvlJc w:val="left"/>
      <w:pPr>
        <w:ind w:left="6120" w:hanging="360"/>
      </w:pPr>
      <w:rPr>
        <w:rFonts w:ascii="Wingdings" w:hAnsi="Wingdings" w:hint="default"/>
      </w:rPr>
    </w:lvl>
  </w:abstractNum>
  <w:abstractNum w:abstractNumId="29" w15:restartNumberingAfterBreak="0">
    <w:nsid w:val="4D67219E"/>
    <w:multiLevelType w:val="multilevel"/>
    <w:tmpl w:val="C87842DC"/>
    <w:lvl w:ilvl="0">
      <w:start w:val="1"/>
      <w:numFmt w:val="bullet"/>
      <w:lvlText w:val="•"/>
      <w:lvlJc w:val="left"/>
      <w:rPr>
        <w:rFonts w:ascii="Verdana" w:eastAsia="Verdana" w:hAnsi="Verdana" w:cs="Verdana"/>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DF91E73"/>
    <w:multiLevelType w:val="multilevel"/>
    <w:tmpl w:val="CCC67548"/>
    <w:lvl w:ilvl="0">
      <w:start w:val="1"/>
      <w:numFmt w:val="bullet"/>
      <w:lvlText w:val="-"/>
      <w:lvlJc w:val="left"/>
      <w:rPr>
        <w:rFonts w:ascii="Verdana" w:eastAsia="Verdana" w:hAnsi="Verdana" w:cs="Verdana"/>
        <w:b/>
        <w:bCs/>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4EBF435A"/>
    <w:multiLevelType w:val="hybridMultilevel"/>
    <w:tmpl w:val="C6AC36E8"/>
    <w:lvl w:ilvl="0" w:tplc="AD701C24">
      <w:start w:val="1"/>
      <w:numFmt w:val="bullet"/>
      <w:lvlText w:val=""/>
      <w:lvlJc w:val="left"/>
      <w:pPr>
        <w:ind w:left="720" w:hanging="360"/>
      </w:pPr>
      <w:rPr>
        <w:rFonts w:ascii="Verdana" w:hAnsi="Verdana" w:hint="default"/>
      </w:rPr>
    </w:lvl>
    <w:lvl w:ilvl="1" w:tplc="083C0003" w:tentative="1">
      <w:start w:val="1"/>
      <w:numFmt w:val="bullet"/>
      <w:lvlText w:val="o"/>
      <w:lvlJc w:val="left"/>
      <w:pPr>
        <w:ind w:left="1440" w:hanging="360"/>
      </w:pPr>
      <w:rPr>
        <w:rFonts w:ascii="Courier New" w:hAnsi="Courier New" w:cs="Courier New" w:hint="default"/>
      </w:rPr>
    </w:lvl>
    <w:lvl w:ilvl="2" w:tplc="083C0005" w:tentative="1">
      <w:start w:val="1"/>
      <w:numFmt w:val="bullet"/>
      <w:lvlText w:val=""/>
      <w:lvlJc w:val="left"/>
      <w:pPr>
        <w:ind w:left="2160" w:hanging="360"/>
      </w:pPr>
      <w:rPr>
        <w:rFonts w:ascii="Wingdings" w:hAnsi="Wingdings" w:hint="default"/>
      </w:rPr>
    </w:lvl>
    <w:lvl w:ilvl="3" w:tplc="083C0001" w:tentative="1">
      <w:start w:val="1"/>
      <w:numFmt w:val="bullet"/>
      <w:lvlText w:val=""/>
      <w:lvlJc w:val="left"/>
      <w:pPr>
        <w:ind w:left="2880" w:hanging="360"/>
      </w:pPr>
      <w:rPr>
        <w:rFonts w:ascii="Symbol" w:hAnsi="Symbol" w:hint="default"/>
      </w:rPr>
    </w:lvl>
    <w:lvl w:ilvl="4" w:tplc="083C0003" w:tentative="1">
      <w:start w:val="1"/>
      <w:numFmt w:val="bullet"/>
      <w:lvlText w:val="o"/>
      <w:lvlJc w:val="left"/>
      <w:pPr>
        <w:ind w:left="3600" w:hanging="360"/>
      </w:pPr>
      <w:rPr>
        <w:rFonts w:ascii="Courier New" w:hAnsi="Courier New" w:cs="Courier New" w:hint="default"/>
      </w:rPr>
    </w:lvl>
    <w:lvl w:ilvl="5" w:tplc="083C0005" w:tentative="1">
      <w:start w:val="1"/>
      <w:numFmt w:val="bullet"/>
      <w:lvlText w:val=""/>
      <w:lvlJc w:val="left"/>
      <w:pPr>
        <w:ind w:left="4320" w:hanging="360"/>
      </w:pPr>
      <w:rPr>
        <w:rFonts w:ascii="Wingdings" w:hAnsi="Wingdings" w:hint="default"/>
      </w:rPr>
    </w:lvl>
    <w:lvl w:ilvl="6" w:tplc="083C0001" w:tentative="1">
      <w:start w:val="1"/>
      <w:numFmt w:val="bullet"/>
      <w:lvlText w:val=""/>
      <w:lvlJc w:val="left"/>
      <w:pPr>
        <w:ind w:left="5040" w:hanging="360"/>
      </w:pPr>
      <w:rPr>
        <w:rFonts w:ascii="Symbol" w:hAnsi="Symbol" w:hint="default"/>
      </w:rPr>
    </w:lvl>
    <w:lvl w:ilvl="7" w:tplc="083C0003" w:tentative="1">
      <w:start w:val="1"/>
      <w:numFmt w:val="bullet"/>
      <w:lvlText w:val="o"/>
      <w:lvlJc w:val="left"/>
      <w:pPr>
        <w:ind w:left="5760" w:hanging="360"/>
      </w:pPr>
      <w:rPr>
        <w:rFonts w:ascii="Courier New" w:hAnsi="Courier New" w:cs="Courier New" w:hint="default"/>
      </w:rPr>
    </w:lvl>
    <w:lvl w:ilvl="8" w:tplc="083C0005" w:tentative="1">
      <w:start w:val="1"/>
      <w:numFmt w:val="bullet"/>
      <w:lvlText w:val=""/>
      <w:lvlJc w:val="left"/>
      <w:pPr>
        <w:ind w:left="6480" w:hanging="360"/>
      </w:pPr>
      <w:rPr>
        <w:rFonts w:ascii="Wingdings" w:hAnsi="Wingdings" w:hint="default"/>
      </w:rPr>
    </w:lvl>
  </w:abstractNum>
  <w:abstractNum w:abstractNumId="32" w15:restartNumberingAfterBreak="0">
    <w:nsid w:val="4F4E39FA"/>
    <w:multiLevelType w:val="multilevel"/>
    <w:tmpl w:val="C5026ED0"/>
    <w:lvl w:ilvl="0">
      <w:start w:val="1"/>
      <w:numFmt w:val="bullet"/>
      <w:lvlText w:val="-"/>
      <w:lvlJc w:val="left"/>
      <w:rPr>
        <w:rFonts w:ascii="Verdana" w:eastAsia="Verdana" w:hAnsi="Verdana" w:cs="Verdana"/>
        <w:b w:val="0"/>
        <w:bCs w:val="0"/>
        <w:i w:val="0"/>
        <w:iCs w:val="0"/>
        <w:smallCaps w:val="0"/>
        <w:strike w:val="0"/>
        <w:color w:val="000000"/>
        <w:spacing w:val="0"/>
        <w:w w:val="100"/>
        <w:position w:val="0"/>
        <w:sz w:val="18"/>
        <w:szCs w:val="1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1696037"/>
    <w:multiLevelType w:val="multilevel"/>
    <w:tmpl w:val="C9EA9E5A"/>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19206C0"/>
    <w:multiLevelType w:val="multilevel"/>
    <w:tmpl w:val="454E2FFE"/>
    <w:lvl w:ilvl="0">
      <w:start w:val="1"/>
      <w:numFmt w:val="bullet"/>
      <w:lvlText w:val="-"/>
      <w:lvlJc w:val="left"/>
      <w:rPr>
        <w:rFonts w:ascii="Verdana" w:eastAsia="Verdana" w:hAnsi="Verdana" w:cs="Verdana"/>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2D277F0"/>
    <w:multiLevelType w:val="multilevel"/>
    <w:tmpl w:val="17824F4E"/>
    <w:lvl w:ilvl="0">
      <w:start w:val="1"/>
      <w:numFmt w:val="bullet"/>
      <w:lvlText w:val="-"/>
      <w:lvlJc w:val="left"/>
      <w:rPr>
        <w:rFonts w:ascii="Verdana" w:eastAsia="Verdana" w:hAnsi="Verdana" w:cs="Verdana"/>
        <w:b w:val="0"/>
        <w:bCs w:val="0"/>
        <w:i w:val="0"/>
        <w:iCs w:val="0"/>
        <w:smallCaps w:val="0"/>
        <w:strike w:val="0"/>
        <w:color w:val="000000"/>
        <w:spacing w:val="0"/>
        <w:w w:val="100"/>
        <w:position w:val="0"/>
        <w:sz w:val="18"/>
        <w:szCs w:val="1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E105414"/>
    <w:multiLevelType w:val="multilevel"/>
    <w:tmpl w:val="AA2E59AE"/>
    <w:lvl w:ilvl="0">
      <w:start w:val="1"/>
      <w:numFmt w:val="decimal"/>
      <w:lvlText w:val="%1."/>
      <w:lvlJc w:val="left"/>
      <w:rPr>
        <w:rFonts w:ascii="Verdana" w:eastAsia="Verdana" w:hAnsi="Verdana" w:cs="Verdana"/>
        <w:b/>
        <w:bCs/>
        <w:i w:val="0"/>
        <w:iCs w:val="0"/>
        <w:smallCaps w:val="0"/>
        <w:strike w:val="0"/>
        <w:color w:val="A50021"/>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0183B4C"/>
    <w:multiLevelType w:val="multilevel"/>
    <w:tmpl w:val="2326DA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57344EE"/>
    <w:multiLevelType w:val="multilevel"/>
    <w:tmpl w:val="2BE8A7EA"/>
    <w:lvl w:ilvl="0">
      <w:start w:val="1"/>
      <w:numFmt w:val="bullet"/>
      <w:lvlText w:val="-"/>
      <w:lvlJc w:val="left"/>
      <w:rPr>
        <w:rFonts w:ascii="Verdana" w:eastAsia="Verdana" w:hAnsi="Verdana" w:cs="Verdana"/>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8A02144"/>
    <w:multiLevelType w:val="multilevel"/>
    <w:tmpl w:val="D81A02D0"/>
    <w:lvl w:ilvl="0">
      <w:start w:val="1"/>
      <w:numFmt w:val="bullet"/>
      <w:lvlText w:val="-"/>
      <w:lvlJc w:val="left"/>
      <w:rPr>
        <w:rFonts w:ascii="Verdana" w:eastAsia="Verdana" w:hAnsi="Verdana" w:cs="Verdana"/>
        <w:b w:val="0"/>
        <w:bCs w:val="0"/>
        <w:i w:val="0"/>
        <w:iCs w:val="0"/>
        <w:smallCaps w:val="0"/>
        <w:strike w:val="0"/>
        <w:color w:val="595959"/>
        <w:spacing w:val="0"/>
        <w:w w:val="100"/>
        <w:position w:val="0"/>
        <w:sz w:val="16"/>
        <w:szCs w:val="1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6911014A"/>
    <w:multiLevelType w:val="hybridMultilevel"/>
    <w:tmpl w:val="57CA5AB8"/>
    <w:lvl w:ilvl="0" w:tplc="08090005">
      <w:start w:val="1"/>
      <w:numFmt w:val="bullet"/>
      <w:lvlText w:val=""/>
      <w:lvlJc w:val="left"/>
      <w:pPr>
        <w:ind w:left="360" w:hanging="360"/>
      </w:pPr>
      <w:rPr>
        <w:rFonts w:ascii="Wingdings" w:hAnsi="Wingdings" w:hint="default"/>
      </w:rPr>
    </w:lvl>
    <w:lvl w:ilvl="1" w:tplc="083C0003" w:tentative="1">
      <w:start w:val="1"/>
      <w:numFmt w:val="bullet"/>
      <w:lvlText w:val="o"/>
      <w:lvlJc w:val="left"/>
      <w:pPr>
        <w:ind w:left="1080" w:hanging="360"/>
      </w:pPr>
      <w:rPr>
        <w:rFonts w:ascii="Courier New" w:hAnsi="Courier New" w:cs="Courier New" w:hint="default"/>
      </w:rPr>
    </w:lvl>
    <w:lvl w:ilvl="2" w:tplc="083C0005" w:tentative="1">
      <w:start w:val="1"/>
      <w:numFmt w:val="bullet"/>
      <w:lvlText w:val=""/>
      <w:lvlJc w:val="left"/>
      <w:pPr>
        <w:ind w:left="1800" w:hanging="360"/>
      </w:pPr>
      <w:rPr>
        <w:rFonts w:ascii="Wingdings" w:hAnsi="Wingdings" w:hint="default"/>
      </w:rPr>
    </w:lvl>
    <w:lvl w:ilvl="3" w:tplc="083C0001" w:tentative="1">
      <w:start w:val="1"/>
      <w:numFmt w:val="bullet"/>
      <w:lvlText w:val=""/>
      <w:lvlJc w:val="left"/>
      <w:pPr>
        <w:ind w:left="2520" w:hanging="360"/>
      </w:pPr>
      <w:rPr>
        <w:rFonts w:ascii="Symbol" w:hAnsi="Symbol" w:hint="default"/>
      </w:rPr>
    </w:lvl>
    <w:lvl w:ilvl="4" w:tplc="083C0003" w:tentative="1">
      <w:start w:val="1"/>
      <w:numFmt w:val="bullet"/>
      <w:lvlText w:val="o"/>
      <w:lvlJc w:val="left"/>
      <w:pPr>
        <w:ind w:left="3240" w:hanging="360"/>
      </w:pPr>
      <w:rPr>
        <w:rFonts w:ascii="Courier New" w:hAnsi="Courier New" w:cs="Courier New" w:hint="default"/>
      </w:rPr>
    </w:lvl>
    <w:lvl w:ilvl="5" w:tplc="083C0005" w:tentative="1">
      <w:start w:val="1"/>
      <w:numFmt w:val="bullet"/>
      <w:lvlText w:val=""/>
      <w:lvlJc w:val="left"/>
      <w:pPr>
        <w:ind w:left="3960" w:hanging="360"/>
      </w:pPr>
      <w:rPr>
        <w:rFonts w:ascii="Wingdings" w:hAnsi="Wingdings" w:hint="default"/>
      </w:rPr>
    </w:lvl>
    <w:lvl w:ilvl="6" w:tplc="083C0001" w:tentative="1">
      <w:start w:val="1"/>
      <w:numFmt w:val="bullet"/>
      <w:lvlText w:val=""/>
      <w:lvlJc w:val="left"/>
      <w:pPr>
        <w:ind w:left="4680" w:hanging="360"/>
      </w:pPr>
      <w:rPr>
        <w:rFonts w:ascii="Symbol" w:hAnsi="Symbol" w:hint="default"/>
      </w:rPr>
    </w:lvl>
    <w:lvl w:ilvl="7" w:tplc="083C0003" w:tentative="1">
      <w:start w:val="1"/>
      <w:numFmt w:val="bullet"/>
      <w:lvlText w:val="o"/>
      <w:lvlJc w:val="left"/>
      <w:pPr>
        <w:ind w:left="5400" w:hanging="360"/>
      </w:pPr>
      <w:rPr>
        <w:rFonts w:ascii="Courier New" w:hAnsi="Courier New" w:cs="Courier New" w:hint="default"/>
      </w:rPr>
    </w:lvl>
    <w:lvl w:ilvl="8" w:tplc="083C0005" w:tentative="1">
      <w:start w:val="1"/>
      <w:numFmt w:val="bullet"/>
      <w:lvlText w:val=""/>
      <w:lvlJc w:val="left"/>
      <w:pPr>
        <w:ind w:left="6120" w:hanging="360"/>
      </w:pPr>
      <w:rPr>
        <w:rFonts w:ascii="Wingdings" w:hAnsi="Wingdings" w:hint="default"/>
      </w:rPr>
    </w:lvl>
  </w:abstractNum>
  <w:abstractNum w:abstractNumId="41" w15:restartNumberingAfterBreak="0">
    <w:nsid w:val="6A895733"/>
    <w:multiLevelType w:val="multilevel"/>
    <w:tmpl w:val="24507CEA"/>
    <w:lvl w:ilvl="0">
      <w:start w:val="1"/>
      <w:numFmt w:val="bullet"/>
      <w:lvlText w:val="-"/>
      <w:lvlJc w:val="left"/>
      <w:rPr>
        <w:rFonts w:ascii="Verdana" w:eastAsia="Verdana" w:hAnsi="Verdana" w:cs="Verdana"/>
        <w:b/>
        <w:bCs/>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6BF56DDC"/>
    <w:multiLevelType w:val="multilevel"/>
    <w:tmpl w:val="D0804F62"/>
    <w:lvl w:ilvl="0">
      <w:start w:val="1"/>
      <w:numFmt w:val="bullet"/>
      <w:lvlText w:val="•"/>
      <w:lvlJc w:val="left"/>
      <w:rPr>
        <w:rFonts w:ascii="Verdana" w:eastAsia="Verdana" w:hAnsi="Verdana" w:cs="Verdana"/>
        <w:b w:val="0"/>
        <w:bCs w:val="0"/>
        <w:i w:val="0"/>
        <w:iCs w:val="0"/>
        <w:smallCaps w:val="0"/>
        <w:strike w:val="0"/>
        <w:color w:val="595959"/>
        <w:spacing w:val="0"/>
        <w:w w:val="100"/>
        <w:position w:val="0"/>
        <w:sz w:val="16"/>
        <w:szCs w:val="1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E503CB7"/>
    <w:multiLevelType w:val="multilevel"/>
    <w:tmpl w:val="EA42670E"/>
    <w:lvl w:ilvl="0">
      <w:start w:val="1"/>
      <w:numFmt w:val="lowerLetter"/>
      <w:lvlText w:val="%1)"/>
      <w:lvlJc w:val="left"/>
      <w:rPr>
        <w:rFonts w:ascii="Verdana" w:eastAsia="Verdana" w:hAnsi="Verdana" w:cs="Verdana"/>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FDB690D"/>
    <w:multiLevelType w:val="multilevel"/>
    <w:tmpl w:val="D41AA900"/>
    <w:lvl w:ilvl="0">
      <w:start w:val="1"/>
      <w:numFmt w:val="bullet"/>
      <w:lvlText w:val="-"/>
      <w:lvlJc w:val="left"/>
      <w:rPr>
        <w:rFonts w:ascii="Verdana" w:eastAsia="Verdana" w:hAnsi="Verdana" w:cs="Verdana"/>
        <w:b w:val="0"/>
        <w:bCs w:val="0"/>
        <w:i w:val="0"/>
        <w:iCs w:val="0"/>
        <w:smallCaps w:val="0"/>
        <w:strike w:val="0"/>
        <w:color w:val="000000"/>
        <w:spacing w:val="0"/>
        <w:w w:val="100"/>
        <w:position w:val="0"/>
        <w:sz w:val="19"/>
        <w:szCs w:val="19"/>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71952698"/>
    <w:multiLevelType w:val="multilevel"/>
    <w:tmpl w:val="C108CFA6"/>
    <w:lvl w:ilvl="0">
      <w:start w:val="1"/>
      <w:numFmt w:val="bullet"/>
      <w:lvlText w:val="-"/>
      <w:lvlJc w:val="left"/>
      <w:rPr>
        <w:rFonts w:ascii="Verdana" w:eastAsia="Verdana" w:hAnsi="Verdana" w:cs="Verdana"/>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7C005679"/>
    <w:multiLevelType w:val="multilevel"/>
    <w:tmpl w:val="760C1BEE"/>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104257362">
    <w:abstractNumId w:val="4"/>
  </w:num>
  <w:num w:numId="2" w16cid:durableId="1511677987">
    <w:abstractNumId w:val="19"/>
  </w:num>
  <w:num w:numId="3" w16cid:durableId="1387147394">
    <w:abstractNumId w:val="16"/>
  </w:num>
  <w:num w:numId="4" w16cid:durableId="1182859711">
    <w:abstractNumId w:val="10"/>
  </w:num>
  <w:num w:numId="5" w16cid:durableId="1770345186">
    <w:abstractNumId w:val="23"/>
  </w:num>
  <w:num w:numId="6" w16cid:durableId="1730491965">
    <w:abstractNumId w:val="22"/>
  </w:num>
  <w:num w:numId="7" w16cid:durableId="1818497958">
    <w:abstractNumId w:val="34"/>
  </w:num>
  <w:num w:numId="8" w16cid:durableId="498695270">
    <w:abstractNumId w:val="33"/>
  </w:num>
  <w:num w:numId="9" w16cid:durableId="1085878507">
    <w:abstractNumId w:val="27"/>
  </w:num>
  <w:num w:numId="10" w16cid:durableId="1763260329">
    <w:abstractNumId w:val="7"/>
  </w:num>
  <w:num w:numId="11" w16cid:durableId="40980080">
    <w:abstractNumId w:val="32"/>
  </w:num>
  <w:num w:numId="12" w16cid:durableId="1355570156">
    <w:abstractNumId w:val="29"/>
  </w:num>
  <w:num w:numId="13" w16cid:durableId="1804107727">
    <w:abstractNumId w:val="24"/>
  </w:num>
  <w:num w:numId="14" w16cid:durableId="464473902">
    <w:abstractNumId w:val="26"/>
  </w:num>
  <w:num w:numId="15" w16cid:durableId="1537505441">
    <w:abstractNumId w:val="14"/>
  </w:num>
  <w:num w:numId="16" w16cid:durableId="614561162">
    <w:abstractNumId w:val="1"/>
  </w:num>
  <w:num w:numId="17" w16cid:durableId="860776285">
    <w:abstractNumId w:val="21"/>
  </w:num>
  <w:num w:numId="18" w16cid:durableId="465664649">
    <w:abstractNumId w:val="35"/>
  </w:num>
  <w:num w:numId="19" w16cid:durableId="991911336">
    <w:abstractNumId w:val="41"/>
  </w:num>
  <w:num w:numId="20" w16cid:durableId="1603611513">
    <w:abstractNumId w:val="44"/>
  </w:num>
  <w:num w:numId="21" w16cid:durableId="603922788">
    <w:abstractNumId w:val="46"/>
  </w:num>
  <w:num w:numId="22" w16cid:durableId="562790209">
    <w:abstractNumId w:val="36"/>
  </w:num>
  <w:num w:numId="23" w16cid:durableId="1641957600">
    <w:abstractNumId w:val="45"/>
  </w:num>
  <w:num w:numId="24" w16cid:durableId="268123471">
    <w:abstractNumId w:val="38"/>
  </w:num>
  <w:num w:numId="25" w16cid:durableId="1945502080">
    <w:abstractNumId w:val="17"/>
  </w:num>
  <w:num w:numId="26" w16cid:durableId="1332219822">
    <w:abstractNumId w:val="12"/>
  </w:num>
  <w:num w:numId="27" w16cid:durableId="1444421888">
    <w:abstractNumId w:val="8"/>
  </w:num>
  <w:num w:numId="28" w16cid:durableId="175581894">
    <w:abstractNumId w:val="6"/>
  </w:num>
  <w:num w:numId="29" w16cid:durableId="371078993">
    <w:abstractNumId w:val="20"/>
  </w:num>
  <w:num w:numId="30" w16cid:durableId="183524489">
    <w:abstractNumId w:val="15"/>
  </w:num>
  <w:num w:numId="31" w16cid:durableId="1267150044">
    <w:abstractNumId w:val="2"/>
  </w:num>
  <w:num w:numId="32" w16cid:durableId="424570399">
    <w:abstractNumId w:val="37"/>
  </w:num>
  <w:num w:numId="33" w16cid:durableId="1130827292">
    <w:abstractNumId w:val="30"/>
  </w:num>
  <w:num w:numId="34" w16cid:durableId="427890697">
    <w:abstractNumId w:val="43"/>
  </w:num>
  <w:num w:numId="35" w16cid:durableId="233980112">
    <w:abstractNumId w:val="5"/>
  </w:num>
  <w:num w:numId="36" w16cid:durableId="403331677">
    <w:abstractNumId w:val="3"/>
  </w:num>
  <w:num w:numId="37" w16cid:durableId="1635871027">
    <w:abstractNumId w:val="9"/>
  </w:num>
  <w:num w:numId="38" w16cid:durableId="105850019">
    <w:abstractNumId w:val="0"/>
  </w:num>
  <w:num w:numId="39" w16cid:durableId="1234127154">
    <w:abstractNumId w:val="42"/>
  </w:num>
  <w:num w:numId="40" w16cid:durableId="1261790394">
    <w:abstractNumId w:val="39"/>
  </w:num>
  <w:num w:numId="41" w16cid:durableId="1464418929">
    <w:abstractNumId w:val="25"/>
  </w:num>
  <w:num w:numId="42" w16cid:durableId="535969625">
    <w:abstractNumId w:val="18"/>
  </w:num>
  <w:num w:numId="43" w16cid:durableId="515654866">
    <w:abstractNumId w:val="11"/>
  </w:num>
  <w:num w:numId="44" w16cid:durableId="1889684605">
    <w:abstractNumId w:val="28"/>
  </w:num>
  <w:num w:numId="45" w16cid:durableId="1882588254">
    <w:abstractNumId w:val="13"/>
  </w:num>
  <w:num w:numId="46" w16cid:durableId="917323978">
    <w:abstractNumId w:val="31"/>
  </w:num>
  <w:num w:numId="47" w16cid:durableId="161942195">
    <w:abstractNumId w:val="40"/>
  </w:num>
  <w:num w:numId="48" w16cid:durableId="1106001564">
    <w:abstractNumId w:val="25"/>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grammar="clean"/>
  <w:defaultTabStop w:val="720"/>
  <w:hyphenationZone w:val="425"/>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35C2"/>
    <w:rsid w:val="000435C2"/>
    <w:rsid w:val="000564A8"/>
    <w:rsid w:val="000E41C6"/>
    <w:rsid w:val="000F6913"/>
    <w:rsid w:val="00141542"/>
    <w:rsid w:val="00167EE8"/>
    <w:rsid w:val="00180C6F"/>
    <w:rsid w:val="00256CCD"/>
    <w:rsid w:val="002C336B"/>
    <w:rsid w:val="0032042B"/>
    <w:rsid w:val="00342F4E"/>
    <w:rsid w:val="00386152"/>
    <w:rsid w:val="00445A70"/>
    <w:rsid w:val="004A65E7"/>
    <w:rsid w:val="0052485A"/>
    <w:rsid w:val="0056686A"/>
    <w:rsid w:val="006008C4"/>
    <w:rsid w:val="008049F0"/>
    <w:rsid w:val="008538D7"/>
    <w:rsid w:val="008B332B"/>
    <w:rsid w:val="008F31DC"/>
    <w:rsid w:val="009848AC"/>
    <w:rsid w:val="00A33280"/>
    <w:rsid w:val="00A45543"/>
    <w:rsid w:val="00B219F9"/>
    <w:rsid w:val="00BA0CA3"/>
    <w:rsid w:val="00BF0FEB"/>
    <w:rsid w:val="00BF35B3"/>
    <w:rsid w:val="00C314BE"/>
    <w:rsid w:val="00C622F9"/>
    <w:rsid w:val="00CD597C"/>
    <w:rsid w:val="00D229E3"/>
    <w:rsid w:val="00DA7766"/>
    <w:rsid w:val="00EF0639"/>
    <w:rsid w:val="00EF0C04"/>
    <w:rsid w:val="00F96019"/>
    <w:rsid w:val="00FB4483"/>
  </w:rsids>
  <m:mathPr>
    <m:mathFont m:val="Cambria Math"/>
    <m:brkBin m:val="before"/>
    <m:brkBinSub m:val="--"/>
    <m:smallFrac m:val="0"/>
    <m:dispDef/>
    <m:lMargin m:val="0"/>
    <m:rMargin m:val="0"/>
    <m:defJc m:val="centerGroup"/>
    <m:wrapIndent m:val="1440"/>
    <m:intLim m:val="subSup"/>
    <m:naryLim m:val="undOvr"/>
  </m:mathPr>
  <w:themeFontLang w:val="ga-IE"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43A186"/>
  <w15:docId w15:val="{DA5D37A5-D03A-42DA-BEF6-2D677F15E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crosoft Sans Serif" w:eastAsia="Microsoft Sans Serif" w:hAnsi="Microsoft Sans Serif" w:cs="Microsoft Sans Serif"/>
        <w:sz w:val="24"/>
        <w:szCs w:val="24"/>
        <w:lang w:val="pt-PT" w:eastAsia="en-US" w:bidi="en-U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5543"/>
    <w:rPr>
      <w:rFonts w:ascii="Verdana" w:hAnsi="Verdana"/>
      <w:color w:val="000000"/>
      <w:sz w:val="20"/>
    </w:rPr>
  </w:style>
  <w:style w:type="paragraph" w:styleId="Heading1">
    <w:name w:val="heading 1"/>
    <w:basedOn w:val="Headingnumber3"/>
    <w:next w:val="Normal"/>
    <w:link w:val="Heading1Char"/>
    <w:uiPriority w:val="9"/>
    <w:qFormat/>
    <w:rsid w:val="00BF35B3"/>
    <w:pPr>
      <w:keepNext/>
      <w:keepLines/>
      <w:numPr>
        <w:numId w:val="41"/>
      </w:numPr>
      <w:tabs>
        <w:tab w:val="left" w:pos="284"/>
      </w:tabs>
      <w:jc w:val="both"/>
      <w:outlineLvl w:val="0"/>
    </w:pPr>
  </w:style>
  <w:style w:type="paragraph" w:styleId="Heading2">
    <w:name w:val="heading 2"/>
    <w:basedOn w:val="BodyText"/>
    <w:next w:val="Normal"/>
    <w:link w:val="Heading2Char"/>
    <w:uiPriority w:val="9"/>
    <w:unhideWhenUsed/>
    <w:qFormat/>
    <w:rsid w:val="00BF35B3"/>
    <w:pPr>
      <w:outlineLvl w:val="1"/>
    </w:pPr>
    <w:rPr>
      <w:b/>
      <w:bCs/>
      <w:color w:val="A500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
    <w:name w:val="Footnote_"/>
    <w:basedOn w:val="DefaultParagraphFont"/>
    <w:link w:val="Footnote0"/>
    <w:rPr>
      <w:rFonts w:ascii="Verdana" w:eastAsia="Verdana" w:hAnsi="Verdana" w:cs="Verdana"/>
      <w:b w:val="0"/>
      <w:bCs w:val="0"/>
      <w:i w:val="0"/>
      <w:iCs w:val="0"/>
      <w:smallCaps w:val="0"/>
      <w:strike w:val="0"/>
      <w:sz w:val="16"/>
      <w:szCs w:val="16"/>
      <w:u w:val="none"/>
    </w:rPr>
  </w:style>
  <w:style w:type="character" w:customStyle="1" w:styleId="Bodytext2">
    <w:name w:val="Body text (2)_"/>
    <w:basedOn w:val="DefaultParagraphFont"/>
    <w:link w:val="Bodytext20"/>
    <w:rPr>
      <w:rFonts w:ascii="Arial" w:eastAsia="Arial" w:hAnsi="Arial" w:cs="Arial"/>
      <w:b/>
      <w:bCs/>
      <w:i w:val="0"/>
      <w:iCs w:val="0"/>
      <w:smallCaps w:val="0"/>
      <w:strike w:val="0"/>
      <w:sz w:val="44"/>
      <w:szCs w:val="44"/>
      <w:u w:val="none"/>
    </w:rPr>
  </w:style>
  <w:style w:type="character" w:customStyle="1" w:styleId="Other">
    <w:name w:val="Other_"/>
    <w:basedOn w:val="DefaultParagraphFont"/>
    <w:link w:val="Other0"/>
    <w:rPr>
      <w:rFonts w:ascii="Verdana" w:eastAsia="Verdana" w:hAnsi="Verdana" w:cs="Verdana"/>
      <w:b w:val="0"/>
      <w:bCs w:val="0"/>
      <w:i w:val="0"/>
      <w:iCs w:val="0"/>
      <w:smallCaps w:val="0"/>
      <w:strike w:val="0"/>
      <w:sz w:val="20"/>
      <w:szCs w:val="20"/>
      <w:u w:val="none"/>
    </w:rPr>
  </w:style>
  <w:style w:type="character" w:customStyle="1" w:styleId="Bodytext4">
    <w:name w:val="Body text (4)_"/>
    <w:basedOn w:val="DefaultParagraphFont"/>
    <w:link w:val="Bodytext40"/>
    <w:rPr>
      <w:rFonts w:ascii="Arial" w:eastAsia="Arial" w:hAnsi="Arial" w:cs="Arial"/>
      <w:b w:val="0"/>
      <w:bCs w:val="0"/>
      <w:i w:val="0"/>
      <w:iCs w:val="0"/>
      <w:smallCaps w:val="0"/>
      <w:strike w:val="0"/>
      <w:sz w:val="26"/>
      <w:szCs w:val="26"/>
      <w:u w:val="none"/>
    </w:rPr>
  </w:style>
  <w:style w:type="character" w:customStyle="1" w:styleId="Bodytext5">
    <w:name w:val="Body text (5)_"/>
    <w:basedOn w:val="DefaultParagraphFont"/>
    <w:link w:val="Bodytext50"/>
    <w:rPr>
      <w:rFonts w:ascii="Verdana" w:eastAsia="Verdana" w:hAnsi="Verdana" w:cs="Verdana"/>
      <w:b w:val="0"/>
      <w:bCs w:val="0"/>
      <w:i w:val="0"/>
      <w:iCs w:val="0"/>
      <w:smallCaps w:val="0"/>
      <w:strike w:val="0"/>
      <w:sz w:val="18"/>
      <w:szCs w:val="18"/>
      <w:u w:val="none"/>
    </w:rPr>
  </w:style>
  <w:style w:type="character" w:customStyle="1" w:styleId="Headerorfooter">
    <w:name w:val="Header or footer_"/>
    <w:basedOn w:val="DefaultParagraphFont"/>
    <w:link w:val="Headerorfooter0"/>
    <w:rPr>
      <w:rFonts w:ascii="Verdana" w:eastAsia="Verdana" w:hAnsi="Verdana" w:cs="Verdana"/>
      <w:b w:val="0"/>
      <w:bCs w:val="0"/>
      <w:i w:val="0"/>
      <w:iCs w:val="0"/>
      <w:smallCaps w:val="0"/>
      <w:strike w:val="0"/>
      <w:sz w:val="16"/>
      <w:szCs w:val="16"/>
      <w:u w:val="none"/>
    </w:rPr>
  </w:style>
  <w:style w:type="character" w:customStyle="1" w:styleId="Heading20">
    <w:name w:val="Heading #2_"/>
    <w:basedOn w:val="DefaultParagraphFont"/>
    <w:link w:val="Heading21"/>
    <w:rPr>
      <w:rFonts w:ascii="Arial" w:eastAsia="Arial" w:hAnsi="Arial" w:cs="Arial"/>
      <w:b w:val="0"/>
      <w:bCs w:val="0"/>
      <w:i w:val="0"/>
      <w:iCs w:val="0"/>
      <w:smallCaps w:val="0"/>
      <w:strike w:val="0"/>
      <w:u w:val="none"/>
    </w:rPr>
  </w:style>
  <w:style w:type="character" w:customStyle="1" w:styleId="Bodytext3">
    <w:name w:val="Body text (3)_"/>
    <w:basedOn w:val="DefaultParagraphFont"/>
    <w:link w:val="Bodytext30"/>
    <w:rPr>
      <w:rFonts w:ascii="Arial" w:eastAsia="Arial" w:hAnsi="Arial" w:cs="Arial"/>
      <w:b w:val="0"/>
      <w:bCs w:val="0"/>
      <w:i w:val="0"/>
      <w:iCs w:val="0"/>
      <w:smallCaps w:val="0"/>
      <w:strike w:val="0"/>
      <w:sz w:val="16"/>
      <w:szCs w:val="16"/>
      <w:u w:val="none"/>
    </w:rPr>
  </w:style>
  <w:style w:type="character" w:customStyle="1" w:styleId="Heading10">
    <w:name w:val="Heading #1_"/>
    <w:basedOn w:val="DefaultParagraphFont"/>
    <w:link w:val="Heading11"/>
    <w:rPr>
      <w:rFonts w:ascii="Verdana" w:eastAsia="Verdana" w:hAnsi="Verdana" w:cs="Verdana"/>
      <w:b/>
      <w:bCs/>
      <w:i w:val="0"/>
      <w:iCs w:val="0"/>
      <w:smallCaps w:val="0"/>
      <w:strike w:val="0"/>
      <w:sz w:val="22"/>
      <w:szCs w:val="22"/>
      <w:u w:val="none"/>
    </w:rPr>
  </w:style>
  <w:style w:type="character" w:customStyle="1" w:styleId="Tableofcontents">
    <w:name w:val="Table of contents_"/>
    <w:basedOn w:val="DefaultParagraphFont"/>
    <w:link w:val="Tableofcontents0"/>
    <w:rPr>
      <w:rFonts w:ascii="Verdana" w:eastAsia="Verdana" w:hAnsi="Verdana" w:cs="Verdana"/>
      <w:b w:val="0"/>
      <w:bCs w:val="0"/>
      <w:i w:val="0"/>
      <w:iCs w:val="0"/>
      <w:smallCaps w:val="0"/>
      <w:strike w:val="0"/>
      <w:sz w:val="16"/>
      <w:szCs w:val="16"/>
      <w:u w:val="none"/>
    </w:rPr>
  </w:style>
  <w:style w:type="character" w:customStyle="1" w:styleId="Headingnumber30">
    <w:name w:val="Heading number #3_"/>
    <w:basedOn w:val="DefaultParagraphFont"/>
    <w:link w:val="Headingnumber3"/>
    <w:rPr>
      <w:rFonts w:ascii="Verdana" w:eastAsia="Verdana" w:hAnsi="Verdana" w:cs="Verdana"/>
      <w:b/>
      <w:bCs/>
      <w:i w:val="0"/>
      <w:iCs w:val="0"/>
      <w:smallCaps w:val="0"/>
      <w:strike w:val="0"/>
      <w:color w:val="A50021"/>
      <w:sz w:val="20"/>
      <w:szCs w:val="20"/>
      <w:u w:val="none"/>
    </w:rPr>
  </w:style>
  <w:style w:type="character" w:customStyle="1" w:styleId="Heading3">
    <w:name w:val="Heading #3_"/>
    <w:basedOn w:val="DefaultParagraphFont"/>
    <w:link w:val="Heading30"/>
    <w:rPr>
      <w:rFonts w:ascii="Verdana" w:eastAsia="Verdana" w:hAnsi="Verdana" w:cs="Verdana"/>
      <w:b/>
      <w:bCs/>
      <w:i w:val="0"/>
      <w:iCs w:val="0"/>
      <w:smallCaps w:val="0"/>
      <w:strike w:val="0"/>
      <w:sz w:val="20"/>
      <w:szCs w:val="20"/>
      <w:u w:val="none"/>
    </w:rPr>
  </w:style>
  <w:style w:type="character" w:customStyle="1" w:styleId="BodyTextChar">
    <w:name w:val="Body Text Char"/>
    <w:basedOn w:val="DefaultParagraphFont"/>
    <w:link w:val="BodyText"/>
    <w:rPr>
      <w:rFonts w:ascii="Verdana" w:eastAsia="Verdana" w:hAnsi="Verdana" w:cs="Verdana"/>
      <w:b w:val="0"/>
      <w:bCs w:val="0"/>
      <w:i w:val="0"/>
      <w:iCs w:val="0"/>
      <w:smallCaps w:val="0"/>
      <w:strike w:val="0"/>
      <w:sz w:val="20"/>
      <w:szCs w:val="20"/>
      <w:u w:val="none"/>
    </w:rPr>
  </w:style>
  <w:style w:type="paragraph" w:customStyle="1" w:styleId="Footnote0">
    <w:name w:val="Footnote"/>
    <w:basedOn w:val="Normal"/>
    <w:link w:val="Footnote"/>
    <w:pPr>
      <w:ind w:left="160"/>
    </w:pPr>
    <w:rPr>
      <w:rFonts w:eastAsia="Verdana" w:cs="Verdana"/>
      <w:sz w:val="16"/>
      <w:szCs w:val="16"/>
    </w:rPr>
  </w:style>
  <w:style w:type="paragraph" w:customStyle="1" w:styleId="Bodytext20">
    <w:name w:val="Body text (2)"/>
    <w:basedOn w:val="Normal"/>
    <w:link w:val="Bodytext2"/>
    <w:pPr>
      <w:spacing w:after="1060" w:line="276" w:lineRule="auto"/>
      <w:jc w:val="center"/>
    </w:pPr>
    <w:rPr>
      <w:rFonts w:ascii="Arial" w:eastAsia="Arial" w:hAnsi="Arial" w:cs="Arial"/>
      <w:b/>
      <w:bCs/>
      <w:sz w:val="44"/>
      <w:szCs w:val="44"/>
    </w:rPr>
  </w:style>
  <w:style w:type="paragraph" w:customStyle="1" w:styleId="Other0">
    <w:name w:val="Other"/>
    <w:basedOn w:val="Normal"/>
    <w:link w:val="Other"/>
    <w:pPr>
      <w:spacing w:after="180"/>
    </w:pPr>
    <w:rPr>
      <w:rFonts w:eastAsia="Verdana" w:cs="Verdana"/>
      <w:szCs w:val="20"/>
    </w:rPr>
  </w:style>
  <w:style w:type="paragraph" w:customStyle="1" w:styleId="Bodytext40">
    <w:name w:val="Body text (4)"/>
    <w:basedOn w:val="Normal"/>
    <w:link w:val="Bodytext4"/>
    <w:pPr>
      <w:spacing w:after="1460" w:line="276" w:lineRule="auto"/>
      <w:jc w:val="center"/>
    </w:pPr>
    <w:rPr>
      <w:rFonts w:ascii="Arial" w:eastAsia="Arial" w:hAnsi="Arial" w:cs="Arial"/>
      <w:sz w:val="26"/>
      <w:szCs w:val="26"/>
    </w:rPr>
  </w:style>
  <w:style w:type="paragraph" w:customStyle="1" w:styleId="Bodytext50">
    <w:name w:val="Body text (5)"/>
    <w:basedOn w:val="Normal"/>
    <w:link w:val="Bodytext5"/>
    <w:pPr>
      <w:spacing w:after="120" w:line="252" w:lineRule="auto"/>
      <w:jc w:val="center"/>
    </w:pPr>
    <w:rPr>
      <w:rFonts w:eastAsia="Verdana" w:cs="Verdana"/>
      <w:sz w:val="18"/>
      <w:szCs w:val="18"/>
    </w:rPr>
  </w:style>
  <w:style w:type="paragraph" w:customStyle="1" w:styleId="Headerorfooter0">
    <w:name w:val="Header or footer"/>
    <w:basedOn w:val="Normal"/>
    <w:link w:val="Headerorfooter"/>
    <w:rPr>
      <w:rFonts w:eastAsia="Verdana" w:cs="Verdana"/>
      <w:sz w:val="16"/>
      <w:szCs w:val="16"/>
    </w:rPr>
  </w:style>
  <w:style w:type="paragraph" w:customStyle="1" w:styleId="Heading21">
    <w:name w:val="Heading #2"/>
    <w:basedOn w:val="Normal"/>
    <w:link w:val="Heading20"/>
    <w:pPr>
      <w:spacing w:after="50"/>
      <w:outlineLvl w:val="1"/>
    </w:pPr>
    <w:rPr>
      <w:rFonts w:ascii="Arial" w:eastAsia="Arial" w:hAnsi="Arial" w:cs="Arial"/>
    </w:rPr>
  </w:style>
  <w:style w:type="paragraph" w:customStyle="1" w:styleId="Bodytext30">
    <w:name w:val="Body text (3)"/>
    <w:basedOn w:val="Normal"/>
    <w:link w:val="Bodytext3"/>
    <w:pPr>
      <w:spacing w:after="990"/>
    </w:pPr>
    <w:rPr>
      <w:rFonts w:ascii="Arial" w:eastAsia="Arial" w:hAnsi="Arial" w:cs="Arial"/>
      <w:sz w:val="16"/>
      <w:szCs w:val="16"/>
    </w:rPr>
  </w:style>
  <w:style w:type="paragraph" w:customStyle="1" w:styleId="Heading11">
    <w:name w:val="Heading #1"/>
    <w:basedOn w:val="Normal"/>
    <w:link w:val="Heading10"/>
    <w:pPr>
      <w:spacing w:after="540"/>
      <w:jc w:val="center"/>
      <w:outlineLvl w:val="0"/>
    </w:pPr>
    <w:rPr>
      <w:rFonts w:eastAsia="Verdana" w:cs="Verdana"/>
      <w:b/>
      <w:bCs/>
      <w:sz w:val="22"/>
      <w:szCs w:val="22"/>
    </w:rPr>
  </w:style>
  <w:style w:type="paragraph" w:customStyle="1" w:styleId="Tableofcontents0">
    <w:name w:val="Table of contents"/>
    <w:basedOn w:val="Normal"/>
    <w:link w:val="Tableofcontents"/>
    <w:pPr>
      <w:spacing w:after="100"/>
      <w:ind w:firstLine="300"/>
    </w:pPr>
    <w:rPr>
      <w:rFonts w:eastAsia="Verdana" w:cs="Verdana"/>
      <w:sz w:val="16"/>
      <w:szCs w:val="16"/>
    </w:rPr>
  </w:style>
  <w:style w:type="paragraph" w:customStyle="1" w:styleId="Headingnumber3">
    <w:name w:val="Heading number #3"/>
    <w:basedOn w:val="Normal"/>
    <w:link w:val="Headingnumber30"/>
    <w:pPr>
      <w:spacing w:after="200"/>
      <w:outlineLvl w:val="2"/>
    </w:pPr>
    <w:rPr>
      <w:rFonts w:eastAsia="Verdana" w:cs="Verdana"/>
      <w:b/>
      <w:bCs/>
      <w:color w:val="A50021"/>
      <w:szCs w:val="20"/>
    </w:rPr>
  </w:style>
  <w:style w:type="paragraph" w:customStyle="1" w:styleId="Heading30">
    <w:name w:val="Heading #3"/>
    <w:basedOn w:val="Normal"/>
    <w:link w:val="Heading3"/>
    <w:pPr>
      <w:spacing w:after="180"/>
      <w:outlineLvl w:val="2"/>
    </w:pPr>
    <w:rPr>
      <w:rFonts w:eastAsia="Verdana" w:cs="Verdana"/>
      <w:b/>
      <w:bCs/>
      <w:szCs w:val="20"/>
    </w:rPr>
  </w:style>
  <w:style w:type="paragraph" w:styleId="BodyText">
    <w:name w:val="Body Text"/>
    <w:basedOn w:val="Normal"/>
    <w:link w:val="BodyTextChar"/>
    <w:qFormat/>
    <w:pPr>
      <w:spacing w:after="180"/>
    </w:pPr>
    <w:rPr>
      <w:rFonts w:eastAsia="Verdana" w:cs="Verdana"/>
      <w:szCs w:val="20"/>
    </w:rPr>
  </w:style>
  <w:style w:type="paragraph" w:styleId="Header">
    <w:name w:val="header"/>
    <w:basedOn w:val="Normal"/>
    <w:link w:val="HeaderChar"/>
    <w:uiPriority w:val="99"/>
    <w:unhideWhenUsed/>
    <w:rsid w:val="000E41C6"/>
    <w:pPr>
      <w:tabs>
        <w:tab w:val="center" w:pos="4513"/>
        <w:tab w:val="right" w:pos="9026"/>
      </w:tabs>
    </w:pPr>
  </w:style>
  <w:style w:type="character" w:customStyle="1" w:styleId="HeaderChar">
    <w:name w:val="Header Char"/>
    <w:basedOn w:val="DefaultParagraphFont"/>
    <w:link w:val="Header"/>
    <w:uiPriority w:val="99"/>
    <w:rsid w:val="000E41C6"/>
    <w:rPr>
      <w:color w:val="000000"/>
    </w:rPr>
  </w:style>
  <w:style w:type="paragraph" w:styleId="Footer">
    <w:name w:val="footer"/>
    <w:basedOn w:val="Normal"/>
    <w:link w:val="FooterChar"/>
    <w:uiPriority w:val="99"/>
    <w:unhideWhenUsed/>
    <w:rsid w:val="000E41C6"/>
    <w:pPr>
      <w:tabs>
        <w:tab w:val="center" w:pos="4513"/>
        <w:tab w:val="right" w:pos="9026"/>
      </w:tabs>
    </w:pPr>
  </w:style>
  <w:style w:type="character" w:customStyle="1" w:styleId="FooterChar">
    <w:name w:val="Footer Char"/>
    <w:basedOn w:val="DefaultParagraphFont"/>
    <w:link w:val="Footer"/>
    <w:uiPriority w:val="99"/>
    <w:rsid w:val="000E41C6"/>
    <w:rPr>
      <w:color w:val="000000"/>
    </w:rPr>
  </w:style>
  <w:style w:type="paragraph" w:styleId="TOC2">
    <w:name w:val="toc 2"/>
    <w:basedOn w:val="Normal"/>
    <w:next w:val="Normal"/>
    <w:autoRedefine/>
    <w:uiPriority w:val="39"/>
    <w:unhideWhenUsed/>
    <w:rsid w:val="00BA0CA3"/>
    <w:pPr>
      <w:spacing w:after="100"/>
      <w:ind w:left="240"/>
    </w:pPr>
    <w:rPr>
      <w:sz w:val="16"/>
    </w:rPr>
  </w:style>
  <w:style w:type="paragraph" w:styleId="TOC1">
    <w:name w:val="toc 1"/>
    <w:basedOn w:val="Normal"/>
    <w:next w:val="Normal"/>
    <w:autoRedefine/>
    <w:uiPriority w:val="39"/>
    <w:unhideWhenUsed/>
    <w:rsid w:val="00BA0CA3"/>
    <w:pPr>
      <w:spacing w:after="100"/>
    </w:pPr>
    <w:rPr>
      <w:sz w:val="16"/>
    </w:rPr>
  </w:style>
  <w:style w:type="paragraph" w:styleId="TOC3">
    <w:name w:val="toc 3"/>
    <w:basedOn w:val="Normal"/>
    <w:next w:val="Normal"/>
    <w:autoRedefine/>
    <w:uiPriority w:val="39"/>
    <w:unhideWhenUsed/>
    <w:rsid w:val="000E41C6"/>
    <w:pPr>
      <w:spacing w:after="100"/>
      <w:ind w:left="480"/>
    </w:pPr>
  </w:style>
  <w:style w:type="character" w:styleId="Hyperlink">
    <w:name w:val="Hyperlink"/>
    <w:basedOn w:val="DefaultParagraphFont"/>
    <w:uiPriority w:val="99"/>
    <w:unhideWhenUsed/>
    <w:rsid w:val="000E41C6"/>
    <w:rPr>
      <w:color w:val="0563C1" w:themeColor="hyperlink"/>
      <w:u w:val="single"/>
    </w:rPr>
  </w:style>
  <w:style w:type="character" w:customStyle="1" w:styleId="Heading1Char">
    <w:name w:val="Heading 1 Char"/>
    <w:basedOn w:val="DefaultParagraphFont"/>
    <w:link w:val="Heading1"/>
    <w:uiPriority w:val="9"/>
    <w:rsid w:val="00BF35B3"/>
    <w:rPr>
      <w:rFonts w:ascii="Verdana" w:eastAsia="Verdana" w:hAnsi="Verdana" w:cs="Verdana"/>
      <w:b/>
      <w:bCs/>
      <w:color w:val="A50021"/>
      <w:sz w:val="20"/>
      <w:szCs w:val="20"/>
    </w:rPr>
  </w:style>
  <w:style w:type="character" w:customStyle="1" w:styleId="Heading2Char">
    <w:name w:val="Heading 2 Char"/>
    <w:basedOn w:val="DefaultParagraphFont"/>
    <w:link w:val="Heading2"/>
    <w:uiPriority w:val="9"/>
    <w:rsid w:val="00BF35B3"/>
    <w:rPr>
      <w:rFonts w:ascii="Verdana" w:eastAsia="Verdana" w:hAnsi="Verdana" w:cs="Verdana"/>
      <w:b/>
      <w:bCs/>
      <w:color w:val="A50021"/>
      <w:sz w:val="20"/>
      <w:szCs w:val="20"/>
    </w:rPr>
  </w:style>
  <w:style w:type="character" w:styleId="UnresolvedMention">
    <w:name w:val="Unresolved Mention"/>
    <w:basedOn w:val="DefaultParagraphFont"/>
    <w:uiPriority w:val="99"/>
    <w:semiHidden/>
    <w:unhideWhenUsed/>
    <w:rsid w:val="008F31DC"/>
    <w:rPr>
      <w:color w:val="605E5C"/>
      <w:shd w:val="clear" w:color="auto" w:fill="E1DFDD"/>
    </w:rPr>
  </w:style>
  <w:style w:type="table" w:styleId="TableGrid">
    <w:name w:val="Table Grid"/>
    <w:basedOn w:val="TableNormal"/>
    <w:uiPriority w:val="39"/>
    <w:rsid w:val="008F31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BodyText"/>
    <w:qFormat/>
    <w:rsid w:val="0056686A"/>
    <w:pPr>
      <w:numPr>
        <w:numId w:val="2"/>
      </w:numPr>
      <w:tabs>
        <w:tab w:val="left" w:pos="750"/>
      </w:tabs>
      <w:spacing w:after="200"/>
      <w:ind w:firstLine="340"/>
      <w:jc w:val="both"/>
    </w:pPr>
  </w:style>
  <w:style w:type="paragraph" w:customStyle="1" w:styleId="Style2">
    <w:name w:val="Style2"/>
    <w:basedOn w:val="BodyText"/>
    <w:qFormat/>
    <w:rsid w:val="0056686A"/>
    <w:pPr>
      <w:spacing w:after="200"/>
      <w:jc w:val="both"/>
    </w:pPr>
  </w:style>
  <w:style w:type="paragraph" w:customStyle="1" w:styleId="Style3">
    <w:name w:val="Style3"/>
    <w:basedOn w:val="BodyText"/>
    <w:qFormat/>
    <w:rsid w:val="0056686A"/>
    <w:pPr>
      <w:spacing w:after="640"/>
      <w:jc w:val="both"/>
    </w:pPr>
  </w:style>
  <w:style w:type="paragraph" w:styleId="FootnoteText">
    <w:name w:val="footnote text"/>
    <w:basedOn w:val="Normal"/>
    <w:link w:val="FootnoteTextChar"/>
    <w:uiPriority w:val="99"/>
    <w:semiHidden/>
    <w:unhideWhenUsed/>
    <w:rsid w:val="0056686A"/>
    <w:rPr>
      <w:szCs w:val="20"/>
    </w:rPr>
  </w:style>
  <w:style w:type="character" w:customStyle="1" w:styleId="FootnoteTextChar">
    <w:name w:val="Footnote Text Char"/>
    <w:basedOn w:val="DefaultParagraphFont"/>
    <w:link w:val="FootnoteText"/>
    <w:uiPriority w:val="99"/>
    <w:semiHidden/>
    <w:rsid w:val="0056686A"/>
    <w:rPr>
      <w:rFonts w:ascii="Verdana" w:hAnsi="Verdana"/>
      <w:color w:val="000000"/>
      <w:sz w:val="20"/>
      <w:szCs w:val="20"/>
    </w:rPr>
  </w:style>
  <w:style w:type="character" w:styleId="FootnoteReference">
    <w:name w:val="footnote reference"/>
    <w:basedOn w:val="DefaultParagraphFont"/>
    <w:uiPriority w:val="99"/>
    <w:semiHidden/>
    <w:unhideWhenUsed/>
    <w:rsid w:val="0056686A"/>
    <w:rPr>
      <w:vertAlign w:val="superscript"/>
    </w:rPr>
  </w:style>
  <w:style w:type="paragraph" w:customStyle="1" w:styleId="DNEx1">
    <w:name w:val="DNEx1"/>
    <w:basedOn w:val="Footnote0"/>
    <w:qFormat/>
    <w:rsid w:val="0056686A"/>
    <w:pPr>
      <w:ind w:left="142" w:hanging="142"/>
    </w:pPr>
  </w:style>
  <w:style w:type="paragraph" w:customStyle="1" w:styleId="Style4">
    <w:name w:val="Style4"/>
    <w:basedOn w:val="BodyText"/>
    <w:qFormat/>
    <w:rsid w:val="008B332B"/>
    <w:pPr>
      <w:spacing w:after="100" w:line="259" w:lineRule="auto"/>
      <w:jc w:val="both"/>
    </w:pPr>
  </w:style>
  <w:style w:type="paragraph" w:customStyle="1" w:styleId="Style5">
    <w:name w:val="Style5"/>
    <w:basedOn w:val="BodyText"/>
    <w:qFormat/>
    <w:rsid w:val="008B332B"/>
    <w:pPr>
      <w:spacing w:after="100"/>
      <w:jc w:val="both"/>
    </w:pPr>
  </w:style>
  <w:style w:type="paragraph" w:customStyle="1" w:styleId="Style6">
    <w:name w:val="Style6"/>
    <w:basedOn w:val="BodyText"/>
    <w:qFormat/>
    <w:rsid w:val="008B332B"/>
    <w:pPr>
      <w:jc w:val="both"/>
    </w:pPr>
  </w:style>
  <w:style w:type="paragraph" w:customStyle="1" w:styleId="Style7">
    <w:name w:val="Style7"/>
    <w:basedOn w:val="BodyText"/>
    <w:qFormat/>
    <w:rsid w:val="004A65E7"/>
    <w:pPr>
      <w:jc w:val="both"/>
    </w:pPr>
  </w:style>
  <w:style w:type="paragraph" w:customStyle="1" w:styleId="Style8">
    <w:name w:val="Style8"/>
    <w:basedOn w:val="BodyText"/>
    <w:qFormat/>
    <w:rsid w:val="004A65E7"/>
    <w:pPr>
      <w:jc w:val="both"/>
    </w:pPr>
  </w:style>
  <w:style w:type="paragraph" w:customStyle="1" w:styleId="Style9">
    <w:name w:val="Style9"/>
    <w:basedOn w:val="BodyText"/>
    <w:qFormat/>
    <w:rsid w:val="004A65E7"/>
    <w:pPr>
      <w:jc w:val="both"/>
    </w:pPr>
  </w:style>
  <w:style w:type="paragraph" w:customStyle="1" w:styleId="Style10">
    <w:name w:val="Style10"/>
    <w:basedOn w:val="BodyText"/>
    <w:qFormat/>
    <w:rsid w:val="004A65E7"/>
    <w:pPr>
      <w:spacing w:after="200"/>
      <w:jc w:val="both"/>
    </w:pPr>
  </w:style>
  <w:style w:type="paragraph" w:customStyle="1" w:styleId="Style11">
    <w:name w:val="Style11"/>
    <w:basedOn w:val="Footnote0"/>
    <w:qFormat/>
    <w:rsid w:val="004A65E7"/>
    <w:pPr>
      <w:spacing w:line="221" w:lineRule="auto"/>
      <w:ind w:left="0"/>
      <w:jc w:val="center"/>
    </w:pPr>
  </w:style>
  <w:style w:type="paragraph" w:customStyle="1" w:styleId="Style12">
    <w:name w:val="Style12"/>
    <w:basedOn w:val="BodyText"/>
    <w:qFormat/>
    <w:rsid w:val="008538D7"/>
    <w:pPr>
      <w:jc w:val="both"/>
    </w:pPr>
  </w:style>
  <w:style w:type="paragraph" w:customStyle="1" w:styleId="Style13">
    <w:name w:val="Style13"/>
    <w:basedOn w:val="BodyText"/>
    <w:qFormat/>
    <w:rsid w:val="008538D7"/>
    <w:pPr>
      <w:jc w:val="both"/>
    </w:pPr>
  </w:style>
  <w:style w:type="paragraph" w:customStyle="1" w:styleId="Style14">
    <w:name w:val="Style14"/>
    <w:basedOn w:val="BodyText"/>
    <w:qFormat/>
    <w:rsid w:val="00141542"/>
    <w:pPr>
      <w:jc w:val="both"/>
    </w:pPr>
  </w:style>
  <w:style w:type="paragraph" w:customStyle="1" w:styleId="Style15">
    <w:name w:val="Style15"/>
    <w:basedOn w:val="Bodytext50"/>
    <w:qFormat/>
    <w:rsid w:val="00141542"/>
    <w:pPr>
      <w:tabs>
        <w:tab w:val="left" w:pos="778"/>
      </w:tabs>
      <w:spacing w:after="100" w:line="240" w:lineRule="auto"/>
      <w:ind w:left="360" w:hanging="360"/>
      <w:jc w:val="both"/>
    </w:pPr>
    <w:rPr>
      <w:color w:val="595959"/>
    </w:rPr>
  </w:style>
  <w:style w:type="paragraph" w:customStyle="1" w:styleId="Style16">
    <w:name w:val="Style16"/>
    <w:basedOn w:val="Bodytext50"/>
    <w:qFormat/>
    <w:rsid w:val="000564A8"/>
    <w:pPr>
      <w:numPr>
        <w:numId w:val="44"/>
      </w:numPr>
      <w:tabs>
        <w:tab w:val="left" w:pos="778"/>
      </w:tabs>
      <w:spacing w:after="100" w:line="240" w:lineRule="auto"/>
      <w:jc w:val="both"/>
    </w:pPr>
    <w:rPr>
      <w:color w:val="595959"/>
    </w:rPr>
  </w:style>
  <w:style w:type="paragraph" w:styleId="TOCHeading">
    <w:name w:val="TOC Heading"/>
    <w:basedOn w:val="Heading1"/>
    <w:next w:val="Normal"/>
    <w:uiPriority w:val="39"/>
    <w:unhideWhenUsed/>
    <w:qFormat/>
    <w:rsid w:val="00BA0CA3"/>
    <w:pPr>
      <w:widowControl/>
      <w:numPr>
        <w:numId w:val="0"/>
      </w:numPr>
      <w:tabs>
        <w:tab w:val="clear" w:pos="284"/>
      </w:tabs>
      <w:spacing w:before="240" w:after="0" w:line="259" w:lineRule="auto"/>
      <w:jc w:val="left"/>
      <w:outlineLvl w:val="9"/>
    </w:pPr>
    <w:rPr>
      <w:rFonts w:asciiTheme="majorHAnsi" w:eastAsiaTheme="majorEastAsia" w:hAnsiTheme="majorHAnsi" w:cstheme="majorBidi"/>
      <w:b w:val="0"/>
      <w:bCs w:val="0"/>
      <w:color w:val="2F5496" w:themeColor="accent1" w:themeShade="BF"/>
      <w:sz w:val="32"/>
      <w:szCs w:val="3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8511517">
      <w:bodyDiv w:val="1"/>
      <w:marLeft w:val="0"/>
      <w:marRight w:val="0"/>
      <w:marTop w:val="0"/>
      <w:marBottom w:val="0"/>
      <w:divBdr>
        <w:top w:val="none" w:sz="0" w:space="0" w:color="auto"/>
        <w:left w:val="none" w:sz="0" w:space="0" w:color="auto"/>
        <w:bottom w:val="none" w:sz="0" w:space="0" w:color="auto"/>
        <w:right w:val="none" w:sz="0" w:space="0" w:color="auto"/>
      </w:divBdr>
    </w:div>
    <w:div w:id="1470391780">
      <w:bodyDiv w:val="1"/>
      <w:marLeft w:val="0"/>
      <w:marRight w:val="0"/>
      <w:marTop w:val="0"/>
      <w:marBottom w:val="0"/>
      <w:divBdr>
        <w:top w:val="none" w:sz="0" w:space="0" w:color="auto"/>
        <w:left w:val="none" w:sz="0" w:space="0" w:color="auto"/>
        <w:bottom w:val="none" w:sz="0" w:space="0" w:color="auto"/>
        <w:right w:val="none" w:sz="0" w:space="0" w:color="auto"/>
      </w:divBdr>
    </w:div>
    <w:div w:id="17309555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ec.europa.eu/info/funding-tenders/opportunities/docs/2021-2027/common/guidance/om_en.pdf" TargetMode="External"/><Relationship Id="rId26" Type="http://schemas.openxmlformats.org/officeDocument/2006/relationships/hyperlink" Target="http://www.sanctionsmap.eu/" TargetMode="External"/><Relationship Id="rId39" Type="http://schemas.openxmlformats.org/officeDocument/2006/relationships/hyperlink" Target="https://ec.europa.eu/info/funding-tenders/opportunities/docs/2021-2027/common/guidance/om_en.pdf" TargetMode="External"/><Relationship Id="rId21" Type="http://schemas.openxmlformats.org/officeDocument/2006/relationships/hyperlink" Target="https://www.eacea.ec.europa.eu/system/files/2024-10/country_regional%20GG%20flagships.pdf" TargetMode="External"/><Relationship Id="rId34" Type="http://schemas.openxmlformats.org/officeDocument/2006/relationships/hyperlink" Target="https://ec.europa.eu/info/funding-tenders/opportunities/docs/2021-2027/common/guidance/aga_en.pdf" TargetMode="External"/><Relationship Id="rId42" Type="http://schemas.openxmlformats.org/officeDocument/2006/relationships/hyperlink" Target="mailto:EACEA-IntraAfrica-IntraACP@ec.europa.eu" TargetMode="External"/><Relationship Id="rId47" Type="http://schemas.openxmlformats.org/officeDocument/2006/relationships/hyperlink" Target="https://ec.europa.eu/info/funding-tenders/opportunities/docs/2021-2027/common/guidance/aga_en.pdf" TargetMode="External"/><Relationship Id="rId50" Type="http://schemas.openxmlformats.org/officeDocument/2006/relationships/hyperlink" Target="https://ec.europa.eu/info/funding-tenders/opportunities/docs/2021-2027/common/ftp/privacy-statement_en.pdf"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4.jpeg"/><Relationship Id="rId29" Type="http://schemas.openxmlformats.org/officeDocument/2006/relationships/hyperlink" Target="https://ec.europa.eu/info/funding-tenders/opportunities/docs/2021-2027/common/guidance/rules-lev-lear-fca_pt.pdf" TargetMode="External"/><Relationship Id="rId11" Type="http://schemas.openxmlformats.org/officeDocument/2006/relationships/header" Target="header2.xml"/><Relationship Id="rId24" Type="http://schemas.openxmlformats.org/officeDocument/2006/relationships/hyperlink" Target="https://ec.europa.eu/info/funding-tenders/opportunities/docs/2021-2027/common/guidance/om_en.pdf" TargetMode="External"/><Relationship Id="rId32" Type="http://schemas.openxmlformats.org/officeDocument/2006/relationships/hyperlink" Target="https://ec.europa.eu/info/funding-tenders/opportunities/docs/2021-2027/common/ftp/tc_en.pdf" TargetMode="External"/><Relationship Id="rId37" Type="http://schemas.openxmlformats.org/officeDocument/2006/relationships/hyperlink" Target="https://ec.europa.eu/info/funding-tenders/opportunities/portal/screen/support/helpdesks/contact-form" TargetMode="External"/><Relationship Id="rId40" Type="http://schemas.openxmlformats.org/officeDocument/2006/relationships/hyperlink" Target="https://ec.europa.eu/info/funding-tenders/opportunities/portal/screen/support/helpdesks/contact-form" TargetMode="External"/><Relationship Id="rId45" Type="http://schemas.openxmlformats.org/officeDocument/2006/relationships/hyperlink" Target="https://ec.europa.eu/info/funding-tenders/opportunities/docs/2021-2027/common/ftp/tc_en.pdf" TargetMode="Externa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header" Target="header1.xml"/><Relationship Id="rId19" Type="http://schemas.openxmlformats.org/officeDocument/2006/relationships/hyperlink" Target="https://ec.europa.eu/info/funding-tenders/opportunities/docs/2021-2027/common/guidance/aga_en.pdf" TargetMode="External"/><Relationship Id="rId31" Type="http://schemas.openxmlformats.org/officeDocument/2006/relationships/hyperlink" Target="https://eur-lex.europa.eu/legal-content/PT/ALL/?uri=CELEX:31995R2988&amp;qid=1501598622514" TargetMode="External"/><Relationship Id="rId44" Type="http://schemas.openxmlformats.org/officeDocument/2006/relationships/hyperlink" Target="https://ec.europa.eu/info/funding-tenders/opportunities/docs/2021-2027/common/ftp/tc_en.pdf"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header" Target="header3.xml"/><Relationship Id="rId22" Type="http://schemas.openxmlformats.org/officeDocument/2006/relationships/image" Target="media/image5.png"/><Relationship Id="rId27" Type="http://schemas.openxmlformats.org/officeDocument/2006/relationships/image" Target="media/image1.png"/><Relationship Id="rId30" Type="http://schemas.openxmlformats.org/officeDocument/2006/relationships/hyperlink" Target="https://ec.europa.eu/info/funding-tenders/opportunities/portal/screen/how-to-participate/participant-register" TargetMode="External"/><Relationship Id="rId35" Type="http://schemas.openxmlformats.org/officeDocument/2006/relationships/hyperlink" Target="https://webgate.ec.europa.eu/cas/eim/external/register.cgi" TargetMode="External"/><Relationship Id="rId43" Type="http://schemas.openxmlformats.org/officeDocument/2006/relationships/image" Target="media/image7.png"/><Relationship Id="rId48" Type="http://schemas.openxmlformats.org/officeDocument/2006/relationships/hyperlink" Target="https://eur-lex.europa.eu/legal-content/EN/TXT/?uri=CELEX:32018R1046" TargetMode="External"/><Relationship Id="rId8" Type="http://schemas.openxmlformats.org/officeDocument/2006/relationships/image" Target="media/image2.jpeg"/><Relationship Id="rId51" Type="http://schemas.openxmlformats.org/officeDocument/2006/relationships/footer" Target="footer4.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s://eur-lex.europa.eu/legal-content/EN/TXT/?uri=CELEX:32021R0947" TargetMode="External"/><Relationship Id="rId25" Type="http://schemas.openxmlformats.org/officeDocument/2006/relationships/hyperlink" Target="https://ec.europa.eu/info/funding-tenders/opportunities/portal/screen/how-to-participate/participant-register" TargetMode="External"/><Relationship Id="rId33" Type="http://schemas.openxmlformats.org/officeDocument/2006/relationships/hyperlink" Target="https://ec.europa.eu/info/funding-tenders/opportunities/portal/screen/how-to-participate/reference-documents" TargetMode="External"/><Relationship Id="rId38" Type="http://schemas.openxmlformats.org/officeDocument/2006/relationships/hyperlink" Target="https://ec.europa.eu/info/funding-tenders/opportunities/docs/2021-2027/common/guidance/om_en.pdf" TargetMode="External"/><Relationship Id="rId46" Type="http://schemas.openxmlformats.org/officeDocument/2006/relationships/hyperlink" Target="https://ec.europa.eu/info/funding-tenders/opportunities/portal/screen/how-to-participate/participant-register" TargetMode="External"/><Relationship Id="rId20" Type="http://schemas.openxmlformats.org/officeDocument/2006/relationships/hyperlink" Target="https://international-partnerships.ec.europa.eu/policies/global-gateway/initiatives-region/initiatives-sub-saharan-africa_en" TargetMode="External"/><Relationship Id="rId41" Type="http://schemas.openxmlformats.org/officeDocument/2006/relationships/hyperlink" Target="mailto:EACEA-IntraAfrica-IntraACP@ec.europa.eu"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image" Target="media/image6.png"/><Relationship Id="rId28" Type="http://schemas.openxmlformats.org/officeDocument/2006/relationships/hyperlink" Target="https://ec.europa.eu/info/funding-tenders/opportunities/docs/2021-2027/common/guidance/rules-lev-lear-fca_pt.pdf" TargetMode="External"/><Relationship Id="rId36" Type="http://schemas.openxmlformats.org/officeDocument/2006/relationships/hyperlink" Target="https://ec.europa.eu/info/funding-tenders/opportunities/portal/screen/how-to-participate/participant-register" TargetMode="External"/><Relationship Id="rId49" Type="http://schemas.openxmlformats.org/officeDocument/2006/relationships/hyperlink" Target="https://ec.europa.eu/budget/fts/index_en.htm"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sanctionsmap.eu/" TargetMode="External"/><Relationship Id="rId3" Type="http://schemas.openxmlformats.org/officeDocument/2006/relationships/hyperlink" Target="https://international-partnerships.ec.europa.eu/policies/global-gateway/initiatives-region/initiatives-sub-saharan-africa_en" TargetMode="External"/><Relationship Id="rId7" Type="http://schemas.openxmlformats.org/officeDocument/2006/relationships/hyperlink" Target="https://eur-lex.europa.eu/legal-content/EN/TXT/?uri=CELEX:32018R1046" TargetMode="External"/><Relationship Id="rId2" Type="http://schemas.openxmlformats.org/officeDocument/2006/relationships/hyperlink" Target="%09https://haqaa.aau.org/" TargetMode="External"/><Relationship Id="rId1" Type="http://schemas.openxmlformats.org/officeDocument/2006/relationships/hyperlink" Target="https://commission.europa.eu/strategy-and-policy/priorities-2019-2024/stronger-europe-world/global-gateway_pt" TargetMode="External"/><Relationship Id="rId6" Type="http://schemas.openxmlformats.org/officeDocument/2006/relationships/hyperlink" Target="https://eur-lex.europa.eu/legal-content/EN/TXT/?uri=CELEX:32018R1046" TargetMode="External"/><Relationship Id="rId5" Type="http://schemas.openxmlformats.org/officeDocument/2006/relationships/hyperlink" Target="https://www.timeanddate.com/worldclock/converter.html" TargetMode="External"/><Relationship Id="rId10" Type="http://schemas.openxmlformats.org/officeDocument/2006/relationships/hyperlink" Target="https://eur-lex.europa.eu/legal-content/EN/TXT/?uri=CELEX:32018R1046" TargetMode="External"/><Relationship Id="rId4" Type="http://schemas.openxmlformats.org/officeDocument/2006/relationships/hyperlink" Target="https://www.timeanddate.com/worldclock/converter.html" TargetMode="External"/><Relationship Id="rId9" Type="http://schemas.openxmlformats.org/officeDocument/2006/relationships/hyperlink" Target="https://eur-lex.europa.eu/legal-content/EN/TXT/?uri=CELEX:32018R1046"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15C7CF-EB2D-4264-B390-CF60C67906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35</Pages>
  <Words>12996</Words>
  <Characters>75377</Characters>
  <Application>Microsoft Office Word</Application>
  <DocSecurity>0</DocSecurity>
  <Lines>1603</Lines>
  <Paragraphs>742</Paragraphs>
  <ScaleCrop>false</ScaleCrop>
  <HeadingPairs>
    <vt:vector size="2" baseType="variant">
      <vt:variant>
        <vt:lpstr>Title</vt:lpstr>
      </vt:variant>
      <vt:variant>
        <vt:i4>1</vt:i4>
      </vt:variant>
    </vt:vector>
  </HeadingPairs>
  <TitlesOfParts>
    <vt:vector size="1" baseType="lpstr">
      <vt:lpstr/>
    </vt:vector>
  </TitlesOfParts>
  <Company>CDT</Company>
  <LinksUpToDate>false</LinksUpToDate>
  <CharactersWithSpaces>87631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CDT</dc:creator>
  <cp:keywords/>
  <cp:lastModifiedBy>GIORGIO Antonella (EACEA)</cp:lastModifiedBy>
  <cp:revision>6</cp:revision>
  <dcterms:created xsi:type="dcterms:W3CDTF">2024-12-20T09:13:00Z</dcterms:created>
  <dcterms:modified xsi:type="dcterms:W3CDTF">2025-01-16T14:12:00Z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2024-12-20T09:13:33Z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c56c26d8-fb99-4c1b-8d7a-b7f0d87a362e</vt:lpwstr>
  </property>
  <property fmtid="{D5CDD505-2E9C-101B-9397-08002B2CF9AE}" pid="8" name="MSIP_Label_6bd9ddd1-4d20-43f6-abfa-fc3c07406f94_ContentBits">
    <vt:lpwstr>0</vt:lpwstr>
  </property>
</Properties>
</file>